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CF6" w:rsidRDefault="00701CF6" w:rsidP="00701CF6">
      <w:pPr>
        <w:jc w:val="center"/>
      </w:pPr>
      <w:bookmarkStart w:id="0" w:name="_Hlk23404643"/>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01CF6" w:rsidRDefault="00701CF6" w:rsidP="00701CF6">
      <w:pPr>
        <w:jc w:val="center"/>
        <w:rPr>
          <w:rFonts w:ascii="Arial" w:hAnsi="Arial"/>
        </w:rPr>
      </w:pPr>
      <w:r>
        <w:rPr>
          <w:rFonts w:ascii="Arial" w:hAnsi="Arial"/>
        </w:rPr>
        <w:t>Australian Capital Territory</w:t>
      </w:r>
    </w:p>
    <w:p w:rsidR="00701CF6" w:rsidRDefault="007C2037" w:rsidP="00701CF6">
      <w:pPr>
        <w:pStyle w:val="Billname1"/>
      </w:pPr>
      <w:r>
        <w:fldChar w:fldCharType="begin"/>
      </w:r>
      <w:r>
        <w:instrText xml:space="preserve"> REF Citation \*charformat </w:instrText>
      </w:r>
      <w:r>
        <w:fldChar w:fldCharType="separate"/>
      </w:r>
      <w:r w:rsidR="00A44672">
        <w:t>Residential Tenancies Act 1997</w:t>
      </w:r>
      <w:r>
        <w:fldChar w:fldCharType="end"/>
      </w:r>
      <w:r w:rsidR="00701CF6">
        <w:t xml:space="preserve">    </w:t>
      </w:r>
    </w:p>
    <w:p w:rsidR="00701CF6" w:rsidRDefault="007D1CDE" w:rsidP="00701CF6">
      <w:pPr>
        <w:pStyle w:val="ActNo"/>
      </w:pPr>
      <w:bookmarkStart w:id="2" w:name="LawNo"/>
      <w:r>
        <w:t>A1997-84</w:t>
      </w:r>
      <w:bookmarkEnd w:id="2"/>
    </w:p>
    <w:p w:rsidR="00701CF6" w:rsidRDefault="00701CF6" w:rsidP="00701CF6">
      <w:pPr>
        <w:pStyle w:val="RepubNo"/>
      </w:pPr>
      <w:r>
        <w:t xml:space="preserve">Republication No </w:t>
      </w:r>
      <w:bookmarkStart w:id="3" w:name="RepubNo"/>
      <w:r w:rsidR="007D1CDE">
        <w:t>58</w:t>
      </w:r>
      <w:bookmarkEnd w:id="3"/>
    </w:p>
    <w:p w:rsidR="00701CF6" w:rsidRDefault="00701CF6" w:rsidP="00701CF6">
      <w:pPr>
        <w:pStyle w:val="EffectiveDate"/>
      </w:pPr>
      <w:r>
        <w:t xml:space="preserve">Effective:  </w:t>
      </w:r>
      <w:bookmarkStart w:id="4" w:name="EffectiveDate"/>
      <w:r w:rsidR="007D1CDE">
        <w:t>1 November 2019</w:t>
      </w:r>
      <w:bookmarkEnd w:id="4"/>
      <w:r w:rsidR="007D1CDE">
        <w:t xml:space="preserve"> – </w:t>
      </w:r>
      <w:bookmarkStart w:id="5" w:name="EndEffDate"/>
      <w:r w:rsidR="007D1CDE">
        <w:t>14 December 2019</w:t>
      </w:r>
      <w:bookmarkEnd w:id="5"/>
    </w:p>
    <w:p w:rsidR="00701CF6" w:rsidRDefault="00701CF6" w:rsidP="00701CF6">
      <w:pPr>
        <w:pStyle w:val="CoverInForce"/>
      </w:pPr>
      <w:r>
        <w:t xml:space="preserve">Republication date: </w:t>
      </w:r>
      <w:bookmarkStart w:id="6" w:name="InForceDate"/>
      <w:r w:rsidR="007D1CDE">
        <w:t>1 November 2019</w:t>
      </w:r>
      <w:bookmarkEnd w:id="6"/>
    </w:p>
    <w:p w:rsidR="00701CF6" w:rsidRDefault="00701CF6" w:rsidP="00701CF6">
      <w:pPr>
        <w:pStyle w:val="CoverInForce"/>
      </w:pPr>
      <w:r>
        <w:t xml:space="preserve">Last amendment made by </w:t>
      </w:r>
      <w:bookmarkStart w:id="7" w:name="LastAmdt"/>
      <w:r w:rsidRPr="00701CF6">
        <w:rPr>
          <w:rStyle w:val="charCitHyperlinkAbbrev"/>
        </w:rPr>
        <w:fldChar w:fldCharType="begin"/>
      </w:r>
      <w:r w:rsidR="007D1CDE">
        <w:rPr>
          <w:rStyle w:val="charCitHyperlinkAbbrev"/>
        </w:rPr>
        <w:instrText>HYPERLINK "http://www.legislation.act.gov.au/a/2019-17/" \o "Justice and Community Safety Legislation Amendment Act 2019"</w:instrText>
      </w:r>
      <w:r w:rsidRPr="00701CF6">
        <w:rPr>
          <w:rStyle w:val="charCitHyperlinkAbbrev"/>
        </w:rPr>
        <w:fldChar w:fldCharType="separate"/>
      </w:r>
      <w:r w:rsidR="007D1CDE">
        <w:rPr>
          <w:rStyle w:val="charCitHyperlinkAbbrev"/>
        </w:rPr>
        <w:t>A2019</w:t>
      </w:r>
      <w:r w:rsidR="007D1CDE">
        <w:rPr>
          <w:rStyle w:val="charCitHyperlinkAbbrev"/>
        </w:rPr>
        <w:noBreakHyphen/>
        <w:t>17</w:t>
      </w:r>
      <w:r w:rsidRPr="00701CF6">
        <w:rPr>
          <w:rStyle w:val="charCitHyperlinkAbbrev"/>
        </w:rPr>
        <w:fldChar w:fldCharType="end"/>
      </w:r>
      <w:bookmarkEnd w:id="7"/>
      <w:r w:rsidRPr="00701CF6">
        <w:rPr>
          <w:rStyle w:val="charCitHyperlinkAbbrev"/>
        </w:rPr>
        <w:br/>
      </w:r>
      <w:r w:rsidRPr="008C0F67">
        <w:t xml:space="preserve">(republication for amendments by </w:t>
      </w:r>
      <w:hyperlink r:id="rId9" w:tooltip="Residential Tenancies Amendment Act 2019" w:history="1">
        <w:r>
          <w:rPr>
            <w:rStyle w:val="charCitHyperlinkAbbrev"/>
          </w:rPr>
          <w:t>A2019-5</w:t>
        </w:r>
      </w:hyperlink>
      <w:r w:rsidRPr="008C0F67">
        <w:t>)</w:t>
      </w:r>
    </w:p>
    <w:p w:rsidR="00701CF6" w:rsidRDefault="00701CF6" w:rsidP="00701CF6"/>
    <w:p w:rsidR="00701CF6" w:rsidRDefault="00701CF6" w:rsidP="00701CF6"/>
    <w:p w:rsidR="00701CF6" w:rsidRDefault="00701CF6" w:rsidP="00701CF6"/>
    <w:p w:rsidR="00701CF6" w:rsidRDefault="00701CF6" w:rsidP="00701CF6"/>
    <w:p w:rsidR="00701CF6" w:rsidRDefault="00701CF6" w:rsidP="00701CF6"/>
    <w:p w:rsidR="00701CF6" w:rsidRDefault="00701CF6" w:rsidP="00701CF6">
      <w:pPr>
        <w:spacing w:after="240"/>
        <w:rPr>
          <w:rFonts w:ascii="Arial" w:hAnsi="Arial"/>
        </w:rPr>
      </w:pPr>
    </w:p>
    <w:p w:rsidR="00701CF6" w:rsidRPr="00101B4C" w:rsidRDefault="00701CF6" w:rsidP="00701CF6">
      <w:pPr>
        <w:pStyle w:val="PageBreak"/>
      </w:pPr>
      <w:r w:rsidRPr="00101B4C">
        <w:br w:type="page"/>
      </w:r>
    </w:p>
    <w:bookmarkEnd w:id="0"/>
    <w:p w:rsidR="00701CF6" w:rsidRDefault="00701CF6" w:rsidP="00701CF6">
      <w:pPr>
        <w:pStyle w:val="CoverHeading"/>
      </w:pPr>
      <w:r>
        <w:lastRenderedPageBreak/>
        <w:t>About this republication</w:t>
      </w:r>
    </w:p>
    <w:p w:rsidR="00701CF6" w:rsidRDefault="00701CF6" w:rsidP="00701CF6">
      <w:pPr>
        <w:pStyle w:val="CoverSubHdg"/>
      </w:pPr>
      <w:r>
        <w:t>The republished law</w:t>
      </w:r>
    </w:p>
    <w:p w:rsidR="00701CF6" w:rsidRDefault="00701CF6" w:rsidP="00701CF6">
      <w:pPr>
        <w:pStyle w:val="CoverText"/>
      </w:pPr>
      <w:r>
        <w:t xml:space="preserve">This is a republication of the </w:t>
      </w:r>
      <w:r w:rsidRPr="007D1CDE">
        <w:rPr>
          <w:i/>
        </w:rPr>
        <w:fldChar w:fldCharType="begin"/>
      </w:r>
      <w:r w:rsidRPr="007D1CDE">
        <w:rPr>
          <w:i/>
        </w:rPr>
        <w:instrText xml:space="preserve"> REF citation *\charformat  \* MERGEFORMAT </w:instrText>
      </w:r>
      <w:r w:rsidRPr="007D1CDE">
        <w:rPr>
          <w:i/>
        </w:rPr>
        <w:fldChar w:fldCharType="separate"/>
      </w:r>
      <w:r w:rsidR="00A44672" w:rsidRPr="00A44672">
        <w:rPr>
          <w:i/>
        </w:rPr>
        <w:t>Residential Tenancies Act 1997</w:t>
      </w:r>
      <w:r w:rsidRPr="007D1CDE">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7C2037">
        <w:fldChar w:fldCharType="begin"/>
      </w:r>
      <w:r w:rsidR="007C2037">
        <w:instrText xml:space="preserve"> REF InForceDate *\charformat </w:instrText>
      </w:r>
      <w:r w:rsidR="007C2037">
        <w:fldChar w:fldCharType="separate"/>
      </w:r>
      <w:r w:rsidR="00A44672">
        <w:t>1 November 2019</w:t>
      </w:r>
      <w:r w:rsidR="007C2037">
        <w:fldChar w:fldCharType="end"/>
      </w:r>
      <w:r w:rsidRPr="0074598E">
        <w:rPr>
          <w:rStyle w:val="charItals"/>
        </w:rPr>
        <w:t xml:space="preserve">.  </w:t>
      </w:r>
      <w:r>
        <w:t xml:space="preserve">It also includes any commencement, amendment, repeal or expiry affecting this republished law to </w:t>
      </w:r>
      <w:r w:rsidR="007C2037">
        <w:fldChar w:fldCharType="begin"/>
      </w:r>
      <w:r w:rsidR="007C2037">
        <w:instrText xml:space="preserve"> REF EffectiveDate *\charformat </w:instrText>
      </w:r>
      <w:r w:rsidR="007C2037">
        <w:fldChar w:fldCharType="separate"/>
      </w:r>
      <w:r w:rsidR="00A44672">
        <w:t>1 November 2019</w:t>
      </w:r>
      <w:r w:rsidR="007C2037">
        <w:fldChar w:fldCharType="end"/>
      </w:r>
      <w:r>
        <w:t xml:space="preserve">.  </w:t>
      </w:r>
    </w:p>
    <w:p w:rsidR="00701CF6" w:rsidRDefault="00701CF6" w:rsidP="00701CF6">
      <w:pPr>
        <w:pStyle w:val="CoverText"/>
      </w:pPr>
      <w:r>
        <w:t xml:space="preserve">The legislation history and amendment history of the republished law are set out in endnotes 3 and 4. </w:t>
      </w:r>
    </w:p>
    <w:p w:rsidR="00701CF6" w:rsidRDefault="00701CF6" w:rsidP="00701CF6">
      <w:pPr>
        <w:pStyle w:val="CoverSubHdg"/>
      </w:pPr>
      <w:r>
        <w:t>Kinds of republications</w:t>
      </w:r>
    </w:p>
    <w:p w:rsidR="00701CF6" w:rsidRDefault="00701CF6" w:rsidP="00701CF6">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701CF6" w:rsidRDefault="00701CF6" w:rsidP="00701CF6">
      <w:pPr>
        <w:pStyle w:val="CoverTextBullet"/>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701CF6" w:rsidRDefault="00701CF6" w:rsidP="00701CF6">
      <w:pPr>
        <w:pStyle w:val="CoverTextBullet"/>
        <w:ind w:left="357" w:hanging="357"/>
      </w:pPr>
      <w:r>
        <w:t>unauthorised republications.</w:t>
      </w:r>
    </w:p>
    <w:p w:rsidR="00701CF6" w:rsidRDefault="00701CF6" w:rsidP="00701CF6">
      <w:pPr>
        <w:pStyle w:val="CoverText"/>
      </w:pPr>
      <w:r>
        <w:t>The status of this republication appears on the bottom of each page.</w:t>
      </w:r>
    </w:p>
    <w:p w:rsidR="00701CF6" w:rsidRDefault="00701CF6" w:rsidP="00701CF6">
      <w:pPr>
        <w:pStyle w:val="CoverSubHdg"/>
      </w:pPr>
      <w:r>
        <w:t>Editorial changes</w:t>
      </w:r>
    </w:p>
    <w:p w:rsidR="00701CF6" w:rsidRDefault="00701CF6" w:rsidP="00701CF6">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701CF6" w:rsidRDefault="00701CF6" w:rsidP="00701CF6">
      <w:pPr>
        <w:pStyle w:val="CoverText"/>
      </w:pPr>
      <w:r>
        <w:t>This republication includes amendments made under part 11.3 (see endnote 1).</w:t>
      </w:r>
    </w:p>
    <w:p w:rsidR="00701CF6" w:rsidRDefault="00701CF6" w:rsidP="00701CF6">
      <w:pPr>
        <w:pStyle w:val="CoverSubHdg"/>
      </w:pPr>
      <w:r>
        <w:t>Uncommenced provisions and amendments</w:t>
      </w:r>
    </w:p>
    <w:p w:rsidR="00701CF6" w:rsidRDefault="00701CF6" w:rsidP="00701CF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701CF6" w:rsidRDefault="00701CF6" w:rsidP="00701CF6">
      <w:pPr>
        <w:pStyle w:val="CoverSubHdg"/>
      </w:pPr>
      <w:r>
        <w:t>Modifications</w:t>
      </w:r>
    </w:p>
    <w:p w:rsidR="00701CF6" w:rsidRDefault="00701CF6" w:rsidP="00701CF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rsidR="00701CF6" w:rsidRDefault="00701CF6" w:rsidP="00701CF6">
      <w:pPr>
        <w:pStyle w:val="CoverSubHdg"/>
      </w:pPr>
      <w:r>
        <w:t>Penalties</w:t>
      </w:r>
    </w:p>
    <w:p w:rsidR="00701CF6" w:rsidRPr="003765DF" w:rsidRDefault="00701CF6" w:rsidP="00701CF6">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rsidR="00701CF6" w:rsidRDefault="00701CF6" w:rsidP="00701CF6">
      <w:pPr>
        <w:pStyle w:val="00SigningPage"/>
        <w:sectPr w:rsidR="00701CF6" w:rsidSect="00701CF6">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701CF6" w:rsidRDefault="00701CF6" w:rsidP="00701CF6">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01CF6" w:rsidRDefault="00701CF6" w:rsidP="00701CF6">
      <w:pPr>
        <w:jc w:val="center"/>
        <w:rPr>
          <w:rFonts w:ascii="Arial" w:hAnsi="Arial"/>
        </w:rPr>
      </w:pPr>
      <w:r>
        <w:rPr>
          <w:rFonts w:ascii="Arial" w:hAnsi="Arial"/>
        </w:rPr>
        <w:t>Australian Capital Territory</w:t>
      </w:r>
    </w:p>
    <w:p w:rsidR="00701CF6" w:rsidRDefault="007C2037" w:rsidP="00701CF6">
      <w:pPr>
        <w:pStyle w:val="Billname"/>
      </w:pPr>
      <w:r>
        <w:fldChar w:fldCharType="begin"/>
      </w:r>
      <w:r>
        <w:instrText xml:space="preserve"> REF Citation \*charformat  \* MERGEFORMAT </w:instrText>
      </w:r>
      <w:r>
        <w:fldChar w:fldCharType="separate"/>
      </w:r>
      <w:r w:rsidR="00A44672">
        <w:t>Residential Tenancies Act 1997</w:t>
      </w:r>
      <w:r>
        <w:fldChar w:fldCharType="end"/>
      </w:r>
    </w:p>
    <w:p w:rsidR="00701CF6" w:rsidRDefault="00701CF6" w:rsidP="00701CF6">
      <w:pPr>
        <w:pStyle w:val="ActNo"/>
      </w:pPr>
    </w:p>
    <w:p w:rsidR="00701CF6" w:rsidRDefault="00701CF6" w:rsidP="00701CF6">
      <w:pPr>
        <w:pStyle w:val="Placeholder"/>
      </w:pPr>
      <w:r>
        <w:rPr>
          <w:rStyle w:val="charContents"/>
          <w:sz w:val="16"/>
        </w:rPr>
        <w:t xml:space="preserve">  </w:t>
      </w:r>
      <w:r>
        <w:rPr>
          <w:rStyle w:val="charPage"/>
        </w:rPr>
        <w:t xml:space="preserve">  </w:t>
      </w:r>
    </w:p>
    <w:p w:rsidR="00701CF6" w:rsidRDefault="00701CF6" w:rsidP="00701CF6">
      <w:pPr>
        <w:pStyle w:val="N-TOCheading"/>
      </w:pPr>
      <w:r>
        <w:rPr>
          <w:rStyle w:val="charContents"/>
        </w:rPr>
        <w:t>Contents</w:t>
      </w:r>
    </w:p>
    <w:p w:rsidR="00701CF6" w:rsidRDefault="00701CF6" w:rsidP="00701CF6">
      <w:pPr>
        <w:pStyle w:val="N-9pt"/>
      </w:pPr>
      <w:r>
        <w:tab/>
      </w:r>
      <w:r>
        <w:rPr>
          <w:rStyle w:val="charPage"/>
        </w:rPr>
        <w:t>Page</w:t>
      </w:r>
    </w:p>
    <w:p w:rsidR="00462EC1" w:rsidRDefault="00462EC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3417816" w:history="1">
        <w:r w:rsidRPr="009F1E8B">
          <w:t>Part 1</w:t>
        </w:r>
        <w:r>
          <w:rPr>
            <w:rFonts w:asciiTheme="minorHAnsi" w:eastAsiaTheme="minorEastAsia" w:hAnsiTheme="minorHAnsi" w:cstheme="minorBidi"/>
            <w:b w:val="0"/>
            <w:sz w:val="22"/>
            <w:szCs w:val="22"/>
            <w:lang w:eastAsia="en-AU"/>
          </w:rPr>
          <w:tab/>
        </w:r>
        <w:r w:rsidRPr="009F1E8B">
          <w:t>Preliminary</w:t>
        </w:r>
        <w:r w:rsidRPr="00462EC1">
          <w:rPr>
            <w:vanish/>
          </w:rPr>
          <w:tab/>
        </w:r>
        <w:r w:rsidRPr="00462EC1">
          <w:rPr>
            <w:vanish/>
          </w:rPr>
          <w:fldChar w:fldCharType="begin"/>
        </w:r>
        <w:r w:rsidRPr="00462EC1">
          <w:rPr>
            <w:vanish/>
          </w:rPr>
          <w:instrText xml:space="preserve"> PAGEREF _Toc23417816 \h </w:instrText>
        </w:r>
        <w:r w:rsidRPr="00462EC1">
          <w:rPr>
            <w:vanish/>
          </w:rPr>
        </w:r>
        <w:r w:rsidRPr="00462EC1">
          <w:rPr>
            <w:vanish/>
          </w:rPr>
          <w:fldChar w:fldCharType="separate"/>
        </w:r>
        <w:r w:rsidR="00A44672">
          <w:rPr>
            <w:vanish/>
          </w:rPr>
          <w:t>2</w:t>
        </w:r>
        <w:r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17" w:history="1">
        <w:r w:rsidRPr="009F1E8B">
          <w:t>1</w:t>
        </w:r>
        <w:r>
          <w:rPr>
            <w:rFonts w:asciiTheme="minorHAnsi" w:eastAsiaTheme="minorEastAsia" w:hAnsiTheme="minorHAnsi" w:cstheme="minorBidi"/>
            <w:sz w:val="22"/>
            <w:szCs w:val="22"/>
            <w:lang w:eastAsia="en-AU"/>
          </w:rPr>
          <w:tab/>
        </w:r>
        <w:r w:rsidRPr="009F1E8B">
          <w:t>Name of Act</w:t>
        </w:r>
        <w:r>
          <w:tab/>
        </w:r>
        <w:r>
          <w:fldChar w:fldCharType="begin"/>
        </w:r>
        <w:r>
          <w:instrText xml:space="preserve"> PAGEREF _Toc23417817 \h </w:instrText>
        </w:r>
        <w:r>
          <w:fldChar w:fldCharType="separate"/>
        </w:r>
        <w:r w:rsidR="00A44672">
          <w:t>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18" w:history="1">
        <w:r w:rsidRPr="009F1E8B">
          <w:t>2</w:t>
        </w:r>
        <w:r>
          <w:rPr>
            <w:rFonts w:asciiTheme="minorHAnsi" w:eastAsiaTheme="minorEastAsia" w:hAnsiTheme="minorHAnsi" w:cstheme="minorBidi"/>
            <w:sz w:val="22"/>
            <w:szCs w:val="22"/>
            <w:lang w:eastAsia="en-AU"/>
          </w:rPr>
          <w:tab/>
        </w:r>
        <w:r w:rsidRPr="009F1E8B">
          <w:t>Dictionary</w:t>
        </w:r>
        <w:r>
          <w:tab/>
        </w:r>
        <w:r>
          <w:fldChar w:fldCharType="begin"/>
        </w:r>
        <w:r>
          <w:instrText xml:space="preserve"> PAGEREF _Toc23417818 \h </w:instrText>
        </w:r>
        <w:r>
          <w:fldChar w:fldCharType="separate"/>
        </w:r>
        <w:r w:rsidR="00A44672">
          <w:t>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19" w:history="1">
        <w:r w:rsidRPr="009F1E8B">
          <w:t>3</w:t>
        </w:r>
        <w:r>
          <w:rPr>
            <w:rFonts w:asciiTheme="minorHAnsi" w:eastAsiaTheme="minorEastAsia" w:hAnsiTheme="minorHAnsi" w:cstheme="minorBidi"/>
            <w:sz w:val="22"/>
            <w:szCs w:val="22"/>
            <w:lang w:eastAsia="en-AU"/>
          </w:rPr>
          <w:tab/>
        </w:r>
        <w:r w:rsidRPr="009F1E8B">
          <w:t>Notes</w:t>
        </w:r>
        <w:r>
          <w:tab/>
        </w:r>
        <w:r>
          <w:fldChar w:fldCharType="begin"/>
        </w:r>
        <w:r>
          <w:instrText xml:space="preserve"> PAGEREF _Toc23417819 \h </w:instrText>
        </w:r>
        <w:r>
          <w:fldChar w:fldCharType="separate"/>
        </w:r>
        <w:r w:rsidR="00A44672">
          <w:t>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20" w:history="1">
        <w:r w:rsidRPr="009F1E8B">
          <w:t>3A</w:t>
        </w:r>
        <w:r>
          <w:rPr>
            <w:rFonts w:asciiTheme="minorHAnsi" w:eastAsiaTheme="minorEastAsia" w:hAnsiTheme="minorHAnsi" w:cstheme="minorBidi"/>
            <w:sz w:val="22"/>
            <w:szCs w:val="22"/>
            <w:lang w:eastAsia="en-AU"/>
          </w:rPr>
          <w:tab/>
        </w:r>
        <w:r w:rsidRPr="009F1E8B">
          <w:t>Offences against Act—application of Criminal Code etc</w:t>
        </w:r>
        <w:r>
          <w:tab/>
        </w:r>
        <w:r>
          <w:fldChar w:fldCharType="begin"/>
        </w:r>
        <w:r>
          <w:instrText xml:space="preserve"> PAGEREF _Toc23417820 \h </w:instrText>
        </w:r>
        <w:r>
          <w:fldChar w:fldCharType="separate"/>
        </w:r>
        <w:r w:rsidR="00A44672">
          <w:t>3</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21" w:history="1">
        <w:r w:rsidRPr="009F1E8B">
          <w:t>4</w:t>
        </w:r>
        <w:r>
          <w:rPr>
            <w:rFonts w:asciiTheme="minorHAnsi" w:eastAsiaTheme="minorEastAsia" w:hAnsiTheme="minorHAnsi" w:cstheme="minorBidi"/>
            <w:sz w:val="22"/>
            <w:szCs w:val="22"/>
            <w:lang w:eastAsia="en-AU"/>
          </w:rPr>
          <w:tab/>
        </w:r>
        <w:r w:rsidRPr="009F1E8B">
          <w:t>Application of Act</w:t>
        </w:r>
        <w:r>
          <w:tab/>
        </w:r>
        <w:r>
          <w:fldChar w:fldCharType="begin"/>
        </w:r>
        <w:r>
          <w:instrText xml:space="preserve"> PAGEREF _Toc23417821 \h </w:instrText>
        </w:r>
        <w:r>
          <w:fldChar w:fldCharType="separate"/>
        </w:r>
        <w:r w:rsidR="00A44672">
          <w:t>3</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7822" w:history="1">
        <w:r w:rsidR="00462EC1" w:rsidRPr="009F1E8B">
          <w:t>Part 1A</w:t>
        </w:r>
        <w:r w:rsidR="00462EC1">
          <w:rPr>
            <w:rFonts w:asciiTheme="minorHAnsi" w:eastAsiaTheme="minorEastAsia" w:hAnsiTheme="minorHAnsi" w:cstheme="minorBidi"/>
            <w:b w:val="0"/>
            <w:sz w:val="22"/>
            <w:szCs w:val="22"/>
            <w:lang w:eastAsia="en-AU"/>
          </w:rPr>
          <w:tab/>
        </w:r>
        <w:r w:rsidR="00462EC1" w:rsidRPr="009F1E8B">
          <w:t>Meaning of residential tenancy agreement</w:t>
        </w:r>
        <w:r w:rsidR="00462EC1" w:rsidRPr="00462EC1">
          <w:rPr>
            <w:vanish/>
          </w:rPr>
          <w:tab/>
        </w:r>
        <w:r w:rsidR="00462EC1" w:rsidRPr="00462EC1">
          <w:rPr>
            <w:vanish/>
          </w:rPr>
          <w:fldChar w:fldCharType="begin"/>
        </w:r>
        <w:r w:rsidR="00462EC1" w:rsidRPr="00462EC1">
          <w:rPr>
            <w:vanish/>
          </w:rPr>
          <w:instrText xml:space="preserve"> PAGEREF _Toc23417822 \h </w:instrText>
        </w:r>
        <w:r w:rsidR="00462EC1" w:rsidRPr="00462EC1">
          <w:rPr>
            <w:vanish/>
          </w:rPr>
        </w:r>
        <w:r w:rsidR="00462EC1" w:rsidRPr="00462EC1">
          <w:rPr>
            <w:vanish/>
          </w:rPr>
          <w:fldChar w:fldCharType="separate"/>
        </w:r>
        <w:r w:rsidR="00A44672">
          <w:rPr>
            <w:vanish/>
          </w:rPr>
          <w:t>4</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23" w:history="1">
        <w:r w:rsidRPr="009F1E8B">
          <w:t>5</w:t>
        </w:r>
        <w:r>
          <w:rPr>
            <w:rFonts w:asciiTheme="minorHAnsi" w:eastAsiaTheme="minorEastAsia" w:hAnsiTheme="minorHAnsi" w:cstheme="minorBidi"/>
            <w:sz w:val="22"/>
            <w:szCs w:val="22"/>
            <w:lang w:eastAsia="en-AU"/>
          </w:rPr>
          <w:tab/>
        </w:r>
        <w:r w:rsidRPr="009F1E8B">
          <w:t xml:space="preserve">Who is a </w:t>
        </w:r>
        <w:r w:rsidRPr="009F1E8B">
          <w:rPr>
            <w:i/>
          </w:rPr>
          <w:t>lessor</w:t>
        </w:r>
        <w:r w:rsidRPr="009F1E8B">
          <w:t>?</w:t>
        </w:r>
        <w:r>
          <w:tab/>
        </w:r>
        <w:r>
          <w:fldChar w:fldCharType="begin"/>
        </w:r>
        <w:r>
          <w:instrText xml:space="preserve"> PAGEREF _Toc23417823 \h </w:instrText>
        </w:r>
        <w:r>
          <w:fldChar w:fldCharType="separate"/>
        </w:r>
        <w:r w:rsidR="00A44672">
          <w:t>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24" w:history="1">
        <w:r w:rsidRPr="009F1E8B">
          <w:t>6</w:t>
        </w:r>
        <w:r>
          <w:rPr>
            <w:rFonts w:asciiTheme="minorHAnsi" w:eastAsiaTheme="minorEastAsia" w:hAnsiTheme="minorHAnsi" w:cstheme="minorBidi"/>
            <w:sz w:val="22"/>
            <w:szCs w:val="22"/>
            <w:lang w:eastAsia="en-AU"/>
          </w:rPr>
          <w:tab/>
        </w:r>
        <w:r w:rsidRPr="009F1E8B">
          <w:t xml:space="preserve">Who is a </w:t>
        </w:r>
        <w:r w:rsidRPr="009F1E8B">
          <w:rPr>
            <w:i/>
          </w:rPr>
          <w:t>tenant</w:t>
        </w:r>
        <w:r w:rsidRPr="009F1E8B">
          <w:t>?</w:t>
        </w:r>
        <w:r>
          <w:tab/>
        </w:r>
        <w:r>
          <w:fldChar w:fldCharType="begin"/>
        </w:r>
        <w:r>
          <w:instrText xml:space="preserve"> PAGEREF _Toc23417824 \h </w:instrText>
        </w:r>
        <w:r>
          <w:fldChar w:fldCharType="separate"/>
        </w:r>
        <w:r w:rsidR="00A44672">
          <w:t>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25" w:history="1">
        <w:r w:rsidRPr="009F1E8B">
          <w:t>6A</w:t>
        </w:r>
        <w:r>
          <w:rPr>
            <w:rFonts w:asciiTheme="minorHAnsi" w:eastAsiaTheme="minorEastAsia" w:hAnsiTheme="minorHAnsi" w:cstheme="minorBidi"/>
            <w:sz w:val="22"/>
            <w:szCs w:val="22"/>
            <w:lang w:eastAsia="en-AU"/>
          </w:rPr>
          <w:tab/>
        </w:r>
        <w:r w:rsidRPr="009F1E8B">
          <w:t xml:space="preserve">What is a </w:t>
        </w:r>
        <w:r w:rsidRPr="009F1E8B">
          <w:rPr>
            <w:i/>
          </w:rPr>
          <w:t>residential tenancy agreement</w:t>
        </w:r>
        <w:r w:rsidRPr="009F1E8B">
          <w:t>?</w:t>
        </w:r>
        <w:r>
          <w:tab/>
        </w:r>
        <w:r>
          <w:fldChar w:fldCharType="begin"/>
        </w:r>
        <w:r>
          <w:instrText xml:space="preserve"> PAGEREF _Toc23417825 \h </w:instrText>
        </w:r>
        <w:r>
          <w:fldChar w:fldCharType="separate"/>
        </w:r>
        <w:r w:rsidR="00A44672">
          <w:t>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26" w:history="1">
        <w:r w:rsidRPr="009F1E8B">
          <w:t>6B</w:t>
        </w:r>
        <w:r>
          <w:rPr>
            <w:rFonts w:asciiTheme="minorHAnsi" w:eastAsiaTheme="minorEastAsia" w:hAnsiTheme="minorHAnsi" w:cstheme="minorBidi"/>
            <w:sz w:val="22"/>
            <w:szCs w:val="22"/>
            <w:lang w:eastAsia="en-AU"/>
          </w:rPr>
          <w:tab/>
        </w:r>
        <w:r w:rsidRPr="009F1E8B">
          <w:t>Residential tenancy agreement if agreement written and says it is residential tenancy agreement</w:t>
        </w:r>
        <w:r>
          <w:tab/>
        </w:r>
        <w:r>
          <w:fldChar w:fldCharType="begin"/>
        </w:r>
        <w:r>
          <w:instrText xml:space="preserve"> PAGEREF _Toc23417826 \h </w:instrText>
        </w:r>
        <w:r>
          <w:fldChar w:fldCharType="separate"/>
        </w:r>
        <w:r w:rsidR="00A44672">
          <w:t>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27" w:history="1">
        <w:r w:rsidRPr="009F1E8B">
          <w:t>6C</w:t>
        </w:r>
        <w:r>
          <w:rPr>
            <w:rFonts w:asciiTheme="minorHAnsi" w:eastAsiaTheme="minorEastAsia" w:hAnsiTheme="minorHAnsi" w:cstheme="minorBidi"/>
            <w:sz w:val="22"/>
            <w:szCs w:val="22"/>
            <w:lang w:eastAsia="en-AU"/>
          </w:rPr>
          <w:tab/>
        </w:r>
        <w:r w:rsidRPr="009F1E8B">
          <w:t>Residential tenancy agreement if agreement part of employment</w:t>
        </w:r>
        <w:r>
          <w:tab/>
        </w:r>
        <w:r>
          <w:fldChar w:fldCharType="begin"/>
        </w:r>
        <w:r>
          <w:instrText xml:space="preserve"> PAGEREF _Toc23417827 \h </w:instrText>
        </w:r>
        <w:r>
          <w:fldChar w:fldCharType="separate"/>
        </w:r>
        <w:r w:rsidR="00A44672">
          <w:t>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28" w:history="1">
        <w:r w:rsidRPr="009F1E8B">
          <w:t>6D</w:t>
        </w:r>
        <w:r>
          <w:rPr>
            <w:rFonts w:asciiTheme="minorHAnsi" w:eastAsiaTheme="minorEastAsia" w:hAnsiTheme="minorHAnsi" w:cstheme="minorBidi"/>
            <w:sz w:val="22"/>
            <w:szCs w:val="22"/>
            <w:lang w:eastAsia="en-AU"/>
          </w:rPr>
          <w:tab/>
        </w:r>
        <w:r w:rsidRPr="009F1E8B">
          <w:t>Certain kinds of agreements not residential tenancy agreements</w:t>
        </w:r>
        <w:r>
          <w:tab/>
        </w:r>
        <w:r>
          <w:fldChar w:fldCharType="begin"/>
        </w:r>
        <w:r>
          <w:instrText xml:space="preserve"> PAGEREF _Toc23417828 \h </w:instrText>
        </w:r>
        <w:r>
          <w:fldChar w:fldCharType="separate"/>
        </w:r>
        <w:r w:rsidR="00A44672">
          <w:t>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29" w:history="1">
        <w:r w:rsidRPr="009F1E8B">
          <w:t>6E</w:t>
        </w:r>
        <w:r>
          <w:rPr>
            <w:rFonts w:asciiTheme="minorHAnsi" w:eastAsiaTheme="minorEastAsia" w:hAnsiTheme="minorHAnsi" w:cstheme="minorBidi"/>
            <w:sz w:val="22"/>
            <w:szCs w:val="22"/>
            <w:lang w:eastAsia="en-AU"/>
          </w:rPr>
          <w:tab/>
        </w:r>
        <w:r w:rsidRPr="009F1E8B">
          <w:t>Certain people given right of occupation not tenants</w:t>
        </w:r>
        <w:r>
          <w:tab/>
        </w:r>
        <w:r>
          <w:fldChar w:fldCharType="begin"/>
        </w:r>
        <w:r>
          <w:instrText xml:space="preserve"> PAGEREF _Toc23417829 \h </w:instrText>
        </w:r>
        <w:r>
          <w:fldChar w:fldCharType="separate"/>
        </w:r>
        <w:r w:rsidR="00A44672">
          <w:t>6</w:t>
        </w:r>
        <w:r>
          <w:fldChar w:fldCharType="end"/>
        </w:r>
      </w:hyperlink>
    </w:p>
    <w:p w:rsidR="00462EC1" w:rsidRDefault="00462EC1">
      <w:pPr>
        <w:pStyle w:val="TOC5"/>
        <w:rPr>
          <w:rFonts w:asciiTheme="minorHAnsi" w:eastAsiaTheme="minorEastAsia" w:hAnsiTheme="minorHAnsi" w:cstheme="minorBidi"/>
          <w:sz w:val="22"/>
          <w:szCs w:val="22"/>
          <w:lang w:eastAsia="en-AU"/>
        </w:rPr>
      </w:pPr>
      <w:r>
        <w:lastRenderedPageBreak/>
        <w:tab/>
      </w:r>
      <w:hyperlink w:anchor="_Toc23417830" w:history="1">
        <w:r w:rsidRPr="009F1E8B">
          <w:t>6F</w:t>
        </w:r>
        <w:r>
          <w:rPr>
            <w:rFonts w:asciiTheme="minorHAnsi" w:eastAsiaTheme="minorEastAsia" w:hAnsiTheme="minorHAnsi" w:cstheme="minorBidi"/>
            <w:sz w:val="22"/>
            <w:szCs w:val="22"/>
            <w:lang w:eastAsia="en-AU"/>
          </w:rPr>
          <w:tab/>
        </w:r>
        <w:r w:rsidRPr="009F1E8B">
          <w:t>Certain kinds of premises mean no residential tenancy agreement</w:t>
        </w:r>
        <w:r>
          <w:tab/>
        </w:r>
        <w:r>
          <w:fldChar w:fldCharType="begin"/>
        </w:r>
        <w:r>
          <w:instrText xml:space="preserve"> PAGEREF _Toc23417830 \h </w:instrText>
        </w:r>
        <w:r>
          <w:fldChar w:fldCharType="separate"/>
        </w:r>
        <w:r w:rsidR="00A44672">
          <w:t>7</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31" w:history="1">
        <w:r w:rsidRPr="009F1E8B">
          <w:t>7</w:t>
        </w:r>
        <w:r>
          <w:rPr>
            <w:rFonts w:asciiTheme="minorHAnsi" w:eastAsiaTheme="minorEastAsia" w:hAnsiTheme="minorHAnsi" w:cstheme="minorBidi"/>
            <w:sz w:val="22"/>
            <w:szCs w:val="22"/>
            <w:lang w:eastAsia="en-AU"/>
          </w:rPr>
          <w:tab/>
        </w:r>
        <w:r w:rsidRPr="009F1E8B">
          <w:t>When does residential tenancy agreement start?</w:t>
        </w:r>
        <w:r>
          <w:tab/>
        </w:r>
        <w:r>
          <w:fldChar w:fldCharType="begin"/>
        </w:r>
        <w:r>
          <w:instrText xml:space="preserve"> PAGEREF _Toc23417831 \h </w:instrText>
        </w:r>
        <w:r>
          <w:fldChar w:fldCharType="separate"/>
        </w:r>
        <w:r w:rsidR="00A44672">
          <w:t>7</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7832" w:history="1">
        <w:r w:rsidR="00462EC1" w:rsidRPr="009F1E8B">
          <w:t>Part 2</w:t>
        </w:r>
        <w:r w:rsidR="00462EC1">
          <w:rPr>
            <w:rFonts w:asciiTheme="minorHAnsi" w:eastAsiaTheme="minorEastAsia" w:hAnsiTheme="minorHAnsi" w:cstheme="minorBidi"/>
            <w:b w:val="0"/>
            <w:sz w:val="22"/>
            <w:szCs w:val="22"/>
            <w:lang w:eastAsia="en-AU"/>
          </w:rPr>
          <w:tab/>
        </w:r>
        <w:r w:rsidR="00462EC1" w:rsidRPr="009F1E8B">
          <w:t>Residential tenancy agreements</w:t>
        </w:r>
        <w:r w:rsidR="00462EC1" w:rsidRPr="00462EC1">
          <w:rPr>
            <w:vanish/>
          </w:rPr>
          <w:tab/>
        </w:r>
        <w:r w:rsidR="00462EC1" w:rsidRPr="00462EC1">
          <w:rPr>
            <w:vanish/>
          </w:rPr>
          <w:fldChar w:fldCharType="begin"/>
        </w:r>
        <w:r w:rsidR="00462EC1" w:rsidRPr="00462EC1">
          <w:rPr>
            <w:vanish/>
          </w:rPr>
          <w:instrText xml:space="preserve"> PAGEREF _Toc23417832 \h </w:instrText>
        </w:r>
        <w:r w:rsidR="00462EC1" w:rsidRPr="00462EC1">
          <w:rPr>
            <w:vanish/>
          </w:rPr>
        </w:r>
        <w:r w:rsidR="00462EC1" w:rsidRPr="00462EC1">
          <w:rPr>
            <w:vanish/>
          </w:rPr>
          <w:fldChar w:fldCharType="separate"/>
        </w:r>
        <w:r w:rsidR="00A44672">
          <w:rPr>
            <w:vanish/>
          </w:rPr>
          <w:t>8</w:t>
        </w:r>
        <w:r w:rsidR="00462EC1" w:rsidRPr="00462EC1">
          <w:rPr>
            <w:vanish/>
          </w:rP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33" w:history="1">
        <w:r w:rsidR="00462EC1" w:rsidRPr="009F1E8B">
          <w:t>Division 2.1</w:t>
        </w:r>
        <w:r w:rsidR="00462EC1">
          <w:rPr>
            <w:rFonts w:asciiTheme="minorHAnsi" w:eastAsiaTheme="minorEastAsia" w:hAnsiTheme="minorHAnsi" w:cstheme="minorBidi"/>
            <w:b w:val="0"/>
            <w:sz w:val="22"/>
            <w:szCs w:val="22"/>
            <w:lang w:eastAsia="en-AU"/>
          </w:rPr>
          <w:tab/>
        </w:r>
        <w:r w:rsidR="00462EC1" w:rsidRPr="009F1E8B">
          <w:t>Terms of agreement</w:t>
        </w:r>
        <w:r w:rsidR="00462EC1" w:rsidRPr="00462EC1">
          <w:rPr>
            <w:vanish/>
          </w:rPr>
          <w:tab/>
        </w:r>
        <w:r w:rsidR="00462EC1" w:rsidRPr="00462EC1">
          <w:rPr>
            <w:vanish/>
          </w:rPr>
          <w:fldChar w:fldCharType="begin"/>
        </w:r>
        <w:r w:rsidR="00462EC1" w:rsidRPr="00462EC1">
          <w:rPr>
            <w:vanish/>
          </w:rPr>
          <w:instrText xml:space="preserve"> PAGEREF _Toc23417833 \h </w:instrText>
        </w:r>
        <w:r w:rsidR="00462EC1" w:rsidRPr="00462EC1">
          <w:rPr>
            <w:vanish/>
          </w:rPr>
        </w:r>
        <w:r w:rsidR="00462EC1" w:rsidRPr="00462EC1">
          <w:rPr>
            <w:vanish/>
          </w:rPr>
          <w:fldChar w:fldCharType="separate"/>
        </w:r>
        <w:r w:rsidR="00A44672">
          <w:rPr>
            <w:vanish/>
          </w:rPr>
          <w:t>8</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34" w:history="1">
        <w:r w:rsidRPr="009F1E8B">
          <w:t>8</w:t>
        </w:r>
        <w:r>
          <w:rPr>
            <w:rFonts w:asciiTheme="minorHAnsi" w:eastAsiaTheme="minorEastAsia" w:hAnsiTheme="minorHAnsi" w:cstheme="minorBidi"/>
            <w:sz w:val="22"/>
            <w:szCs w:val="22"/>
            <w:lang w:eastAsia="en-AU"/>
          </w:rPr>
          <w:tab/>
        </w:r>
        <w:r w:rsidRPr="009F1E8B">
          <w:t>Standard residential tenancy terms</w:t>
        </w:r>
        <w:r>
          <w:tab/>
        </w:r>
        <w:r>
          <w:fldChar w:fldCharType="begin"/>
        </w:r>
        <w:r>
          <w:instrText xml:space="preserve"> PAGEREF _Toc23417834 \h </w:instrText>
        </w:r>
        <w:r>
          <w:fldChar w:fldCharType="separate"/>
        </w:r>
        <w:r w:rsidR="00A44672">
          <w:t>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35" w:history="1">
        <w:r w:rsidRPr="009F1E8B">
          <w:t>9</w:t>
        </w:r>
        <w:r>
          <w:rPr>
            <w:rFonts w:asciiTheme="minorHAnsi" w:eastAsiaTheme="minorEastAsia" w:hAnsiTheme="minorHAnsi" w:cstheme="minorBidi"/>
            <w:sz w:val="22"/>
            <w:szCs w:val="22"/>
            <w:lang w:eastAsia="en-AU"/>
          </w:rPr>
          <w:tab/>
        </w:r>
        <w:r w:rsidRPr="009F1E8B">
          <w:t>Inconsistent tenancy terms void</w:t>
        </w:r>
        <w:r>
          <w:tab/>
        </w:r>
        <w:r>
          <w:fldChar w:fldCharType="begin"/>
        </w:r>
        <w:r>
          <w:instrText xml:space="preserve"> PAGEREF _Toc23417835 \h </w:instrText>
        </w:r>
        <w:r>
          <w:fldChar w:fldCharType="separate"/>
        </w:r>
        <w:r w:rsidR="00A44672">
          <w:t>11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36" w:history="1">
        <w:r w:rsidRPr="009F1E8B">
          <w:t>10</w:t>
        </w:r>
        <w:r>
          <w:rPr>
            <w:rFonts w:asciiTheme="minorHAnsi" w:eastAsiaTheme="minorEastAsia" w:hAnsiTheme="minorHAnsi" w:cstheme="minorBidi"/>
            <w:sz w:val="22"/>
            <w:szCs w:val="22"/>
            <w:lang w:eastAsia="en-AU"/>
          </w:rPr>
          <w:tab/>
        </w:r>
        <w:r w:rsidRPr="009F1E8B">
          <w:t>Endorsement of inconsistent tenancy terms by ACAT</w:t>
        </w:r>
        <w:r>
          <w:tab/>
        </w:r>
        <w:r>
          <w:fldChar w:fldCharType="begin"/>
        </w:r>
        <w:r>
          <w:instrText xml:space="preserve"> PAGEREF _Toc23417836 \h </w:instrText>
        </w:r>
        <w:r>
          <w:fldChar w:fldCharType="separate"/>
        </w:r>
        <w:r w:rsidR="00A44672">
          <w:t>11</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37" w:history="1">
        <w:r w:rsidR="00462EC1" w:rsidRPr="009F1E8B">
          <w:t>Division 2.2</w:t>
        </w:r>
        <w:r w:rsidR="00462EC1">
          <w:rPr>
            <w:rFonts w:asciiTheme="minorHAnsi" w:eastAsiaTheme="minorEastAsia" w:hAnsiTheme="minorHAnsi" w:cstheme="minorBidi"/>
            <w:b w:val="0"/>
            <w:sz w:val="22"/>
            <w:szCs w:val="22"/>
            <w:lang w:eastAsia="en-AU"/>
          </w:rPr>
          <w:tab/>
        </w:r>
        <w:r w:rsidR="00462EC1" w:rsidRPr="009F1E8B">
          <w:t>Precontractual obligations</w:t>
        </w:r>
        <w:r w:rsidR="00462EC1" w:rsidRPr="00462EC1">
          <w:rPr>
            <w:vanish/>
          </w:rPr>
          <w:tab/>
        </w:r>
        <w:r w:rsidR="00462EC1" w:rsidRPr="00462EC1">
          <w:rPr>
            <w:vanish/>
          </w:rPr>
          <w:fldChar w:fldCharType="begin"/>
        </w:r>
        <w:r w:rsidR="00462EC1" w:rsidRPr="00462EC1">
          <w:rPr>
            <w:vanish/>
          </w:rPr>
          <w:instrText xml:space="preserve"> PAGEREF _Toc23417837 \h </w:instrText>
        </w:r>
        <w:r w:rsidR="00462EC1" w:rsidRPr="00462EC1">
          <w:rPr>
            <w:vanish/>
          </w:rPr>
        </w:r>
        <w:r w:rsidR="00462EC1" w:rsidRPr="00462EC1">
          <w:rPr>
            <w:vanish/>
          </w:rPr>
          <w:fldChar w:fldCharType="separate"/>
        </w:r>
        <w:r w:rsidR="00A44672">
          <w:rPr>
            <w:vanish/>
          </w:rPr>
          <w:t>12</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38" w:history="1">
        <w:r w:rsidRPr="009F1E8B">
          <w:t>11</w:t>
        </w:r>
        <w:r>
          <w:rPr>
            <w:rFonts w:asciiTheme="minorHAnsi" w:eastAsiaTheme="minorEastAsia" w:hAnsiTheme="minorHAnsi" w:cstheme="minorBidi"/>
            <w:sz w:val="22"/>
            <w:szCs w:val="22"/>
            <w:lang w:eastAsia="en-AU"/>
          </w:rPr>
          <w:tab/>
        </w:r>
        <w:r w:rsidRPr="009F1E8B">
          <w:t>Compliance</w:t>
        </w:r>
        <w:r>
          <w:tab/>
        </w:r>
        <w:r>
          <w:fldChar w:fldCharType="begin"/>
        </w:r>
        <w:r>
          <w:instrText xml:space="preserve"> PAGEREF _Toc23417838 \h </w:instrText>
        </w:r>
        <w:r>
          <w:fldChar w:fldCharType="separate"/>
        </w:r>
        <w:r w:rsidR="00A44672">
          <w:t>12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39" w:history="1">
        <w:r w:rsidRPr="009F1E8B">
          <w:t>11A</w:t>
        </w:r>
        <w:r>
          <w:rPr>
            <w:rFonts w:asciiTheme="minorHAnsi" w:eastAsiaTheme="minorEastAsia" w:hAnsiTheme="minorHAnsi" w:cstheme="minorBidi"/>
            <w:sz w:val="22"/>
            <w:szCs w:val="22"/>
            <w:lang w:eastAsia="en-AU"/>
          </w:rPr>
          <w:tab/>
        </w:r>
        <w:r w:rsidRPr="009F1E8B">
          <w:t>Energy efficiency rating—advertising</w:t>
        </w:r>
        <w:r>
          <w:tab/>
        </w:r>
        <w:r>
          <w:fldChar w:fldCharType="begin"/>
        </w:r>
        <w:r>
          <w:instrText xml:space="preserve"> PAGEREF _Toc23417839 \h </w:instrText>
        </w:r>
        <w:r>
          <w:fldChar w:fldCharType="separate"/>
        </w:r>
        <w:r w:rsidR="00A44672">
          <w:t>12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40" w:history="1">
        <w:r w:rsidRPr="009F1E8B">
          <w:t>11AA</w:t>
        </w:r>
        <w:r>
          <w:rPr>
            <w:rFonts w:asciiTheme="minorHAnsi" w:eastAsiaTheme="minorEastAsia" w:hAnsiTheme="minorHAnsi" w:cstheme="minorBidi"/>
            <w:sz w:val="22"/>
            <w:szCs w:val="22"/>
            <w:lang w:eastAsia="en-AU"/>
          </w:rPr>
          <w:tab/>
        </w:r>
        <w:r w:rsidRPr="009F1E8B">
          <w:t>Certain special conditions must be advertised</w:t>
        </w:r>
        <w:r>
          <w:tab/>
        </w:r>
        <w:r>
          <w:fldChar w:fldCharType="begin"/>
        </w:r>
        <w:r>
          <w:instrText xml:space="preserve"> PAGEREF _Toc23417840 \h </w:instrText>
        </w:r>
        <w:r>
          <w:fldChar w:fldCharType="separate"/>
        </w:r>
        <w:r w:rsidR="00A44672">
          <w:t>14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41" w:history="1">
        <w:r w:rsidRPr="009F1E8B">
          <w:t>11B</w:t>
        </w:r>
        <w:r>
          <w:rPr>
            <w:rFonts w:asciiTheme="minorHAnsi" w:eastAsiaTheme="minorEastAsia" w:hAnsiTheme="minorHAnsi" w:cstheme="minorBidi"/>
            <w:sz w:val="22"/>
            <w:szCs w:val="22"/>
            <w:lang w:eastAsia="en-AU"/>
          </w:rPr>
          <w:tab/>
        </w:r>
        <w:r w:rsidRPr="009F1E8B">
          <w:t>Smoke alarms</w:t>
        </w:r>
        <w:r>
          <w:tab/>
        </w:r>
        <w:r>
          <w:fldChar w:fldCharType="begin"/>
        </w:r>
        <w:r>
          <w:instrText xml:space="preserve"> PAGEREF _Toc23417841 \h </w:instrText>
        </w:r>
        <w:r>
          <w:fldChar w:fldCharType="separate"/>
        </w:r>
        <w:r w:rsidR="00A44672">
          <w:t>14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42" w:history="1">
        <w:r w:rsidRPr="009F1E8B">
          <w:t>12</w:t>
        </w:r>
        <w:r>
          <w:rPr>
            <w:rFonts w:asciiTheme="minorHAnsi" w:eastAsiaTheme="minorEastAsia" w:hAnsiTheme="minorHAnsi" w:cstheme="minorBidi"/>
            <w:sz w:val="22"/>
            <w:szCs w:val="22"/>
            <w:lang w:eastAsia="en-AU"/>
          </w:rPr>
          <w:tab/>
        </w:r>
        <w:r w:rsidRPr="009F1E8B">
          <w:t>Lessor’s obligations</w:t>
        </w:r>
        <w:r>
          <w:tab/>
        </w:r>
        <w:r>
          <w:fldChar w:fldCharType="begin"/>
        </w:r>
        <w:r>
          <w:instrText xml:space="preserve"> PAGEREF _Toc23417842 \h </w:instrText>
        </w:r>
        <w:r>
          <w:fldChar w:fldCharType="separate"/>
        </w:r>
        <w:r w:rsidR="00A44672">
          <w:t>15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43" w:history="1">
        <w:r w:rsidRPr="009F1E8B">
          <w:t>13</w:t>
        </w:r>
        <w:r>
          <w:rPr>
            <w:rFonts w:asciiTheme="minorHAnsi" w:eastAsiaTheme="minorEastAsia" w:hAnsiTheme="minorHAnsi" w:cstheme="minorBidi"/>
            <w:sz w:val="22"/>
            <w:szCs w:val="22"/>
            <w:lang w:eastAsia="en-AU"/>
          </w:rPr>
          <w:tab/>
        </w:r>
        <w:r w:rsidRPr="009F1E8B">
          <w:t>Tenant’s obligations</w:t>
        </w:r>
        <w:r>
          <w:tab/>
        </w:r>
        <w:r>
          <w:fldChar w:fldCharType="begin"/>
        </w:r>
        <w:r>
          <w:instrText xml:space="preserve"> PAGEREF _Toc23417843 \h </w:instrText>
        </w:r>
        <w:r>
          <w:fldChar w:fldCharType="separate"/>
        </w:r>
        <w:r w:rsidR="00A44672">
          <w:t>16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44" w:history="1">
        <w:r w:rsidRPr="009F1E8B">
          <w:t>14</w:t>
        </w:r>
        <w:r>
          <w:rPr>
            <w:rFonts w:asciiTheme="minorHAnsi" w:eastAsiaTheme="minorEastAsia" w:hAnsiTheme="minorHAnsi" w:cstheme="minorBidi"/>
            <w:sz w:val="22"/>
            <w:szCs w:val="22"/>
            <w:lang w:eastAsia="en-AU"/>
          </w:rPr>
          <w:tab/>
        </w:r>
        <w:r w:rsidRPr="009F1E8B">
          <w:t>Agent’s obligations</w:t>
        </w:r>
        <w:r>
          <w:tab/>
        </w:r>
        <w:r>
          <w:fldChar w:fldCharType="begin"/>
        </w:r>
        <w:r>
          <w:instrText xml:space="preserve"> PAGEREF _Toc23417844 \h </w:instrText>
        </w:r>
        <w:r>
          <w:fldChar w:fldCharType="separate"/>
        </w:r>
        <w:r w:rsidR="00A44672">
          <w:t>16</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45" w:history="1">
        <w:r w:rsidR="00462EC1" w:rsidRPr="009F1E8B">
          <w:t>Division 2.3</w:t>
        </w:r>
        <w:r w:rsidR="00462EC1">
          <w:rPr>
            <w:rFonts w:asciiTheme="minorHAnsi" w:eastAsiaTheme="minorEastAsia" w:hAnsiTheme="minorHAnsi" w:cstheme="minorBidi"/>
            <w:b w:val="0"/>
            <w:sz w:val="22"/>
            <w:szCs w:val="22"/>
            <w:lang w:eastAsia="en-AU"/>
          </w:rPr>
          <w:tab/>
        </w:r>
        <w:r w:rsidR="00462EC1" w:rsidRPr="009F1E8B">
          <w:t>Consideration</w:t>
        </w:r>
        <w:r w:rsidR="00462EC1" w:rsidRPr="00462EC1">
          <w:rPr>
            <w:vanish/>
          </w:rPr>
          <w:tab/>
        </w:r>
        <w:r w:rsidR="00462EC1" w:rsidRPr="00462EC1">
          <w:rPr>
            <w:vanish/>
          </w:rPr>
          <w:fldChar w:fldCharType="begin"/>
        </w:r>
        <w:r w:rsidR="00462EC1" w:rsidRPr="00462EC1">
          <w:rPr>
            <w:vanish/>
          </w:rPr>
          <w:instrText xml:space="preserve"> PAGEREF _Toc23417845 \h </w:instrText>
        </w:r>
        <w:r w:rsidR="00462EC1" w:rsidRPr="00462EC1">
          <w:rPr>
            <w:vanish/>
          </w:rPr>
        </w:r>
        <w:r w:rsidR="00462EC1" w:rsidRPr="00462EC1">
          <w:rPr>
            <w:vanish/>
          </w:rPr>
          <w:fldChar w:fldCharType="separate"/>
        </w:r>
        <w:r w:rsidR="00A44672">
          <w:rPr>
            <w:vanish/>
          </w:rPr>
          <w:t>17</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46" w:history="1">
        <w:r w:rsidRPr="009F1E8B">
          <w:t>15</w:t>
        </w:r>
        <w:r>
          <w:rPr>
            <w:rFonts w:asciiTheme="minorHAnsi" w:eastAsiaTheme="minorEastAsia" w:hAnsiTheme="minorHAnsi" w:cstheme="minorBidi"/>
            <w:sz w:val="22"/>
            <w:szCs w:val="22"/>
            <w:lang w:eastAsia="en-AU"/>
          </w:rPr>
          <w:tab/>
        </w:r>
        <w:r w:rsidRPr="009F1E8B">
          <w:t>Rent or a bond only</w:t>
        </w:r>
        <w:r>
          <w:tab/>
        </w:r>
        <w:r>
          <w:fldChar w:fldCharType="begin"/>
        </w:r>
        <w:r>
          <w:instrText xml:space="preserve"> PAGEREF _Toc23417846 \h </w:instrText>
        </w:r>
        <w:r>
          <w:fldChar w:fldCharType="separate"/>
        </w:r>
        <w:r w:rsidR="00A44672">
          <w:t>17</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47" w:history="1">
        <w:r w:rsidRPr="009F1E8B">
          <w:t>16</w:t>
        </w:r>
        <w:r>
          <w:rPr>
            <w:rFonts w:asciiTheme="minorHAnsi" w:eastAsiaTheme="minorEastAsia" w:hAnsiTheme="minorHAnsi" w:cstheme="minorBidi"/>
            <w:sz w:val="22"/>
            <w:szCs w:val="22"/>
            <w:lang w:eastAsia="en-AU"/>
          </w:rPr>
          <w:tab/>
        </w:r>
        <w:r w:rsidRPr="009F1E8B">
          <w:t>Alternative to a bond—guarantee or indemnity</w:t>
        </w:r>
        <w:r>
          <w:tab/>
        </w:r>
        <w:r>
          <w:fldChar w:fldCharType="begin"/>
        </w:r>
        <w:r>
          <w:instrText xml:space="preserve"> PAGEREF _Toc23417847 \h </w:instrText>
        </w:r>
        <w:r>
          <w:fldChar w:fldCharType="separate"/>
        </w:r>
        <w:r w:rsidR="00A44672">
          <w:t>18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48" w:history="1">
        <w:r w:rsidRPr="009F1E8B">
          <w:t>18</w:t>
        </w:r>
        <w:r>
          <w:rPr>
            <w:rFonts w:asciiTheme="minorHAnsi" w:eastAsiaTheme="minorEastAsia" w:hAnsiTheme="minorHAnsi" w:cstheme="minorBidi"/>
            <w:sz w:val="22"/>
            <w:szCs w:val="22"/>
            <w:lang w:eastAsia="en-AU"/>
          </w:rPr>
          <w:tab/>
        </w:r>
        <w:r w:rsidRPr="009F1E8B">
          <w:t>Holding deposits</w:t>
        </w:r>
        <w:r>
          <w:tab/>
        </w:r>
        <w:r>
          <w:fldChar w:fldCharType="begin"/>
        </w:r>
        <w:r>
          <w:instrText xml:space="preserve"> PAGEREF _Toc23417848 \h </w:instrText>
        </w:r>
        <w:r>
          <w:fldChar w:fldCharType="separate"/>
        </w:r>
        <w:r w:rsidR="00A44672">
          <w:t>19</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49" w:history="1">
        <w:r w:rsidR="00462EC1" w:rsidRPr="009F1E8B">
          <w:t>Division 2.4</w:t>
        </w:r>
        <w:r w:rsidR="00462EC1">
          <w:rPr>
            <w:rFonts w:asciiTheme="minorHAnsi" w:eastAsiaTheme="minorEastAsia" w:hAnsiTheme="minorHAnsi" w:cstheme="minorBidi"/>
            <w:b w:val="0"/>
            <w:sz w:val="22"/>
            <w:szCs w:val="22"/>
            <w:lang w:eastAsia="en-AU"/>
          </w:rPr>
          <w:tab/>
        </w:r>
        <w:r w:rsidR="00462EC1" w:rsidRPr="009F1E8B">
          <w:t>Lessor’s obligations on signing agreement</w:t>
        </w:r>
        <w:r w:rsidR="00462EC1" w:rsidRPr="00462EC1">
          <w:rPr>
            <w:vanish/>
          </w:rPr>
          <w:tab/>
        </w:r>
        <w:r w:rsidR="00462EC1" w:rsidRPr="00462EC1">
          <w:rPr>
            <w:vanish/>
          </w:rPr>
          <w:fldChar w:fldCharType="begin"/>
        </w:r>
        <w:r w:rsidR="00462EC1" w:rsidRPr="00462EC1">
          <w:rPr>
            <w:vanish/>
          </w:rPr>
          <w:instrText xml:space="preserve"> PAGEREF _Toc23417849 \h </w:instrText>
        </w:r>
        <w:r w:rsidR="00462EC1" w:rsidRPr="00462EC1">
          <w:rPr>
            <w:vanish/>
          </w:rPr>
        </w:r>
        <w:r w:rsidR="00462EC1" w:rsidRPr="00462EC1">
          <w:rPr>
            <w:vanish/>
          </w:rPr>
          <w:fldChar w:fldCharType="separate"/>
        </w:r>
        <w:r w:rsidR="00A44672">
          <w:rPr>
            <w:vanish/>
          </w:rPr>
          <w:t>20</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50" w:history="1">
        <w:r w:rsidRPr="009F1E8B">
          <w:t>19</w:t>
        </w:r>
        <w:r>
          <w:rPr>
            <w:rFonts w:asciiTheme="minorHAnsi" w:eastAsiaTheme="minorEastAsia" w:hAnsiTheme="minorHAnsi" w:cstheme="minorBidi"/>
            <w:sz w:val="22"/>
            <w:szCs w:val="22"/>
            <w:lang w:eastAsia="en-AU"/>
          </w:rPr>
          <w:tab/>
        </w:r>
        <w:r w:rsidRPr="009F1E8B">
          <w:t>Copy of agreement to be given to tenant</w:t>
        </w:r>
        <w:r>
          <w:tab/>
        </w:r>
        <w:r>
          <w:fldChar w:fldCharType="begin"/>
        </w:r>
        <w:r>
          <w:instrText xml:space="preserve"> PAGEREF _Toc23417850 \h </w:instrText>
        </w:r>
        <w:r>
          <w:fldChar w:fldCharType="separate"/>
        </w:r>
        <w:r w:rsidR="00A44672">
          <w:t>20</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7851" w:history="1">
        <w:r w:rsidR="00462EC1" w:rsidRPr="009F1E8B">
          <w:t>Part 3</w:t>
        </w:r>
        <w:r w:rsidR="00462EC1">
          <w:rPr>
            <w:rFonts w:asciiTheme="minorHAnsi" w:eastAsiaTheme="minorEastAsia" w:hAnsiTheme="minorHAnsi" w:cstheme="minorBidi"/>
            <w:b w:val="0"/>
            <w:sz w:val="22"/>
            <w:szCs w:val="22"/>
            <w:lang w:eastAsia="en-AU"/>
          </w:rPr>
          <w:tab/>
        </w:r>
        <w:r w:rsidR="00462EC1" w:rsidRPr="009F1E8B">
          <w:t>Bonds</w:t>
        </w:r>
        <w:r w:rsidR="00462EC1" w:rsidRPr="00462EC1">
          <w:rPr>
            <w:vanish/>
          </w:rPr>
          <w:tab/>
        </w:r>
        <w:r w:rsidR="00462EC1" w:rsidRPr="00462EC1">
          <w:rPr>
            <w:vanish/>
          </w:rPr>
          <w:fldChar w:fldCharType="begin"/>
        </w:r>
        <w:r w:rsidR="00462EC1" w:rsidRPr="00462EC1">
          <w:rPr>
            <w:vanish/>
          </w:rPr>
          <w:instrText xml:space="preserve"> PAGEREF _Toc23417851 \h </w:instrText>
        </w:r>
        <w:r w:rsidR="00462EC1" w:rsidRPr="00462EC1">
          <w:rPr>
            <w:vanish/>
          </w:rPr>
        </w:r>
        <w:r w:rsidR="00462EC1" w:rsidRPr="00462EC1">
          <w:rPr>
            <w:vanish/>
          </w:rPr>
          <w:fldChar w:fldCharType="separate"/>
        </w:r>
        <w:r w:rsidR="00A44672">
          <w:rPr>
            <w:vanish/>
          </w:rPr>
          <w:t>21</w:t>
        </w:r>
        <w:r w:rsidR="00462EC1" w:rsidRPr="00462EC1">
          <w:rPr>
            <w:vanish/>
          </w:rP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52" w:history="1">
        <w:r w:rsidR="00462EC1" w:rsidRPr="009F1E8B">
          <w:t>Division 3.1</w:t>
        </w:r>
        <w:r w:rsidR="00462EC1">
          <w:rPr>
            <w:rFonts w:asciiTheme="minorHAnsi" w:eastAsiaTheme="minorEastAsia" w:hAnsiTheme="minorHAnsi" w:cstheme="minorBidi"/>
            <w:b w:val="0"/>
            <w:sz w:val="22"/>
            <w:szCs w:val="22"/>
            <w:lang w:eastAsia="en-AU"/>
          </w:rPr>
          <w:tab/>
        </w:r>
        <w:r w:rsidR="00462EC1" w:rsidRPr="009F1E8B">
          <w:t>Payment of bonds</w:t>
        </w:r>
        <w:r w:rsidR="00462EC1" w:rsidRPr="00462EC1">
          <w:rPr>
            <w:vanish/>
          </w:rPr>
          <w:tab/>
        </w:r>
        <w:r w:rsidR="00462EC1" w:rsidRPr="00462EC1">
          <w:rPr>
            <w:vanish/>
          </w:rPr>
          <w:fldChar w:fldCharType="begin"/>
        </w:r>
        <w:r w:rsidR="00462EC1" w:rsidRPr="00462EC1">
          <w:rPr>
            <w:vanish/>
          </w:rPr>
          <w:instrText xml:space="preserve"> PAGEREF _Toc23417852 \h </w:instrText>
        </w:r>
        <w:r w:rsidR="00462EC1" w:rsidRPr="00462EC1">
          <w:rPr>
            <w:vanish/>
          </w:rPr>
        </w:r>
        <w:r w:rsidR="00462EC1" w:rsidRPr="00462EC1">
          <w:rPr>
            <w:vanish/>
          </w:rPr>
          <w:fldChar w:fldCharType="separate"/>
        </w:r>
        <w:r w:rsidR="00A44672">
          <w:rPr>
            <w:vanish/>
          </w:rPr>
          <w:t>21</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53" w:history="1">
        <w:r w:rsidRPr="009F1E8B">
          <w:t>20</w:t>
        </w:r>
        <w:r>
          <w:rPr>
            <w:rFonts w:asciiTheme="minorHAnsi" w:eastAsiaTheme="minorEastAsia" w:hAnsiTheme="minorHAnsi" w:cstheme="minorBidi"/>
            <w:sz w:val="22"/>
            <w:szCs w:val="22"/>
            <w:lang w:eastAsia="en-AU"/>
          </w:rPr>
          <w:tab/>
        </w:r>
        <w:r w:rsidRPr="009F1E8B">
          <w:t>Maximum amount payable</w:t>
        </w:r>
        <w:r>
          <w:tab/>
        </w:r>
        <w:r>
          <w:fldChar w:fldCharType="begin"/>
        </w:r>
        <w:r>
          <w:instrText xml:space="preserve"> PAGEREF _Toc23417853 \h </w:instrText>
        </w:r>
        <w:r>
          <w:fldChar w:fldCharType="separate"/>
        </w:r>
        <w:r w:rsidR="00A44672">
          <w:t>21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54" w:history="1">
        <w:r w:rsidRPr="009F1E8B">
          <w:t>21</w:t>
        </w:r>
        <w:r>
          <w:rPr>
            <w:rFonts w:asciiTheme="minorHAnsi" w:eastAsiaTheme="minorEastAsia" w:hAnsiTheme="minorHAnsi" w:cstheme="minorBidi"/>
            <w:sz w:val="22"/>
            <w:szCs w:val="22"/>
            <w:lang w:eastAsia="en-AU"/>
          </w:rPr>
          <w:tab/>
        </w:r>
        <w:r w:rsidRPr="009F1E8B">
          <w:t>Only 1 bond per residential tenancy agreement</w:t>
        </w:r>
        <w:r>
          <w:tab/>
        </w:r>
        <w:r>
          <w:fldChar w:fldCharType="begin"/>
        </w:r>
        <w:r>
          <w:instrText xml:space="preserve"> PAGEREF _Toc23417854 \h </w:instrText>
        </w:r>
        <w:r>
          <w:fldChar w:fldCharType="separate"/>
        </w:r>
        <w:r w:rsidR="00A44672">
          <w:t>21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55" w:history="1">
        <w:r w:rsidRPr="009F1E8B">
          <w:t>22</w:t>
        </w:r>
        <w:r>
          <w:rPr>
            <w:rFonts w:asciiTheme="minorHAnsi" w:eastAsiaTheme="minorEastAsia" w:hAnsiTheme="minorHAnsi" w:cstheme="minorBidi"/>
            <w:sz w:val="22"/>
            <w:szCs w:val="22"/>
            <w:lang w:eastAsia="en-AU"/>
          </w:rPr>
          <w:tab/>
        </w:r>
        <w:r w:rsidRPr="009F1E8B">
          <w:t>Successive residential tenancy agreements</w:t>
        </w:r>
        <w:r>
          <w:tab/>
        </w:r>
        <w:r>
          <w:fldChar w:fldCharType="begin"/>
        </w:r>
        <w:r>
          <w:instrText xml:space="preserve"> PAGEREF _Toc23417855 \h </w:instrText>
        </w:r>
        <w:r>
          <w:fldChar w:fldCharType="separate"/>
        </w:r>
        <w:r w:rsidR="00A44672">
          <w:t>21</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56" w:history="1">
        <w:r w:rsidR="00462EC1" w:rsidRPr="009F1E8B">
          <w:t>Division 3.2</w:t>
        </w:r>
        <w:r w:rsidR="00462EC1">
          <w:rPr>
            <w:rFonts w:asciiTheme="minorHAnsi" w:eastAsiaTheme="minorEastAsia" w:hAnsiTheme="minorHAnsi" w:cstheme="minorBidi"/>
            <w:b w:val="0"/>
            <w:sz w:val="22"/>
            <w:szCs w:val="22"/>
            <w:lang w:eastAsia="en-AU"/>
          </w:rPr>
          <w:tab/>
        </w:r>
        <w:r w:rsidR="00462EC1" w:rsidRPr="009F1E8B">
          <w:t>Depositing bond</w:t>
        </w:r>
        <w:r w:rsidR="00462EC1" w:rsidRPr="00462EC1">
          <w:rPr>
            <w:vanish/>
          </w:rPr>
          <w:tab/>
        </w:r>
        <w:r w:rsidR="00462EC1" w:rsidRPr="00462EC1">
          <w:rPr>
            <w:vanish/>
          </w:rPr>
          <w:fldChar w:fldCharType="begin"/>
        </w:r>
        <w:r w:rsidR="00462EC1" w:rsidRPr="00462EC1">
          <w:rPr>
            <w:vanish/>
          </w:rPr>
          <w:instrText xml:space="preserve"> PAGEREF _Toc23417856 \h </w:instrText>
        </w:r>
        <w:r w:rsidR="00462EC1" w:rsidRPr="00462EC1">
          <w:rPr>
            <w:vanish/>
          </w:rPr>
        </w:r>
        <w:r w:rsidR="00462EC1" w:rsidRPr="00462EC1">
          <w:rPr>
            <w:vanish/>
          </w:rPr>
          <w:fldChar w:fldCharType="separate"/>
        </w:r>
        <w:r w:rsidR="00A44672">
          <w:rPr>
            <w:vanish/>
          </w:rPr>
          <w:t>22</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57" w:history="1">
        <w:r w:rsidRPr="009F1E8B">
          <w:t>23</w:t>
        </w:r>
        <w:r>
          <w:rPr>
            <w:rFonts w:asciiTheme="minorHAnsi" w:eastAsiaTheme="minorEastAsia" w:hAnsiTheme="minorHAnsi" w:cstheme="minorBidi"/>
            <w:sz w:val="22"/>
            <w:szCs w:val="22"/>
            <w:lang w:eastAsia="en-AU"/>
          </w:rPr>
          <w:tab/>
        </w:r>
        <w:r w:rsidRPr="009F1E8B">
          <w:t>Deposit of bond by lessor</w:t>
        </w:r>
        <w:r>
          <w:tab/>
        </w:r>
        <w:r>
          <w:fldChar w:fldCharType="begin"/>
        </w:r>
        <w:r>
          <w:instrText xml:space="preserve"> PAGEREF _Toc23417857 \h </w:instrText>
        </w:r>
        <w:r>
          <w:fldChar w:fldCharType="separate"/>
        </w:r>
        <w:r w:rsidR="00A44672">
          <w:t>22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58" w:history="1">
        <w:r w:rsidRPr="009F1E8B">
          <w:t>24</w:t>
        </w:r>
        <w:r>
          <w:rPr>
            <w:rFonts w:asciiTheme="minorHAnsi" w:eastAsiaTheme="minorEastAsia" w:hAnsiTheme="minorHAnsi" w:cstheme="minorBidi"/>
            <w:sz w:val="22"/>
            <w:szCs w:val="22"/>
            <w:lang w:eastAsia="en-AU"/>
          </w:rPr>
          <w:tab/>
        </w:r>
        <w:r w:rsidRPr="009F1E8B">
          <w:t>Deposit of bond by tenant</w:t>
        </w:r>
        <w:r>
          <w:tab/>
        </w:r>
        <w:r>
          <w:fldChar w:fldCharType="begin"/>
        </w:r>
        <w:r>
          <w:instrText xml:space="preserve"> PAGEREF _Toc23417858 \h </w:instrText>
        </w:r>
        <w:r>
          <w:fldChar w:fldCharType="separate"/>
        </w:r>
        <w:r w:rsidR="00A44672">
          <w:t>23</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59" w:history="1">
        <w:r w:rsidRPr="009F1E8B">
          <w:t>25</w:t>
        </w:r>
        <w:r>
          <w:rPr>
            <w:rFonts w:asciiTheme="minorHAnsi" w:eastAsiaTheme="minorEastAsia" w:hAnsiTheme="minorHAnsi" w:cstheme="minorBidi"/>
            <w:sz w:val="22"/>
            <w:szCs w:val="22"/>
            <w:lang w:eastAsia="en-AU"/>
          </w:rPr>
          <w:tab/>
        </w:r>
        <w:r w:rsidRPr="009F1E8B">
          <w:t>Notice about deposit</w:t>
        </w:r>
        <w:r>
          <w:tab/>
        </w:r>
        <w:r>
          <w:fldChar w:fldCharType="begin"/>
        </w:r>
        <w:r>
          <w:instrText xml:space="preserve"> PAGEREF _Toc23417859 \h </w:instrText>
        </w:r>
        <w:r>
          <w:fldChar w:fldCharType="separate"/>
        </w:r>
        <w:r w:rsidR="00A44672">
          <w:t>23</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60" w:history="1">
        <w:r w:rsidRPr="009F1E8B">
          <w:t>26</w:t>
        </w:r>
        <w:r>
          <w:rPr>
            <w:rFonts w:asciiTheme="minorHAnsi" w:eastAsiaTheme="minorEastAsia" w:hAnsiTheme="minorHAnsi" w:cstheme="minorBidi"/>
            <w:sz w:val="22"/>
            <w:szCs w:val="22"/>
            <w:lang w:eastAsia="en-AU"/>
          </w:rPr>
          <w:tab/>
        </w:r>
        <w:r w:rsidRPr="009F1E8B">
          <w:t>Acknowledgment of receipt of bond money</w:t>
        </w:r>
        <w:r>
          <w:tab/>
        </w:r>
        <w:r>
          <w:fldChar w:fldCharType="begin"/>
        </w:r>
        <w:r>
          <w:instrText xml:space="preserve"> PAGEREF _Toc23417860 \h </w:instrText>
        </w:r>
        <w:r>
          <w:fldChar w:fldCharType="separate"/>
        </w:r>
        <w:r w:rsidR="00A44672">
          <w:t>24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61" w:history="1">
        <w:r w:rsidRPr="009F1E8B">
          <w:t>27</w:t>
        </w:r>
        <w:r>
          <w:rPr>
            <w:rFonts w:asciiTheme="minorHAnsi" w:eastAsiaTheme="minorEastAsia" w:hAnsiTheme="minorHAnsi" w:cstheme="minorBidi"/>
            <w:sz w:val="22"/>
            <w:szCs w:val="22"/>
            <w:lang w:eastAsia="en-AU"/>
          </w:rPr>
          <w:tab/>
        </w:r>
        <w:r w:rsidRPr="009F1E8B">
          <w:t>Payment of bond money into trust account</w:t>
        </w:r>
        <w:r>
          <w:tab/>
        </w:r>
        <w:r>
          <w:fldChar w:fldCharType="begin"/>
        </w:r>
        <w:r>
          <w:instrText xml:space="preserve"> PAGEREF _Toc23417861 \h </w:instrText>
        </w:r>
        <w:r>
          <w:fldChar w:fldCharType="separate"/>
        </w:r>
        <w:r w:rsidR="00A44672">
          <w:t>24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62" w:history="1">
        <w:r w:rsidRPr="009F1E8B">
          <w:t>28</w:t>
        </w:r>
        <w:r>
          <w:rPr>
            <w:rFonts w:asciiTheme="minorHAnsi" w:eastAsiaTheme="minorEastAsia" w:hAnsiTheme="minorHAnsi" w:cstheme="minorBidi"/>
            <w:sz w:val="22"/>
            <w:szCs w:val="22"/>
            <w:lang w:eastAsia="en-AU"/>
          </w:rPr>
          <w:tab/>
        </w:r>
        <w:r w:rsidRPr="009F1E8B">
          <w:t>Interest on amounts in trust account</w:t>
        </w:r>
        <w:r>
          <w:tab/>
        </w:r>
        <w:r>
          <w:fldChar w:fldCharType="begin"/>
        </w:r>
        <w:r>
          <w:instrText xml:space="preserve"> PAGEREF _Toc23417862 \h </w:instrText>
        </w:r>
        <w:r>
          <w:fldChar w:fldCharType="separate"/>
        </w:r>
        <w:r w:rsidR="00A44672">
          <w:t>24</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63" w:history="1">
        <w:r w:rsidR="00462EC1" w:rsidRPr="009F1E8B">
          <w:t>Division 3.3</w:t>
        </w:r>
        <w:r w:rsidR="00462EC1">
          <w:rPr>
            <w:rFonts w:asciiTheme="minorHAnsi" w:eastAsiaTheme="minorEastAsia" w:hAnsiTheme="minorHAnsi" w:cstheme="minorBidi"/>
            <w:b w:val="0"/>
            <w:sz w:val="22"/>
            <w:szCs w:val="22"/>
            <w:lang w:eastAsia="en-AU"/>
          </w:rPr>
          <w:tab/>
        </w:r>
        <w:r w:rsidR="00462EC1" w:rsidRPr="009F1E8B">
          <w:t>Condition of premises and deductions from bond</w:t>
        </w:r>
        <w:r w:rsidR="00462EC1" w:rsidRPr="00462EC1">
          <w:rPr>
            <w:vanish/>
          </w:rPr>
          <w:tab/>
        </w:r>
        <w:r w:rsidR="00462EC1" w:rsidRPr="00462EC1">
          <w:rPr>
            <w:vanish/>
          </w:rPr>
          <w:fldChar w:fldCharType="begin"/>
        </w:r>
        <w:r w:rsidR="00462EC1" w:rsidRPr="00462EC1">
          <w:rPr>
            <w:vanish/>
          </w:rPr>
          <w:instrText xml:space="preserve"> PAGEREF _Toc23417863 \h </w:instrText>
        </w:r>
        <w:r w:rsidR="00462EC1" w:rsidRPr="00462EC1">
          <w:rPr>
            <w:vanish/>
          </w:rPr>
        </w:r>
        <w:r w:rsidR="00462EC1" w:rsidRPr="00462EC1">
          <w:rPr>
            <w:vanish/>
          </w:rPr>
          <w:fldChar w:fldCharType="separate"/>
        </w:r>
        <w:r w:rsidR="00A44672">
          <w:rPr>
            <w:vanish/>
          </w:rPr>
          <w:t>25</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64" w:history="1">
        <w:r w:rsidRPr="009F1E8B">
          <w:t>29</w:t>
        </w:r>
        <w:r>
          <w:rPr>
            <w:rFonts w:asciiTheme="minorHAnsi" w:eastAsiaTheme="minorEastAsia" w:hAnsiTheme="minorHAnsi" w:cstheme="minorBidi"/>
            <w:sz w:val="22"/>
            <w:szCs w:val="22"/>
            <w:lang w:eastAsia="en-AU"/>
          </w:rPr>
          <w:tab/>
        </w:r>
        <w:r w:rsidRPr="009F1E8B">
          <w:t>Condition report—start of tenancy</w:t>
        </w:r>
        <w:r>
          <w:tab/>
        </w:r>
        <w:r>
          <w:fldChar w:fldCharType="begin"/>
        </w:r>
        <w:r>
          <w:instrText xml:space="preserve"> PAGEREF _Toc23417864 \h </w:instrText>
        </w:r>
        <w:r>
          <w:fldChar w:fldCharType="separate"/>
        </w:r>
        <w:r w:rsidR="00A44672">
          <w:t>25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65" w:history="1">
        <w:r w:rsidRPr="009F1E8B">
          <w:t>30</w:t>
        </w:r>
        <w:r>
          <w:rPr>
            <w:rFonts w:asciiTheme="minorHAnsi" w:eastAsiaTheme="minorEastAsia" w:hAnsiTheme="minorHAnsi" w:cstheme="minorBidi"/>
            <w:sz w:val="22"/>
            <w:szCs w:val="22"/>
            <w:lang w:eastAsia="en-AU"/>
          </w:rPr>
          <w:tab/>
        </w:r>
        <w:r w:rsidRPr="009F1E8B">
          <w:t>Evidence of condition of premises</w:t>
        </w:r>
        <w:r>
          <w:tab/>
        </w:r>
        <w:r>
          <w:fldChar w:fldCharType="begin"/>
        </w:r>
        <w:r>
          <w:instrText xml:space="preserve"> PAGEREF _Toc23417865 \h </w:instrText>
        </w:r>
        <w:r>
          <w:fldChar w:fldCharType="separate"/>
        </w:r>
        <w:r w:rsidR="00A44672">
          <w:t>26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66" w:history="1">
        <w:r w:rsidRPr="009F1E8B">
          <w:t>30A</w:t>
        </w:r>
        <w:r>
          <w:rPr>
            <w:rFonts w:asciiTheme="minorHAnsi" w:eastAsiaTheme="minorEastAsia" w:hAnsiTheme="minorHAnsi" w:cstheme="minorBidi"/>
            <w:sz w:val="22"/>
            <w:szCs w:val="22"/>
            <w:lang w:eastAsia="en-AU"/>
          </w:rPr>
          <w:tab/>
        </w:r>
        <w:r w:rsidRPr="009F1E8B">
          <w:t>Final inspection and condition report—end of tenancy</w:t>
        </w:r>
        <w:r>
          <w:tab/>
        </w:r>
        <w:r>
          <w:fldChar w:fldCharType="begin"/>
        </w:r>
        <w:r>
          <w:instrText xml:space="preserve"> PAGEREF _Toc23417866 \h </w:instrText>
        </w:r>
        <w:r>
          <w:fldChar w:fldCharType="separate"/>
        </w:r>
        <w:r w:rsidR="00A44672">
          <w:t>26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67" w:history="1">
        <w:r w:rsidRPr="009F1E8B">
          <w:t>31</w:t>
        </w:r>
        <w:r>
          <w:rPr>
            <w:rFonts w:asciiTheme="minorHAnsi" w:eastAsiaTheme="minorEastAsia" w:hAnsiTheme="minorHAnsi" w:cstheme="minorBidi"/>
            <w:sz w:val="22"/>
            <w:szCs w:val="22"/>
            <w:lang w:eastAsia="en-AU"/>
          </w:rPr>
          <w:tab/>
        </w:r>
        <w:r w:rsidRPr="009F1E8B">
          <w:t>Deductions from bond</w:t>
        </w:r>
        <w:r>
          <w:tab/>
        </w:r>
        <w:r>
          <w:fldChar w:fldCharType="begin"/>
        </w:r>
        <w:r>
          <w:instrText xml:space="preserve"> PAGEREF _Toc23417867 \h </w:instrText>
        </w:r>
        <w:r>
          <w:fldChar w:fldCharType="separate"/>
        </w:r>
        <w:r w:rsidR="00A44672">
          <w:t>27</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68" w:history="1">
        <w:r w:rsidR="00462EC1" w:rsidRPr="009F1E8B">
          <w:t>Division 3.4</w:t>
        </w:r>
        <w:r w:rsidR="00462EC1">
          <w:rPr>
            <w:rFonts w:asciiTheme="minorHAnsi" w:eastAsiaTheme="minorEastAsia" w:hAnsiTheme="minorHAnsi" w:cstheme="minorBidi"/>
            <w:b w:val="0"/>
            <w:sz w:val="22"/>
            <w:szCs w:val="22"/>
            <w:lang w:eastAsia="en-AU"/>
          </w:rPr>
          <w:tab/>
        </w:r>
        <w:r w:rsidR="00462EC1" w:rsidRPr="009F1E8B">
          <w:t>Release of bond money</w:t>
        </w:r>
        <w:r w:rsidR="00462EC1" w:rsidRPr="00462EC1">
          <w:rPr>
            <w:vanish/>
          </w:rPr>
          <w:tab/>
        </w:r>
        <w:r w:rsidR="00462EC1" w:rsidRPr="00462EC1">
          <w:rPr>
            <w:vanish/>
          </w:rPr>
          <w:fldChar w:fldCharType="begin"/>
        </w:r>
        <w:r w:rsidR="00462EC1" w:rsidRPr="00462EC1">
          <w:rPr>
            <w:vanish/>
          </w:rPr>
          <w:instrText xml:space="preserve"> PAGEREF _Toc23417868 \h </w:instrText>
        </w:r>
        <w:r w:rsidR="00462EC1" w:rsidRPr="00462EC1">
          <w:rPr>
            <w:vanish/>
          </w:rPr>
        </w:r>
        <w:r w:rsidR="00462EC1" w:rsidRPr="00462EC1">
          <w:rPr>
            <w:vanish/>
          </w:rPr>
          <w:fldChar w:fldCharType="separate"/>
        </w:r>
        <w:r w:rsidR="00A44672">
          <w:rPr>
            <w:vanish/>
          </w:rPr>
          <w:t>28</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69" w:history="1">
        <w:r w:rsidRPr="009F1E8B">
          <w:t>32</w:t>
        </w:r>
        <w:r>
          <w:rPr>
            <w:rFonts w:asciiTheme="minorHAnsi" w:eastAsiaTheme="minorEastAsia" w:hAnsiTheme="minorHAnsi" w:cstheme="minorBidi"/>
            <w:sz w:val="22"/>
            <w:szCs w:val="22"/>
            <w:lang w:eastAsia="en-AU"/>
          </w:rPr>
          <w:tab/>
        </w:r>
        <w:r w:rsidRPr="009F1E8B">
          <w:t>Definitions—div 3.4</w:t>
        </w:r>
        <w:r>
          <w:tab/>
        </w:r>
        <w:r>
          <w:fldChar w:fldCharType="begin"/>
        </w:r>
        <w:r>
          <w:instrText xml:space="preserve"> PAGEREF _Toc23417869 \h </w:instrText>
        </w:r>
        <w:r>
          <w:fldChar w:fldCharType="separate"/>
        </w:r>
        <w:r w:rsidR="00A44672">
          <w:t>28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70" w:history="1">
        <w:r w:rsidRPr="009F1E8B">
          <w:t>33</w:t>
        </w:r>
        <w:r>
          <w:rPr>
            <w:rFonts w:asciiTheme="minorHAnsi" w:eastAsiaTheme="minorEastAsia" w:hAnsiTheme="minorHAnsi" w:cstheme="minorBidi"/>
            <w:sz w:val="22"/>
            <w:szCs w:val="22"/>
            <w:lang w:eastAsia="en-AU"/>
          </w:rPr>
          <w:tab/>
        </w:r>
        <w:r w:rsidRPr="009F1E8B">
          <w:t>Bond release application—general</w:t>
        </w:r>
        <w:r>
          <w:tab/>
        </w:r>
        <w:r>
          <w:fldChar w:fldCharType="begin"/>
        </w:r>
        <w:r>
          <w:instrText xml:space="preserve"> PAGEREF _Toc23417870 \h </w:instrText>
        </w:r>
        <w:r>
          <w:fldChar w:fldCharType="separate"/>
        </w:r>
        <w:r w:rsidR="00A44672">
          <w:t>28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71" w:history="1">
        <w:r w:rsidRPr="009F1E8B">
          <w:t>34</w:t>
        </w:r>
        <w:r>
          <w:rPr>
            <w:rFonts w:asciiTheme="minorHAnsi" w:eastAsiaTheme="minorEastAsia" w:hAnsiTheme="minorHAnsi" w:cstheme="minorBidi"/>
            <w:sz w:val="22"/>
            <w:szCs w:val="22"/>
            <w:lang w:eastAsia="en-AU"/>
          </w:rPr>
          <w:tab/>
        </w:r>
        <w:r w:rsidRPr="009F1E8B">
          <w:t>Bond release application—lessor’s obligations</w:t>
        </w:r>
        <w:r>
          <w:tab/>
        </w:r>
        <w:r>
          <w:fldChar w:fldCharType="begin"/>
        </w:r>
        <w:r>
          <w:instrText xml:space="preserve"> PAGEREF _Toc23417871 \h </w:instrText>
        </w:r>
        <w:r>
          <w:fldChar w:fldCharType="separate"/>
        </w:r>
        <w:r w:rsidR="00A44672">
          <w:t>28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72" w:history="1">
        <w:r w:rsidRPr="009F1E8B">
          <w:t>34A</w:t>
        </w:r>
        <w:r>
          <w:rPr>
            <w:rFonts w:asciiTheme="minorHAnsi" w:eastAsiaTheme="minorEastAsia" w:hAnsiTheme="minorHAnsi" w:cstheme="minorBidi"/>
            <w:sz w:val="22"/>
            <w:szCs w:val="22"/>
            <w:lang w:eastAsia="en-AU"/>
          </w:rPr>
          <w:tab/>
        </w:r>
        <w:r w:rsidRPr="009F1E8B">
          <w:t>Bond release application—joint application</w:t>
        </w:r>
        <w:r>
          <w:tab/>
        </w:r>
        <w:r>
          <w:fldChar w:fldCharType="begin"/>
        </w:r>
        <w:r>
          <w:instrText xml:space="preserve"> PAGEREF _Toc23417872 \h </w:instrText>
        </w:r>
        <w:r>
          <w:fldChar w:fldCharType="separate"/>
        </w:r>
        <w:r w:rsidR="00A44672">
          <w:t>29</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73" w:history="1">
        <w:r w:rsidRPr="009F1E8B">
          <w:t>34B</w:t>
        </w:r>
        <w:r>
          <w:rPr>
            <w:rFonts w:asciiTheme="minorHAnsi" w:eastAsiaTheme="minorEastAsia" w:hAnsiTheme="minorHAnsi" w:cstheme="minorBidi"/>
            <w:sz w:val="22"/>
            <w:szCs w:val="22"/>
            <w:lang w:eastAsia="en-AU"/>
          </w:rPr>
          <w:tab/>
        </w:r>
        <w:r w:rsidRPr="009F1E8B">
          <w:t>Bond release application—application by tenant</w:t>
        </w:r>
        <w:r>
          <w:tab/>
        </w:r>
        <w:r>
          <w:fldChar w:fldCharType="begin"/>
        </w:r>
        <w:r>
          <w:instrText xml:space="preserve"> PAGEREF _Toc23417873 \h </w:instrText>
        </w:r>
        <w:r>
          <w:fldChar w:fldCharType="separate"/>
        </w:r>
        <w:r w:rsidR="00A44672">
          <w:t>30</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74" w:history="1">
        <w:r w:rsidRPr="009F1E8B">
          <w:t>34C</w:t>
        </w:r>
        <w:r>
          <w:rPr>
            <w:rFonts w:asciiTheme="minorHAnsi" w:eastAsiaTheme="minorEastAsia" w:hAnsiTheme="minorHAnsi" w:cstheme="minorBidi"/>
            <w:sz w:val="22"/>
            <w:szCs w:val="22"/>
            <w:lang w:eastAsia="en-AU"/>
          </w:rPr>
          <w:tab/>
        </w:r>
        <w:r w:rsidRPr="009F1E8B">
          <w:t>Bond release application—application by lessor</w:t>
        </w:r>
        <w:r>
          <w:tab/>
        </w:r>
        <w:r>
          <w:fldChar w:fldCharType="begin"/>
        </w:r>
        <w:r>
          <w:instrText xml:space="preserve"> PAGEREF _Toc23417874 \h </w:instrText>
        </w:r>
        <w:r>
          <w:fldChar w:fldCharType="separate"/>
        </w:r>
        <w:r w:rsidR="00A44672">
          <w:t>31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75" w:history="1">
        <w:r w:rsidRPr="009F1E8B">
          <w:t>34D</w:t>
        </w:r>
        <w:r>
          <w:rPr>
            <w:rFonts w:asciiTheme="minorHAnsi" w:eastAsiaTheme="minorEastAsia" w:hAnsiTheme="minorHAnsi" w:cstheme="minorBidi"/>
            <w:sz w:val="22"/>
            <w:szCs w:val="22"/>
            <w:lang w:eastAsia="en-AU"/>
          </w:rPr>
          <w:tab/>
        </w:r>
        <w:r w:rsidRPr="009F1E8B">
          <w:t>Bond release application before end of agreement</w:t>
        </w:r>
        <w:r>
          <w:tab/>
        </w:r>
        <w:r>
          <w:fldChar w:fldCharType="begin"/>
        </w:r>
        <w:r>
          <w:instrText xml:space="preserve"> PAGEREF _Toc23417875 \h </w:instrText>
        </w:r>
        <w:r>
          <w:fldChar w:fldCharType="separate"/>
        </w:r>
        <w:r w:rsidR="00A44672">
          <w:t>31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76" w:history="1">
        <w:r w:rsidRPr="009F1E8B">
          <w:t>34E</w:t>
        </w:r>
        <w:r>
          <w:rPr>
            <w:rFonts w:asciiTheme="minorHAnsi" w:eastAsiaTheme="minorEastAsia" w:hAnsiTheme="minorHAnsi" w:cstheme="minorBidi"/>
            <w:sz w:val="22"/>
            <w:szCs w:val="22"/>
            <w:lang w:eastAsia="en-AU"/>
          </w:rPr>
          <w:tab/>
        </w:r>
        <w:r w:rsidRPr="009F1E8B">
          <w:t>Bond release application—ACAT order</w:t>
        </w:r>
        <w:r>
          <w:tab/>
        </w:r>
        <w:r>
          <w:fldChar w:fldCharType="begin"/>
        </w:r>
        <w:r>
          <w:instrText xml:space="preserve"> PAGEREF _Toc23417876 \h </w:instrText>
        </w:r>
        <w:r>
          <w:fldChar w:fldCharType="separate"/>
        </w:r>
        <w:r w:rsidR="00A44672">
          <w:t>32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77" w:history="1">
        <w:r w:rsidRPr="009F1E8B">
          <w:t>35</w:t>
        </w:r>
        <w:r>
          <w:rPr>
            <w:rFonts w:asciiTheme="minorHAnsi" w:eastAsiaTheme="minorEastAsia" w:hAnsiTheme="minorHAnsi" w:cstheme="minorBidi"/>
            <w:sz w:val="22"/>
            <w:szCs w:val="22"/>
            <w:lang w:eastAsia="en-AU"/>
          </w:rPr>
          <w:tab/>
        </w:r>
        <w:r w:rsidRPr="009F1E8B">
          <w:t>Disputes about all or part of bond</w:t>
        </w:r>
        <w:r>
          <w:tab/>
        </w:r>
        <w:r>
          <w:fldChar w:fldCharType="begin"/>
        </w:r>
        <w:r>
          <w:instrText xml:space="preserve"> PAGEREF _Toc23417877 \h </w:instrText>
        </w:r>
        <w:r>
          <w:fldChar w:fldCharType="separate"/>
        </w:r>
        <w:r w:rsidR="00A44672">
          <w:t>33</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7878" w:history="1">
        <w:r w:rsidR="00462EC1" w:rsidRPr="009F1E8B">
          <w:t>Part 4</w:t>
        </w:r>
        <w:r w:rsidR="00462EC1">
          <w:rPr>
            <w:rFonts w:asciiTheme="minorHAnsi" w:eastAsiaTheme="minorEastAsia" w:hAnsiTheme="minorHAnsi" w:cstheme="minorBidi"/>
            <w:b w:val="0"/>
            <w:sz w:val="22"/>
            <w:szCs w:val="22"/>
            <w:lang w:eastAsia="en-AU"/>
          </w:rPr>
          <w:tab/>
        </w:r>
        <w:r w:rsidR="00462EC1" w:rsidRPr="009F1E8B">
          <w:t>Termination of residential tenancy agreements</w:t>
        </w:r>
        <w:r w:rsidR="00462EC1" w:rsidRPr="00462EC1">
          <w:rPr>
            <w:vanish/>
          </w:rPr>
          <w:tab/>
        </w:r>
        <w:r w:rsidR="00462EC1" w:rsidRPr="00462EC1">
          <w:rPr>
            <w:vanish/>
          </w:rPr>
          <w:fldChar w:fldCharType="begin"/>
        </w:r>
        <w:r w:rsidR="00462EC1" w:rsidRPr="00462EC1">
          <w:rPr>
            <w:vanish/>
          </w:rPr>
          <w:instrText xml:space="preserve"> PAGEREF _Toc23417878 \h </w:instrText>
        </w:r>
        <w:r w:rsidR="00462EC1" w:rsidRPr="00462EC1">
          <w:rPr>
            <w:vanish/>
          </w:rPr>
        </w:r>
        <w:r w:rsidR="00462EC1" w:rsidRPr="00462EC1">
          <w:rPr>
            <w:vanish/>
          </w:rPr>
          <w:fldChar w:fldCharType="separate"/>
        </w:r>
        <w:r w:rsidR="00A44672">
          <w:rPr>
            <w:vanish/>
          </w:rPr>
          <w:t>34</w:t>
        </w:r>
        <w:r w:rsidR="00462EC1" w:rsidRPr="00462EC1">
          <w:rPr>
            <w:vanish/>
          </w:rP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79" w:history="1">
        <w:r w:rsidR="00462EC1" w:rsidRPr="009F1E8B">
          <w:t>Division 4.1</w:t>
        </w:r>
        <w:r w:rsidR="00462EC1">
          <w:rPr>
            <w:rFonts w:asciiTheme="minorHAnsi" w:eastAsiaTheme="minorEastAsia" w:hAnsiTheme="minorHAnsi" w:cstheme="minorBidi"/>
            <w:b w:val="0"/>
            <w:sz w:val="22"/>
            <w:szCs w:val="22"/>
            <w:lang w:eastAsia="en-AU"/>
          </w:rPr>
          <w:tab/>
        </w:r>
        <w:r w:rsidR="00462EC1" w:rsidRPr="009F1E8B">
          <w:t>General</w:t>
        </w:r>
        <w:r w:rsidR="00462EC1" w:rsidRPr="00462EC1">
          <w:rPr>
            <w:vanish/>
          </w:rPr>
          <w:tab/>
        </w:r>
        <w:r w:rsidR="00462EC1" w:rsidRPr="00462EC1">
          <w:rPr>
            <w:vanish/>
          </w:rPr>
          <w:fldChar w:fldCharType="begin"/>
        </w:r>
        <w:r w:rsidR="00462EC1" w:rsidRPr="00462EC1">
          <w:rPr>
            <w:vanish/>
          </w:rPr>
          <w:instrText xml:space="preserve"> PAGEREF _Toc23417879 \h </w:instrText>
        </w:r>
        <w:r w:rsidR="00462EC1" w:rsidRPr="00462EC1">
          <w:rPr>
            <w:vanish/>
          </w:rPr>
        </w:r>
        <w:r w:rsidR="00462EC1" w:rsidRPr="00462EC1">
          <w:rPr>
            <w:vanish/>
          </w:rPr>
          <w:fldChar w:fldCharType="separate"/>
        </w:r>
        <w:r w:rsidR="00A44672">
          <w:rPr>
            <w:vanish/>
          </w:rPr>
          <w:t>34</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80" w:history="1">
        <w:r w:rsidRPr="009F1E8B">
          <w:t>36</w:t>
        </w:r>
        <w:r>
          <w:rPr>
            <w:rFonts w:asciiTheme="minorHAnsi" w:eastAsiaTheme="minorEastAsia" w:hAnsiTheme="minorHAnsi" w:cstheme="minorBidi"/>
            <w:sz w:val="22"/>
            <w:szCs w:val="22"/>
            <w:lang w:eastAsia="en-AU"/>
          </w:rPr>
          <w:tab/>
        </w:r>
        <w:r w:rsidRPr="009F1E8B">
          <w:t>Termination</w:t>
        </w:r>
        <w:r>
          <w:tab/>
        </w:r>
        <w:r>
          <w:fldChar w:fldCharType="begin"/>
        </w:r>
        <w:r>
          <w:instrText xml:space="preserve"> PAGEREF _Toc23417880 \h </w:instrText>
        </w:r>
        <w:r>
          <w:fldChar w:fldCharType="separate"/>
        </w:r>
        <w:r w:rsidR="00A44672">
          <w:t>34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81" w:history="1">
        <w:r w:rsidRPr="009F1E8B">
          <w:t>37</w:t>
        </w:r>
        <w:r>
          <w:rPr>
            <w:rFonts w:asciiTheme="minorHAnsi" w:eastAsiaTheme="minorEastAsia" w:hAnsiTheme="minorHAnsi" w:cstheme="minorBidi"/>
            <w:sz w:val="22"/>
            <w:szCs w:val="22"/>
            <w:lang w:eastAsia="en-AU"/>
          </w:rPr>
          <w:tab/>
        </w:r>
        <w:r w:rsidRPr="009F1E8B">
          <w:t>Entry for eviction purposes</w:t>
        </w:r>
        <w:r>
          <w:tab/>
        </w:r>
        <w:r>
          <w:fldChar w:fldCharType="begin"/>
        </w:r>
        <w:r>
          <w:instrText xml:space="preserve"> PAGEREF _Toc23417881 \h </w:instrText>
        </w:r>
        <w:r>
          <w:fldChar w:fldCharType="separate"/>
        </w:r>
        <w:r w:rsidR="00A44672">
          <w:t>35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82" w:history="1">
        <w:r w:rsidRPr="009F1E8B">
          <w:t>38</w:t>
        </w:r>
        <w:r>
          <w:rPr>
            <w:rFonts w:asciiTheme="minorHAnsi" w:eastAsiaTheme="minorEastAsia" w:hAnsiTheme="minorHAnsi" w:cstheme="minorBidi"/>
            <w:sz w:val="22"/>
            <w:szCs w:val="22"/>
            <w:lang w:eastAsia="en-AU"/>
          </w:rPr>
          <w:tab/>
        </w:r>
        <w:r w:rsidRPr="009F1E8B">
          <w:t>General duty to mitigate</w:t>
        </w:r>
        <w:r>
          <w:tab/>
        </w:r>
        <w:r>
          <w:fldChar w:fldCharType="begin"/>
        </w:r>
        <w:r>
          <w:instrText xml:space="preserve"> PAGEREF _Toc23417882 \h </w:instrText>
        </w:r>
        <w:r>
          <w:fldChar w:fldCharType="separate"/>
        </w:r>
        <w:r w:rsidR="00A44672">
          <w:t>36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83" w:history="1">
        <w:r w:rsidRPr="009F1E8B">
          <w:t>39</w:t>
        </w:r>
        <w:r>
          <w:rPr>
            <w:rFonts w:asciiTheme="minorHAnsi" w:eastAsiaTheme="minorEastAsia" w:hAnsiTheme="minorHAnsi" w:cstheme="minorBidi"/>
            <w:sz w:val="22"/>
            <w:szCs w:val="22"/>
            <w:lang w:eastAsia="en-AU"/>
          </w:rPr>
          <w:tab/>
        </w:r>
        <w:r w:rsidRPr="009F1E8B">
          <w:t>Content of termination and possession orders</w:t>
        </w:r>
        <w:r>
          <w:tab/>
        </w:r>
        <w:r>
          <w:fldChar w:fldCharType="begin"/>
        </w:r>
        <w:r>
          <w:instrText xml:space="preserve"> PAGEREF _Toc23417883 \h </w:instrText>
        </w:r>
        <w:r>
          <w:fldChar w:fldCharType="separate"/>
        </w:r>
        <w:r w:rsidR="00A44672">
          <w:t>36</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84" w:history="1">
        <w:r w:rsidR="00462EC1" w:rsidRPr="009F1E8B">
          <w:t>Division 4.2</w:t>
        </w:r>
        <w:r w:rsidR="00462EC1">
          <w:rPr>
            <w:rFonts w:asciiTheme="minorHAnsi" w:eastAsiaTheme="minorEastAsia" w:hAnsiTheme="minorHAnsi" w:cstheme="minorBidi"/>
            <w:b w:val="0"/>
            <w:sz w:val="22"/>
            <w:szCs w:val="22"/>
            <w:lang w:eastAsia="en-AU"/>
          </w:rPr>
          <w:tab/>
        </w:r>
        <w:r w:rsidR="00462EC1" w:rsidRPr="009F1E8B">
          <w:t>Warrants for eviction</w:t>
        </w:r>
        <w:r w:rsidR="00462EC1" w:rsidRPr="00462EC1">
          <w:rPr>
            <w:vanish/>
          </w:rPr>
          <w:tab/>
        </w:r>
        <w:r w:rsidR="00462EC1" w:rsidRPr="00462EC1">
          <w:rPr>
            <w:vanish/>
          </w:rPr>
          <w:fldChar w:fldCharType="begin"/>
        </w:r>
        <w:r w:rsidR="00462EC1" w:rsidRPr="00462EC1">
          <w:rPr>
            <w:vanish/>
          </w:rPr>
          <w:instrText xml:space="preserve"> PAGEREF _Toc23417884 \h </w:instrText>
        </w:r>
        <w:r w:rsidR="00462EC1" w:rsidRPr="00462EC1">
          <w:rPr>
            <w:vanish/>
          </w:rPr>
        </w:r>
        <w:r w:rsidR="00462EC1" w:rsidRPr="00462EC1">
          <w:rPr>
            <w:vanish/>
          </w:rPr>
          <w:fldChar w:fldCharType="separate"/>
        </w:r>
        <w:r w:rsidR="00A44672">
          <w:rPr>
            <w:vanish/>
          </w:rPr>
          <w:t>37</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85" w:history="1">
        <w:r w:rsidRPr="009F1E8B">
          <w:t>40</w:t>
        </w:r>
        <w:r>
          <w:rPr>
            <w:rFonts w:asciiTheme="minorHAnsi" w:eastAsiaTheme="minorEastAsia" w:hAnsiTheme="minorHAnsi" w:cstheme="minorBidi"/>
            <w:sz w:val="22"/>
            <w:szCs w:val="22"/>
            <w:lang w:eastAsia="en-AU"/>
          </w:rPr>
          <w:tab/>
        </w:r>
        <w:r w:rsidRPr="009F1E8B">
          <w:t>Content of warrant</w:t>
        </w:r>
        <w:r>
          <w:tab/>
        </w:r>
        <w:r>
          <w:fldChar w:fldCharType="begin"/>
        </w:r>
        <w:r>
          <w:instrText xml:space="preserve"> PAGEREF _Toc23417885 \h </w:instrText>
        </w:r>
        <w:r>
          <w:fldChar w:fldCharType="separate"/>
        </w:r>
        <w:r w:rsidR="00A44672">
          <w:t>37</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86" w:history="1">
        <w:r w:rsidRPr="009F1E8B">
          <w:t>41</w:t>
        </w:r>
        <w:r>
          <w:rPr>
            <w:rFonts w:asciiTheme="minorHAnsi" w:eastAsiaTheme="minorEastAsia" w:hAnsiTheme="minorHAnsi" w:cstheme="minorBidi"/>
            <w:sz w:val="22"/>
            <w:szCs w:val="22"/>
            <w:lang w:eastAsia="en-AU"/>
          </w:rPr>
          <w:tab/>
        </w:r>
        <w:r w:rsidRPr="009F1E8B">
          <w:t>Warrant—termination and possession order</w:t>
        </w:r>
        <w:r>
          <w:tab/>
        </w:r>
        <w:r>
          <w:fldChar w:fldCharType="begin"/>
        </w:r>
        <w:r>
          <w:instrText xml:space="preserve"> PAGEREF _Toc23417886 \h </w:instrText>
        </w:r>
        <w:r>
          <w:fldChar w:fldCharType="separate"/>
        </w:r>
        <w:r w:rsidR="00A44672">
          <w:t>38</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87" w:history="1">
        <w:r w:rsidR="00462EC1" w:rsidRPr="009F1E8B">
          <w:t>Division 4.3</w:t>
        </w:r>
        <w:r w:rsidR="00462EC1">
          <w:rPr>
            <w:rFonts w:asciiTheme="minorHAnsi" w:eastAsiaTheme="minorEastAsia" w:hAnsiTheme="minorHAnsi" w:cstheme="minorBidi"/>
            <w:b w:val="0"/>
            <w:sz w:val="22"/>
            <w:szCs w:val="22"/>
            <w:lang w:eastAsia="en-AU"/>
          </w:rPr>
          <w:tab/>
        </w:r>
        <w:r w:rsidR="00462EC1" w:rsidRPr="009F1E8B">
          <w:t>Termination initiated by tenant</w:t>
        </w:r>
        <w:r w:rsidR="00462EC1" w:rsidRPr="00462EC1">
          <w:rPr>
            <w:vanish/>
          </w:rPr>
          <w:tab/>
        </w:r>
        <w:r w:rsidR="00462EC1" w:rsidRPr="00462EC1">
          <w:rPr>
            <w:vanish/>
          </w:rPr>
          <w:fldChar w:fldCharType="begin"/>
        </w:r>
        <w:r w:rsidR="00462EC1" w:rsidRPr="00462EC1">
          <w:rPr>
            <w:vanish/>
          </w:rPr>
          <w:instrText xml:space="preserve"> PAGEREF _Toc23417887 \h </w:instrText>
        </w:r>
        <w:r w:rsidR="00462EC1" w:rsidRPr="00462EC1">
          <w:rPr>
            <w:vanish/>
          </w:rPr>
        </w:r>
        <w:r w:rsidR="00462EC1" w:rsidRPr="00462EC1">
          <w:rPr>
            <w:vanish/>
          </w:rPr>
          <w:fldChar w:fldCharType="separate"/>
        </w:r>
        <w:r w:rsidR="00A44672">
          <w:rPr>
            <w:vanish/>
          </w:rPr>
          <w:t>38</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88" w:history="1">
        <w:r w:rsidRPr="009F1E8B">
          <w:t>43</w:t>
        </w:r>
        <w:r>
          <w:rPr>
            <w:rFonts w:asciiTheme="minorHAnsi" w:eastAsiaTheme="minorEastAsia" w:hAnsiTheme="minorHAnsi" w:cstheme="minorBidi"/>
            <w:sz w:val="22"/>
            <w:szCs w:val="22"/>
            <w:lang w:eastAsia="en-AU"/>
          </w:rPr>
          <w:tab/>
        </w:r>
        <w:r w:rsidRPr="009F1E8B">
          <w:t>Breach of standard residential tenancy terms</w:t>
        </w:r>
        <w:r>
          <w:tab/>
        </w:r>
        <w:r>
          <w:fldChar w:fldCharType="begin"/>
        </w:r>
        <w:r>
          <w:instrText xml:space="preserve"> PAGEREF _Toc23417888 \h </w:instrText>
        </w:r>
        <w:r>
          <w:fldChar w:fldCharType="separate"/>
        </w:r>
        <w:r w:rsidR="00A44672">
          <w:t>38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89" w:history="1">
        <w:r w:rsidRPr="009F1E8B">
          <w:t>44</w:t>
        </w:r>
        <w:r>
          <w:rPr>
            <w:rFonts w:asciiTheme="minorHAnsi" w:eastAsiaTheme="minorEastAsia" w:hAnsiTheme="minorHAnsi" w:cstheme="minorBidi"/>
            <w:sz w:val="22"/>
            <w:szCs w:val="22"/>
            <w:lang w:eastAsia="en-AU"/>
          </w:rPr>
          <w:tab/>
        </w:r>
        <w:r w:rsidRPr="009F1E8B">
          <w:t>Significant hardship</w:t>
        </w:r>
        <w:r>
          <w:tab/>
        </w:r>
        <w:r>
          <w:fldChar w:fldCharType="begin"/>
        </w:r>
        <w:r>
          <w:instrText xml:space="preserve"> PAGEREF _Toc23417889 \h </w:instrText>
        </w:r>
        <w:r>
          <w:fldChar w:fldCharType="separate"/>
        </w:r>
        <w:r w:rsidR="00A44672">
          <w:t>39</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90" w:history="1">
        <w:r w:rsidRPr="009F1E8B">
          <w:t>45</w:t>
        </w:r>
        <w:r>
          <w:rPr>
            <w:rFonts w:asciiTheme="minorHAnsi" w:eastAsiaTheme="minorEastAsia" w:hAnsiTheme="minorHAnsi" w:cstheme="minorBidi"/>
            <w:sz w:val="22"/>
            <w:szCs w:val="22"/>
            <w:lang w:eastAsia="en-AU"/>
          </w:rPr>
          <w:tab/>
        </w:r>
        <w:r w:rsidRPr="009F1E8B">
          <w:t>Damage, injury or intention to damage or injure</w:t>
        </w:r>
        <w:r>
          <w:tab/>
        </w:r>
        <w:r>
          <w:fldChar w:fldCharType="begin"/>
        </w:r>
        <w:r>
          <w:instrText xml:space="preserve"> PAGEREF _Toc23417890 \h </w:instrText>
        </w:r>
        <w:r>
          <w:fldChar w:fldCharType="separate"/>
        </w:r>
        <w:r w:rsidR="00A44672">
          <w:t>41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91" w:history="1">
        <w:r w:rsidRPr="009F1E8B">
          <w:t>46</w:t>
        </w:r>
        <w:r>
          <w:rPr>
            <w:rFonts w:asciiTheme="minorHAnsi" w:eastAsiaTheme="minorEastAsia" w:hAnsiTheme="minorHAnsi" w:cstheme="minorBidi"/>
            <w:sz w:val="22"/>
            <w:szCs w:val="22"/>
            <w:lang w:eastAsia="en-AU"/>
          </w:rPr>
          <w:tab/>
        </w:r>
        <w:r w:rsidRPr="009F1E8B">
          <w:t>False or misleading statements</w:t>
        </w:r>
        <w:r>
          <w:tab/>
        </w:r>
        <w:r>
          <w:fldChar w:fldCharType="begin"/>
        </w:r>
        <w:r>
          <w:instrText xml:space="preserve"> PAGEREF _Toc23417891 \h </w:instrText>
        </w:r>
        <w:r>
          <w:fldChar w:fldCharType="separate"/>
        </w:r>
        <w:r w:rsidR="00A44672">
          <w:t>41</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892" w:history="1">
        <w:r w:rsidR="00462EC1" w:rsidRPr="009F1E8B">
          <w:t>Division 4.4</w:t>
        </w:r>
        <w:r w:rsidR="00462EC1">
          <w:rPr>
            <w:rFonts w:asciiTheme="minorHAnsi" w:eastAsiaTheme="minorEastAsia" w:hAnsiTheme="minorHAnsi" w:cstheme="minorBidi"/>
            <w:b w:val="0"/>
            <w:sz w:val="22"/>
            <w:szCs w:val="22"/>
            <w:lang w:eastAsia="en-AU"/>
          </w:rPr>
          <w:tab/>
        </w:r>
        <w:r w:rsidR="00462EC1" w:rsidRPr="009F1E8B">
          <w:t>Termination initiated by lessor</w:t>
        </w:r>
        <w:r w:rsidR="00462EC1" w:rsidRPr="00462EC1">
          <w:rPr>
            <w:vanish/>
          </w:rPr>
          <w:tab/>
        </w:r>
        <w:r w:rsidR="00462EC1" w:rsidRPr="00462EC1">
          <w:rPr>
            <w:vanish/>
          </w:rPr>
          <w:fldChar w:fldCharType="begin"/>
        </w:r>
        <w:r w:rsidR="00462EC1" w:rsidRPr="00462EC1">
          <w:rPr>
            <w:vanish/>
          </w:rPr>
          <w:instrText xml:space="preserve"> PAGEREF _Toc23417892 \h </w:instrText>
        </w:r>
        <w:r w:rsidR="00462EC1" w:rsidRPr="00462EC1">
          <w:rPr>
            <w:vanish/>
          </w:rPr>
        </w:r>
        <w:r w:rsidR="00462EC1" w:rsidRPr="00462EC1">
          <w:rPr>
            <w:vanish/>
          </w:rPr>
          <w:fldChar w:fldCharType="separate"/>
        </w:r>
        <w:r w:rsidR="00A44672">
          <w:rPr>
            <w:vanish/>
          </w:rPr>
          <w:t>41</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93" w:history="1">
        <w:r w:rsidRPr="009F1E8B">
          <w:t>47</w:t>
        </w:r>
        <w:r>
          <w:rPr>
            <w:rFonts w:asciiTheme="minorHAnsi" w:eastAsiaTheme="minorEastAsia" w:hAnsiTheme="minorHAnsi" w:cstheme="minorBidi"/>
            <w:sz w:val="22"/>
            <w:szCs w:val="22"/>
            <w:lang w:eastAsia="en-AU"/>
          </w:rPr>
          <w:tab/>
        </w:r>
        <w:r w:rsidRPr="009F1E8B">
          <w:t>No breach of standard residential tenancy terms</w:t>
        </w:r>
        <w:r>
          <w:tab/>
        </w:r>
        <w:r>
          <w:fldChar w:fldCharType="begin"/>
        </w:r>
        <w:r>
          <w:instrText xml:space="preserve"> PAGEREF _Toc23417893 \h </w:instrText>
        </w:r>
        <w:r>
          <w:fldChar w:fldCharType="separate"/>
        </w:r>
        <w:r w:rsidR="00A44672">
          <w:t>41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94" w:history="1">
        <w:r w:rsidRPr="009F1E8B">
          <w:t>48</w:t>
        </w:r>
        <w:r>
          <w:rPr>
            <w:rFonts w:asciiTheme="minorHAnsi" w:eastAsiaTheme="minorEastAsia" w:hAnsiTheme="minorHAnsi" w:cstheme="minorBidi"/>
            <w:sz w:val="22"/>
            <w:szCs w:val="22"/>
            <w:lang w:eastAsia="en-AU"/>
          </w:rPr>
          <w:tab/>
        </w:r>
        <w:r w:rsidRPr="009F1E8B">
          <w:t>Certain breaches of standard residential tenancy terms</w:t>
        </w:r>
        <w:r>
          <w:tab/>
        </w:r>
        <w:r>
          <w:fldChar w:fldCharType="begin"/>
        </w:r>
        <w:r>
          <w:instrText xml:space="preserve"> PAGEREF _Toc23417894 \h </w:instrText>
        </w:r>
        <w:r>
          <w:fldChar w:fldCharType="separate"/>
        </w:r>
        <w:r w:rsidR="00A44672">
          <w:t>42</w:t>
        </w:r>
        <w:r>
          <w:fldChar w:fldCharType="end"/>
        </w:r>
      </w:hyperlink>
    </w:p>
    <w:p w:rsidR="00462EC1" w:rsidRDefault="00462EC1">
      <w:pPr>
        <w:pStyle w:val="TOC5"/>
        <w:rPr>
          <w:rFonts w:asciiTheme="minorHAnsi" w:eastAsiaTheme="minorEastAsia" w:hAnsiTheme="minorHAnsi" w:cstheme="minorBidi"/>
          <w:sz w:val="22"/>
          <w:szCs w:val="22"/>
          <w:lang w:eastAsia="en-AU"/>
        </w:rPr>
      </w:pPr>
      <w:r>
        <w:lastRenderedPageBreak/>
        <w:tab/>
      </w:r>
      <w:hyperlink w:anchor="_Toc23417895" w:history="1">
        <w:r w:rsidRPr="009F1E8B">
          <w:t>49</w:t>
        </w:r>
        <w:r>
          <w:rPr>
            <w:rFonts w:asciiTheme="minorHAnsi" w:eastAsiaTheme="minorEastAsia" w:hAnsiTheme="minorHAnsi" w:cstheme="minorBidi"/>
            <w:sz w:val="22"/>
            <w:szCs w:val="22"/>
            <w:lang w:eastAsia="en-AU"/>
          </w:rPr>
          <w:tab/>
        </w:r>
        <w:r w:rsidRPr="009F1E8B">
          <w:t>Failure to pay rent—termination and possession order</w:t>
        </w:r>
        <w:r>
          <w:tab/>
        </w:r>
        <w:r>
          <w:fldChar w:fldCharType="begin"/>
        </w:r>
        <w:r>
          <w:instrText xml:space="preserve"> PAGEREF _Toc23417895 \h </w:instrText>
        </w:r>
        <w:r>
          <w:fldChar w:fldCharType="separate"/>
        </w:r>
        <w:r w:rsidR="00A44672">
          <w:t>43</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96" w:history="1">
        <w:r w:rsidRPr="009F1E8B">
          <w:t>49A</w:t>
        </w:r>
        <w:r>
          <w:rPr>
            <w:rFonts w:asciiTheme="minorHAnsi" w:eastAsiaTheme="minorEastAsia" w:hAnsiTheme="minorHAnsi" w:cstheme="minorBidi"/>
            <w:sz w:val="22"/>
            <w:szCs w:val="22"/>
            <w:lang w:eastAsia="en-AU"/>
          </w:rPr>
          <w:tab/>
        </w:r>
        <w:r w:rsidRPr="009F1E8B">
          <w:t>Failure to pay rent—payment order</w:t>
        </w:r>
        <w:r>
          <w:tab/>
        </w:r>
        <w:r>
          <w:fldChar w:fldCharType="begin"/>
        </w:r>
        <w:r>
          <w:instrText xml:space="preserve"> PAGEREF _Toc23417896 \h </w:instrText>
        </w:r>
        <w:r>
          <w:fldChar w:fldCharType="separate"/>
        </w:r>
        <w:r w:rsidR="00A44672">
          <w:t>44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97" w:history="1">
        <w:r w:rsidRPr="009F1E8B">
          <w:t>49B</w:t>
        </w:r>
        <w:r>
          <w:rPr>
            <w:rFonts w:asciiTheme="minorHAnsi" w:eastAsiaTheme="minorEastAsia" w:hAnsiTheme="minorHAnsi" w:cstheme="minorBidi"/>
            <w:sz w:val="22"/>
            <w:szCs w:val="22"/>
            <w:lang w:eastAsia="en-AU"/>
          </w:rPr>
          <w:tab/>
        </w:r>
        <w:r w:rsidRPr="009F1E8B">
          <w:t>Failure to comply with payment order</w:t>
        </w:r>
        <w:r>
          <w:tab/>
        </w:r>
        <w:r>
          <w:fldChar w:fldCharType="begin"/>
        </w:r>
        <w:r>
          <w:instrText xml:space="preserve"> PAGEREF _Toc23417897 \h </w:instrText>
        </w:r>
        <w:r>
          <w:fldChar w:fldCharType="separate"/>
        </w:r>
        <w:r w:rsidR="00A44672">
          <w:t>45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98" w:history="1">
        <w:r w:rsidRPr="009F1E8B">
          <w:t>49C</w:t>
        </w:r>
        <w:r>
          <w:rPr>
            <w:rFonts w:asciiTheme="minorHAnsi" w:eastAsiaTheme="minorEastAsia" w:hAnsiTheme="minorHAnsi" w:cstheme="minorBidi"/>
            <w:sz w:val="22"/>
            <w:szCs w:val="22"/>
            <w:lang w:eastAsia="en-AU"/>
          </w:rPr>
          <w:tab/>
        </w:r>
        <w:r w:rsidRPr="009F1E8B">
          <w:t>Hearing of application—failure to comply with payment order</w:t>
        </w:r>
        <w:r>
          <w:tab/>
        </w:r>
        <w:r>
          <w:fldChar w:fldCharType="begin"/>
        </w:r>
        <w:r>
          <w:instrText xml:space="preserve"> PAGEREF _Toc23417898 \h </w:instrText>
        </w:r>
        <w:r>
          <w:fldChar w:fldCharType="separate"/>
        </w:r>
        <w:r w:rsidR="00A44672">
          <w:t>46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899" w:history="1">
        <w:r w:rsidRPr="009F1E8B">
          <w:t>50</w:t>
        </w:r>
        <w:r>
          <w:rPr>
            <w:rFonts w:asciiTheme="minorHAnsi" w:eastAsiaTheme="minorEastAsia" w:hAnsiTheme="minorHAnsi" w:cstheme="minorBidi"/>
            <w:sz w:val="22"/>
            <w:szCs w:val="22"/>
            <w:lang w:eastAsia="en-AU"/>
          </w:rPr>
          <w:tab/>
        </w:r>
        <w:r w:rsidRPr="009F1E8B">
          <w:t>Significant hardship</w:t>
        </w:r>
        <w:r>
          <w:tab/>
        </w:r>
        <w:r>
          <w:fldChar w:fldCharType="begin"/>
        </w:r>
        <w:r>
          <w:instrText xml:space="preserve"> PAGEREF _Toc23417899 \h </w:instrText>
        </w:r>
        <w:r>
          <w:fldChar w:fldCharType="separate"/>
        </w:r>
        <w:r w:rsidR="00A44672">
          <w:t>47</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00" w:history="1">
        <w:r w:rsidRPr="009F1E8B">
          <w:t>51</w:t>
        </w:r>
        <w:r>
          <w:rPr>
            <w:rFonts w:asciiTheme="minorHAnsi" w:eastAsiaTheme="minorEastAsia" w:hAnsiTheme="minorHAnsi" w:cstheme="minorBidi"/>
            <w:sz w:val="22"/>
            <w:szCs w:val="22"/>
            <w:lang w:eastAsia="en-AU"/>
          </w:rPr>
          <w:tab/>
        </w:r>
        <w:r w:rsidRPr="009F1E8B">
          <w:t>Damage, injury or intention to damage or injure</w:t>
        </w:r>
        <w:r>
          <w:tab/>
        </w:r>
        <w:r>
          <w:fldChar w:fldCharType="begin"/>
        </w:r>
        <w:r>
          <w:instrText xml:space="preserve"> PAGEREF _Toc23417900 \h </w:instrText>
        </w:r>
        <w:r>
          <w:fldChar w:fldCharType="separate"/>
        </w:r>
        <w:r w:rsidR="00A44672">
          <w:t>48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01" w:history="1">
        <w:r w:rsidRPr="009F1E8B">
          <w:t>52</w:t>
        </w:r>
        <w:r>
          <w:rPr>
            <w:rFonts w:asciiTheme="minorHAnsi" w:eastAsiaTheme="minorEastAsia" w:hAnsiTheme="minorHAnsi" w:cstheme="minorBidi"/>
            <w:sz w:val="22"/>
            <w:szCs w:val="22"/>
            <w:lang w:eastAsia="en-AU"/>
          </w:rPr>
          <w:tab/>
        </w:r>
        <w:r w:rsidRPr="009F1E8B">
          <w:t>False or misleading statements</w:t>
        </w:r>
        <w:r>
          <w:tab/>
        </w:r>
        <w:r>
          <w:fldChar w:fldCharType="begin"/>
        </w:r>
        <w:r>
          <w:instrText xml:space="preserve"> PAGEREF _Toc23417901 \h </w:instrText>
        </w:r>
        <w:r>
          <w:fldChar w:fldCharType="separate"/>
        </w:r>
        <w:r w:rsidR="00A44672">
          <w:t>49</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02" w:history="1">
        <w:r w:rsidRPr="009F1E8B">
          <w:t>53</w:t>
        </w:r>
        <w:r>
          <w:rPr>
            <w:rFonts w:asciiTheme="minorHAnsi" w:eastAsiaTheme="minorEastAsia" w:hAnsiTheme="minorHAnsi" w:cstheme="minorBidi"/>
            <w:sz w:val="22"/>
            <w:szCs w:val="22"/>
            <w:lang w:eastAsia="en-AU"/>
          </w:rPr>
          <w:tab/>
        </w:r>
        <w:r w:rsidRPr="009F1E8B">
          <w:t>Employer-provided accommodation</w:t>
        </w:r>
        <w:r>
          <w:tab/>
        </w:r>
        <w:r>
          <w:fldChar w:fldCharType="begin"/>
        </w:r>
        <w:r>
          <w:instrText xml:space="preserve"> PAGEREF _Toc23417902 \h </w:instrText>
        </w:r>
        <w:r>
          <w:fldChar w:fldCharType="separate"/>
        </w:r>
        <w:r w:rsidR="00A44672">
          <w:t>49</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03" w:history="1">
        <w:r w:rsidRPr="009F1E8B">
          <w:t>54</w:t>
        </w:r>
        <w:r>
          <w:rPr>
            <w:rFonts w:asciiTheme="minorHAnsi" w:eastAsiaTheme="minorEastAsia" w:hAnsiTheme="minorHAnsi" w:cstheme="minorBidi"/>
            <w:sz w:val="22"/>
            <w:szCs w:val="22"/>
            <w:lang w:eastAsia="en-AU"/>
          </w:rPr>
          <w:tab/>
        </w:r>
        <w:r w:rsidRPr="009F1E8B">
          <w:t>Purported assignment or subletting</w:t>
        </w:r>
        <w:r>
          <w:tab/>
        </w:r>
        <w:r>
          <w:fldChar w:fldCharType="begin"/>
        </w:r>
        <w:r>
          <w:instrText xml:space="preserve"> PAGEREF _Toc23417903 \h </w:instrText>
        </w:r>
        <w:r>
          <w:fldChar w:fldCharType="separate"/>
        </w:r>
        <w:r w:rsidR="00A44672">
          <w:t>50</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04" w:history="1">
        <w:r w:rsidRPr="009F1E8B">
          <w:t>55</w:t>
        </w:r>
        <w:r>
          <w:rPr>
            <w:rFonts w:asciiTheme="minorHAnsi" w:eastAsiaTheme="minorEastAsia" w:hAnsiTheme="minorHAnsi" w:cstheme="minorBidi"/>
            <w:sz w:val="22"/>
            <w:szCs w:val="22"/>
            <w:lang w:eastAsia="en-AU"/>
          </w:rPr>
          <w:tab/>
        </w:r>
        <w:r w:rsidRPr="009F1E8B">
          <w:t>Repudiation without vacation</w:t>
        </w:r>
        <w:r>
          <w:tab/>
        </w:r>
        <w:r>
          <w:fldChar w:fldCharType="begin"/>
        </w:r>
        <w:r>
          <w:instrText xml:space="preserve"> PAGEREF _Toc23417904 \h </w:instrText>
        </w:r>
        <w:r>
          <w:fldChar w:fldCharType="separate"/>
        </w:r>
        <w:r w:rsidR="00A44672">
          <w:t>51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05" w:history="1">
        <w:r w:rsidRPr="009F1E8B">
          <w:t>55A</w:t>
        </w:r>
        <w:r>
          <w:rPr>
            <w:rFonts w:asciiTheme="minorHAnsi" w:eastAsiaTheme="minorEastAsia" w:hAnsiTheme="minorHAnsi" w:cstheme="minorBidi"/>
            <w:sz w:val="22"/>
            <w:szCs w:val="22"/>
            <w:lang w:eastAsia="en-AU"/>
          </w:rPr>
          <w:tab/>
        </w:r>
        <w:r w:rsidRPr="009F1E8B">
          <w:t>Affected residential premises</w:t>
        </w:r>
        <w:r>
          <w:tab/>
        </w:r>
        <w:r>
          <w:fldChar w:fldCharType="begin"/>
        </w:r>
        <w:r>
          <w:instrText xml:space="preserve"> PAGEREF _Toc23417905 \h </w:instrText>
        </w:r>
        <w:r>
          <w:fldChar w:fldCharType="separate"/>
        </w:r>
        <w:r w:rsidR="00A44672">
          <w:t>51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06" w:history="1">
        <w:r w:rsidRPr="009F1E8B">
          <w:t>55B</w:t>
        </w:r>
        <w:r>
          <w:rPr>
            <w:rFonts w:asciiTheme="minorHAnsi" w:eastAsiaTheme="minorEastAsia" w:hAnsiTheme="minorHAnsi" w:cstheme="minorBidi"/>
            <w:sz w:val="22"/>
            <w:szCs w:val="22"/>
            <w:lang w:eastAsia="en-AU"/>
          </w:rPr>
          <w:tab/>
        </w:r>
        <w:r w:rsidRPr="009F1E8B">
          <w:t>Eligible impacted property</w:t>
        </w:r>
        <w:r>
          <w:tab/>
        </w:r>
        <w:r>
          <w:fldChar w:fldCharType="begin"/>
        </w:r>
        <w:r>
          <w:instrText xml:space="preserve"> PAGEREF _Toc23417906 \h </w:instrText>
        </w:r>
        <w:r>
          <w:fldChar w:fldCharType="separate"/>
        </w:r>
        <w:r w:rsidR="00A44672">
          <w:t>52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07" w:history="1">
        <w:r w:rsidRPr="009F1E8B">
          <w:t>56</w:t>
        </w:r>
        <w:r>
          <w:rPr>
            <w:rFonts w:asciiTheme="minorHAnsi" w:eastAsiaTheme="minorEastAsia" w:hAnsiTheme="minorHAnsi" w:cstheme="minorBidi"/>
            <w:sz w:val="22"/>
            <w:szCs w:val="22"/>
            <w:lang w:eastAsia="en-AU"/>
          </w:rPr>
          <w:tab/>
        </w:r>
        <w:r w:rsidRPr="009F1E8B">
          <w:t>Compensation to lessor</w:t>
        </w:r>
        <w:r>
          <w:tab/>
        </w:r>
        <w:r>
          <w:fldChar w:fldCharType="begin"/>
        </w:r>
        <w:r>
          <w:instrText xml:space="preserve"> PAGEREF _Toc23417907 \h </w:instrText>
        </w:r>
        <w:r>
          <w:fldChar w:fldCharType="separate"/>
        </w:r>
        <w:r w:rsidR="00A44672">
          <w:t>53</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08" w:history="1">
        <w:r w:rsidRPr="009F1E8B">
          <w:t>57</w:t>
        </w:r>
        <w:r>
          <w:rPr>
            <w:rFonts w:asciiTheme="minorHAnsi" w:eastAsiaTheme="minorEastAsia" w:hAnsiTheme="minorHAnsi" w:cstheme="minorBidi"/>
            <w:sz w:val="22"/>
            <w:szCs w:val="22"/>
            <w:lang w:eastAsia="en-AU"/>
          </w:rPr>
          <w:tab/>
        </w:r>
        <w:r w:rsidRPr="009F1E8B">
          <w:t>Retaliatory applications</w:t>
        </w:r>
        <w:r>
          <w:tab/>
        </w:r>
        <w:r>
          <w:fldChar w:fldCharType="begin"/>
        </w:r>
        <w:r>
          <w:instrText xml:space="preserve"> PAGEREF _Toc23417908 \h </w:instrText>
        </w:r>
        <w:r>
          <w:fldChar w:fldCharType="separate"/>
        </w:r>
        <w:r w:rsidR="00A44672">
          <w:t>53</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909" w:history="1">
        <w:r w:rsidR="00462EC1" w:rsidRPr="009F1E8B">
          <w:t>Division 4.5</w:t>
        </w:r>
        <w:r w:rsidR="00462EC1">
          <w:rPr>
            <w:rFonts w:asciiTheme="minorHAnsi" w:eastAsiaTheme="minorEastAsia" w:hAnsiTheme="minorHAnsi" w:cstheme="minorBidi"/>
            <w:b w:val="0"/>
            <w:sz w:val="22"/>
            <w:szCs w:val="22"/>
            <w:lang w:eastAsia="en-AU"/>
          </w:rPr>
          <w:tab/>
        </w:r>
        <w:r w:rsidR="00462EC1" w:rsidRPr="009F1E8B">
          <w:t>Defective termination notices</w:t>
        </w:r>
        <w:r w:rsidR="00462EC1" w:rsidRPr="00462EC1">
          <w:rPr>
            <w:vanish/>
          </w:rPr>
          <w:tab/>
        </w:r>
        <w:r w:rsidR="00462EC1" w:rsidRPr="00462EC1">
          <w:rPr>
            <w:vanish/>
          </w:rPr>
          <w:fldChar w:fldCharType="begin"/>
        </w:r>
        <w:r w:rsidR="00462EC1" w:rsidRPr="00462EC1">
          <w:rPr>
            <w:vanish/>
          </w:rPr>
          <w:instrText xml:space="preserve"> PAGEREF _Toc23417909 \h </w:instrText>
        </w:r>
        <w:r w:rsidR="00462EC1" w:rsidRPr="00462EC1">
          <w:rPr>
            <w:vanish/>
          </w:rPr>
        </w:r>
        <w:r w:rsidR="00462EC1" w:rsidRPr="00462EC1">
          <w:rPr>
            <w:vanish/>
          </w:rPr>
          <w:fldChar w:fldCharType="separate"/>
        </w:r>
        <w:r w:rsidR="00A44672">
          <w:rPr>
            <w:vanish/>
          </w:rPr>
          <w:t>54</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10" w:history="1">
        <w:r w:rsidRPr="009F1E8B">
          <w:t>58</w:t>
        </w:r>
        <w:r>
          <w:rPr>
            <w:rFonts w:asciiTheme="minorHAnsi" w:eastAsiaTheme="minorEastAsia" w:hAnsiTheme="minorHAnsi" w:cstheme="minorBidi"/>
            <w:sz w:val="22"/>
            <w:szCs w:val="22"/>
            <w:lang w:eastAsia="en-AU"/>
          </w:rPr>
          <w:tab/>
        </w:r>
        <w:r w:rsidRPr="009F1E8B">
          <w:t>Lessor’s defective notice if tenant vacates</w:t>
        </w:r>
        <w:r>
          <w:tab/>
        </w:r>
        <w:r>
          <w:fldChar w:fldCharType="begin"/>
        </w:r>
        <w:r>
          <w:instrText xml:space="preserve"> PAGEREF _Toc23417910 \h </w:instrText>
        </w:r>
        <w:r>
          <w:fldChar w:fldCharType="separate"/>
        </w:r>
        <w:r w:rsidR="00A44672">
          <w:t>54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11" w:history="1">
        <w:r w:rsidRPr="009F1E8B">
          <w:t>59</w:t>
        </w:r>
        <w:r>
          <w:rPr>
            <w:rFonts w:asciiTheme="minorHAnsi" w:eastAsiaTheme="minorEastAsia" w:hAnsiTheme="minorHAnsi" w:cstheme="minorBidi"/>
            <w:sz w:val="22"/>
            <w:szCs w:val="22"/>
            <w:lang w:eastAsia="en-AU"/>
          </w:rPr>
          <w:tab/>
        </w:r>
        <w:r w:rsidRPr="009F1E8B">
          <w:t>Lessor’s defective notice if tenant does not vacate</w:t>
        </w:r>
        <w:r>
          <w:tab/>
        </w:r>
        <w:r>
          <w:fldChar w:fldCharType="begin"/>
        </w:r>
        <w:r>
          <w:instrText xml:space="preserve"> PAGEREF _Toc23417911 \h </w:instrText>
        </w:r>
        <w:r>
          <w:fldChar w:fldCharType="separate"/>
        </w:r>
        <w:r w:rsidR="00A44672">
          <w:t>55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12" w:history="1">
        <w:r w:rsidRPr="009F1E8B">
          <w:t>60</w:t>
        </w:r>
        <w:r>
          <w:rPr>
            <w:rFonts w:asciiTheme="minorHAnsi" w:eastAsiaTheme="minorEastAsia" w:hAnsiTheme="minorHAnsi" w:cstheme="minorBidi"/>
            <w:sz w:val="22"/>
            <w:szCs w:val="22"/>
            <w:lang w:eastAsia="en-AU"/>
          </w:rPr>
          <w:tab/>
        </w:r>
        <w:r w:rsidRPr="009F1E8B">
          <w:t>Tenant’s defective termination notice</w:t>
        </w:r>
        <w:r>
          <w:tab/>
        </w:r>
        <w:r>
          <w:fldChar w:fldCharType="begin"/>
        </w:r>
        <w:r>
          <w:instrText xml:space="preserve"> PAGEREF _Toc23417912 \h </w:instrText>
        </w:r>
        <w:r>
          <w:fldChar w:fldCharType="separate"/>
        </w:r>
        <w:r w:rsidR="00A44672">
          <w:t>56</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913" w:history="1">
        <w:r w:rsidR="00462EC1" w:rsidRPr="009F1E8B">
          <w:t>Division 4.6</w:t>
        </w:r>
        <w:r w:rsidR="00462EC1">
          <w:rPr>
            <w:rFonts w:asciiTheme="minorHAnsi" w:eastAsiaTheme="minorEastAsia" w:hAnsiTheme="minorHAnsi" w:cstheme="minorBidi"/>
            <w:b w:val="0"/>
            <w:sz w:val="22"/>
            <w:szCs w:val="22"/>
            <w:lang w:eastAsia="en-AU"/>
          </w:rPr>
          <w:tab/>
        </w:r>
        <w:r w:rsidR="00462EC1" w:rsidRPr="009F1E8B">
          <w:t>Abandonment of premises</w:t>
        </w:r>
        <w:r w:rsidR="00462EC1" w:rsidRPr="00462EC1">
          <w:rPr>
            <w:vanish/>
          </w:rPr>
          <w:tab/>
        </w:r>
        <w:r w:rsidR="00462EC1" w:rsidRPr="00462EC1">
          <w:rPr>
            <w:vanish/>
          </w:rPr>
          <w:fldChar w:fldCharType="begin"/>
        </w:r>
        <w:r w:rsidR="00462EC1" w:rsidRPr="00462EC1">
          <w:rPr>
            <w:vanish/>
          </w:rPr>
          <w:instrText xml:space="preserve"> PAGEREF _Toc23417913 \h </w:instrText>
        </w:r>
        <w:r w:rsidR="00462EC1" w:rsidRPr="00462EC1">
          <w:rPr>
            <w:vanish/>
          </w:rPr>
        </w:r>
        <w:r w:rsidR="00462EC1" w:rsidRPr="00462EC1">
          <w:rPr>
            <w:vanish/>
          </w:rPr>
          <w:fldChar w:fldCharType="separate"/>
        </w:r>
        <w:r w:rsidR="00A44672">
          <w:rPr>
            <w:vanish/>
          </w:rPr>
          <w:t>56</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14" w:history="1">
        <w:r w:rsidRPr="009F1E8B">
          <w:t>61</w:t>
        </w:r>
        <w:r>
          <w:rPr>
            <w:rFonts w:asciiTheme="minorHAnsi" w:eastAsiaTheme="minorEastAsia" w:hAnsiTheme="minorHAnsi" w:cstheme="minorBidi"/>
            <w:sz w:val="22"/>
            <w:szCs w:val="22"/>
            <w:lang w:eastAsia="en-AU"/>
          </w:rPr>
          <w:tab/>
        </w:r>
        <w:r w:rsidRPr="009F1E8B">
          <w:t>Effect of abandonment</w:t>
        </w:r>
        <w:r>
          <w:tab/>
        </w:r>
        <w:r>
          <w:fldChar w:fldCharType="begin"/>
        </w:r>
        <w:r>
          <w:instrText xml:space="preserve"> PAGEREF _Toc23417914 \h </w:instrText>
        </w:r>
        <w:r>
          <w:fldChar w:fldCharType="separate"/>
        </w:r>
        <w:r w:rsidR="00A44672">
          <w:t>56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15" w:history="1">
        <w:r w:rsidRPr="009F1E8B">
          <w:t>61A</w:t>
        </w:r>
        <w:r>
          <w:rPr>
            <w:rFonts w:asciiTheme="minorHAnsi" w:eastAsiaTheme="minorEastAsia" w:hAnsiTheme="minorHAnsi" w:cstheme="minorBidi"/>
            <w:sz w:val="22"/>
            <w:szCs w:val="22"/>
            <w:lang w:eastAsia="en-AU"/>
          </w:rPr>
          <w:tab/>
        </w:r>
        <w:r w:rsidRPr="009F1E8B">
          <w:t>Lessor may enter premises to confirm abandonment</w:t>
        </w:r>
        <w:r>
          <w:tab/>
        </w:r>
        <w:r>
          <w:fldChar w:fldCharType="begin"/>
        </w:r>
        <w:r>
          <w:instrText xml:space="preserve"> PAGEREF _Toc23417915 \h </w:instrText>
        </w:r>
        <w:r>
          <w:fldChar w:fldCharType="separate"/>
        </w:r>
        <w:r w:rsidR="00A44672">
          <w:t>57</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16" w:history="1">
        <w:r w:rsidRPr="009F1E8B">
          <w:t>62</w:t>
        </w:r>
        <w:r>
          <w:rPr>
            <w:rFonts w:asciiTheme="minorHAnsi" w:eastAsiaTheme="minorEastAsia" w:hAnsiTheme="minorHAnsi" w:cstheme="minorBidi"/>
            <w:sz w:val="22"/>
            <w:szCs w:val="22"/>
            <w:lang w:eastAsia="en-AU"/>
          </w:rPr>
          <w:tab/>
        </w:r>
        <w:r w:rsidRPr="009F1E8B">
          <w:t>Abandonment during fixed term</w:t>
        </w:r>
        <w:r>
          <w:tab/>
        </w:r>
        <w:r>
          <w:fldChar w:fldCharType="begin"/>
        </w:r>
        <w:r>
          <w:instrText xml:space="preserve"> PAGEREF _Toc23417916 \h </w:instrText>
        </w:r>
        <w:r>
          <w:fldChar w:fldCharType="separate"/>
        </w:r>
        <w:r w:rsidR="00A44672">
          <w:t>57</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17" w:history="1">
        <w:r w:rsidRPr="009F1E8B">
          <w:t>63</w:t>
        </w:r>
        <w:r>
          <w:rPr>
            <w:rFonts w:asciiTheme="minorHAnsi" w:eastAsiaTheme="minorEastAsia" w:hAnsiTheme="minorHAnsi" w:cstheme="minorBidi"/>
            <w:sz w:val="22"/>
            <w:szCs w:val="22"/>
            <w:lang w:eastAsia="en-AU"/>
          </w:rPr>
          <w:tab/>
        </w:r>
        <w:r w:rsidRPr="009F1E8B">
          <w:t>Abandonment during periodic agreement</w:t>
        </w:r>
        <w:r>
          <w:tab/>
        </w:r>
        <w:r>
          <w:fldChar w:fldCharType="begin"/>
        </w:r>
        <w:r>
          <w:instrText xml:space="preserve"> PAGEREF _Toc23417917 \h </w:instrText>
        </w:r>
        <w:r>
          <w:fldChar w:fldCharType="separate"/>
        </w:r>
        <w:r w:rsidR="00A44672">
          <w:t>58</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918" w:history="1">
        <w:r w:rsidR="00462EC1" w:rsidRPr="009F1E8B">
          <w:t>Division 4.7</w:t>
        </w:r>
        <w:r w:rsidR="00462EC1">
          <w:rPr>
            <w:rFonts w:asciiTheme="minorHAnsi" w:eastAsiaTheme="minorEastAsia" w:hAnsiTheme="minorHAnsi" w:cstheme="minorBidi"/>
            <w:b w:val="0"/>
            <w:sz w:val="22"/>
            <w:szCs w:val="22"/>
            <w:lang w:eastAsia="en-AU"/>
          </w:rPr>
          <w:tab/>
        </w:r>
        <w:r w:rsidR="00462EC1" w:rsidRPr="009F1E8B">
          <w:t>Miscellaneous</w:t>
        </w:r>
        <w:r w:rsidR="00462EC1" w:rsidRPr="00462EC1">
          <w:rPr>
            <w:vanish/>
          </w:rPr>
          <w:tab/>
        </w:r>
        <w:r w:rsidR="00462EC1" w:rsidRPr="00462EC1">
          <w:rPr>
            <w:vanish/>
          </w:rPr>
          <w:fldChar w:fldCharType="begin"/>
        </w:r>
        <w:r w:rsidR="00462EC1" w:rsidRPr="00462EC1">
          <w:rPr>
            <w:vanish/>
          </w:rPr>
          <w:instrText xml:space="preserve"> PAGEREF _Toc23417918 \h </w:instrText>
        </w:r>
        <w:r w:rsidR="00462EC1" w:rsidRPr="00462EC1">
          <w:rPr>
            <w:vanish/>
          </w:rPr>
        </w:r>
        <w:r w:rsidR="00462EC1" w:rsidRPr="00462EC1">
          <w:rPr>
            <w:vanish/>
          </w:rPr>
          <w:fldChar w:fldCharType="separate"/>
        </w:r>
        <w:r w:rsidR="00A44672">
          <w:rPr>
            <w:vanish/>
          </w:rPr>
          <w:t>59</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19" w:history="1">
        <w:r w:rsidRPr="009F1E8B">
          <w:t>64</w:t>
        </w:r>
        <w:r>
          <w:rPr>
            <w:rFonts w:asciiTheme="minorHAnsi" w:eastAsiaTheme="minorEastAsia" w:hAnsiTheme="minorHAnsi" w:cstheme="minorBidi"/>
            <w:sz w:val="22"/>
            <w:szCs w:val="22"/>
            <w:lang w:eastAsia="en-AU"/>
          </w:rPr>
          <w:tab/>
        </w:r>
        <w:r w:rsidRPr="009F1E8B">
          <w:t>Successor in title to lessor</w:t>
        </w:r>
        <w:r>
          <w:tab/>
        </w:r>
        <w:r>
          <w:fldChar w:fldCharType="begin"/>
        </w:r>
        <w:r>
          <w:instrText xml:space="preserve"> PAGEREF _Toc23417919 \h </w:instrText>
        </w:r>
        <w:r>
          <w:fldChar w:fldCharType="separate"/>
        </w:r>
        <w:r w:rsidR="00A44672">
          <w:t>59</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20" w:history="1">
        <w:r w:rsidRPr="009F1E8B">
          <w:t>64AA</w:t>
        </w:r>
        <w:r>
          <w:rPr>
            <w:rFonts w:asciiTheme="minorHAnsi" w:eastAsiaTheme="minorEastAsia" w:hAnsiTheme="minorHAnsi" w:cstheme="minorBidi"/>
            <w:sz w:val="22"/>
            <w:szCs w:val="22"/>
            <w:lang w:eastAsia="en-AU"/>
          </w:rPr>
          <w:tab/>
        </w:r>
        <w:r w:rsidRPr="009F1E8B">
          <w:t>Termination—affected residential premises</w:t>
        </w:r>
        <w:r>
          <w:tab/>
        </w:r>
        <w:r>
          <w:fldChar w:fldCharType="begin"/>
        </w:r>
        <w:r>
          <w:instrText xml:space="preserve"> PAGEREF _Toc23417920 \h </w:instrText>
        </w:r>
        <w:r>
          <w:fldChar w:fldCharType="separate"/>
        </w:r>
        <w:r w:rsidR="00A44672">
          <w:t>60</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21" w:history="1">
        <w:r w:rsidRPr="009F1E8B">
          <w:t>64AB</w:t>
        </w:r>
        <w:r>
          <w:rPr>
            <w:rFonts w:asciiTheme="minorHAnsi" w:eastAsiaTheme="minorEastAsia" w:hAnsiTheme="minorHAnsi" w:cstheme="minorBidi"/>
            <w:sz w:val="22"/>
            <w:szCs w:val="22"/>
            <w:lang w:eastAsia="en-AU"/>
          </w:rPr>
          <w:tab/>
        </w:r>
        <w:r w:rsidRPr="009F1E8B">
          <w:t>Termination—eligible impacted property</w:t>
        </w:r>
        <w:r>
          <w:tab/>
        </w:r>
        <w:r>
          <w:fldChar w:fldCharType="begin"/>
        </w:r>
        <w:r>
          <w:instrText xml:space="preserve"> PAGEREF _Toc23417921 \h </w:instrText>
        </w:r>
        <w:r>
          <w:fldChar w:fldCharType="separate"/>
        </w:r>
        <w:r w:rsidR="00A44672">
          <w:t>60</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7922" w:history="1">
        <w:r w:rsidR="00462EC1" w:rsidRPr="009F1E8B">
          <w:t>Part 5</w:t>
        </w:r>
        <w:r w:rsidR="00462EC1">
          <w:rPr>
            <w:rFonts w:asciiTheme="minorHAnsi" w:eastAsiaTheme="minorEastAsia" w:hAnsiTheme="minorHAnsi" w:cstheme="minorBidi"/>
            <w:b w:val="0"/>
            <w:sz w:val="22"/>
            <w:szCs w:val="22"/>
            <w:lang w:eastAsia="en-AU"/>
          </w:rPr>
          <w:tab/>
        </w:r>
        <w:r w:rsidR="00462EC1" w:rsidRPr="009F1E8B">
          <w:t>Rental rate increases</w:t>
        </w:r>
        <w:r w:rsidR="00462EC1" w:rsidRPr="00462EC1">
          <w:rPr>
            <w:vanish/>
          </w:rPr>
          <w:tab/>
        </w:r>
        <w:r w:rsidR="00462EC1" w:rsidRPr="00462EC1">
          <w:rPr>
            <w:vanish/>
          </w:rPr>
          <w:fldChar w:fldCharType="begin"/>
        </w:r>
        <w:r w:rsidR="00462EC1" w:rsidRPr="00462EC1">
          <w:rPr>
            <w:vanish/>
          </w:rPr>
          <w:instrText xml:space="preserve"> PAGEREF _Toc23417922 \h </w:instrText>
        </w:r>
        <w:r w:rsidR="00462EC1" w:rsidRPr="00462EC1">
          <w:rPr>
            <w:vanish/>
          </w:rPr>
        </w:r>
        <w:r w:rsidR="00462EC1" w:rsidRPr="00462EC1">
          <w:rPr>
            <w:vanish/>
          </w:rPr>
          <w:fldChar w:fldCharType="separate"/>
        </w:r>
        <w:r w:rsidR="00A44672">
          <w:rPr>
            <w:vanish/>
          </w:rPr>
          <w:t>61</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23" w:history="1">
        <w:r w:rsidRPr="009F1E8B">
          <w:t>64A</w:t>
        </w:r>
        <w:r>
          <w:rPr>
            <w:rFonts w:asciiTheme="minorHAnsi" w:eastAsiaTheme="minorEastAsia" w:hAnsiTheme="minorHAnsi" w:cstheme="minorBidi"/>
            <w:sz w:val="22"/>
            <w:szCs w:val="22"/>
            <w:lang w:eastAsia="en-AU"/>
          </w:rPr>
          <w:tab/>
        </w:r>
        <w:r w:rsidRPr="009F1E8B">
          <w:t>Standard residential tenancy term—increase in rent</w:t>
        </w:r>
        <w:r>
          <w:tab/>
        </w:r>
        <w:r>
          <w:fldChar w:fldCharType="begin"/>
        </w:r>
        <w:r>
          <w:instrText xml:space="preserve"> PAGEREF _Toc23417923 \h </w:instrText>
        </w:r>
        <w:r>
          <w:fldChar w:fldCharType="separate"/>
        </w:r>
        <w:r w:rsidR="00A44672">
          <w:t>61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24" w:history="1">
        <w:r w:rsidRPr="009F1E8B">
          <w:t>64B</w:t>
        </w:r>
        <w:r>
          <w:rPr>
            <w:rFonts w:asciiTheme="minorHAnsi" w:eastAsiaTheme="minorEastAsia" w:hAnsiTheme="minorHAnsi" w:cstheme="minorBidi"/>
            <w:sz w:val="22"/>
            <w:szCs w:val="22"/>
            <w:lang w:eastAsia="en-AU"/>
          </w:rPr>
          <w:tab/>
        </w:r>
        <w:r w:rsidRPr="009F1E8B">
          <w:t>Limitation on rent increases</w:t>
        </w:r>
        <w:r>
          <w:tab/>
        </w:r>
        <w:r>
          <w:fldChar w:fldCharType="begin"/>
        </w:r>
        <w:r>
          <w:instrText xml:space="preserve"> PAGEREF _Toc23417924 \h </w:instrText>
        </w:r>
        <w:r>
          <w:fldChar w:fldCharType="separate"/>
        </w:r>
        <w:r w:rsidR="00A44672">
          <w:t>61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25" w:history="1">
        <w:r w:rsidRPr="009F1E8B">
          <w:t>64C</w:t>
        </w:r>
        <w:r>
          <w:rPr>
            <w:rFonts w:asciiTheme="minorHAnsi" w:eastAsiaTheme="minorEastAsia" w:hAnsiTheme="minorHAnsi" w:cstheme="minorBidi"/>
            <w:sz w:val="22"/>
            <w:szCs w:val="22"/>
            <w:lang w:eastAsia="en-AU"/>
          </w:rPr>
          <w:tab/>
        </w:r>
        <w:r w:rsidRPr="009F1E8B">
          <w:t>Tenant may apply for review</w:t>
        </w:r>
        <w:r>
          <w:tab/>
        </w:r>
        <w:r>
          <w:fldChar w:fldCharType="begin"/>
        </w:r>
        <w:r>
          <w:instrText xml:space="preserve"> PAGEREF _Toc23417925 \h </w:instrText>
        </w:r>
        <w:r>
          <w:fldChar w:fldCharType="separate"/>
        </w:r>
        <w:r w:rsidR="00A44672">
          <w:t>62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26" w:history="1">
        <w:r w:rsidRPr="009F1E8B">
          <w:t>65</w:t>
        </w:r>
        <w:r>
          <w:rPr>
            <w:rFonts w:asciiTheme="minorHAnsi" w:eastAsiaTheme="minorEastAsia" w:hAnsiTheme="minorHAnsi" w:cstheme="minorBidi"/>
            <w:sz w:val="22"/>
            <w:szCs w:val="22"/>
            <w:lang w:eastAsia="en-AU"/>
          </w:rPr>
          <w:tab/>
        </w:r>
        <w:r w:rsidRPr="009F1E8B">
          <w:t>Waiver of notice requirements</w:t>
        </w:r>
        <w:r>
          <w:tab/>
        </w:r>
        <w:r>
          <w:fldChar w:fldCharType="begin"/>
        </w:r>
        <w:r>
          <w:instrText xml:space="preserve"> PAGEREF _Toc23417926 \h </w:instrText>
        </w:r>
        <w:r>
          <w:fldChar w:fldCharType="separate"/>
        </w:r>
        <w:r w:rsidR="00A44672">
          <w:t>62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27" w:history="1">
        <w:r w:rsidRPr="009F1E8B">
          <w:t>66</w:t>
        </w:r>
        <w:r>
          <w:rPr>
            <w:rFonts w:asciiTheme="minorHAnsi" w:eastAsiaTheme="minorEastAsia" w:hAnsiTheme="minorHAnsi" w:cstheme="minorBidi"/>
            <w:sz w:val="22"/>
            <w:szCs w:val="22"/>
            <w:lang w:eastAsia="en-AU"/>
          </w:rPr>
          <w:tab/>
        </w:r>
        <w:r w:rsidRPr="009F1E8B">
          <w:t>Freezing rents</w:t>
        </w:r>
        <w:r>
          <w:tab/>
        </w:r>
        <w:r>
          <w:fldChar w:fldCharType="begin"/>
        </w:r>
        <w:r>
          <w:instrText xml:space="preserve"> PAGEREF _Toc23417927 \h </w:instrText>
        </w:r>
        <w:r>
          <w:fldChar w:fldCharType="separate"/>
        </w:r>
        <w:r w:rsidR="00A44672">
          <w:t>62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28" w:history="1">
        <w:r w:rsidRPr="009F1E8B">
          <w:t>68</w:t>
        </w:r>
        <w:r>
          <w:rPr>
            <w:rFonts w:asciiTheme="minorHAnsi" w:eastAsiaTheme="minorEastAsia" w:hAnsiTheme="minorHAnsi" w:cstheme="minorBidi"/>
            <w:sz w:val="22"/>
            <w:szCs w:val="22"/>
            <w:lang w:eastAsia="en-AU"/>
          </w:rPr>
          <w:tab/>
        </w:r>
        <w:r w:rsidRPr="009F1E8B">
          <w:t>Guideline for orders</w:t>
        </w:r>
        <w:r>
          <w:tab/>
        </w:r>
        <w:r>
          <w:fldChar w:fldCharType="begin"/>
        </w:r>
        <w:r>
          <w:instrText xml:space="preserve"> PAGEREF _Toc23417928 \h </w:instrText>
        </w:r>
        <w:r>
          <w:fldChar w:fldCharType="separate"/>
        </w:r>
        <w:r w:rsidR="00A44672">
          <w:t>63</w:t>
        </w:r>
        <w:r>
          <w:fldChar w:fldCharType="end"/>
        </w:r>
      </w:hyperlink>
    </w:p>
    <w:p w:rsidR="00462EC1" w:rsidRDefault="00462EC1">
      <w:pPr>
        <w:pStyle w:val="TOC5"/>
        <w:rPr>
          <w:rFonts w:asciiTheme="minorHAnsi" w:eastAsiaTheme="minorEastAsia" w:hAnsiTheme="minorHAnsi" w:cstheme="minorBidi"/>
          <w:sz w:val="22"/>
          <w:szCs w:val="22"/>
          <w:lang w:eastAsia="en-AU"/>
        </w:rPr>
      </w:pPr>
      <w:r>
        <w:lastRenderedPageBreak/>
        <w:tab/>
      </w:r>
      <w:hyperlink w:anchor="_Toc23417929" w:history="1">
        <w:r w:rsidRPr="009F1E8B">
          <w:t>68A</w:t>
        </w:r>
        <w:r>
          <w:rPr>
            <w:rFonts w:asciiTheme="minorHAnsi" w:eastAsiaTheme="minorEastAsia" w:hAnsiTheme="minorHAnsi" w:cstheme="minorBidi"/>
            <w:sz w:val="22"/>
            <w:szCs w:val="22"/>
            <w:lang w:eastAsia="en-AU"/>
          </w:rPr>
          <w:tab/>
        </w:r>
        <w:r w:rsidRPr="009F1E8B">
          <w:t>Orders</w:t>
        </w:r>
        <w:r>
          <w:tab/>
        </w:r>
        <w:r>
          <w:fldChar w:fldCharType="begin"/>
        </w:r>
        <w:r>
          <w:instrText xml:space="preserve"> PAGEREF _Toc23417929 \h </w:instrText>
        </w:r>
        <w:r>
          <w:fldChar w:fldCharType="separate"/>
        </w:r>
        <w:r w:rsidR="00A44672">
          <w:t>64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30" w:history="1">
        <w:r w:rsidRPr="009F1E8B">
          <w:t>69</w:t>
        </w:r>
        <w:r>
          <w:rPr>
            <w:rFonts w:asciiTheme="minorHAnsi" w:eastAsiaTheme="minorEastAsia" w:hAnsiTheme="minorHAnsi" w:cstheme="minorBidi"/>
            <w:sz w:val="22"/>
            <w:szCs w:val="22"/>
            <w:lang w:eastAsia="en-AU"/>
          </w:rPr>
          <w:tab/>
        </w:r>
        <w:r w:rsidRPr="009F1E8B">
          <w:t>Effect of orders</w:t>
        </w:r>
        <w:r>
          <w:tab/>
        </w:r>
        <w:r>
          <w:fldChar w:fldCharType="begin"/>
        </w:r>
        <w:r>
          <w:instrText xml:space="preserve"> PAGEREF _Toc23417930 \h </w:instrText>
        </w:r>
        <w:r>
          <w:fldChar w:fldCharType="separate"/>
        </w:r>
        <w:r w:rsidR="00A44672">
          <w:t>64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31" w:history="1">
        <w:r w:rsidRPr="009F1E8B">
          <w:t>70</w:t>
        </w:r>
        <w:r>
          <w:rPr>
            <w:rFonts w:asciiTheme="minorHAnsi" w:eastAsiaTheme="minorEastAsia" w:hAnsiTheme="minorHAnsi" w:cstheme="minorBidi"/>
            <w:sz w:val="22"/>
            <w:szCs w:val="22"/>
            <w:lang w:eastAsia="en-AU"/>
          </w:rPr>
          <w:tab/>
        </w:r>
        <w:r w:rsidRPr="009F1E8B">
          <w:t>Further increases</w:t>
        </w:r>
        <w:r>
          <w:tab/>
        </w:r>
        <w:r>
          <w:fldChar w:fldCharType="begin"/>
        </w:r>
        <w:r>
          <w:instrText xml:space="preserve"> PAGEREF _Toc23417931 \h </w:instrText>
        </w:r>
        <w:r>
          <w:fldChar w:fldCharType="separate"/>
        </w:r>
        <w:r w:rsidR="00A44672">
          <w:t>65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32" w:history="1">
        <w:r w:rsidRPr="009F1E8B">
          <w:t>71</w:t>
        </w:r>
        <w:r>
          <w:rPr>
            <w:rFonts w:asciiTheme="minorHAnsi" w:eastAsiaTheme="minorEastAsia" w:hAnsiTheme="minorHAnsi" w:cstheme="minorBidi"/>
            <w:sz w:val="22"/>
            <w:szCs w:val="22"/>
            <w:lang w:eastAsia="en-AU"/>
          </w:rPr>
          <w:tab/>
        </w:r>
        <w:r w:rsidRPr="009F1E8B">
          <w:t>Reduction of existing rent</w:t>
        </w:r>
        <w:r>
          <w:tab/>
        </w:r>
        <w:r>
          <w:fldChar w:fldCharType="begin"/>
        </w:r>
        <w:r>
          <w:instrText xml:space="preserve"> PAGEREF _Toc23417932 \h </w:instrText>
        </w:r>
        <w:r>
          <w:fldChar w:fldCharType="separate"/>
        </w:r>
        <w:r w:rsidR="00A44672">
          <w:t>65</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7933" w:history="1">
        <w:r w:rsidR="00462EC1" w:rsidRPr="009F1E8B">
          <w:t>Part 5AA</w:t>
        </w:r>
        <w:r w:rsidR="00462EC1">
          <w:rPr>
            <w:rFonts w:asciiTheme="minorHAnsi" w:eastAsiaTheme="minorEastAsia" w:hAnsiTheme="minorHAnsi" w:cstheme="minorBidi"/>
            <w:b w:val="0"/>
            <w:sz w:val="22"/>
            <w:szCs w:val="22"/>
            <w:lang w:eastAsia="en-AU"/>
          </w:rPr>
          <w:tab/>
        </w:r>
        <w:r w:rsidR="00462EC1" w:rsidRPr="009F1E8B">
          <w:t>Lessor’s consent in certain matters</w:t>
        </w:r>
        <w:r w:rsidR="00462EC1" w:rsidRPr="00462EC1">
          <w:rPr>
            <w:vanish/>
          </w:rPr>
          <w:tab/>
        </w:r>
        <w:r w:rsidR="00462EC1" w:rsidRPr="00462EC1">
          <w:rPr>
            <w:vanish/>
          </w:rPr>
          <w:fldChar w:fldCharType="begin"/>
        </w:r>
        <w:r w:rsidR="00462EC1" w:rsidRPr="00462EC1">
          <w:rPr>
            <w:vanish/>
          </w:rPr>
          <w:instrText xml:space="preserve"> PAGEREF _Toc23417933 \h </w:instrText>
        </w:r>
        <w:r w:rsidR="00462EC1" w:rsidRPr="00462EC1">
          <w:rPr>
            <w:vanish/>
          </w:rPr>
        </w:r>
        <w:r w:rsidR="00462EC1" w:rsidRPr="00462EC1">
          <w:rPr>
            <w:vanish/>
          </w:rPr>
          <w:fldChar w:fldCharType="separate"/>
        </w:r>
        <w:r w:rsidR="00A44672">
          <w:rPr>
            <w:vanish/>
          </w:rPr>
          <w:t>67</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34" w:history="1">
        <w:r w:rsidRPr="009F1E8B">
          <w:t>71AA</w:t>
        </w:r>
        <w:r>
          <w:rPr>
            <w:rFonts w:asciiTheme="minorHAnsi" w:eastAsiaTheme="minorEastAsia" w:hAnsiTheme="minorHAnsi" w:cstheme="minorBidi"/>
            <w:sz w:val="22"/>
            <w:szCs w:val="22"/>
            <w:lang w:eastAsia="en-AU"/>
          </w:rPr>
          <w:tab/>
        </w:r>
        <w:r w:rsidRPr="009F1E8B">
          <w:t>Definitions—pt 5AA</w:t>
        </w:r>
        <w:r>
          <w:tab/>
        </w:r>
        <w:r>
          <w:fldChar w:fldCharType="begin"/>
        </w:r>
        <w:r>
          <w:instrText xml:space="preserve"> PAGEREF _Toc23417934 \h </w:instrText>
        </w:r>
        <w:r>
          <w:fldChar w:fldCharType="separate"/>
        </w:r>
        <w:r w:rsidR="00A44672">
          <w:t>67</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35" w:history="1">
        <w:r w:rsidRPr="009F1E8B">
          <w:t>71AB</w:t>
        </w:r>
        <w:r>
          <w:rPr>
            <w:rFonts w:asciiTheme="minorHAnsi" w:eastAsiaTheme="minorEastAsia" w:hAnsiTheme="minorHAnsi" w:cstheme="minorBidi"/>
            <w:sz w:val="22"/>
            <w:szCs w:val="22"/>
            <w:lang w:eastAsia="en-AU"/>
          </w:rPr>
          <w:tab/>
        </w:r>
        <w:r w:rsidRPr="009F1E8B">
          <w:t>Process for tenant seeking consent—modifications generally</w:t>
        </w:r>
        <w:r>
          <w:tab/>
        </w:r>
        <w:r>
          <w:fldChar w:fldCharType="begin"/>
        </w:r>
        <w:r>
          <w:instrText xml:space="preserve"> PAGEREF _Toc23417935 \h </w:instrText>
        </w:r>
        <w:r>
          <w:fldChar w:fldCharType="separate"/>
        </w:r>
        <w:r w:rsidR="00A44672">
          <w:t>68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36" w:history="1">
        <w:r w:rsidRPr="009F1E8B">
          <w:t>71AC</w:t>
        </w:r>
        <w:r>
          <w:rPr>
            <w:rFonts w:asciiTheme="minorHAnsi" w:eastAsiaTheme="minorEastAsia" w:hAnsiTheme="minorHAnsi" w:cstheme="minorBidi"/>
            <w:sz w:val="22"/>
            <w:szCs w:val="22"/>
            <w:lang w:eastAsia="en-AU"/>
          </w:rPr>
          <w:tab/>
        </w:r>
        <w:r w:rsidRPr="009F1E8B">
          <w:t>Lessor to apply to ACAT for refusal—special modifications</w:t>
        </w:r>
        <w:r>
          <w:tab/>
        </w:r>
        <w:r>
          <w:fldChar w:fldCharType="begin"/>
        </w:r>
        <w:r>
          <w:instrText xml:space="preserve"> PAGEREF _Toc23417936 \h </w:instrText>
        </w:r>
        <w:r>
          <w:fldChar w:fldCharType="separate"/>
        </w:r>
        <w:r w:rsidR="00A44672">
          <w:t>69</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37" w:history="1">
        <w:r w:rsidRPr="009F1E8B">
          <w:t>71AD</w:t>
        </w:r>
        <w:r>
          <w:rPr>
            <w:rFonts w:asciiTheme="minorHAnsi" w:eastAsiaTheme="minorEastAsia" w:hAnsiTheme="minorHAnsi" w:cstheme="minorBidi"/>
            <w:sz w:val="22"/>
            <w:szCs w:val="22"/>
            <w:lang w:eastAsia="en-AU"/>
          </w:rPr>
          <w:tab/>
        </w:r>
        <w:r w:rsidRPr="009F1E8B">
          <w:t>Tenant may apply to ACAT for review of refusal—other modifications</w:t>
        </w:r>
        <w:r>
          <w:tab/>
        </w:r>
        <w:r>
          <w:fldChar w:fldCharType="begin"/>
        </w:r>
        <w:r>
          <w:instrText xml:space="preserve"> PAGEREF _Toc23417937 \h </w:instrText>
        </w:r>
        <w:r>
          <w:fldChar w:fldCharType="separate"/>
        </w:r>
        <w:r w:rsidR="00A44672">
          <w:t>69</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38" w:history="1">
        <w:r w:rsidRPr="009F1E8B">
          <w:t>71AE</w:t>
        </w:r>
        <w:r>
          <w:rPr>
            <w:rFonts w:asciiTheme="minorHAnsi" w:eastAsiaTheme="minorEastAsia" w:hAnsiTheme="minorHAnsi" w:cstheme="minorBidi"/>
            <w:sz w:val="22"/>
            <w:szCs w:val="22"/>
            <w:lang w:eastAsia="en-AU"/>
          </w:rPr>
          <w:tab/>
        </w:r>
        <w:r w:rsidRPr="009F1E8B">
          <w:t>Process for tenant seeking consent—animals</w:t>
        </w:r>
        <w:r>
          <w:tab/>
        </w:r>
        <w:r>
          <w:fldChar w:fldCharType="begin"/>
        </w:r>
        <w:r>
          <w:instrText xml:space="preserve"> PAGEREF _Toc23417938 \h </w:instrText>
        </w:r>
        <w:r>
          <w:fldChar w:fldCharType="separate"/>
        </w:r>
        <w:r w:rsidR="00A44672">
          <w:t>71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39" w:history="1">
        <w:r w:rsidRPr="009F1E8B">
          <w:t>71AF</w:t>
        </w:r>
        <w:r>
          <w:rPr>
            <w:rFonts w:asciiTheme="minorHAnsi" w:eastAsiaTheme="minorEastAsia" w:hAnsiTheme="minorHAnsi" w:cstheme="minorBidi"/>
            <w:sz w:val="22"/>
            <w:szCs w:val="22"/>
            <w:lang w:eastAsia="en-AU"/>
          </w:rPr>
          <w:tab/>
        </w:r>
        <w:r w:rsidRPr="009F1E8B">
          <w:t>Lessor to apply to ACAT for refusal—animals</w:t>
        </w:r>
        <w:r>
          <w:tab/>
        </w:r>
        <w:r>
          <w:fldChar w:fldCharType="begin"/>
        </w:r>
        <w:r>
          <w:instrText xml:space="preserve"> PAGEREF _Toc23417939 \h </w:instrText>
        </w:r>
        <w:r>
          <w:fldChar w:fldCharType="separate"/>
        </w:r>
        <w:r w:rsidR="00A44672">
          <w:t>71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40" w:history="1">
        <w:r w:rsidRPr="009F1E8B">
          <w:t>71AG</w:t>
        </w:r>
        <w:r>
          <w:rPr>
            <w:rFonts w:asciiTheme="minorHAnsi" w:eastAsiaTheme="minorEastAsia" w:hAnsiTheme="minorHAnsi" w:cstheme="minorBidi"/>
            <w:sz w:val="22"/>
            <w:szCs w:val="22"/>
            <w:lang w:eastAsia="en-AU"/>
          </w:rPr>
          <w:tab/>
        </w:r>
        <w:r w:rsidRPr="009F1E8B">
          <w:t>Limitation on lessor’s liability</w:t>
        </w:r>
        <w:r>
          <w:tab/>
        </w:r>
        <w:r>
          <w:fldChar w:fldCharType="begin"/>
        </w:r>
        <w:r>
          <w:instrText xml:space="preserve"> PAGEREF _Toc23417940 \h </w:instrText>
        </w:r>
        <w:r>
          <w:fldChar w:fldCharType="separate"/>
        </w:r>
        <w:r w:rsidR="00A44672">
          <w:t>72</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7941" w:history="1">
        <w:r w:rsidR="00462EC1" w:rsidRPr="009F1E8B">
          <w:t>Part 5A</w:t>
        </w:r>
        <w:r w:rsidR="00462EC1">
          <w:rPr>
            <w:rFonts w:asciiTheme="minorHAnsi" w:eastAsiaTheme="minorEastAsia" w:hAnsiTheme="minorHAnsi" w:cstheme="minorBidi"/>
            <w:b w:val="0"/>
            <w:sz w:val="22"/>
            <w:szCs w:val="22"/>
            <w:lang w:eastAsia="en-AU"/>
          </w:rPr>
          <w:tab/>
        </w:r>
        <w:r w:rsidR="00462EC1" w:rsidRPr="009F1E8B">
          <w:t>Occupancy agreements</w:t>
        </w:r>
        <w:r w:rsidR="00462EC1" w:rsidRPr="00462EC1">
          <w:rPr>
            <w:vanish/>
          </w:rPr>
          <w:tab/>
        </w:r>
        <w:r w:rsidR="00462EC1" w:rsidRPr="00462EC1">
          <w:rPr>
            <w:vanish/>
          </w:rPr>
          <w:fldChar w:fldCharType="begin"/>
        </w:r>
        <w:r w:rsidR="00462EC1" w:rsidRPr="00462EC1">
          <w:rPr>
            <w:vanish/>
          </w:rPr>
          <w:instrText xml:space="preserve"> PAGEREF _Toc23417941 \h </w:instrText>
        </w:r>
        <w:r w:rsidR="00462EC1" w:rsidRPr="00462EC1">
          <w:rPr>
            <w:vanish/>
          </w:rPr>
        </w:r>
        <w:r w:rsidR="00462EC1" w:rsidRPr="00462EC1">
          <w:rPr>
            <w:vanish/>
          </w:rPr>
          <w:fldChar w:fldCharType="separate"/>
        </w:r>
        <w:r w:rsidR="00A44672">
          <w:rPr>
            <w:vanish/>
          </w:rPr>
          <w:t>73</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42" w:history="1">
        <w:r w:rsidRPr="009F1E8B">
          <w:t>71A</w:t>
        </w:r>
        <w:r>
          <w:rPr>
            <w:rFonts w:asciiTheme="minorHAnsi" w:eastAsiaTheme="minorEastAsia" w:hAnsiTheme="minorHAnsi" w:cstheme="minorBidi"/>
            <w:sz w:val="22"/>
            <w:szCs w:val="22"/>
            <w:lang w:eastAsia="en-AU"/>
          </w:rPr>
          <w:tab/>
        </w:r>
        <w:r w:rsidRPr="009F1E8B">
          <w:t xml:space="preserve">Who is a </w:t>
        </w:r>
        <w:r w:rsidRPr="009F1E8B">
          <w:rPr>
            <w:i/>
          </w:rPr>
          <w:t>grantor</w:t>
        </w:r>
        <w:r w:rsidRPr="009F1E8B">
          <w:t>?</w:t>
        </w:r>
        <w:r>
          <w:tab/>
        </w:r>
        <w:r>
          <w:fldChar w:fldCharType="begin"/>
        </w:r>
        <w:r>
          <w:instrText xml:space="preserve"> PAGEREF _Toc23417942 \h </w:instrText>
        </w:r>
        <w:r>
          <w:fldChar w:fldCharType="separate"/>
        </w:r>
        <w:r w:rsidR="00A44672">
          <w:t>73</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43" w:history="1">
        <w:r w:rsidRPr="009F1E8B">
          <w:t>71B</w:t>
        </w:r>
        <w:r>
          <w:rPr>
            <w:rFonts w:asciiTheme="minorHAnsi" w:eastAsiaTheme="minorEastAsia" w:hAnsiTheme="minorHAnsi" w:cstheme="minorBidi"/>
            <w:sz w:val="22"/>
            <w:szCs w:val="22"/>
            <w:lang w:eastAsia="en-AU"/>
          </w:rPr>
          <w:tab/>
        </w:r>
        <w:r w:rsidRPr="009F1E8B">
          <w:t xml:space="preserve">Who is an </w:t>
        </w:r>
        <w:r w:rsidRPr="009F1E8B">
          <w:rPr>
            <w:i/>
          </w:rPr>
          <w:t>occupant</w:t>
        </w:r>
        <w:r w:rsidRPr="009F1E8B">
          <w:t>?</w:t>
        </w:r>
        <w:r>
          <w:tab/>
        </w:r>
        <w:r>
          <w:fldChar w:fldCharType="begin"/>
        </w:r>
        <w:r>
          <w:instrText xml:space="preserve"> PAGEREF _Toc23417943 \h </w:instrText>
        </w:r>
        <w:r>
          <w:fldChar w:fldCharType="separate"/>
        </w:r>
        <w:r w:rsidR="00A44672">
          <w:t>73</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44" w:history="1">
        <w:r w:rsidRPr="009F1E8B">
          <w:t>71C</w:t>
        </w:r>
        <w:r>
          <w:rPr>
            <w:rFonts w:asciiTheme="minorHAnsi" w:eastAsiaTheme="minorEastAsia" w:hAnsiTheme="minorHAnsi" w:cstheme="minorBidi"/>
            <w:sz w:val="22"/>
            <w:szCs w:val="22"/>
            <w:lang w:eastAsia="en-AU"/>
          </w:rPr>
          <w:tab/>
        </w:r>
        <w:r w:rsidRPr="009F1E8B">
          <w:t xml:space="preserve">What is an </w:t>
        </w:r>
        <w:r w:rsidRPr="009F1E8B">
          <w:rPr>
            <w:i/>
          </w:rPr>
          <w:t>occupancy agreement</w:t>
        </w:r>
        <w:r w:rsidRPr="009F1E8B">
          <w:t>?</w:t>
        </w:r>
        <w:r>
          <w:tab/>
        </w:r>
        <w:r>
          <w:fldChar w:fldCharType="begin"/>
        </w:r>
        <w:r>
          <w:instrText xml:space="preserve"> PAGEREF _Toc23417944 \h </w:instrText>
        </w:r>
        <w:r>
          <w:fldChar w:fldCharType="separate"/>
        </w:r>
        <w:r w:rsidR="00A44672">
          <w:t>73</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45" w:history="1">
        <w:r w:rsidRPr="009F1E8B">
          <w:t>71D</w:t>
        </w:r>
        <w:r>
          <w:rPr>
            <w:rFonts w:asciiTheme="minorHAnsi" w:eastAsiaTheme="minorEastAsia" w:hAnsiTheme="minorHAnsi" w:cstheme="minorBidi"/>
            <w:sz w:val="22"/>
            <w:szCs w:val="22"/>
            <w:lang w:eastAsia="en-AU"/>
          </w:rPr>
          <w:tab/>
        </w:r>
        <w:r w:rsidRPr="009F1E8B">
          <w:t>When does an occupancy agreement start?</w:t>
        </w:r>
        <w:r>
          <w:tab/>
        </w:r>
        <w:r>
          <w:fldChar w:fldCharType="begin"/>
        </w:r>
        <w:r>
          <w:instrText xml:space="preserve"> PAGEREF _Toc23417945 \h </w:instrText>
        </w:r>
        <w:r>
          <w:fldChar w:fldCharType="separate"/>
        </w:r>
        <w:r w:rsidR="00A44672">
          <w:t>74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46" w:history="1">
        <w:r w:rsidRPr="009F1E8B">
          <w:t>71E</w:t>
        </w:r>
        <w:r>
          <w:rPr>
            <w:rFonts w:asciiTheme="minorHAnsi" w:eastAsiaTheme="minorEastAsia" w:hAnsiTheme="minorHAnsi" w:cstheme="minorBidi"/>
            <w:sz w:val="22"/>
            <w:szCs w:val="22"/>
            <w:lang w:eastAsia="en-AU"/>
          </w:rPr>
          <w:tab/>
        </w:r>
        <w:r w:rsidRPr="009F1E8B">
          <w:t>Occupancy principles</w:t>
        </w:r>
        <w:r>
          <w:tab/>
        </w:r>
        <w:r>
          <w:fldChar w:fldCharType="begin"/>
        </w:r>
        <w:r>
          <w:instrText xml:space="preserve"> PAGEREF _Toc23417946 \h </w:instrText>
        </w:r>
        <w:r>
          <w:fldChar w:fldCharType="separate"/>
        </w:r>
        <w:r w:rsidR="00A44672">
          <w:t>74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47" w:history="1">
        <w:r w:rsidRPr="009F1E8B">
          <w:t>71F</w:t>
        </w:r>
        <w:r>
          <w:rPr>
            <w:rFonts w:asciiTheme="minorHAnsi" w:eastAsiaTheme="minorEastAsia" w:hAnsiTheme="minorHAnsi" w:cstheme="minorBidi"/>
            <w:sz w:val="22"/>
            <w:szCs w:val="22"/>
            <w:lang w:eastAsia="en-AU"/>
          </w:rPr>
          <w:tab/>
        </w:r>
        <w:r w:rsidRPr="009F1E8B">
          <w:t>Regulations about occupancy agreements</w:t>
        </w:r>
        <w:r>
          <w:tab/>
        </w:r>
        <w:r>
          <w:fldChar w:fldCharType="begin"/>
        </w:r>
        <w:r>
          <w:instrText xml:space="preserve"> PAGEREF _Toc23417947 \h </w:instrText>
        </w:r>
        <w:r>
          <w:fldChar w:fldCharType="separate"/>
        </w:r>
        <w:r w:rsidR="00A44672">
          <w:t>76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48" w:history="1">
        <w:r w:rsidRPr="009F1E8B">
          <w:t>71G</w:t>
        </w:r>
        <w:r>
          <w:rPr>
            <w:rFonts w:asciiTheme="minorHAnsi" w:eastAsiaTheme="minorEastAsia" w:hAnsiTheme="minorHAnsi" w:cstheme="minorBidi"/>
            <w:sz w:val="22"/>
            <w:szCs w:val="22"/>
            <w:lang w:eastAsia="en-AU"/>
          </w:rPr>
          <w:tab/>
        </w:r>
        <w:r w:rsidRPr="009F1E8B">
          <w:t>Standard occupancy terms</w:t>
        </w:r>
        <w:r>
          <w:tab/>
        </w:r>
        <w:r>
          <w:fldChar w:fldCharType="begin"/>
        </w:r>
        <w:r>
          <w:instrText xml:space="preserve"> PAGEREF _Toc23417948 \h </w:instrText>
        </w:r>
        <w:r>
          <w:fldChar w:fldCharType="separate"/>
        </w:r>
        <w:r w:rsidR="00A44672">
          <w:t>76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49" w:history="1">
        <w:r w:rsidRPr="009F1E8B">
          <w:t>71GA</w:t>
        </w:r>
        <w:r>
          <w:rPr>
            <w:rFonts w:asciiTheme="minorHAnsi" w:eastAsiaTheme="minorEastAsia" w:hAnsiTheme="minorHAnsi" w:cstheme="minorBidi"/>
            <w:sz w:val="22"/>
            <w:szCs w:val="22"/>
            <w:lang w:eastAsia="en-AU"/>
          </w:rPr>
          <w:tab/>
        </w:r>
        <w:r w:rsidRPr="009F1E8B">
          <w:t>Occupant may deposit bond with Territory</w:t>
        </w:r>
        <w:r>
          <w:tab/>
        </w:r>
        <w:r>
          <w:fldChar w:fldCharType="begin"/>
        </w:r>
        <w:r>
          <w:instrText xml:space="preserve"> PAGEREF _Toc23417949 \h </w:instrText>
        </w:r>
        <w:r>
          <w:fldChar w:fldCharType="separate"/>
        </w:r>
        <w:r w:rsidR="00A44672">
          <w:t>76</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7950" w:history="1">
        <w:r w:rsidR="00462EC1" w:rsidRPr="009F1E8B">
          <w:t>Part 6</w:t>
        </w:r>
        <w:r w:rsidR="00462EC1">
          <w:rPr>
            <w:rFonts w:asciiTheme="minorHAnsi" w:eastAsiaTheme="minorEastAsia" w:hAnsiTheme="minorHAnsi" w:cstheme="minorBidi"/>
            <w:b w:val="0"/>
            <w:sz w:val="22"/>
            <w:szCs w:val="22"/>
            <w:lang w:eastAsia="en-AU"/>
          </w:rPr>
          <w:tab/>
        </w:r>
        <w:r w:rsidR="00462EC1" w:rsidRPr="009F1E8B">
          <w:t>Resolution of residential tenancy and occupancy disputes</w:t>
        </w:r>
        <w:r w:rsidR="00462EC1" w:rsidRPr="00462EC1">
          <w:rPr>
            <w:vanish/>
          </w:rPr>
          <w:tab/>
        </w:r>
        <w:r w:rsidR="00462EC1" w:rsidRPr="00462EC1">
          <w:rPr>
            <w:vanish/>
          </w:rPr>
          <w:fldChar w:fldCharType="begin"/>
        </w:r>
        <w:r w:rsidR="00462EC1" w:rsidRPr="00462EC1">
          <w:rPr>
            <w:vanish/>
          </w:rPr>
          <w:instrText xml:space="preserve"> PAGEREF _Toc23417950 \h </w:instrText>
        </w:r>
        <w:r w:rsidR="00462EC1" w:rsidRPr="00462EC1">
          <w:rPr>
            <w:vanish/>
          </w:rPr>
        </w:r>
        <w:r w:rsidR="00462EC1" w:rsidRPr="00462EC1">
          <w:rPr>
            <w:vanish/>
          </w:rPr>
          <w:fldChar w:fldCharType="separate"/>
        </w:r>
        <w:r w:rsidR="00A44672">
          <w:rPr>
            <w:vanish/>
          </w:rPr>
          <w:t>78</w:t>
        </w:r>
        <w:r w:rsidR="00462EC1" w:rsidRPr="00462EC1">
          <w:rPr>
            <w:vanish/>
          </w:rP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951" w:history="1">
        <w:r w:rsidR="00462EC1" w:rsidRPr="009F1E8B">
          <w:t>Division 6.1</w:t>
        </w:r>
        <w:r w:rsidR="00462EC1">
          <w:rPr>
            <w:rFonts w:asciiTheme="minorHAnsi" w:eastAsiaTheme="minorEastAsia" w:hAnsiTheme="minorHAnsi" w:cstheme="minorBidi"/>
            <w:b w:val="0"/>
            <w:sz w:val="22"/>
            <w:szCs w:val="22"/>
            <w:lang w:eastAsia="en-AU"/>
          </w:rPr>
          <w:tab/>
        </w:r>
        <w:r w:rsidR="00462EC1" w:rsidRPr="009F1E8B">
          <w:t>Important concepts</w:t>
        </w:r>
        <w:r w:rsidR="00462EC1" w:rsidRPr="00462EC1">
          <w:rPr>
            <w:vanish/>
          </w:rPr>
          <w:tab/>
        </w:r>
        <w:r w:rsidR="00462EC1" w:rsidRPr="00462EC1">
          <w:rPr>
            <w:vanish/>
          </w:rPr>
          <w:fldChar w:fldCharType="begin"/>
        </w:r>
        <w:r w:rsidR="00462EC1" w:rsidRPr="00462EC1">
          <w:rPr>
            <w:vanish/>
          </w:rPr>
          <w:instrText xml:space="preserve"> PAGEREF _Toc23417951 \h </w:instrText>
        </w:r>
        <w:r w:rsidR="00462EC1" w:rsidRPr="00462EC1">
          <w:rPr>
            <w:vanish/>
          </w:rPr>
        </w:r>
        <w:r w:rsidR="00462EC1" w:rsidRPr="00462EC1">
          <w:rPr>
            <w:vanish/>
          </w:rPr>
          <w:fldChar w:fldCharType="separate"/>
        </w:r>
        <w:r w:rsidR="00A44672">
          <w:rPr>
            <w:vanish/>
          </w:rPr>
          <w:t>78</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52" w:history="1">
        <w:r w:rsidRPr="009F1E8B">
          <w:t>72</w:t>
        </w:r>
        <w:r>
          <w:rPr>
            <w:rFonts w:asciiTheme="minorHAnsi" w:eastAsiaTheme="minorEastAsia" w:hAnsiTheme="minorHAnsi" w:cstheme="minorBidi"/>
            <w:sz w:val="22"/>
            <w:szCs w:val="22"/>
            <w:lang w:eastAsia="en-AU"/>
          </w:rPr>
          <w:tab/>
        </w:r>
        <w:r w:rsidRPr="009F1E8B">
          <w:t xml:space="preserve">Meaning of </w:t>
        </w:r>
        <w:r w:rsidRPr="009F1E8B">
          <w:rPr>
            <w:i/>
          </w:rPr>
          <w:t>tenancy dispute</w:t>
        </w:r>
        <w:r>
          <w:tab/>
        </w:r>
        <w:r>
          <w:fldChar w:fldCharType="begin"/>
        </w:r>
        <w:r>
          <w:instrText xml:space="preserve"> PAGEREF _Toc23417952 \h </w:instrText>
        </w:r>
        <w:r>
          <w:fldChar w:fldCharType="separate"/>
        </w:r>
        <w:r w:rsidR="00A44672">
          <w:t>78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53" w:history="1">
        <w:r w:rsidRPr="009F1E8B">
          <w:t>73</w:t>
        </w:r>
        <w:r>
          <w:rPr>
            <w:rFonts w:asciiTheme="minorHAnsi" w:eastAsiaTheme="minorEastAsia" w:hAnsiTheme="minorHAnsi" w:cstheme="minorBidi"/>
            <w:sz w:val="22"/>
            <w:szCs w:val="22"/>
            <w:lang w:eastAsia="en-AU"/>
          </w:rPr>
          <w:tab/>
        </w:r>
        <w:r w:rsidRPr="009F1E8B">
          <w:t xml:space="preserve">Meaning of </w:t>
        </w:r>
        <w:r w:rsidRPr="009F1E8B">
          <w:rPr>
            <w:i/>
          </w:rPr>
          <w:t>occupancy dispute</w:t>
        </w:r>
        <w:r>
          <w:tab/>
        </w:r>
        <w:r>
          <w:fldChar w:fldCharType="begin"/>
        </w:r>
        <w:r>
          <w:instrText xml:space="preserve"> PAGEREF _Toc23417953 \h </w:instrText>
        </w:r>
        <w:r>
          <w:fldChar w:fldCharType="separate"/>
        </w:r>
        <w:r w:rsidR="00A44672">
          <w:t>78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54" w:history="1">
        <w:r w:rsidRPr="009F1E8B">
          <w:t>74</w:t>
        </w:r>
        <w:r>
          <w:rPr>
            <w:rFonts w:asciiTheme="minorHAnsi" w:eastAsiaTheme="minorEastAsia" w:hAnsiTheme="minorHAnsi" w:cstheme="minorBidi"/>
            <w:sz w:val="22"/>
            <w:szCs w:val="22"/>
            <w:lang w:eastAsia="en-AU"/>
          </w:rPr>
          <w:tab/>
        </w:r>
        <w:r w:rsidRPr="009F1E8B">
          <w:t>ACAT to have regard to occupancy principles</w:t>
        </w:r>
        <w:r>
          <w:tab/>
        </w:r>
        <w:r>
          <w:fldChar w:fldCharType="begin"/>
        </w:r>
        <w:r>
          <w:instrText xml:space="preserve"> PAGEREF _Toc23417954 \h </w:instrText>
        </w:r>
        <w:r>
          <w:fldChar w:fldCharType="separate"/>
        </w:r>
        <w:r w:rsidR="00A44672">
          <w:t>78</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955" w:history="1">
        <w:r w:rsidR="00462EC1" w:rsidRPr="009F1E8B">
          <w:t>Division 6.2</w:t>
        </w:r>
        <w:r w:rsidR="00462EC1">
          <w:rPr>
            <w:rFonts w:asciiTheme="minorHAnsi" w:eastAsiaTheme="minorEastAsia" w:hAnsiTheme="minorHAnsi" w:cstheme="minorBidi"/>
            <w:b w:val="0"/>
            <w:sz w:val="22"/>
            <w:szCs w:val="22"/>
            <w:lang w:eastAsia="en-AU"/>
          </w:rPr>
          <w:tab/>
        </w:r>
        <w:r w:rsidR="00462EC1" w:rsidRPr="009F1E8B">
          <w:t>Action by registrar</w:t>
        </w:r>
        <w:r w:rsidR="00462EC1" w:rsidRPr="00462EC1">
          <w:rPr>
            <w:vanish/>
          </w:rPr>
          <w:tab/>
        </w:r>
        <w:r w:rsidR="00462EC1" w:rsidRPr="00462EC1">
          <w:rPr>
            <w:vanish/>
          </w:rPr>
          <w:fldChar w:fldCharType="begin"/>
        </w:r>
        <w:r w:rsidR="00462EC1" w:rsidRPr="00462EC1">
          <w:rPr>
            <w:vanish/>
          </w:rPr>
          <w:instrText xml:space="preserve"> PAGEREF _Toc23417955 \h </w:instrText>
        </w:r>
        <w:r w:rsidR="00462EC1" w:rsidRPr="00462EC1">
          <w:rPr>
            <w:vanish/>
          </w:rPr>
        </w:r>
        <w:r w:rsidR="00462EC1" w:rsidRPr="00462EC1">
          <w:rPr>
            <w:vanish/>
          </w:rPr>
          <w:fldChar w:fldCharType="separate"/>
        </w:r>
        <w:r w:rsidR="00A44672">
          <w:rPr>
            <w:vanish/>
          </w:rPr>
          <w:t>79</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56" w:history="1">
        <w:r w:rsidRPr="009F1E8B">
          <w:t>75</w:t>
        </w:r>
        <w:r>
          <w:rPr>
            <w:rFonts w:asciiTheme="minorHAnsi" w:eastAsiaTheme="minorEastAsia" w:hAnsiTheme="minorHAnsi" w:cstheme="minorBidi"/>
            <w:sz w:val="22"/>
            <w:szCs w:val="22"/>
            <w:lang w:eastAsia="en-AU"/>
          </w:rPr>
          <w:tab/>
        </w:r>
        <w:r w:rsidRPr="009F1E8B">
          <w:t>Assistance with inquiries about residential tenancy and occupancy agreements</w:t>
        </w:r>
        <w:r>
          <w:tab/>
        </w:r>
        <w:r>
          <w:fldChar w:fldCharType="begin"/>
        </w:r>
        <w:r>
          <w:instrText xml:space="preserve"> PAGEREF _Toc23417956 \h </w:instrText>
        </w:r>
        <w:r>
          <w:fldChar w:fldCharType="separate"/>
        </w:r>
        <w:r w:rsidR="00A44672">
          <w:t>79</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957" w:history="1">
        <w:r w:rsidR="00462EC1" w:rsidRPr="009F1E8B">
          <w:t>Division 6.3</w:t>
        </w:r>
        <w:r w:rsidR="00462EC1">
          <w:rPr>
            <w:rFonts w:asciiTheme="minorHAnsi" w:eastAsiaTheme="minorEastAsia" w:hAnsiTheme="minorHAnsi" w:cstheme="minorBidi"/>
            <w:b w:val="0"/>
            <w:sz w:val="22"/>
            <w:szCs w:val="22"/>
            <w:lang w:eastAsia="en-AU"/>
          </w:rPr>
          <w:tab/>
        </w:r>
        <w:r w:rsidR="00462EC1" w:rsidRPr="009F1E8B">
          <w:t>Jurisdiction of ACAT—this Act, standard residential tenancy terms and standard occupancy terms</w:t>
        </w:r>
        <w:r w:rsidR="00462EC1" w:rsidRPr="00462EC1">
          <w:rPr>
            <w:vanish/>
          </w:rPr>
          <w:tab/>
        </w:r>
        <w:r w:rsidR="00462EC1" w:rsidRPr="00462EC1">
          <w:rPr>
            <w:vanish/>
          </w:rPr>
          <w:fldChar w:fldCharType="begin"/>
        </w:r>
        <w:r w:rsidR="00462EC1" w:rsidRPr="00462EC1">
          <w:rPr>
            <w:vanish/>
          </w:rPr>
          <w:instrText xml:space="preserve"> PAGEREF _Toc23417957 \h </w:instrText>
        </w:r>
        <w:r w:rsidR="00462EC1" w:rsidRPr="00462EC1">
          <w:rPr>
            <w:vanish/>
          </w:rPr>
        </w:r>
        <w:r w:rsidR="00462EC1" w:rsidRPr="00462EC1">
          <w:rPr>
            <w:vanish/>
          </w:rPr>
          <w:fldChar w:fldCharType="separate"/>
        </w:r>
        <w:r w:rsidR="00A44672">
          <w:rPr>
            <w:vanish/>
          </w:rPr>
          <w:t>79</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58" w:history="1">
        <w:r w:rsidRPr="009F1E8B">
          <w:t>76</w:t>
        </w:r>
        <w:r>
          <w:rPr>
            <w:rFonts w:asciiTheme="minorHAnsi" w:eastAsiaTheme="minorEastAsia" w:hAnsiTheme="minorHAnsi" w:cstheme="minorBidi"/>
            <w:sz w:val="22"/>
            <w:szCs w:val="22"/>
            <w:lang w:eastAsia="en-AU"/>
          </w:rPr>
          <w:tab/>
        </w:r>
        <w:r w:rsidRPr="009F1E8B">
          <w:t>Jurisdiction of ACAT under this Act etc</w:t>
        </w:r>
        <w:r>
          <w:tab/>
        </w:r>
        <w:r>
          <w:fldChar w:fldCharType="begin"/>
        </w:r>
        <w:r>
          <w:instrText xml:space="preserve"> PAGEREF _Toc23417958 \h </w:instrText>
        </w:r>
        <w:r>
          <w:fldChar w:fldCharType="separate"/>
        </w:r>
        <w:r w:rsidR="00A44672">
          <w:t>79</w:t>
        </w:r>
        <w:r>
          <w:fldChar w:fldCharType="end"/>
        </w:r>
      </w:hyperlink>
    </w:p>
    <w:p w:rsidR="00462EC1" w:rsidRDefault="00462EC1">
      <w:pPr>
        <w:pStyle w:val="TOC5"/>
        <w:rPr>
          <w:rFonts w:asciiTheme="minorHAnsi" w:eastAsiaTheme="minorEastAsia" w:hAnsiTheme="minorHAnsi" w:cstheme="minorBidi"/>
          <w:sz w:val="22"/>
          <w:szCs w:val="22"/>
          <w:lang w:eastAsia="en-AU"/>
        </w:rPr>
      </w:pPr>
      <w:r>
        <w:lastRenderedPageBreak/>
        <w:tab/>
      </w:r>
      <w:hyperlink w:anchor="_Toc23417959" w:history="1">
        <w:r w:rsidRPr="009F1E8B">
          <w:t>77</w:t>
        </w:r>
        <w:r>
          <w:rPr>
            <w:rFonts w:asciiTheme="minorHAnsi" w:eastAsiaTheme="minorEastAsia" w:hAnsiTheme="minorHAnsi" w:cstheme="minorBidi"/>
            <w:sz w:val="22"/>
            <w:szCs w:val="22"/>
            <w:lang w:eastAsia="en-AU"/>
          </w:rPr>
          <w:tab/>
        </w:r>
        <w:r w:rsidRPr="009F1E8B">
          <w:t>Saving of court jurisdiction</w:t>
        </w:r>
        <w:r>
          <w:tab/>
        </w:r>
        <w:r>
          <w:fldChar w:fldCharType="begin"/>
        </w:r>
        <w:r>
          <w:instrText xml:space="preserve"> PAGEREF _Toc23417959 \h </w:instrText>
        </w:r>
        <w:r>
          <w:fldChar w:fldCharType="separate"/>
        </w:r>
        <w:r w:rsidR="00A44672">
          <w:t>80</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60" w:history="1">
        <w:r w:rsidRPr="009F1E8B">
          <w:t>78</w:t>
        </w:r>
        <w:r>
          <w:rPr>
            <w:rFonts w:asciiTheme="minorHAnsi" w:eastAsiaTheme="minorEastAsia" w:hAnsiTheme="minorHAnsi" w:cstheme="minorBidi"/>
            <w:sz w:val="22"/>
            <w:szCs w:val="22"/>
            <w:lang w:eastAsia="en-AU"/>
          </w:rPr>
          <w:tab/>
        </w:r>
        <w:r w:rsidRPr="009F1E8B">
          <w:t>Extended jurisdiction of ACAT with agreement of parties</w:t>
        </w:r>
        <w:r>
          <w:tab/>
        </w:r>
        <w:r>
          <w:fldChar w:fldCharType="begin"/>
        </w:r>
        <w:r>
          <w:instrText xml:space="preserve"> PAGEREF _Toc23417960 \h </w:instrText>
        </w:r>
        <w:r>
          <w:fldChar w:fldCharType="separate"/>
        </w:r>
        <w:r w:rsidR="00A44672">
          <w:t>81</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961" w:history="1">
        <w:r w:rsidR="00462EC1" w:rsidRPr="009F1E8B">
          <w:t>Division 6.4</w:t>
        </w:r>
        <w:r w:rsidR="00462EC1">
          <w:rPr>
            <w:rFonts w:asciiTheme="minorHAnsi" w:eastAsiaTheme="minorEastAsia" w:hAnsiTheme="minorHAnsi" w:cstheme="minorBidi"/>
            <w:b w:val="0"/>
            <w:sz w:val="22"/>
            <w:szCs w:val="22"/>
            <w:lang w:eastAsia="en-AU"/>
          </w:rPr>
          <w:tab/>
        </w:r>
        <w:r w:rsidR="00462EC1" w:rsidRPr="009F1E8B">
          <w:t>Applications to ACAT</w:t>
        </w:r>
        <w:r w:rsidR="00462EC1" w:rsidRPr="00462EC1">
          <w:rPr>
            <w:vanish/>
          </w:rPr>
          <w:tab/>
        </w:r>
        <w:r w:rsidR="00462EC1" w:rsidRPr="00462EC1">
          <w:rPr>
            <w:vanish/>
          </w:rPr>
          <w:fldChar w:fldCharType="begin"/>
        </w:r>
        <w:r w:rsidR="00462EC1" w:rsidRPr="00462EC1">
          <w:rPr>
            <w:vanish/>
          </w:rPr>
          <w:instrText xml:space="preserve"> PAGEREF _Toc23417961 \h </w:instrText>
        </w:r>
        <w:r w:rsidR="00462EC1" w:rsidRPr="00462EC1">
          <w:rPr>
            <w:vanish/>
          </w:rPr>
        </w:r>
        <w:r w:rsidR="00462EC1" w:rsidRPr="00462EC1">
          <w:rPr>
            <w:vanish/>
          </w:rPr>
          <w:fldChar w:fldCharType="separate"/>
        </w:r>
        <w:r w:rsidR="00A44672">
          <w:rPr>
            <w:vanish/>
          </w:rPr>
          <w:t>82</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62" w:history="1">
        <w:r w:rsidRPr="009F1E8B">
          <w:t>79</w:t>
        </w:r>
        <w:r>
          <w:rPr>
            <w:rFonts w:asciiTheme="minorHAnsi" w:eastAsiaTheme="minorEastAsia" w:hAnsiTheme="minorHAnsi" w:cstheme="minorBidi"/>
            <w:sz w:val="22"/>
            <w:szCs w:val="22"/>
            <w:lang w:eastAsia="en-AU"/>
          </w:rPr>
          <w:tab/>
        </w:r>
        <w:r w:rsidRPr="009F1E8B">
          <w:t>Who may apply to ACAT?</w:t>
        </w:r>
        <w:r>
          <w:tab/>
        </w:r>
        <w:r>
          <w:fldChar w:fldCharType="begin"/>
        </w:r>
        <w:r>
          <w:instrText xml:space="preserve"> PAGEREF _Toc23417962 \h </w:instrText>
        </w:r>
        <w:r>
          <w:fldChar w:fldCharType="separate"/>
        </w:r>
        <w:r w:rsidR="00A44672">
          <w:t>82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63" w:history="1">
        <w:r w:rsidRPr="009F1E8B">
          <w:t>80</w:t>
        </w:r>
        <w:r>
          <w:rPr>
            <w:rFonts w:asciiTheme="minorHAnsi" w:eastAsiaTheme="minorEastAsia" w:hAnsiTheme="minorHAnsi" w:cstheme="minorBidi"/>
            <w:sz w:val="22"/>
            <w:szCs w:val="22"/>
            <w:lang w:eastAsia="en-AU"/>
          </w:rPr>
          <w:tab/>
        </w:r>
        <w:r w:rsidRPr="009F1E8B">
          <w:t>Applications to ACAT by children—application of this Act etc</w:t>
        </w:r>
        <w:r>
          <w:tab/>
        </w:r>
        <w:r>
          <w:fldChar w:fldCharType="begin"/>
        </w:r>
        <w:r>
          <w:instrText xml:space="preserve"> PAGEREF _Toc23417963 \h </w:instrText>
        </w:r>
        <w:r>
          <w:fldChar w:fldCharType="separate"/>
        </w:r>
        <w:r w:rsidR="00A44672">
          <w:t>82</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964" w:history="1">
        <w:r w:rsidR="00462EC1" w:rsidRPr="009F1E8B">
          <w:t>Division 6.5</w:t>
        </w:r>
        <w:r w:rsidR="00462EC1">
          <w:rPr>
            <w:rFonts w:asciiTheme="minorHAnsi" w:eastAsiaTheme="minorEastAsia" w:hAnsiTheme="minorHAnsi" w:cstheme="minorBidi"/>
            <w:b w:val="0"/>
            <w:sz w:val="22"/>
            <w:szCs w:val="22"/>
            <w:lang w:eastAsia="en-AU"/>
          </w:rPr>
          <w:tab/>
        </w:r>
        <w:r w:rsidR="00462EC1" w:rsidRPr="009F1E8B">
          <w:t>Powers and decisions of ACAT</w:t>
        </w:r>
        <w:r w:rsidR="00462EC1" w:rsidRPr="00462EC1">
          <w:rPr>
            <w:vanish/>
          </w:rPr>
          <w:tab/>
        </w:r>
        <w:r w:rsidR="00462EC1" w:rsidRPr="00462EC1">
          <w:rPr>
            <w:vanish/>
          </w:rPr>
          <w:fldChar w:fldCharType="begin"/>
        </w:r>
        <w:r w:rsidR="00462EC1" w:rsidRPr="00462EC1">
          <w:rPr>
            <w:vanish/>
          </w:rPr>
          <w:instrText xml:space="preserve"> PAGEREF _Toc23417964 \h </w:instrText>
        </w:r>
        <w:r w:rsidR="00462EC1" w:rsidRPr="00462EC1">
          <w:rPr>
            <w:vanish/>
          </w:rPr>
        </w:r>
        <w:r w:rsidR="00462EC1" w:rsidRPr="00462EC1">
          <w:rPr>
            <w:vanish/>
          </w:rPr>
          <w:fldChar w:fldCharType="separate"/>
        </w:r>
        <w:r w:rsidR="00A44672">
          <w:rPr>
            <w:vanish/>
          </w:rPr>
          <w:t>82</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65" w:history="1">
        <w:r w:rsidRPr="009F1E8B">
          <w:t>81</w:t>
        </w:r>
        <w:r>
          <w:rPr>
            <w:rFonts w:asciiTheme="minorHAnsi" w:eastAsiaTheme="minorEastAsia" w:hAnsiTheme="minorHAnsi" w:cstheme="minorBidi"/>
            <w:sz w:val="22"/>
            <w:szCs w:val="22"/>
            <w:lang w:eastAsia="en-AU"/>
          </w:rPr>
          <w:tab/>
        </w:r>
        <w:r w:rsidRPr="009F1E8B">
          <w:t>ACAT to assist parties to tenancy and occupancy disputes</w:t>
        </w:r>
        <w:r>
          <w:tab/>
        </w:r>
        <w:r>
          <w:fldChar w:fldCharType="begin"/>
        </w:r>
        <w:r>
          <w:instrText xml:space="preserve"> PAGEREF _Toc23417965 \h </w:instrText>
        </w:r>
        <w:r>
          <w:fldChar w:fldCharType="separate"/>
        </w:r>
        <w:r w:rsidR="00A44672">
          <w:t>82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66" w:history="1">
        <w:r w:rsidRPr="009F1E8B">
          <w:t>82</w:t>
        </w:r>
        <w:r>
          <w:rPr>
            <w:rFonts w:asciiTheme="minorHAnsi" w:eastAsiaTheme="minorEastAsia" w:hAnsiTheme="minorHAnsi" w:cstheme="minorBidi"/>
            <w:sz w:val="22"/>
            <w:szCs w:val="22"/>
            <w:lang w:eastAsia="en-AU"/>
          </w:rPr>
          <w:tab/>
        </w:r>
        <w:r w:rsidRPr="009F1E8B">
          <w:t>Disputes about agreements no longer in force</w:t>
        </w:r>
        <w:r>
          <w:tab/>
        </w:r>
        <w:r>
          <w:fldChar w:fldCharType="begin"/>
        </w:r>
        <w:r>
          <w:instrText xml:space="preserve"> PAGEREF _Toc23417966 \h </w:instrText>
        </w:r>
        <w:r>
          <w:fldChar w:fldCharType="separate"/>
        </w:r>
        <w:r w:rsidR="00A44672">
          <w:t>82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67" w:history="1">
        <w:r w:rsidRPr="009F1E8B">
          <w:t>83</w:t>
        </w:r>
        <w:r>
          <w:rPr>
            <w:rFonts w:asciiTheme="minorHAnsi" w:eastAsiaTheme="minorEastAsia" w:hAnsiTheme="minorHAnsi" w:cstheme="minorBidi"/>
            <w:sz w:val="22"/>
            <w:szCs w:val="22"/>
            <w:lang w:eastAsia="en-AU"/>
          </w:rPr>
          <w:tab/>
        </w:r>
        <w:r w:rsidRPr="009F1E8B">
          <w:t>Orders by ACAT</w:t>
        </w:r>
        <w:r>
          <w:tab/>
        </w:r>
        <w:r>
          <w:fldChar w:fldCharType="begin"/>
        </w:r>
        <w:r>
          <w:instrText xml:space="preserve"> PAGEREF _Toc23417967 \h </w:instrText>
        </w:r>
        <w:r>
          <w:fldChar w:fldCharType="separate"/>
        </w:r>
        <w:r w:rsidR="00A44672">
          <w:t>83</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68" w:history="1">
        <w:r w:rsidRPr="009F1E8B">
          <w:t>84</w:t>
        </w:r>
        <w:r>
          <w:rPr>
            <w:rFonts w:asciiTheme="minorHAnsi" w:eastAsiaTheme="minorEastAsia" w:hAnsiTheme="minorHAnsi" w:cstheme="minorBidi"/>
            <w:sz w:val="22"/>
            <w:szCs w:val="22"/>
            <w:lang w:eastAsia="en-AU"/>
          </w:rPr>
          <w:tab/>
        </w:r>
        <w:r w:rsidRPr="009F1E8B">
          <w:t>Notice of intention to vacate—award of compensation</w:t>
        </w:r>
        <w:r>
          <w:tab/>
        </w:r>
        <w:r>
          <w:fldChar w:fldCharType="begin"/>
        </w:r>
        <w:r>
          <w:instrText xml:space="preserve"> PAGEREF _Toc23417968 \h </w:instrText>
        </w:r>
        <w:r>
          <w:fldChar w:fldCharType="separate"/>
        </w:r>
        <w:r w:rsidR="00A44672">
          <w:t>84</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969" w:history="1">
        <w:r w:rsidR="00462EC1" w:rsidRPr="009F1E8B">
          <w:t>Division 6.5A</w:t>
        </w:r>
        <w:r w:rsidR="00462EC1">
          <w:rPr>
            <w:rFonts w:asciiTheme="minorHAnsi" w:eastAsiaTheme="minorEastAsia" w:hAnsiTheme="minorHAnsi" w:cstheme="minorBidi"/>
            <w:b w:val="0"/>
            <w:sz w:val="22"/>
            <w:szCs w:val="22"/>
            <w:lang w:eastAsia="en-AU"/>
          </w:rPr>
          <w:tab/>
        </w:r>
        <w:r w:rsidR="00462EC1" w:rsidRPr="009F1E8B">
          <w:t>Powers and decisions of ACAT—protection orders</w:t>
        </w:r>
        <w:r w:rsidR="00462EC1" w:rsidRPr="00462EC1">
          <w:rPr>
            <w:vanish/>
          </w:rPr>
          <w:tab/>
        </w:r>
        <w:r w:rsidR="00462EC1" w:rsidRPr="00462EC1">
          <w:rPr>
            <w:vanish/>
          </w:rPr>
          <w:fldChar w:fldCharType="begin"/>
        </w:r>
        <w:r w:rsidR="00462EC1" w:rsidRPr="00462EC1">
          <w:rPr>
            <w:vanish/>
          </w:rPr>
          <w:instrText xml:space="preserve"> PAGEREF _Toc23417969 \h </w:instrText>
        </w:r>
        <w:r w:rsidR="00462EC1" w:rsidRPr="00462EC1">
          <w:rPr>
            <w:vanish/>
          </w:rPr>
        </w:r>
        <w:r w:rsidR="00462EC1" w:rsidRPr="00462EC1">
          <w:rPr>
            <w:vanish/>
          </w:rPr>
          <w:fldChar w:fldCharType="separate"/>
        </w:r>
        <w:r w:rsidR="00A44672">
          <w:rPr>
            <w:vanish/>
          </w:rPr>
          <w:t>85</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70" w:history="1">
        <w:r w:rsidRPr="009F1E8B">
          <w:t>85</w:t>
        </w:r>
        <w:r>
          <w:rPr>
            <w:rFonts w:asciiTheme="minorHAnsi" w:eastAsiaTheme="minorEastAsia" w:hAnsiTheme="minorHAnsi" w:cstheme="minorBidi"/>
            <w:sz w:val="22"/>
            <w:szCs w:val="22"/>
            <w:lang w:eastAsia="en-AU"/>
          </w:rPr>
          <w:tab/>
        </w:r>
        <w:r w:rsidRPr="009F1E8B">
          <w:t>Definitions—div 6.5A</w:t>
        </w:r>
        <w:r>
          <w:tab/>
        </w:r>
        <w:r>
          <w:fldChar w:fldCharType="begin"/>
        </w:r>
        <w:r>
          <w:instrText xml:space="preserve"> PAGEREF _Toc23417970 \h </w:instrText>
        </w:r>
        <w:r>
          <w:fldChar w:fldCharType="separate"/>
        </w:r>
        <w:r w:rsidR="00A44672">
          <w:t>85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71" w:history="1">
        <w:r w:rsidRPr="009F1E8B">
          <w:t>85A</w:t>
        </w:r>
        <w:r>
          <w:rPr>
            <w:rFonts w:asciiTheme="minorHAnsi" w:eastAsiaTheme="minorEastAsia" w:hAnsiTheme="minorHAnsi" w:cstheme="minorBidi"/>
            <w:sz w:val="22"/>
            <w:szCs w:val="22"/>
            <w:lang w:eastAsia="en-AU"/>
          </w:rPr>
          <w:tab/>
        </w:r>
        <w:r w:rsidRPr="009F1E8B">
          <w:t>New tenancy agreement—family violence and protection orders</w:t>
        </w:r>
        <w:r>
          <w:tab/>
        </w:r>
        <w:r>
          <w:fldChar w:fldCharType="begin"/>
        </w:r>
        <w:r>
          <w:instrText xml:space="preserve"> PAGEREF _Toc23417971 \h </w:instrText>
        </w:r>
        <w:r>
          <w:fldChar w:fldCharType="separate"/>
        </w:r>
        <w:r w:rsidR="00A44672">
          <w:t>86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72" w:history="1">
        <w:r w:rsidRPr="009F1E8B">
          <w:t>85B</w:t>
        </w:r>
        <w:r>
          <w:rPr>
            <w:rFonts w:asciiTheme="minorHAnsi" w:eastAsiaTheme="minorEastAsia" w:hAnsiTheme="minorHAnsi" w:cstheme="minorBidi"/>
            <w:sz w:val="22"/>
            <w:szCs w:val="22"/>
            <w:lang w:eastAsia="en-AU"/>
          </w:rPr>
          <w:tab/>
        </w:r>
        <w:r w:rsidRPr="009F1E8B">
          <w:t>Applications under s 85A—ACAT orders</w:t>
        </w:r>
        <w:r>
          <w:tab/>
        </w:r>
        <w:r>
          <w:fldChar w:fldCharType="begin"/>
        </w:r>
        <w:r>
          <w:instrText xml:space="preserve"> PAGEREF _Toc23417972 \h </w:instrText>
        </w:r>
        <w:r>
          <w:fldChar w:fldCharType="separate"/>
        </w:r>
        <w:r w:rsidR="00A44672">
          <w:t>88</w:t>
        </w:r>
        <w:r>
          <w:fldChar w:fldCharType="end"/>
        </w:r>
      </w:hyperlink>
    </w:p>
    <w:p w:rsidR="00462EC1" w:rsidRDefault="007C2037">
      <w:pPr>
        <w:pStyle w:val="TOC3"/>
        <w:rPr>
          <w:rFonts w:asciiTheme="minorHAnsi" w:eastAsiaTheme="minorEastAsia" w:hAnsiTheme="minorHAnsi" w:cstheme="minorBidi"/>
          <w:b w:val="0"/>
          <w:sz w:val="22"/>
          <w:szCs w:val="22"/>
          <w:lang w:eastAsia="en-AU"/>
        </w:rPr>
      </w:pPr>
      <w:hyperlink w:anchor="_Toc23417973" w:history="1">
        <w:r w:rsidR="00462EC1" w:rsidRPr="009F1E8B">
          <w:t>Division 6.6</w:t>
        </w:r>
        <w:r w:rsidR="00462EC1">
          <w:rPr>
            <w:rFonts w:asciiTheme="minorHAnsi" w:eastAsiaTheme="minorEastAsia" w:hAnsiTheme="minorHAnsi" w:cstheme="minorBidi"/>
            <w:b w:val="0"/>
            <w:sz w:val="22"/>
            <w:szCs w:val="22"/>
            <w:lang w:eastAsia="en-AU"/>
          </w:rPr>
          <w:tab/>
        </w:r>
        <w:r w:rsidR="00462EC1" w:rsidRPr="009F1E8B">
          <w:t>Enforcement of ACAT orders</w:t>
        </w:r>
        <w:r w:rsidR="00462EC1" w:rsidRPr="00462EC1">
          <w:rPr>
            <w:vanish/>
          </w:rPr>
          <w:tab/>
        </w:r>
        <w:r w:rsidR="00462EC1" w:rsidRPr="00462EC1">
          <w:rPr>
            <w:vanish/>
          </w:rPr>
          <w:fldChar w:fldCharType="begin"/>
        </w:r>
        <w:r w:rsidR="00462EC1" w:rsidRPr="00462EC1">
          <w:rPr>
            <w:vanish/>
          </w:rPr>
          <w:instrText xml:space="preserve"> PAGEREF _Toc23417973 \h </w:instrText>
        </w:r>
        <w:r w:rsidR="00462EC1" w:rsidRPr="00462EC1">
          <w:rPr>
            <w:vanish/>
          </w:rPr>
        </w:r>
        <w:r w:rsidR="00462EC1" w:rsidRPr="00462EC1">
          <w:rPr>
            <w:vanish/>
          </w:rPr>
          <w:fldChar w:fldCharType="separate"/>
        </w:r>
        <w:r w:rsidR="00A44672">
          <w:rPr>
            <w:vanish/>
          </w:rPr>
          <w:t>89</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74" w:history="1">
        <w:r w:rsidRPr="009F1E8B">
          <w:t>86</w:t>
        </w:r>
        <w:r>
          <w:rPr>
            <w:rFonts w:asciiTheme="minorHAnsi" w:eastAsiaTheme="minorEastAsia" w:hAnsiTheme="minorHAnsi" w:cstheme="minorBidi"/>
            <w:sz w:val="22"/>
            <w:szCs w:val="22"/>
            <w:lang w:eastAsia="en-AU"/>
          </w:rPr>
          <w:tab/>
        </w:r>
        <w:r w:rsidRPr="009F1E8B">
          <w:t>Failure to comply with ACAT orders</w:t>
        </w:r>
        <w:r>
          <w:tab/>
        </w:r>
        <w:r>
          <w:fldChar w:fldCharType="begin"/>
        </w:r>
        <w:r>
          <w:instrText xml:space="preserve"> PAGEREF _Toc23417974 \h </w:instrText>
        </w:r>
        <w:r>
          <w:fldChar w:fldCharType="separate"/>
        </w:r>
        <w:r w:rsidR="00A44672">
          <w:t>89</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7975" w:history="1">
        <w:r w:rsidR="00462EC1" w:rsidRPr="009F1E8B">
          <w:t>Part 7</w:t>
        </w:r>
        <w:r w:rsidR="00462EC1">
          <w:rPr>
            <w:rFonts w:asciiTheme="minorHAnsi" w:eastAsiaTheme="minorEastAsia" w:hAnsiTheme="minorHAnsi" w:cstheme="minorBidi"/>
            <w:b w:val="0"/>
            <w:sz w:val="22"/>
            <w:szCs w:val="22"/>
            <w:lang w:eastAsia="en-AU"/>
          </w:rPr>
          <w:tab/>
        </w:r>
        <w:r w:rsidR="00462EC1" w:rsidRPr="009F1E8B">
          <w:t>Residential tenancy databases</w:t>
        </w:r>
        <w:r w:rsidR="00462EC1" w:rsidRPr="00462EC1">
          <w:rPr>
            <w:vanish/>
          </w:rPr>
          <w:tab/>
        </w:r>
        <w:r w:rsidR="00462EC1" w:rsidRPr="00462EC1">
          <w:rPr>
            <w:vanish/>
          </w:rPr>
          <w:fldChar w:fldCharType="begin"/>
        </w:r>
        <w:r w:rsidR="00462EC1" w:rsidRPr="00462EC1">
          <w:rPr>
            <w:vanish/>
          </w:rPr>
          <w:instrText xml:space="preserve"> PAGEREF _Toc23417975 \h </w:instrText>
        </w:r>
        <w:r w:rsidR="00462EC1" w:rsidRPr="00462EC1">
          <w:rPr>
            <w:vanish/>
          </w:rPr>
        </w:r>
        <w:r w:rsidR="00462EC1" w:rsidRPr="00462EC1">
          <w:rPr>
            <w:vanish/>
          </w:rPr>
          <w:fldChar w:fldCharType="separate"/>
        </w:r>
        <w:r w:rsidR="00A44672">
          <w:rPr>
            <w:vanish/>
          </w:rPr>
          <w:t>91</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76" w:history="1">
        <w:r w:rsidRPr="009F1E8B">
          <w:t>87</w:t>
        </w:r>
        <w:r>
          <w:rPr>
            <w:rFonts w:asciiTheme="minorHAnsi" w:eastAsiaTheme="minorEastAsia" w:hAnsiTheme="minorHAnsi" w:cstheme="minorBidi"/>
            <w:sz w:val="22"/>
            <w:szCs w:val="22"/>
            <w:lang w:eastAsia="en-AU"/>
          </w:rPr>
          <w:tab/>
        </w:r>
        <w:r w:rsidRPr="009F1E8B">
          <w:rPr>
            <w:lang w:eastAsia="en-AU"/>
          </w:rPr>
          <w:t>Definitions—pt 7</w:t>
        </w:r>
        <w:r>
          <w:tab/>
        </w:r>
        <w:r>
          <w:fldChar w:fldCharType="begin"/>
        </w:r>
        <w:r>
          <w:instrText xml:space="preserve"> PAGEREF _Toc23417976 \h </w:instrText>
        </w:r>
        <w:r>
          <w:fldChar w:fldCharType="separate"/>
        </w:r>
        <w:r w:rsidR="00A44672">
          <w:t>91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77" w:history="1">
        <w:r w:rsidRPr="009F1E8B">
          <w:t>88</w:t>
        </w:r>
        <w:r>
          <w:rPr>
            <w:rFonts w:asciiTheme="minorHAnsi" w:eastAsiaTheme="minorEastAsia" w:hAnsiTheme="minorHAnsi" w:cstheme="minorBidi"/>
            <w:sz w:val="22"/>
            <w:szCs w:val="22"/>
            <w:lang w:eastAsia="en-AU"/>
          </w:rPr>
          <w:tab/>
        </w:r>
        <w:r w:rsidRPr="009F1E8B">
          <w:rPr>
            <w:lang w:eastAsia="en-AU"/>
          </w:rPr>
          <w:t>Application—pt 7</w:t>
        </w:r>
        <w:r>
          <w:tab/>
        </w:r>
        <w:r>
          <w:fldChar w:fldCharType="begin"/>
        </w:r>
        <w:r>
          <w:instrText xml:space="preserve"> PAGEREF _Toc23417977 \h </w:instrText>
        </w:r>
        <w:r>
          <w:fldChar w:fldCharType="separate"/>
        </w:r>
        <w:r w:rsidR="00A44672">
          <w:t>93</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78" w:history="1">
        <w:r w:rsidRPr="009F1E8B">
          <w:t>89</w:t>
        </w:r>
        <w:r>
          <w:rPr>
            <w:rFonts w:asciiTheme="minorHAnsi" w:eastAsiaTheme="minorEastAsia" w:hAnsiTheme="minorHAnsi" w:cstheme="minorBidi"/>
            <w:sz w:val="22"/>
            <w:szCs w:val="22"/>
            <w:lang w:eastAsia="en-AU"/>
          </w:rPr>
          <w:tab/>
        </w:r>
        <w:r w:rsidRPr="009F1E8B">
          <w:t>Notice of usual use of database</w:t>
        </w:r>
        <w:r>
          <w:tab/>
        </w:r>
        <w:r>
          <w:fldChar w:fldCharType="begin"/>
        </w:r>
        <w:r>
          <w:instrText xml:space="preserve"> PAGEREF _Toc23417978 \h </w:instrText>
        </w:r>
        <w:r>
          <w:fldChar w:fldCharType="separate"/>
        </w:r>
        <w:r w:rsidR="00A44672">
          <w:t>93</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79" w:history="1">
        <w:r w:rsidRPr="009F1E8B">
          <w:t>90</w:t>
        </w:r>
        <w:r>
          <w:rPr>
            <w:rFonts w:asciiTheme="minorHAnsi" w:eastAsiaTheme="minorEastAsia" w:hAnsiTheme="minorHAnsi" w:cstheme="minorBidi"/>
            <w:sz w:val="22"/>
            <w:szCs w:val="22"/>
            <w:lang w:eastAsia="en-AU"/>
          </w:rPr>
          <w:tab/>
        </w:r>
        <w:r w:rsidRPr="009F1E8B">
          <w:t>Notice of listing if database used</w:t>
        </w:r>
        <w:r>
          <w:tab/>
        </w:r>
        <w:r>
          <w:fldChar w:fldCharType="begin"/>
        </w:r>
        <w:r>
          <w:instrText xml:space="preserve"> PAGEREF _Toc23417979 \h </w:instrText>
        </w:r>
        <w:r>
          <w:fldChar w:fldCharType="separate"/>
        </w:r>
        <w:r w:rsidR="00A44672">
          <w:t>94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80" w:history="1">
        <w:r w:rsidRPr="009F1E8B">
          <w:t>91</w:t>
        </w:r>
        <w:r>
          <w:rPr>
            <w:rFonts w:asciiTheme="minorHAnsi" w:eastAsiaTheme="minorEastAsia" w:hAnsiTheme="minorHAnsi" w:cstheme="minorBidi"/>
            <w:sz w:val="22"/>
            <w:szCs w:val="22"/>
            <w:lang w:eastAsia="en-AU"/>
          </w:rPr>
          <w:tab/>
        </w:r>
        <w:r w:rsidRPr="009F1E8B">
          <w:t>Listing can be made only for certain breaches by certain people</w:t>
        </w:r>
        <w:r>
          <w:tab/>
        </w:r>
        <w:r>
          <w:fldChar w:fldCharType="begin"/>
        </w:r>
        <w:r>
          <w:instrText xml:space="preserve"> PAGEREF _Toc23417980 \h </w:instrText>
        </w:r>
        <w:r>
          <w:fldChar w:fldCharType="separate"/>
        </w:r>
        <w:r w:rsidR="00A44672">
          <w:t>95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81" w:history="1">
        <w:r w:rsidRPr="009F1E8B">
          <w:t>92</w:t>
        </w:r>
        <w:r>
          <w:rPr>
            <w:rFonts w:asciiTheme="minorHAnsi" w:eastAsiaTheme="minorEastAsia" w:hAnsiTheme="minorHAnsi" w:cstheme="minorBidi"/>
            <w:sz w:val="22"/>
            <w:szCs w:val="22"/>
            <w:lang w:eastAsia="en-AU"/>
          </w:rPr>
          <w:tab/>
        </w:r>
        <w:r w:rsidRPr="009F1E8B">
          <w:rPr>
            <w:lang w:eastAsia="en-AU"/>
          </w:rPr>
          <w:t>Further restriction on listing</w:t>
        </w:r>
        <w:r>
          <w:tab/>
        </w:r>
        <w:r>
          <w:fldChar w:fldCharType="begin"/>
        </w:r>
        <w:r>
          <w:instrText xml:space="preserve"> PAGEREF _Toc23417981 \h </w:instrText>
        </w:r>
        <w:r>
          <w:fldChar w:fldCharType="separate"/>
        </w:r>
        <w:r w:rsidR="00A44672">
          <w:t>96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82" w:history="1">
        <w:r w:rsidRPr="009F1E8B">
          <w:t>93</w:t>
        </w:r>
        <w:r>
          <w:rPr>
            <w:rFonts w:asciiTheme="minorHAnsi" w:eastAsiaTheme="minorEastAsia" w:hAnsiTheme="minorHAnsi" w:cstheme="minorBidi"/>
            <w:sz w:val="22"/>
            <w:szCs w:val="22"/>
            <w:lang w:eastAsia="en-AU"/>
          </w:rPr>
          <w:tab/>
        </w:r>
        <w:r w:rsidRPr="009F1E8B">
          <w:rPr>
            <w:lang w:eastAsia="en-AU"/>
          </w:rPr>
          <w:t>Ensuring quality of listing—lessor’s or agent’s obligation</w:t>
        </w:r>
        <w:r>
          <w:tab/>
        </w:r>
        <w:r>
          <w:fldChar w:fldCharType="begin"/>
        </w:r>
        <w:r>
          <w:instrText xml:space="preserve"> PAGEREF _Toc23417982 \h </w:instrText>
        </w:r>
        <w:r>
          <w:fldChar w:fldCharType="separate"/>
        </w:r>
        <w:r w:rsidR="00A44672">
          <w:t>96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83" w:history="1">
        <w:r w:rsidRPr="009F1E8B">
          <w:t>94</w:t>
        </w:r>
        <w:r>
          <w:rPr>
            <w:rFonts w:asciiTheme="minorHAnsi" w:eastAsiaTheme="minorEastAsia" w:hAnsiTheme="minorHAnsi" w:cstheme="minorBidi"/>
            <w:sz w:val="22"/>
            <w:szCs w:val="22"/>
            <w:lang w:eastAsia="en-AU"/>
          </w:rPr>
          <w:tab/>
        </w:r>
        <w:r w:rsidRPr="009F1E8B">
          <w:rPr>
            <w:lang w:eastAsia="en-AU"/>
          </w:rPr>
          <w:t>Ensuring quality of listing—database operator’s obligation</w:t>
        </w:r>
        <w:r>
          <w:tab/>
        </w:r>
        <w:r>
          <w:fldChar w:fldCharType="begin"/>
        </w:r>
        <w:r>
          <w:instrText xml:space="preserve"> PAGEREF _Toc23417983 \h </w:instrText>
        </w:r>
        <w:r>
          <w:fldChar w:fldCharType="separate"/>
        </w:r>
        <w:r w:rsidR="00A44672">
          <w:t>97</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84" w:history="1">
        <w:r w:rsidRPr="009F1E8B">
          <w:t>95</w:t>
        </w:r>
        <w:r>
          <w:rPr>
            <w:rFonts w:asciiTheme="minorHAnsi" w:eastAsiaTheme="minorEastAsia" w:hAnsiTheme="minorHAnsi" w:cstheme="minorBidi"/>
            <w:sz w:val="22"/>
            <w:szCs w:val="22"/>
            <w:lang w:eastAsia="en-AU"/>
          </w:rPr>
          <w:tab/>
        </w:r>
        <w:r w:rsidRPr="009F1E8B">
          <w:rPr>
            <w:lang w:eastAsia="en-AU"/>
          </w:rPr>
          <w:t>Providing copy of personal information listed</w:t>
        </w:r>
        <w:r>
          <w:tab/>
        </w:r>
        <w:r>
          <w:fldChar w:fldCharType="begin"/>
        </w:r>
        <w:r>
          <w:instrText xml:space="preserve"> PAGEREF _Toc23417984 \h </w:instrText>
        </w:r>
        <w:r>
          <w:fldChar w:fldCharType="separate"/>
        </w:r>
        <w:r w:rsidR="00A44672">
          <w:t>98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85" w:history="1">
        <w:r w:rsidRPr="009F1E8B">
          <w:t>96</w:t>
        </w:r>
        <w:r>
          <w:rPr>
            <w:rFonts w:asciiTheme="minorHAnsi" w:eastAsiaTheme="minorEastAsia" w:hAnsiTheme="minorHAnsi" w:cstheme="minorBidi"/>
            <w:sz w:val="22"/>
            <w:szCs w:val="22"/>
            <w:lang w:eastAsia="en-AU"/>
          </w:rPr>
          <w:tab/>
        </w:r>
        <w:r w:rsidRPr="009F1E8B">
          <w:rPr>
            <w:lang w:eastAsia="en-AU"/>
          </w:rPr>
          <w:t>Notifying relevant non-parties of tribunal order about listing</w:t>
        </w:r>
        <w:r>
          <w:tab/>
        </w:r>
        <w:r>
          <w:fldChar w:fldCharType="begin"/>
        </w:r>
        <w:r>
          <w:instrText xml:space="preserve"> PAGEREF _Toc23417985 \h </w:instrText>
        </w:r>
        <w:r>
          <w:fldChar w:fldCharType="separate"/>
        </w:r>
        <w:r w:rsidR="00A44672">
          <w:t>99</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86" w:history="1">
        <w:r w:rsidRPr="009F1E8B">
          <w:t>97</w:t>
        </w:r>
        <w:r>
          <w:rPr>
            <w:rFonts w:asciiTheme="minorHAnsi" w:eastAsiaTheme="minorEastAsia" w:hAnsiTheme="minorHAnsi" w:cstheme="minorBidi"/>
            <w:sz w:val="22"/>
            <w:szCs w:val="22"/>
            <w:lang w:eastAsia="en-AU"/>
          </w:rPr>
          <w:tab/>
        </w:r>
        <w:r w:rsidRPr="009F1E8B">
          <w:rPr>
            <w:lang w:eastAsia="en-AU"/>
          </w:rPr>
          <w:t>Keeping personal information listed</w:t>
        </w:r>
        <w:r>
          <w:tab/>
        </w:r>
        <w:r>
          <w:fldChar w:fldCharType="begin"/>
        </w:r>
        <w:r>
          <w:instrText xml:space="preserve"> PAGEREF _Toc23417986 \h </w:instrText>
        </w:r>
        <w:r>
          <w:fldChar w:fldCharType="separate"/>
        </w:r>
        <w:r w:rsidR="00A44672">
          <w:t>99</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87" w:history="1">
        <w:r w:rsidRPr="009F1E8B">
          <w:t>98</w:t>
        </w:r>
        <w:r>
          <w:rPr>
            <w:rFonts w:asciiTheme="minorHAnsi" w:eastAsiaTheme="minorEastAsia" w:hAnsiTheme="minorHAnsi" w:cstheme="minorBidi"/>
            <w:sz w:val="22"/>
            <w:szCs w:val="22"/>
            <w:lang w:eastAsia="en-AU"/>
          </w:rPr>
          <w:tab/>
        </w:r>
        <w:r w:rsidRPr="009F1E8B">
          <w:rPr>
            <w:lang w:eastAsia="en-AU"/>
          </w:rPr>
          <w:t>Application to ACAT about contravention</w:t>
        </w:r>
        <w:r>
          <w:tab/>
        </w:r>
        <w:r>
          <w:fldChar w:fldCharType="begin"/>
        </w:r>
        <w:r>
          <w:instrText xml:space="preserve"> PAGEREF _Toc23417987 \h </w:instrText>
        </w:r>
        <w:r>
          <w:fldChar w:fldCharType="separate"/>
        </w:r>
        <w:r w:rsidR="00A44672">
          <w:t>100</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88" w:history="1">
        <w:r w:rsidRPr="009F1E8B">
          <w:t>99</w:t>
        </w:r>
        <w:r>
          <w:rPr>
            <w:rFonts w:asciiTheme="minorHAnsi" w:eastAsiaTheme="minorEastAsia" w:hAnsiTheme="minorHAnsi" w:cstheme="minorBidi"/>
            <w:sz w:val="22"/>
            <w:szCs w:val="22"/>
            <w:lang w:eastAsia="en-AU"/>
          </w:rPr>
          <w:tab/>
        </w:r>
        <w:r w:rsidRPr="009F1E8B">
          <w:rPr>
            <w:lang w:eastAsia="en-AU"/>
          </w:rPr>
          <w:t xml:space="preserve">Application to ACAT about certain personal information listed in residential tenancy </w:t>
        </w:r>
        <w:r w:rsidRPr="009F1E8B">
          <w:rPr>
            <w:rFonts w:cs="Arial"/>
            <w:bCs/>
            <w:lang w:eastAsia="en-AU"/>
          </w:rPr>
          <w:t>database</w:t>
        </w:r>
        <w:r>
          <w:tab/>
        </w:r>
        <w:r>
          <w:fldChar w:fldCharType="begin"/>
        </w:r>
        <w:r>
          <w:instrText xml:space="preserve"> PAGEREF _Toc23417988 \h </w:instrText>
        </w:r>
        <w:r>
          <w:fldChar w:fldCharType="separate"/>
        </w:r>
        <w:r w:rsidR="00A44672">
          <w:t>101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89" w:history="1">
        <w:r w:rsidRPr="009F1E8B">
          <w:t>100</w:t>
        </w:r>
        <w:r>
          <w:rPr>
            <w:rFonts w:asciiTheme="minorHAnsi" w:eastAsiaTheme="minorEastAsia" w:hAnsiTheme="minorHAnsi" w:cstheme="minorBidi"/>
            <w:sz w:val="22"/>
            <w:szCs w:val="22"/>
            <w:lang w:eastAsia="en-AU"/>
          </w:rPr>
          <w:tab/>
        </w:r>
        <w:r w:rsidRPr="009F1E8B">
          <w:rPr>
            <w:lang w:eastAsia="en-AU"/>
          </w:rPr>
          <w:t xml:space="preserve">Application to ACAT about proposed listing of </w:t>
        </w:r>
        <w:r w:rsidRPr="009F1E8B">
          <w:rPr>
            <w:rFonts w:cs="Arial"/>
            <w:bCs/>
            <w:lang w:eastAsia="en-AU"/>
          </w:rPr>
          <w:t>personal information</w:t>
        </w:r>
        <w:r>
          <w:tab/>
        </w:r>
        <w:r>
          <w:fldChar w:fldCharType="begin"/>
        </w:r>
        <w:r>
          <w:instrText xml:space="preserve"> PAGEREF _Toc23417989 \h </w:instrText>
        </w:r>
        <w:r>
          <w:fldChar w:fldCharType="separate"/>
        </w:r>
        <w:r w:rsidR="00A44672">
          <w:t>102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90" w:history="1">
        <w:r w:rsidRPr="009F1E8B">
          <w:t>101</w:t>
        </w:r>
        <w:r>
          <w:rPr>
            <w:rFonts w:asciiTheme="minorHAnsi" w:eastAsiaTheme="minorEastAsia" w:hAnsiTheme="minorHAnsi" w:cstheme="minorBidi"/>
            <w:sz w:val="22"/>
            <w:szCs w:val="22"/>
            <w:lang w:eastAsia="en-AU"/>
          </w:rPr>
          <w:tab/>
        </w:r>
        <w:r w:rsidRPr="009F1E8B">
          <w:rPr>
            <w:lang w:eastAsia="en-AU"/>
          </w:rPr>
          <w:t>Order for compensation</w:t>
        </w:r>
        <w:r>
          <w:tab/>
        </w:r>
        <w:r>
          <w:fldChar w:fldCharType="begin"/>
        </w:r>
        <w:r>
          <w:instrText xml:space="preserve"> PAGEREF _Toc23417990 \h </w:instrText>
        </w:r>
        <w:r>
          <w:fldChar w:fldCharType="separate"/>
        </w:r>
        <w:r w:rsidR="00A44672">
          <w:t>103</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7991" w:history="1">
        <w:r w:rsidR="00462EC1" w:rsidRPr="009F1E8B">
          <w:t>Part 8</w:t>
        </w:r>
        <w:r w:rsidR="00462EC1">
          <w:rPr>
            <w:rFonts w:asciiTheme="minorHAnsi" w:eastAsiaTheme="minorEastAsia" w:hAnsiTheme="minorHAnsi" w:cstheme="minorBidi"/>
            <w:b w:val="0"/>
            <w:sz w:val="22"/>
            <w:szCs w:val="22"/>
            <w:lang w:eastAsia="en-AU"/>
          </w:rPr>
          <w:tab/>
        </w:r>
        <w:r w:rsidR="00462EC1" w:rsidRPr="009F1E8B">
          <w:t>Registration of standard guarantee contract for commercial guarantee</w:t>
        </w:r>
        <w:r w:rsidR="00462EC1" w:rsidRPr="00462EC1">
          <w:rPr>
            <w:vanish/>
          </w:rPr>
          <w:tab/>
        </w:r>
        <w:r w:rsidR="00462EC1" w:rsidRPr="00462EC1">
          <w:rPr>
            <w:vanish/>
          </w:rPr>
          <w:fldChar w:fldCharType="begin"/>
        </w:r>
        <w:r w:rsidR="00462EC1" w:rsidRPr="00462EC1">
          <w:rPr>
            <w:vanish/>
          </w:rPr>
          <w:instrText xml:space="preserve"> PAGEREF _Toc23417991 \h </w:instrText>
        </w:r>
        <w:r w:rsidR="00462EC1" w:rsidRPr="00462EC1">
          <w:rPr>
            <w:vanish/>
          </w:rPr>
        </w:r>
        <w:r w:rsidR="00462EC1" w:rsidRPr="00462EC1">
          <w:rPr>
            <w:vanish/>
          </w:rPr>
          <w:fldChar w:fldCharType="separate"/>
        </w:r>
        <w:r w:rsidR="00A44672">
          <w:rPr>
            <w:vanish/>
          </w:rPr>
          <w:t>104</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92" w:history="1">
        <w:r w:rsidRPr="009F1E8B">
          <w:t>102</w:t>
        </w:r>
        <w:r>
          <w:rPr>
            <w:rFonts w:asciiTheme="minorHAnsi" w:eastAsiaTheme="minorEastAsia" w:hAnsiTheme="minorHAnsi" w:cstheme="minorBidi"/>
            <w:sz w:val="22"/>
            <w:szCs w:val="22"/>
            <w:lang w:eastAsia="en-AU"/>
          </w:rPr>
          <w:tab/>
        </w:r>
        <w:r w:rsidRPr="009F1E8B">
          <w:t xml:space="preserve">Meaning of </w:t>
        </w:r>
        <w:r w:rsidRPr="009F1E8B">
          <w:rPr>
            <w:i/>
          </w:rPr>
          <w:t xml:space="preserve">commercial guarantee </w:t>
        </w:r>
        <w:r w:rsidRPr="009F1E8B">
          <w:t>and</w:t>
        </w:r>
        <w:r w:rsidRPr="009F1E8B">
          <w:rPr>
            <w:i/>
          </w:rPr>
          <w:t xml:space="preserve"> standard guarantee</w:t>
        </w:r>
        <w:r w:rsidRPr="009F1E8B">
          <w:t xml:space="preserve"> </w:t>
        </w:r>
        <w:r w:rsidRPr="009F1E8B">
          <w:rPr>
            <w:i/>
          </w:rPr>
          <w:t>contract</w:t>
        </w:r>
        <w:r>
          <w:tab/>
        </w:r>
        <w:r>
          <w:fldChar w:fldCharType="begin"/>
        </w:r>
        <w:r>
          <w:instrText xml:space="preserve"> PAGEREF _Toc23417992 \h </w:instrText>
        </w:r>
        <w:r>
          <w:fldChar w:fldCharType="separate"/>
        </w:r>
        <w:r w:rsidR="00A44672">
          <w:t>104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93" w:history="1">
        <w:r w:rsidRPr="009F1E8B">
          <w:t>103</w:t>
        </w:r>
        <w:r>
          <w:rPr>
            <w:rFonts w:asciiTheme="minorHAnsi" w:eastAsiaTheme="minorEastAsia" w:hAnsiTheme="minorHAnsi" w:cstheme="minorBidi"/>
            <w:sz w:val="22"/>
            <w:szCs w:val="22"/>
            <w:lang w:eastAsia="en-AU"/>
          </w:rPr>
          <w:tab/>
        </w:r>
        <w:r w:rsidRPr="009F1E8B">
          <w:t>Application for registration of standard guarantee contract</w:t>
        </w:r>
        <w:r>
          <w:tab/>
        </w:r>
        <w:r>
          <w:fldChar w:fldCharType="begin"/>
        </w:r>
        <w:r>
          <w:instrText xml:space="preserve"> PAGEREF _Toc23417993 \h </w:instrText>
        </w:r>
        <w:r>
          <w:fldChar w:fldCharType="separate"/>
        </w:r>
        <w:r w:rsidR="00A44672">
          <w:t>104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94" w:history="1">
        <w:r w:rsidRPr="009F1E8B">
          <w:t>104</w:t>
        </w:r>
        <w:r>
          <w:rPr>
            <w:rFonts w:asciiTheme="minorHAnsi" w:eastAsiaTheme="minorEastAsia" w:hAnsiTheme="minorHAnsi" w:cstheme="minorBidi"/>
            <w:sz w:val="22"/>
            <w:szCs w:val="22"/>
            <w:lang w:eastAsia="en-AU"/>
          </w:rPr>
          <w:tab/>
        </w:r>
        <w:r w:rsidRPr="009F1E8B">
          <w:t>Commissioner must decide application</w:t>
        </w:r>
        <w:r>
          <w:tab/>
        </w:r>
        <w:r>
          <w:fldChar w:fldCharType="begin"/>
        </w:r>
        <w:r>
          <w:instrText xml:space="preserve"> PAGEREF _Toc23417994 \h </w:instrText>
        </w:r>
        <w:r>
          <w:fldChar w:fldCharType="separate"/>
        </w:r>
        <w:r w:rsidR="00A44672">
          <w:t>105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95" w:history="1">
        <w:r w:rsidRPr="009F1E8B">
          <w:t>105</w:t>
        </w:r>
        <w:r>
          <w:rPr>
            <w:rFonts w:asciiTheme="minorHAnsi" w:eastAsiaTheme="minorEastAsia" w:hAnsiTheme="minorHAnsi" w:cstheme="minorBidi"/>
            <w:sz w:val="22"/>
            <w:szCs w:val="22"/>
            <w:lang w:eastAsia="en-AU"/>
          </w:rPr>
          <w:tab/>
        </w:r>
        <w:r w:rsidRPr="009F1E8B">
          <w:t>Register of standard guarantee contracts</w:t>
        </w:r>
        <w:r>
          <w:tab/>
        </w:r>
        <w:r>
          <w:fldChar w:fldCharType="begin"/>
        </w:r>
        <w:r>
          <w:instrText xml:space="preserve"> PAGEREF _Toc23417995 \h </w:instrText>
        </w:r>
        <w:r>
          <w:fldChar w:fldCharType="separate"/>
        </w:r>
        <w:r w:rsidR="00A44672">
          <w:t>106</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96" w:history="1">
        <w:r w:rsidRPr="009F1E8B">
          <w:t>106</w:t>
        </w:r>
        <w:r>
          <w:rPr>
            <w:rFonts w:asciiTheme="minorHAnsi" w:eastAsiaTheme="minorEastAsia" w:hAnsiTheme="minorHAnsi" w:cstheme="minorBidi"/>
            <w:sz w:val="22"/>
            <w:szCs w:val="22"/>
            <w:lang w:eastAsia="en-AU"/>
          </w:rPr>
          <w:tab/>
        </w:r>
        <w:r w:rsidRPr="009F1E8B">
          <w:t>Relationship to Australian Consumer Law (ACT)</w:t>
        </w:r>
        <w:r>
          <w:tab/>
        </w:r>
        <w:r>
          <w:fldChar w:fldCharType="begin"/>
        </w:r>
        <w:r>
          <w:instrText xml:space="preserve"> PAGEREF _Toc23417996 \h </w:instrText>
        </w:r>
        <w:r>
          <w:fldChar w:fldCharType="separate"/>
        </w:r>
        <w:r w:rsidR="00A44672">
          <w:t>106</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7997" w:history="1">
        <w:r w:rsidR="00462EC1" w:rsidRPr="009F1E8B">
          <w:t>Part 9</w:t>
        </w:r>
        <w:r w:rsidR="00462EC1">
          <w:rPr>
            <w:rFonts w:asciiTheme="minorHAnsi" w:eastAsiaTheme="minorEastAsia" w:hAnsiTheme="minorHAnsi" w:cstheme="minorBidi"/>
            <w:b w:val="0"/>
            <w:sz w:val="22"/>
            <w:szCs w:val="22"/>
            <w:lang w:eastAsia="en-AU"/>
          </w:rPr>
          <w:tab/>
        </w:r>
        <w:r w:rsidR="00462EC1" w:rsidRPr="009F1E8B">
          <w:t>Miscellaneous</w:t>
        </w:r>
        <w:r w:rsidR="00462EC1" w:rsidRPr="00462EC1">
          <w:rPr>
            <w:vanish/>
          </w:rPr>
          <w:tab/>
        </w:r>
        <w:r w:rsidR="00462EC1" w:rsidRPr="00462EC1">
          <w:rPr>
            <w:vanish/>
          </w:rPr>
          <w:fldChar w:fldCharType="begin"/>
        </w:r>
        <w:r w:rsidR="00462EC1" w:rsidRPr="00462EC1">
          <w:rPr>
            <w:vanish/>
          </w:rPr>
          <w:instrText xml:space="preserve"> PAGEREF _Toc23417997 \h </w:instrText>
        </w:r>
        <w:r w:rsidR="00462EC1" w:rsidRPr="00462EC1">
          <w:rPr>
            <w:vanish/>
          </w:rPr>
        </w:r>
        <w:r w:rsidR="00462EC1" w:rsidRPr="00462EC1">
          <w:rPr>
            <w:vanish/>
          </w:rPr>
          <w:fldChar w:fldCharType="separate"/>
        </w:r>
        <w:r w:rsidR="00A44672">
          <w:rPr>
            <w:vanish/>
          </w:rPr>
          <w:t>107</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98" w:history="1">
        <w:r w:rsidRPr="009F1E8B">
          <w:t>126</w:t>
        </w:r>
        <w:r>
          <w:rPr>
            <w:rFonts w:asciiTheme="minorHAnsi" w:eastAsiaTheme="minorEastAsia" w:hAnsiTheme="minorHAnsi" w:cstheme="minorBidi"/>
            <w:sz w:val="22"/>
            <w:szCs w:val="22"/>
            <w:lang w:eastAsia="en-AU"/>
          </w:rPr>
          <w:tab/>
        </w:r>
        <w:r w:rsidRPr="009F1E8B">
          <w:t>Declared crisis accommodation provider</w:t>
        </w:r>
        <w:r>
          <w:tab/>
        </w:r>
        <w:r>
          <w:fldChar w:fldCharType="begin"/>
        </w:r>
        <w:r>
          <w:instrText xml:space="preserve"> PAGEREF _Toc23417998 \h </w:instrText>
        </w:r>
        <w:r>
          <w:fldChar w:fldCharType="separate"/>
        </w:r>
        <w:r w:rsidR="00A44672">
          <w:t>107</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7999" w:history="1">
        <w:r w:rsidRPr="009F1E8B">
          <w:t>127</w:t>
        </w:r>
        <w:r>
          <w:rPr>
            <w:rFonts w:asciiTheme="minorHAnsi" w:eastAsiaTheme="minorEastAsia" w:hAnsiTheme="minorHAnsi" w:cstheme="minorBidi"/>
            <w:sz w:val="22"/>
            <w:szCs w:val="22"/>
            <w:lang w:eastAsia="en-AU"/>
          </w:rPr>
          <w:tab/>
        </w:r>
        <w:r w:rsidRPr="009F1E8B">
          <w:t>Death of 1 of more than 2 tenants</w:t>
        </w:r>
        <w:r>
          <w:tab/>
        </w:r>
        <w:r>
          <w:fldChar w:fldCharType="begin"/>
        </w:r>
        <w:r>
          <w:instrText xml:space="preserve"> PAGEREF _Toc23417999 \h </w:instrText>
        </w:r>
        <w:r>
          <w:fldChar w:fldCharType="separate"/>
        </w:r>
        <w:r w:rsidR="00A44672">
          <w:t>107</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00" w:history="1">
        <w:r w:rsidRPr="009F1E8B">
          <w:t>127A</w:t>
        </w:r>
        <w:r>
          <w:rPr>
            <w:rFonts w:asciiTheme="minorHAnsi" w:eastAsiaTheme="minorEastAsia" w:hAnsiTheme="minorHAnsi" w:cstheme="minorBidi"/>
            <w:sz w:val="22"/>
            <w:szCs w:val="22"/>
            <w:lang w:eastAsia="en-AU"/>
          </w:rPr>
          <w:tab/>
        </w:r>
        <w:r w:rsidRPr="009F1E8B">
          <w:t>Transfer of public housing under will</w:t>
        </w:r>
        <w:r>
          <w:tab/>
        </w:r>
        <w:r>
          <w:fldChar w:fldCharType="begin"/>
        </w:r>
        <w:r>
          <w:instrText xml:space="preserve"> PAGEREF _Toc23418000 \h </w:instrText>
        </w:r>
        <w:r>
          <w:fldChar w:fldCharType="separate"/>
        </w:r>
        <w:r w:rsidR="00A44672">
          <w:t>107</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01" w:history="1">
        <w:r w:rsidRPr="009F1E8B">
          <w:t>128</w:t>
        </w:r>
        <w:r>
          <w:rPr>
            <w:rFonts w:asciiTheme="minorHAnsi" w:eastAsiaTheme="minorEastAsia" w:hAnsiTheme="minorHAnsi" w:cstheme="minorBidi"/>
            <w:sz w:val="22"/>
            <w:szCs w:val="22"/>
            <w:lang w:eastAsia="en-AU"/>
          </w:rPr>
          <w:tab/>
        </w:r>
        <w:r w:rsidRPr="009F1E8B">
          <w:t>Purported assignment or subletting</w:t>
        </w:r>
        <w:r>
          <w:tab/>
        </w:r>
        <w:r>
          <w:fldChar w:fldCharType="begin"/>
        </w:r>
        <w:r>
          <w:instrText xml:space="preserve"> PAGEREF _Toc23418001 \h </w:instrText>
        </w:r>
        <w:r>
          <w:fldChar w:fldCharType="separate"/>
        </w:r>
        <w:r w:rsidR="00A44672">
          <w:t>108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02" w:history="1">
        <w:r w:rsidRPr="009F1E8B">
          <w:t>131</w:t>
        </w:r>
        <w:r>
          <w:rPr>
            <w:rFonts w:asciiTheme="minorHAnsi" w:eastAsiaTheme="minorEastAsia" w:hAnsiTheme="minorHAnsi" w:cstheme="minorBidi"/>
            <w:sz w:val="22"/>
            <w:szCs w:val="22"/>
            <w:lang w:eastAsia="en-AU"/>
          </w:rPr>
          <w:tab/>
        </w:r>
        <w:r w:rsidRPr="009F1E8B">
          <w:t>Proceedings by children</w:t>
        </w:r>
        <w:r>
          <w:tab/>
        </w:r>
        <w:r>
          <w:fldChar w:fldCharType="begin"/>
        </w:r>
        <w:r>
          <w:instrText xml:space="preserve"> PAGEREF _Toc23418002 \h </w:instrText>
        </w:r>
        <w:r>
          <w:fldChar w:fldCharType="separate"/>
        </w:r>
        <w:r w:rsidR="00A44672">
          <w:t>108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03" w:history="1">
        <w:r w:rsidRPr="009F1E8B">
          <w:t>132</w:t>
        </w:r>
        <w:r>
          <w:rPr>
            <w:rFonts w:asciiTheme="minorHAnsi" w:eastAsiaTheme="minorEastAsia" w:hAnsiTheme="minorHAnsi" w:cstheme="minorBidi"/>
            <w:sz w:val="22"/>
            <w:szCs w:val="22"/>
            <w:lang w:eastAsia="en-AU"/>
          </w:rPr>
          <w:tab/>
        </w:r>
        <w:r w:rsidRPr="009F1E8B">
          <w:t>Enforcing agreements by or against children</w:t>
        </w:r>
        <w:r>
          <w:tab/>
        </w:r>
        <w:r>
          <w:fldChar w:fldCharType="begin"/>
        </w:r>
        <w:r>
          <w:instrText xml:space="preserve"> PAGEREF _Toc23418003 \h </w:instrText>
        </w:r>
        <w:r>
          <w:fldChar w:fldCharType="separate"/>
        </w:r>
        <w:r w:rsidR="00A44672">
          <w:t>108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04" w:history="1">
        <w:r w:rsidRPr="009F1E8B">
          <w:t>133</w:t>
        </w:r>
        <w:r>
          <w:rPr>
            <w:rFonts w:asciiTheme="minorHAnsi" w:eastAsiaTheme="minorEastAsia" w:hAnsiTheme="minorHAnsi" w:cstheme="minorBidi"/>
            <w:sz w:val="22"/>
            <w:szCs w:val="22"/>
            <w:lang w:eastAsia="en-AU"/>
          </w:rPr>
          <w:tab/>
        </w:r>
        <w:r w:rsidRPr="009F1E8B">
          <w:t>Approved forms—Minister</w:t>
        </w:r>
        <w:r>
          <w:tab/>
        </w:r>
        <w:r>
          <w:fldChar w:fldCharType="begin"/>
        </w:r>
        <w:r>
          <w:instrText xml:space="preserve"> PAGEREF _Toc23418004 \h </w:instrText>
        </w:r>
        <w:r>
          <w:fldChar w:fldCharType="separate"/>
        </w:r>
        <w:r w:rsidR="00A44672">
          <w:t>109</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05" w:history="1">
        <w:r w:rsidRPr="009F1E8B">
          <w:t>134</w:t>
        </w:r>
        <w:r>
          <w:rPr>
            <w:rFonts w:asciiTheme="minorHAnsi" w:eastAsiaTheme="minorEastAsia" w:hAnsiTheme="minorHAnsi" w:cstheme="minorBidi"/>
            <w:sz w:val="22"/>
            <w:szCs w:val="22"/>
            <w:lang w:eastAsia="en-AU"/>
          </w:rPr>
          <w:tab/>
        </w:r>
        <w:r w:rsidRPr="009F1E8B">
          <w:t>Determination of fees</w:t>
        </w:r>
        <w:r>
          <w:tab/>
        </w:r>
        <w:r>
          <w:fldChar w:fldCharType="begin"/>
        </w:r>
        <w:r>
          <w:instrText xml:space="preserve"> PAGEREF _Toc23418005 \h </w:instrText>
        </w:r>
        <w:r>
          <w:fldChar w:fldCharType="separate"/>
        </w:r>
        <w:r w:rsidR="00A44672">
          <w:t>109</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06" w:history="1">
        <w:r w:rsidRPr="009F1E8B">
          <w:t>136</w:t>
        </w:r>
        <w:r>
          <w:rPr>
            <w:rFonts w:asciiTheme="minorHAnsi" w:eastAsiaTheme="minorEastAsia" w:hAnsiTheme="minorHAnsi" w:cstheme="minorBidi"/>
            <w:sz w:val="22"/>
            <w:szCs w:val="22"/>
            <w:lang w:eastAsia="en-AU"/>
          </w:rPr>
          <w:tab/>
        </w:r>
        <w:r w:rsidRPr="009F1E8B">
          <w:t>Regulation-making power</w:t>
        </w:r>
        <w:r>
          <w:tab/>
        </w:r>
        <w:r>
          <w:fldChar w:fldCharType="begin"/>
        </w:r>
        <w:r>
          <w:instrText xml:space="preserve"> PAGEREF _Toc23418006 \h </w:instrText>
        </w:r>
        <w:r>
          <w:fldChar w:fldCharType="separate"/>
        </w:r>
        <w:r w:rsidR="00A44672">
          <w:t>109</w:t>
        </w:r>
        <w:r>
          <w:fldChar w:fldCharType="end"/>
        </w:r>
      </w:hyperlink>
    </w:p>
    <w:p w:rsidR="00462EC1" w:rsidRDefault="007C2037">
      <w:pPr>
        <w:pStyle w:val="TOC2"/>
        <w:rPr>
          <w:rFonts w:asciiTheme="minorHAnsi" w:eastAsiaTheme="minorEastAsia" w:hAnsiTheme="minorHAnsi" w:cstheme="minorBidi"/>
          <w:b w:val="0"/>
          <w:sz w:val="22"/>
          <w:szCs w:val="22"/>
          <w:lang w:eastAsia="en-AU"/>
        </w:rPr>
      </w:pPr>
      <w:hyperlink w:anchor="_Toc23418007" w:history="1">
        <w:r w:rsidR="00462EC1" w:rsidRPr="009F1E8B">
          <w:t>Part 15</w:t>
        </w:r>
        <w:r w:rsidR="00462EC1">
          <w:rPr>
            <w:rFonts w:asciiTheme="minorHAnsi" w:eastAsiaTheme="minorEastAsia" w:hAnsiTheme="minorHAnsi" w:cstheme="minorBidi"/>
            <w:b w:val="0"/>
            <w:sz w:val="22"/>
            <w:szCs w:val="22"/>
            <w:lang w:eastAsia="en-AU"/>
          </w:rPr>
          <w:tab/>
        </w:r>
        <w:r w:rsidR="00462EC1" w:rsidRPr="009F1E8B">
          <w:t>Transitional—Residential Tenancies Amendment Act 2018</w:t>
        </w:r>
        <w:r w:rsidR="00462EC1" w:rsidRPr="00462EC1">
          <w:rPr>
            <w:vanish/>
          </w:rPr>
          <w:tab/>
        </w:r>
        <w:r w:rsidR="00462EC1" w:rsidRPr="00462EC1">
          <w:rPr>
            <w:vanish/>
          </w:rPr>
          <w:fldChar w:fldCharType="begin"/>
        </w:r>
        <w:r w:rsidR="00462EC1" w:rsidRPr="00462EC1">
          <w:rPr>
            <w:vanish/>
          </w:rPr>
          <w:instrText xml:space="preserve"> PAGEREF _Toc23418007 \h </w:instrText>
        </w:r>
        <w:r w:rsidR="00462EC1" w:rsidRPr="00462EC1">
          <w:rPr>
            <w:vanish/>
          </w:rPr>
        </w:r>
        <w:r w:rsidR="00462EC1" w:rsidRPr="00462EC1">
          <w:rPr>
            <w:vanish/>
          </w:rPr>
          <w:fldChar w:fldCharType="separate"/>
        </w:r>
        <w:r w:rsidR="00A44672">
          <w:rPr>
            <w:vanish/>
          </w:rPr>
          <w:t>111</w:t>
        </w:r>
        <w:r w:rsidR="00462EC1" w:rsidRPr="00462EC1">
          <w:rPr>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08" w:history="1">
        <w:r w:rsidRPr="009F1E8B">
          <w:t>151</w:t>
        </w:r>
        <w:r>
          <w:rPr>
            <w:rFonts w:asciiTheme="minorHAnsi" w:eastAsiaTheme="minorEastAsia" w:hAnsiTheme="minorHAnsi" w:cstheme="minorBidi"/>
            <w:sz w:val="22"/>
            <w:szCs w:val="22"/>
            <w:lang w:eastAsia="en-AU"/>
          </w:rPr>
          <w:tab/>
        </w:r>
        <w:r w:rsidRPr="009F1E8B">
          <w:t xml:space="preserve">Meaning of </w:t>
        </w:r>
        <w:r w:rsidRPr="009F1E8B">
          <w:rPr>
            <w:i/>
          </w:rPr>
          <w:t>commencement day</w:t>
        </w:r>
        <w:r w:rsidRPr="009F1E8B">
          <w:t>—pt 15</w:t>
        </w:r>
        <w:r>
          <w:tab/>
        </w:r>
        <w:r>
          <w:fldChar w:fldCharType="begin"/>
        </w:r>
        <w:r>
          <w:instrText xml:space="preserve"> PAGEREF _Toc23418008 \h </w:instrText>
        </w:r>
        <w:r>
          <w:fldChar w:fldCharType="separate"/>
        </w:r>
        <w:r w:rsidR="00A44672">
          <w:t>111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09" w:history="1">
        <w:r w:rsidRPr="009F1E8B">
          <w:t>152</w:t>
        </w:r>
        <w:r>
          <w:rPr>
            <w:rFonts w:asciiTheme="minorHAnsi" w:eastAsiaTheme="minorEastAsia" w:hAnsiTheme="minorHAnsi" w:cstheme="minorBidi"/>
            <w:sz w:val="22"/>
            <w:szCs w:val="22"/>
            <w:lang w:eastAsia="en-AU"/>
          </w:rPr>
          <w:tab/>
        </w:r>
        <w:r w:rsidRPr="009F1E8B">
          <w:t>Applications for registration of standard guarantee contract</w:t>
        </w:r>
        <w:r>
          <w:tab/>
        </w:r>
        <w:r>
          <w:fldChar w:fldCharType="begin"/>
        </w:r>
        <w:r>
          <w:instrText xml:space="preserve"> PAGEREF _Toc23418009 \h </w:instrText>
        </w:r>
        <w:r>
          <w:fldChar w:fldCharType="separate"/>
        </w:r>
        <w:r w:rsidR="00A44672">
          <w:t>111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10" w:history="1">
        <w:r w:rsidRPr="009F1E8B">
          <w:t>153</w:t>
        </w:r>
        <w:r>
          <w:rPr>
            <w:rFonts w:asciiTheme="minorHAnsi" w:eastAsiaTheme="minorEastAsia" w:hAnsiTheme="minorHAnsi" w:cstheme="minorBidi"/>
            <w:sz w:val="22"/>
            <w:szCs w:val="22"/>
            <w:lang w:eastAsia="en-AU"/>
          </w:rPr>
          <w:tab/>
        </w:r>
        <w:r w:rsidRPr="009F1E8B">
          <w:t>Registered standard guarantee contracts</w:t>
        </w:r>
        <w:r>
          <w:tab/>
        </w:r>
        <w:r>
          <w:fldChar w:fldCharType="begin"/>
        </w:r>
        <w:r>
          <w:instrText xml:space="preserve"> PAGEREF _Toc23418010 \h </w:instrText>
        </w:r>
        <w:r>
          <w:fldChar w:fldCharType="separate"/>
        </w:r>
        <w:r w:rsidR="00A44672">
          <w:t>111</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11" w:history="1">
        <w:r w:rsidRPr="009F1E8B">
          <w:t>154</w:t>
        </w:r>
        <w:r>
          <w:rPr>
            <w:rFonts w:asciiTheme="minorHAnsi" w:eastAsiaTheme="minorEastAsia" w:hAnsiTheme="minorHAnsi" w:cstheme="minorBidi"/>
            <w:sz w:val="22"/>
            <w:szCs w:val="22"/>
            <w:lang w:eastAsia="en-AU"/>
          </w:rPr>
          <w:tab/>
        </w:r>
        <w:r w:rsidRPr="009F1E8B">
          <w:t>Conditional termination and possession orders in force immediately before commencement day</w:t>
        </w:r>
        <w:r>
          <w:tab/>
        </w:r>
        <w:r>
          <w:fldChar w:fldCharType="begin"/>
        </w:r>
        <w:r>
          <w:instrText xml:space="preserve"> PAGEREF _Toc23418011 \h </w:instrText>
        </w:r>
        <w:r>
          <w:fldChar w:fldCharType="separate"/>
        </w:r>
        <w:r w:rsidR="00A44672">
          <w:t>112</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12" w:history="1">
        <w:r w:rsidRPr="009F1E8B">
          <w:t>155</w:t>
        </w:r>
        <w:r>
          <w:rPr>
            <w:rFonts w:asciiTheme="minorHAnsi" w:eastAsiaTheme="minorEastAsia" w:hAnsiTheme="minorHAnsi" w:cstheme="minorBidi"/>
            <w:sz w:val="22"/>
            <w:szCs w:val="22"/>
            <w:lang w:eastAsia="en-AU"/>
          </w:rPr>
          <w:tab/>
        </w:r>
        <w:r w:rsidRPr="009F1E8B">
          <w:t>Expiry—pt 15</w:t>
        </w:r>
        <w:r>
          <w:tab/>
        </w:r>
        <w:r>
          <w:fldChar w:fldCharType="begin"/>
        </w:r>
        <w:r>
          <w:instrText xml:space="preserve"> PAGEREF _Toc23418012 \h </w:instrText>
        </w:r>
        <w:r>
          <w:fldChar w:fldCharType="separate"/>
        </w:r>
        <w:r w:rsidR="00A44672">
          <w:t>112</w:t>
        </w:r>
        <w:r>
          <w:fldChar w:fldCharType="end"/>
        </w:r>
      </w:hyperlink>
    </w:p>
    <w:p w:rsidR="00462EC1" w:rsidRDefault="007C2037">
      <w:pPr>
        <w:pStyle w:val="TOC6"/>
        <w:rPr>
          <w:rFonts w:asciiTheme="minorHAnsi" w:eastAsiaTheme="minorEastAsia" w:hAnsiTheme="minorHAnsi" w:cstheme="minorBidi"/>
          <w:b w:val="0"/>
          <w:sz w:val="22"/>
          <w:szCs w:val="22"/>
          <w:lang w:eastAsia="en-AU"/>
        </w:rPr>
      </w:pPr>
      <w:hyperlink w:anchor="_Toc23418013" w:history="1">
        <w:r w:rsidR="00462EC1" w:rsidRPr="009F1E8B">
          <w:t>Schedule 1</w:t>
        </w:r>
        <w:r w:rsidR="00462EC1">
          <w:rPr>
            <w:rFonts w:asciiTheme="minorHAnsi" w:eastAsiaTheme="minorEastAsia" w:hAnsiTheme="minorHAnsi" w:cstheme="minorBidi"/>
            <w:b w:val="0"/>
            <w:sz w:val="22"/>
            <w:szCs w:val="22"/>
            <w:lang w:eastAsia="en-AU"/>
          </w:rPr>
          <w:tab/>
        </w:r>
        <w:r w:rsidR="00462EC1" w:rsidRPr="009F1E8B">
          <w:t>Standard residential tenancy terms</w:t>
        </w:r>
        <w:r w:rsidR="00462EC1">
          <w:tab/>
        </w:r>
        <w:r w:rsidR="00462EC1" w:rsidRPr="00462EC1">
          <w:rPr>
            <w:b w:val="0"/>
            <w:sz w:val="20"/>
          </w:rPr>
          <w:fldChar w:fldCharType="begin"/>
        </w:r>
        <w:r w:rsidR="00462EC1" w:rsidRPr="00462EC1">
          <w:rPr>
            <w:b w:val="0"/>
            <w:sz w:val="20"/>
          </w:rPr>
          <w:instrText xml:space="preserve"> PAGEREF _Toc23418013 \h </w:instrText>
        </w:r>
        <w:r w:rsidR="00462EC1" w:rsidRPr="00462EC1">
          <w:rPr>
            <w:b w:val="0"/>
            <w:sz w:val="20"/>
          </w:rPr>
        </w:r>
        <w:r w:rsidR="00462EC1" w:rsidRPr="00462EC1">
          <w:rPr>
            <w:b w:val="0"/>
            <w:sz w:val="20"/>
          </w:rPr>
          <w:fldChar w:fldCharType="separate"/>
        </w:r>
        <w:r w:rsidR="00A44672">
          <w:rPr>
            <w:b w:val="0"/>
            <w:sz w:val="20"/>
          </w:rPr>
          <w:t>113</w:t>
        </w:r>
        <w:r w:rsidR="00462EC1" w:rsidRPr="00462EC1">
          <w:rPr>
            <w:b w:val="0"/>
            <w:sz w:val="20"/>
          </w:rPr>
          <w:fldChar w:fldCharType="end"/>
        </w:r>
      </w:hyperlink>
    </w:p>
    <w:p w:rsidR="00462EC1" w:rsidRDefault="007C2037">
      <w:pPr>
        <w:pStyle w:val="TOC6"/>
        <w:rPr>
          <w:rFonts w:asciiTheme="minorHAnsi" w:eastAsiaTheme="minorEastAsia" w:hAnsiTheme="minorHAnsi" w:cstheme="minorBidi"/>
          <w:b w:val="0"/>
          <w:sz w:val="22"/>
          <w:szCs w:val="22"/>
          <w:lang w:eastAsia="en-AU"/>
        </w:rPr>
      </w:pPr>
      <w:hyperlink w:anchor="_Toc23418014" w:history="1">
        <w:r w:rsidR="00462EC1" w:rsidRPr="009F1E8B">
          <w:t>Dictionary</w:t>
        </w:r>
        <w:r w:rsidR="00462EC1">
          <w:tab/>
        </w:r>
        <w:r w:rsidR="00462EC1">
          <w:tab/>
        </w:r>
        <w:r w:rsidR="00462EC1" w:rsidRPr="00462EC1">
          <w:rPr>
            <w:b w:val="0"/>
            <w:sz w:val="20"/>
          </w:rPr>
          <w:fldChar w:fldCharType="begin"/>
        </w:r>
        <w:r w:rsidR="00462EC1" w:rsidRPr="00462EC1">
          <w:rPr>
            <w:b w:val="0"/>
            <w:sz w:val="20"/>
          </w:rPr>
          <w:instrText xml:space="preserve"> PAGEREF _Toc23418014 \h </w:instrText>
        </w:r>
        <w:r w:rsidR="00462EC1" w:rsidRPr="00462EC1">
          <w:rPr>
            <w:b w:val="0"/>
            <w:sz w:val="20"/>
          </w:rPr>
        </w:r>
        <w:r w:rsidR="00462EC1" w:rsidRPr="00462EC1">
          <w:rPr>
            <w:b w:val="0"/>
            <w:sz w:val="20"/>
          </w:rPr>
          <w:fldChar w:fldCharType="separate"/>
        </w:r>
        <w:r w:rsidR="00A44672">
          <w:rPr>
            <w:b w:val="0"/>
            <w:sz w:val="20"/>
          </w:rPr>
          <w:t>139</w:t>
        </w:r>
        <w:r w:rsidR="00462EC1" w:rsidRPr="00462EC1">
          <w:rPr>
            <w:b w:val="0"/>
            <w:sz w:val="20"/>
          </w:rPr>
          <w:fldChar w:fldCharType="end"/>
        </w:r>
      </w:hyperlink>
    </w:p>
    <w:p w:rsidR="00462EC1" w:rsidRDefault="007C2037" w:rsidP="00462EC1">
      <w:pPr>
        <w:pStyle w:val="TOC7"/>
        <w:spacing w:before="480"/>
        <w:rPr>
          <w:rFonts w:asciiTheme="minorHAnsi" w:eastAsiaTheme="minorEastAsia" w:hAnsiTheme="minorHAnsi" w:cstheme="minorBidi"/>
          <w:b w:val="0"/>
          <w:sz w:val="22"/>
          <w:szCs w:val="22"/>
          <w:lang w:eastAsia="en-AU"/>
        </w:rPr>
      </w:pPr>
      <w:hyperlink w:anchor="_Toc23418015" w:history="1">
        <w:r w:rsidR="00462EC1">
          <w:t>Endnotes</w:t>
        </w:r>
        <w:r w:rsidR="00462EC1" w:rsidRPr="00462EC1">
          <w:rPr>
            <w:vanish/>
          </w:rPr>
          <w:tab/>
        </w:r>
        <w:r w:rsidR="00462EC1">
          <w:rPr>
            <w:vanish/>
          </w:rPr>
          <w:tab/>
        </w:r>
        <w:r w:rsidR="00462EC1" w:rsidRPr="00462EC1">
          <w:rPr>
            <w:b w:val="0"/>
            <w:vanish/>
          </w:rPr>
          <w:fldChar w:fldCharType="begin"/>
        </w:r>
        <w:r w:rsidR="00462EC1" w:rsidRPr="00462EC1">
          <w:rPr>
            <w:b w:val="0"/>
            <w:vanish/>
          </w:rPr>
          <w:instrText xml:space="preserve"> PAGEREF _Toc23418015 \h </w:instrText>
        </w:r>
        <w:r w:rsidR="00462EC1" w:rsidRPr="00462EC1">
          <w:rPr>
            <w:b w:val="0"/>
            <w:vanish/>
          </w:rPr>
        </w:r>
        <w:r w:rsidR="00462EC1" w:rsidRPr="00462EC1">
          <w:rPr>
            <w:b w:val="0"/>
            <w:vanish/>
          </w:rPr>
          <w:fldChar w:fldCharType="separate"/>
        </w:r>
        <w:r w:rsidR="00A44672">
          <w:rPr>
            <w:b w:val="0"/>
            <w:vanish/>
          </w:rPr>
          <w:t>144</w:t>
        </w:r>
        <w:r w:rsidR="00462EC1" w:rsidRPr="00462EC1">
          <w:rPr>
            <w:b w:val="0"/>
            <w:vanish/>
          </w:rP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16" w:history="1">
        <w:r w:rsidRPr="009F1E8B">
          <w:t>1</w:t>
        </w:r>
        <w:r>
          <w:rPr>
            <w:rFonts w:asciiTheme="minorHAnsi" w:eastAsiaTheme="minorEastAsia" w:hAnsiTheme="minorHAnsi" w:cstheme="minorBidi"/>
            <w:sz w:val="22"/>
            <w:szCs w:val="22"/>
            <w:lang w:eastAsia="en-AU"/>
          </w:rPr>
          <w:tab/>
        </w:r>
        <w:r w:rsidRPr="009F1E8B">
          <w:t>About the endnotes</w:t>
        </w:r>
        <w:r>
          <w:tab/>
        </w:r>
        <w:r>
          <w:fldChar w:fldCharType="begin"/>
        </w:r>
        <w:r>
          <w:instrText xml:space="preserve"> PAGEREF _Toc23418016 \h </w:instrText>
        </w:r>
        <w:r>
          <w:fldChar w:fldCharType="separate"/>
        </w:r>
        <w:r w:rsidR="00A44672">
          <w:t>144</w:t>
        </w:r>
        <w:r>
          <w:fldChar w:fldCharType="end"/>
        </w:r>
      </w:hyperlink>
    </w:p>
    <w:p w:rsidR="00462EC1" w:rsidRDefault="00462EC1">
      <w:pPr>
        <w:pStyle w:val="TOC5"/>
        <w:rPr>
          <w:rFonts w:asciiTheme="minorHAnsi" w:eastAsiaTheme="minorEastAsia" w:hAnsiTheme="minorHAnsi" w:cstheme="minorBidi"/>
          <w:sz w:val="22"/>
          <w:szCs w:val="22"/>
          <w:lang w:eastAsia="en-AU"/>
        </w:rPr>
      </w:pPr>
      <w:r>
        <w:lastRenderedPageBreak/>
        <w:tab/>
      </w:r>
      <w:hyperlink w:anchor="_Toc23418017" w:history="1">
        <w:r w:rsidRPr="009F1E8B">
          <w:t>2</w:t>
        </w:r>
        <w:r>
          <w:rPr>
            <w:rFonts w:asciiTheme="minorHAnsi" w:eastAsiaTheme="minorEastAsia" w:hAnsiTheme="minorHAnsi" w:cstheme="minorBidi"/>
            <w:sz w:val="22"/>
            <w:szCs w:val="22"/>
            <w:lang w:eastAsia="en-AU"/>
          </w:rPr>
          <w:tab/>
        </w:r>
        <w:r w:rsidRPr="009F1E8B">
          <w:t>Abbreviation key</w:t>
        </w:r>
        <w:r>
          <w:tab/>
        </w:r>
        <w:r>
          <w:fldChar w:fldCharType="begin"/>
        </w:r>
        <w:r>
          <w:instrText xml:space="preserve"> PAGEREF _Toc23418017 \h </w:instrText>
        </w:r>
        <w:r>
          <w:fldChar w:fldCharType="separate"/>
        </w:r>
        <w:r w:rsidR="00A44672">
          <w:t>144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18" w:history="1">
        <w:r w:rsidRPr="009F1E8B">
          <w:t>3</w:t>
        </w:r>
        <w:r>
          <w:rPr>
            <w:rFonts w:asciiTheme="minorHAnsi" w:eastAsiaTheme="minorEastAsia" w:hAnsiTheme="minorHAnsi" w:cstheme="minorBidi"/>
            <w:sz w:val="22"/>
            <w:szCs w:val="22"/>
            <w:lang w:eastAsia="en-AU"/>
          </w:rPr>
          <w:tab/>
        </w:r>
        <w:r w:rsidRPr="009F1E8B">
          <w:t>Legislation history</w:t>
        </w:r>
        <w:r>
          <w:tab/>
        </w:r>
        <w:r>
          <w:fldChar w:fldCharType="begin"/>
        </w:r>
        <w:r>
          <w:instrText xml:space="preserve"> PAGEREF _Toc23418018 \h </w:instrText>
        </w:r>
        <w:r>
          <w:fldChar w:fldCharType="separate"/>
        </w:r>
        <w:r w:rsidR="00A44672">
          <w:t>145</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19" w:history="1">
        <w:r w:rsidRPr="009F1E8B">
          <w:t>4</w:t>
        </w:r>
        <w:r>
          <w:rPr>
            <w:rFonts w:asciiTheme="minorHAnsi" w:eastAsiaTheme="minorEastAsia" w:hAnsiTheme="minorHAnsi" w:cstheme="minorBidi"/>
            <w:sz w:val="22"/>
            <w:szCs w:val="22"/>
            <w:lang w:eastAsia="en-AU"/>
          </w:rPr>
          <w:tab/>
        </w:r>
        <w:r w:rsidRPr="009F1E8B">
          <w:t>Amendment history</w:t>
        </w:r>
        <w:r>
          <w:tab/>
        </w:r>
        <w:r>
          <w:fldChar w:fldCharType="begin"/>
        </w:r>
        <w:r>
          <w:instrText xml:space="preserve"> PAGEREF _Toc23418019 \h </w:instrText>
        </w:r>
        <w:r>
          <w:fldChar w:fldCharType="separate"/>
        </w:r>
        <w:r w:rsidR="00A44672">
          <w:t>154</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20" w:history="1">
        <w:r w:rsidRPr="009F1E8B">
          <w:t>5</w:t>
        </w:r>
        <w:r>
          <w:rPr>
            <w:rFonts w:asciiTheme="minorHAnsi" w:eastAsiaTheme="minorEastAsia" w:hAnsiTheme="minorHAnsi" w:cstheme="minorBidi"/>
            <w:sz w:val="22"/>
            <w:szCs w:val="22"/>
            <w:lang w:eastAsia="en-AU"/>
          </w:rPr>
          <w:tab/>
        </w:r>
        <w:r w:rsidRPr="009F1E8B">
          <w:t>Earlier republications</w:t>
        </w:r>
        <w:r>
          <w:tab/>
        </w:r>
        <w:r>
          <w:fldChar w:fldCharType="begin"/>
        </w:r>
        <w:r>
          <w:instrText xml:space="preserve"> PAGEREF _Toc23418020 \h </w:instrText>
        </w:r>
        <w:r>
          <w:fldChar w:fldCharType="separate"/>
        </w:r>
        <w:r w:rsidR="00A44672">
          <w:t>178</w:t>
        </w:r>
        <w:r>
          <w:fldChar w:fldCharType="end"/>
        </w:r>
      </w:hyperlink>
    </w:p>
    <w:p w:rsidR="00462EC1" w:rsidRDefault="00462EC1">
      <w:pPr>
        <w:pStyle w:val="TOC5"/>
        <w:rPr>
          <w:rFonts w:asciiTheme="minorHAnsi" w:eastAsiaTheme="minorEastAsia" w:hAnsiTheme="minorHAnsi" w:cstheme="minorBidi"/>
          <w:sz w:val="22"/>
          <w:szCs w:val="22"/>
          <w:lang w:eastAsia="en-AU"/>
        </w:rPr>
      </w:pPr>
      <w:r>
        <w:tab/>
      </w:r>
      <w:hyperlink w:anchor="_Toc23418021" w:history="1">
        <w:r w:rsidRPr="009F1E8B">
          <w:t>6</w:t>
        </w:r>
        <w:r>
          <w:rPr>
            <w:rFonts w:asciiTheme="minorHAnsi" w:eastAsiaTheme="minorEastAsia" w:hAnsiTheme="minorHAnsi" w:cstheme="minorBidi"/>
            <w:sz w:val="22"/>
            <w:szCs w:val="22"/>
            <w:lang w:eastAsia="en-AU"/>
          </w:rPr>
          <w:tab/>
        </w:r>
        <w:r w:rsidRPr="009F1E8B">
          <w:t>Expired transitional or validating provisions</w:t>
        </w:r>
        <w:r>
          <w:tab/>
        </w:r>
        <w:r>
          <w:fldChar w:fldCharType="begin"/>
        </w:r>
        <w:r>
          <w:instrText xml:space="preserve"> PAGEREF _Toc23418021 \h </w:instrText>
        </w:r>
        <w:r>
          <w:fldChar w:fldCharType="separate"/>
        </w:r>
        <w:r w:rsidR="00A44672">
          <w:t>183</w:t>
        </w:r>
        <w:r>
          <w:fldChar w:fldCharType="end"/>
        </w:r>
      </w:hyperlink>
    </w:p>
    <w:p w:rsidR="00701CF6" w:rsidRDefault="00462EC1" w:rsidP="00701CF6">
      <w:pPr>
        <w:pStyle w:val="BillBasic0"/>
      </w:pPr>
      <w:r>
        <w:fldChar w:fldCharType="end"/>
      </w:r>
    </w:p>
    <w:p w:rsidR="00701CF6" w:rsidRDefault="00701CF6" w:rsidP="00701CF6">
      <w:pPr>
        <w:pStyle w:val="01Contents"/>
        <w:sectPr w:rsidR="00701CF6">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701CF6" w:rsidRDefault="00701CF6" w:rsidP="00701CF6">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701CF6" w:rsidRDefault="00701CF6" w:rsidP="00701CF6">
      <w:pPr>
        <w:jc w:val="center"/>
        <w:rPr>
          <w:rFonts w:ascii="Arial" w:hAnsi="Arial"/>
        </w:rPr>
      </w:pPr>
      <w:r>
        <w:rPr>
          <w:rFonts w:ascii="Arial" w:hAnsi="Arial"/>
        </w:rPr>
        <w:t>Australian Capital Territory</w:t>
      </w:r>
    </w:p>
    <w:p w:rsidR="00701CF6" w:rsidRDefault="007D1CDE" w:rsidP="00701CF6">
      <w:pPr>
        <w:pStyle w:val="Billname"/>
      </w:pPr>
      <w:bookmarkStart w:id="8" w:name="Citation"/>
      <w:r>
        <w:t>Residential Tenancies Act 1997</w:t>
      </w:r>
      <w:bookmarkEnd w:id="8"/>
    </w:p>
    <w:p w:rsidR="00701CF6" w:rsidRDefault="00701CF6" w:rsidP="00701CF6">
      <w:pPr>
        <w:pStyle w:val="ActNo"/>
      </w:pPr>
    </w:p>
    <w:p w:rsidR="00701CF6" w:rsidRDefault="00701CF6" w:rsidP="00701CF6">
      <w:pPr>
        <w:pStyle w:val="N-line3"/>
      </w:pPr>
    </w:p>
    <w:p w:rsidR="00701CF6" w:rsidRDefault="00701CF6" w:rsidP="00701CF6">
      <w:pPr>
        <w:pStyle w:val="LongTitle"/>
      </w:pPr>
      <w:r>
        <w:t>An Act relating to residential tenancies and occupancy agreements</w:t>
      </w:r>
    </w:p>
    <w:p w:rsidR="00701CF6" w:rsidRDefault="00701CF6" w:rsidP="00701CF6">
      <w:pPr>
        <w:pStyle w:val="N-line3"/>
      </w:pPr>
    </w:p>
    <w:p w:rsidR="00701CF6" w:rsidRDefault="00701CF6" w:rsidP="00701CF6">
      <w:pPr>
        <w:pStyle w:val="Placeholder"/>
      </w:pPr>
      <w:r>
        <w:rPr>
          <w:rStyle w:val="charContents"/>
          <w:sz w:val="16"/>
        </w:rPr>
        <w:t xml:space="preserve">  </w:t>
      </w:r>
      <w:r>
        <w:rPr>
          <w:rStyle w:val="charPage"/>
        </w:rPr>
        <w:t xml:space="preserve">  </w:t>
      </w:r>
    </w:p>
    <w:p w:rsidR="00701CF6" w:rsidRDefault="00701CF6" w:rsidP="00701CF6">
      <w:pPr>
        <w:pStyle w:val="Placeholder"/>
      </w:pPr>
      <w:r>
        <w:rPr>
          <w:rStyle w:val="CharChapNo"/>
        </w:rPr>
        <w:t xml:space="preserve">  </w:t>
      </w:r>
      <w:r>
        <w:rPr>
          <w:rStyle w:val="CharChapText"/>
        </w:rPr>
        <w:t xml:space="preserve">  </w:t>
      </w:r>
    </w:p>
    <w:p w:rsidR="00701CF6" w:rsidRDefault="00701CF6" w:rsidP="00701CF6">
      <w:pPr>
        <w:pStyle w:val="Placeholder"/>
      </w:pPr>
      <w:r>
        <w:rPr>
          <w:rStyle w:val="CharPartNo"/>
        </w:rPr>
        <w:t xml:space="preserve">  </w:t>
      </w:r>
      <w:r>
        <w:rPr>
          <w:rStyle w:val="CharPartText"/>
        </w:rPr>
        <w:t xml:space="preserve">  </w:t>
      </w:r>
    </w:p>
    <w:p w:rsidR="00701CF6" w:rsidRDefault="00701CF6" w:rsidP="00701CF6">
      <w:pPr>
        <w:pStyle w:val="Placeholder"/>
      </w:pPr>
      <w:r>
        <w:rPr>
          <w:rStyle w:val="CharDivNo"/>
        </w:rPr>
        <w:t xml:space="preserve">  </w:t>
      </w:r>
      <w:r>
        <w:rPr>
          <w:rStyle w:val="CharDivText"/>
        </w:rPr>
        <w:t xml:space="preserve">  </w:t>
      </w:r>
    </w:p>
    <w:p w:rsidR="00701CF6" w:rsidRPr="00CA74E4" w:rsidRDefault="00701CF6" w:rsidP="00701CF6">
      <w:pPr>
        <w:pStyle w:val="PageBreak"/>
      </w:pPr>
      <w:r w:rsidRPr="00CA74E4">
        <w:br w:type="page"/>
      </w:r>
    </w:p>
    <w:p w:rsidR="00701CF6" w:rsidRPr="00540495" w:rsidRDefault="00701CF6" w:rsidP="00701CF6"/>
    <w:p w:rsidR="00450C28" w:rsidRPr="001403E0" w:rsidRDefault="00450C28">
      <w:pPr>
        <w:pStyle w:val="AH2Part"/>
      </w:pPr>
      <w:bookmarkStart w:id="9" w:name="_Toc23417816"/>
      <w:r w:rsidRPr="001403E0">
        <w:rPr>
          <w:rStyle w:val="CharPartNo"/>
        </w:rPr>
        <w:t>Part 1</w:t>
      </w:r>
      <w:r>
        <w:tab/>
      </w:r>
      <w:r w:rsidRPr="001403E0">
        <w:rPr>
          <w:rStyle w:val="CharPartText"/>
        </w:rPr>
        <w:t>Preliminary</w:t>
      </w:r>
      <w:bookmarkEnd w:id="9"/>
    </w:p>
    <w:p w:rsidR="00450C28" w:rsidRDefault="00450C28">
      <w:pPr>
        <w:pStyle w:val="Placeholder"/>
      </w:pPr>
      <w:r>
        <w:rPr>
          <w:rStyle w:val="CharDivNo"/>
        </w:rPr>
        <w:t xml:space="preserve">  </w:t>
      </w:r>
      <w:r>
        <w:rPr>
          <w:rStyle w:val="CharDivText"/>
        </w:rPr>
        <w:t xml:space="preserve">  </w:t>
      </w:r>
    </w:p>
    <w:p w:rsidR="00450C28" w:rsidRDefault="00450C28">
      <w:pPr>
        <w:pStyle w:val="AH5Sec"/>
      </w:pPr>
      <w:bookmarkStart w:id="10" w:name="_Toc23417817"/>
      <w:r w:rsidRPr="001403E0">
        <w:rPr>
          <w:rStyle w:val="CharSectNo"/>
        </w:rPr>
        <w:t>1</w:t>
      </w:r>
      <w:r>
        <w:tab/>
        <w:t>Name of Act</w:t>
      </w:r>
      <w:bookmarkEnd w:id="10"/>
    </w:p>
    <w:p w:rsidR="00450C28" w:rsidRPr="009D74E7" w:rsidRDefault="00450C28">
      <w:pPr>
        <w:pStyle w:val="Amainreturn"/>
      </w:pPr>
      <w:r>
        <w:t xml:space="preserve">This Act is the </w:t>
      </w:r>
      <w:r>
        <w:rPr>
          <w:rStyle w:val="charItals"/>
        </w:rPr>
        <w:t>Residential Tenancies Act 1997</w:t>
      </w:r>
      <w:r w:rsidRPr="009D74E7">
        <w:t>.</w:t>
      </w:r>
    </w:p>
    <w:p w:rsidR="00450C28" w:rsidRDefault="00450C28">
      <w:pPr>
        <w:pStyle w:val="AH5Sec"/>
      </w:pPr>
      <w:bookmarkStart w:id="11" w:name="_Toc23417818"/>
      <w:r w:rsidRPr="001403E0">
        <w:rPr>
          <w:rStyle w:val="CharSectNo"/>
        </w:rPr>
        <w:t>2</w:t>
      </w:r>
      <w:r>
        <w:tab/>
        <w:t>Dictionary</w:t>
      </w:r>
      <w:bookmarkEnd w:id="11"/>
    </w:p>
    <w:p w:rsidR="00450C28" w:rsidRDefault="00450C28">
      <w:pPr>
        <w:pStyle w:val="Amainreturn"/>
        <w:keepNext/>
      </w:pPr>
      <w:r>
        <w:t>The dictionary at the end of this Act is part of this Act.</w:t>
      </w:r>
    </w:p>
    <w:p w:rsidR="00450C28" w:rsidRDefault="00450C28">
      <w:pPr>
        <w:pStyle w:val="aNote"/>
        <w:keepNext/>
      </w:pPr>
      <w:r>
        <w:rPr>
          <w:rStyle w:val="charItals"/>
        </w:rPr>
        <w:t>Note 1</w:t>
      </w:r>
      <w:r>
        <w:tab/>
        <w:t>The dictionary at the end of this Act defines certain terms used in this Act, and includes references (</w:t>
      </w:r>
      <w:r>
        <w:rPr>
          <w:rStyle w:val="charBoldItals"/>
        </w:rPr>
        <w:t>signpost definitions</w:t>
      </w:r>
      <w:r>
        <w:t>) to other terms defined elsewhere.</w:t>
      </w:r>
    </w:p>
    <w:p w:rsidR="00450C28" w:rsidRDefault="00450C28">
      <w:pPr>
        <w:pStyle w:val="aNote"/>
      </w:pPr>
      <w:r>
        <w:tab/>
        <w:t>For example, the signpost definition ‘</w:t>
      </w:r>
      <w:r>
        <w:rPr>
          <w:rStyle w:val="charBoldItals"/>
        </w:rPr>
        <w:t>energy efficiency rating statement</w:t>
      </w:r>
      <w:r>
        <w:t>—</w:t>
      </w:r>
      <w:r w:rsidR="006B5D2D" w:rsidRPr="00AF0B59">
        <w:t xml:space="preserve">see the </w:t>
      </w:r>
      <w:hyperlink r:id="rId29" w:tooltip="A2004-12" w:history="1">
        <w:r w:rsidR="009D74E7" w:rsidRPr="009D74E7">
          <w:rPr>
            <w:rStyle w:val="charCitHyperlinkItal"/>
          </w:rPr>
          <w:t>Construction Occupations (Licensing) Act 2004</w:t>
        </w:r>
      </w:hyperlink>
      <w:r w:rsidR="006B5D2D" w:rsidRPr="00AF0B59">
        <w:t>, s</w:t>
      </w:r>
      <w:r w:rsidR="005512C2">
        <w:t> </w:t>
      </w:r>
      <w:r w:rsidR="006B5D2D" w:rsidRPr="00AF0B59">
        <w:t>123AC</w:t>
      </w:r>
      <w:r w:rsidRPr="009D74E7">
        <w:rPr>
          <w:rStyle w:val="charItals"/>
        </w:rPr>
        <w:t>’</w:t>
      </w:r>
      <w:r>
        <w:t xml:space="preserve"> means that the term ‘</w:t>
      </w:r>
      <w:r>
        <w:rPr>
          <w:rStyle w:val="charBoldItals"/>
        </w:rPr>
        <w:t>energy efficiency rating statement</w:t>
      </w:r>
      <w:r>
        <w:t>’ is defined in that section and the definition applies to this Act.</w:t>
      </w:r>
    </w:p>
    <w:p w:rsidR="00450C28" w:rsidRDefault="00450C28">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9D74E7" w:rsidRPr="009D74E7">
          <w:rPr>
            <w:rStyle w:val="charCitHyperlinkAbbrev"/>
          </w:rPr>
          <w:t>Legislation Act</w:t>
        </w:r>
      </w:hyperlink>
      <w:r>
        <w:t>, s 155 and s 156 (1)).</w:t>
      </w:r>
    </w:p>
    <w:p w:rsidR="00450C28" w:rsidRDefault="00450C28">
      <w:pPr>
        <w:pStyle w:val="AH5Sec"/>
      </w:pPr>
      <w:bookmarkStart w:id="12" w:name="_Toc23417819"/>
      <w:r w:rsidRPr="001403E0">
        <w:rPr>
          <w:rStyle w:val="CharSectNo"/>
        </w:rPr>
        <w:t>3</w:t>
      </w:r>
      <w:r>
        <w:tab/>
        <w:t>Notes</w:t>
      </w:r>
      <w:bookmarkEnd w:id="12"/>
    </w:p>
    <w:p w:rsidR="00450C28" w:rsidRDefault="00450C28">
      <w:pPr>
        <w:pStyle w:val="Amainreturn"/>
        <w:keepNext/>
      </w:pPr>
      <w:r>
        <w:t>A note included in this Act is explanatory and is not part of this Act.</w:t>
      </w:r>
    </w:p>
    <w:p w:rsidR="00450C28" w:rsidRDefault="00450C28">
      <w:pPr>
        <w:pStyle w:val="aNote"/>
      </w:pPr>
      <w:r w:rsidRPr="009D74E7">
        <w:rPr>
          <w:rStyle w:val="charItals"/>
        </w:rPr>
        <w:t>Note</w:t>
      </w:r>
      <w:r w:rsidRPr="009D74E7">
        <w:rPr>
          <w:rStyle w:val="charItals"/>
        </w:rPr>
        <w:tab/>
      </w:r>
      <w:r>
        <w:t xml:space="preserve">See the </w:t>
      </w:r>
      <w:hyperlink r:id="rId31" w:tooltip="A2001-14" w:history="1">
        <w:r w:rsidR="009D74E7" w:rsidRPr="009D74E7">
          <w:rPr>
            <w:rStyle w:val="charCitHyperlinkAbbrev"/>
          </w:rPr>
          <w:t>Legislation Act</w:t>
        </w:r>
      </w:hyperlink>
      <w:r>
        <w:t>, s 127 (1), (4) and (5) for the legal status of notes.</w:t>
      </w:r>
    </w:p>
    <w:p w:rsidR="00450C28" w:rsidRDefault="00450C28">
      <w:pPr>
        <w:pStyle w:val="AH5Sec"/>
      </w:pPr>
      <w:bookmarkStart w:id="13" w:name="_Toc23417820"/>
      <w:r w:rsidRPr="001403E0">
        <w:rPr>
          <w:rStyle w:val="CharSectNo"/>
        </w:rPr>
        <w:lastRenderedPageBreak/>
        <w:t>3A</w:t>
      </w:r>
      <w:r>
        <w:tab/>
        <w:t>Offences against Act—application of Criminal Code etc</w:t>
      </w:r>
      <w:bookmarkEnd w:id="13"/>
    </w:p>
    <w:p w:rsidR="00450C28" w:rsidRDefault="00450C28">
      <w:pPr>
        <w:pStyle w:val="Amainreturn"/>
        <w:keepNext/>
      </w:pPr>
      <w:r>
        <w:t xml:space="preserve">Other legislation applies in relation to offences against this Act. </w:t>
      </w:r>
    </w:p>
    <w:p w:rsidR="00450C28" w:rsidRDefault="00450C28">
      <w:pPr>
        <w:pStyle w:val="aNote"/>
        <w:keepNext/>
      </w:pPr>
      <w:r>
        <w:rPr>
          <w:rStyle w:val="charItals"/>
        </w:rPr>
        <w:t>Note 1</w:t>
      </w:r>
      <w:r>
        <w:tab/>
      </w:r>
      <w:r w:rsidRPr="009D74E7">
        <w:rPr>
          <w:rStyle w:val="charItals"/>
        </w:rPr>
        <w:t>Criminal Code</w:t>
      </w:r>
    </w:p>
    <w:p w:rsidR="00450C28" w:rsidRDefault="00450C28">
      <w:pPr>
        <w:pStyle w:val="aNote"/>
        <w:keepNext/>
        <w:spacing w:before="20"/>
        <w:ind w:firstLine="0"/>
      </w:pPr>
      <w:r>
        <w:t xml:space="preserve">The </w:t>
      </w:r>
      <w:hyperlink r:id="rId32" w:tooltip="A2002-51" w:history="1">
        <w:r w:rsidR="009D74E7" w:rsidRPr="009D74E7">
          <w:rPr>
            <w:rStyle w:val="charCitHyperlinkAbbrev"/>
          </w:rPr>
          <w:t>Criminal Code</w:t>
        </w:r>
      </w:hyperlink>
      <w:r>
        <w:t xml:space="preserve">, ch 2 applies to all offences against this Act (see Code, pt 2.1).  </w:t>
      </w:r>
    </w:p>
    <w:p w:rsidR="00450C28" w:rsidRDefault="00450C28">
      <w:pPr>
        <w:pStyle w:val="aNoteTextss"/>
        <w:keepNext/>
        <w:keepLines/>
      </w:pPr>
      <w:r>
        <w:t>The chapter sets out the general principles of criminal responsibility (including burdens of proof and general defences), and defines terms used for offences to which the Code applies (eg </w:t>
      </w:r>
      <w:r w:rsidRPr="009D74E7">
        <w:rPr>
          <w:rStyle w:val="charBoldItals"/>
        </w:rPr>
        <w:t>conduct</w:t>
      </w:r>
      <w:r>
        <w:t xml:space="preserve">, </w:t>
      </w:r>
      <w:r w:rsidRPr="009D74E7">
        <w:rPr>
          <w:rStyle w:val="charBoldItals"/>
        </w:rPr>
        <w:t>intention</w:t>
      </w:r>
      <w:r>
        <w:t xml:space="preserve">, </w:t>
      </w:r>
      <w:r w:rsidRPr="009D74E7">
        <w:rPr>
          <w:rStyle w:val="charBoldItals"/>
        </w:rPr>
        <w:t>recklessness</w:t>
      </w:r>
      <w:r>
        <w:t xml:space="preserve"> and </w:t>
      </w:r>
      <w:r w:rsidRPr="009D74E7">
        <w:rPr>
          <w:rStyle w:val="charBoldItals"/>
        </w:rPr>
        <w:t>strict liability</w:t>
      </w:r>
      <w:r>
        <w:t>).</w:t>
      </w:r>
    </w:p>
    <w:p w:rsidR="00450C28" w:rsidRPr="009D74E7" w:rsidRDefault="00450C28" w:rsidP="007A2A2C">
      <w:pPr>
        <w:pStyle w:val="aNote"/>
        <w:keepNext/>
        <w:rPr>
          <w:rStyle w:val="charItals"/>
        </w:rPr>
      </w:pPr>
      <w:r w:rsidRPr="009D74E7">
        <w:rPr>
          <w:rStyle w:val="charItals"/>
        </w:rPr>
        <w:t>Note 2</w:t>
      </w:r>
      <w:r w:rsidRPr="009D74E7">
        <w:rPr>
          <w:rStyle w:val="charItals"/>
        </w:rPr>
        <w:tab/>
        <w:t>Penalty units</w:t>
      </w:r>
    </w:p>
    <w:p w:rsidR="00450C28" w:rsidRDefault="00450C28">
      <w:pPr>
        <w:pStyle w:val="aNoteTextss"/>
      </w:pPr>
      <w:r>
        <w:t xml:space="preserve">The </w:t>
      </w:r>
      <w:hyperlink r:id="rId33" w:tooltip="A2001-14" w:history="1">
        <w:r w:rsidR="009D74E7" w:rsidRPr="009D74E7">
          <w:rPr>
            <w:rStyle w:val="charCitHyperlinkAbbrev"/>
          </w:rPr>
          <w:t>Legislation Act</w:t>
        </w:r>
      </w:hyperlink>
      <w:r>
        <w:t>, s 133 deals with the meaning of offence penalties that are expressed in penalty units.</w:t>
      </w:r>
    </w:p>
    <w:p w:rsidR="00450C28" w:rsidRDefault="00450C28">
      <w:pPr>
        <w:pStyle w:val="AH5Sec"/>
      </w:pPr>
      <w:bookmarkStart w:id="14" w:name="_Toc23417821"/>
      <w:r w:rsidRPr="001403E0">
        <w:rPr>
          <w:rStyle w:val="CharSectNo"/>
        </w:rPr>
        <w:t>4</w:t>
      </w:r>
      <w:r>
        <w:tab/>
        <w:t>Application of Act</w:t>
      </w:r>
      <w:bookmarkEnd w:id="14"/>
    </w:p>
    <w:p w:rsidR="00450C28" w:rsidRDefault="00450C28">
      <w:pPr>
        <w:pStyle w:val="Amainreturn"/>
      </w:pPr>
      <w:r>
        <w:t>This Act does not apply in relation to—</w:t>
      </w:r>
    </w:p>
    <w:p w:rsidR="005668E7" w:rsidRPr="00D97824" w:rsidRDefault="00DB5B9E" w:rsidP="005668E7">
      <w:pPr>
        <w:pStyle w:val="Apara"/>
      </w:pPr>
      <w:r>
        <w:tab/>
        <w:t>(a</w:t>
      </w:r>
      <w:r w:rsidR="005668E7" w:rsidRPr="00D97824">
        <w:t>)</w:t>
      </w:r>
      <w:r w:rsidR="005668E7" w:rsidRPr="00D97824">
        <w:tab/>
        <w:t xml:space="preserve">accommodation provided by an approved provider under the </w:t>
      </w:r>
      <w:hyperlink r:id="rId34" w:tooltip="Act 1997 No 112 (Cwlth)" w:history="1">
        <w:r w:rsidR="009E09CD" w:rsidRPr="009E09CD">
          <w:rPr>
            <w:rStyle w:val="charCitHyperlinkItal"/>
          </w:rPr>
          <w:t>Aged Care Act 1997</w:t>
        </w:r>
      </w:hyperlink>
      <w:r w:rsidR="005668E7" w:rsidRPr="009E09CD">
        <w:t xml:space="preserve"> </w:t>
      </w:r>
      <w:r w:rsidR="005668E7" w:rsidRPr="00D97824">
        <w:t>(Cwlth); or</w:t>
      </w:r>
    </w:p>
    <w:p w:rsidR="00450C28" w:rsidRDefault="00DB5B9E">
      <w:pPr>
        <w:pStyle w:val="Apara"/>
        <w:keepNext/>
      </w:pPr>
      <w:r>
        <w:tab/>
        <w:t>(b</w:t>
      </w:r>
      <w:r w:rsidR="00450C28">
        <w:t>)</w:t>
      </w:r>
      <w:r w:rsidR="00450C28">
        <w:tab/>
        <w:t>premises prescribed by regulation.</w:t>
      </w:r>
    </w:p>
    <w:p w:rsidR="00450C28" w:rsidRDefault="00450C28">
      <w:pPr>
        <w:pStyle w:val="aNote"/>
        <w:rPr>
          <w:snapToGrid w:val="0"/>
        </w:rPr>
      </w:pPr>
      <w:r w:rsidRPr="009D74E7">
        <w:rPr>
          <w:rStyle w:val="charItals"/>
        </w:rPr>
        <w:t>Note 1</w:t>
      </w:r>
      <w:r w:rsidRPr="009D74E7">
        <w:rPr>
          <w:rStyle w:val="charItals"/>
        </w:rPr>
        <w:tab/>
      </w:r>
      <w:r>
        <w:rPr>
          <w:snapToGrid w:val="0"/>
        </w:rPr>
        <w:t xml:space="preserve">A reference to an Act includes a reference to the statutory instruments made or in force under the Act, including a regulation (see </w:t>
      </w:r>
      <w:hyperlink r:id="rId35" w:tooltip="A2001-14" w:history="1">
        <w:r w:rsidR="009D74E7" w:rsidRPr="009D74E7">
          <w:rPr>
            <w:rStyle w:val="charCitHyperlinkAbbrev"/>
          </w:rPr>
          <w:t>Legislation Act</w:t>
        </w:r>
      </w:hyperlink>
      <w:r>
        <w:rPr>
          <w:snapToGrid w:val="0"/>
        </w:rPr>
        <w:t>, s 104).</w:t>
      </w:r>
    </w:p>
    <w:p w:rsidR="005668E7" w:rsidRPr="00D97824" w:rsidRDefault="005668E7" w:rsidP="005668E7">
      <w:pPr>
        <w:pStyle w:val="aNote"/>
      </w:pPr>
      <w:r w:rsidRPr="009D74E7">
        <w:rPr>
          <w:rStyle w:val="charItals"/>
        </w:rPr>
        <w:t>Note 2</w:t>
      </w:r>
      <w:r w:rsidRPr="009D74E7">
        <w:rPr>
          <w:rStyle w:val="charItals"/>
        </w:rPr>
        <w:tab/>
      </w:r>
      <w:r w:rsidRPr="00D97824">
        <w:t xml:space="preserve">The </w:t>
      </w:r>
      <w:hyperlink r:id="rId36" w:tooltip="Act 1997 No 112 (Cwlth)" w:history="1">
        <w:r w:rsidR="009E09CD" w:rsidRPr="009E09CD">
          <w:rPr>
            <w:rStyle w:val="charCitHyperlinkItal"/>
          </w:rPr>
          <w:t>Aged Care Act 1997</w:t>
        </w:r>
      </w:hyperlink>
      <w:r w:rsidRPr="00D97824">
        <w:t xml:space="preserve"> (Cwlth) is accessible at </w:t>
      </w:r>
      <w:hyperlink r:id="rId37" w:history="1">
        <w:r w:rsidR="009D74E7" w:rsidRPr="009D74E7">
          <w:rPr>
            <w:rStyle w:val="charCitHyperlinkAbbrev"/>
          </w:rPr>
          <w:t>www.comlaw.gov.au</w:t>
        </w:r>
      </w:hyperlink>
    </w:p>
    <w:p w:rsidR="00450C28" w:rsidRDefault="00450C28">
      <w:pPr>
        <w:pStyle w:val="PageBreak"/>
      </w:pPr>
      <w:r>
        <w:br w:type="page"/>
      </w:r>
    </w:p>
    <w:p w:rsidR="00450C28" w:rsidRPr="001403E0" w:rsidRDefault="00450C28">
      <w:pPr>
        <w:pStyle w:val="AH2Part"/>
      </w:pPr>
      <w:bookmarkStart w:id="15" w:name="_Toc23417822"/>
      <w:r w:rsidRPr="001403E0">
        <w:rPr>
          <w:rStyle w:val="CharPartNo"/>
        </w:rPr>
        <w:lastRenderedPageBreak/>
        <w:t>Part 1A</w:t>
      </w:r>
      <w:r>
        <w:tab/>
      </w:r>
      <w:r w:rsidRPr="001403E0">
        <w:rPr>
          <w:rStyle w:val="CharPartText"/>
        </w:rPr>
        <w:t>Meaning of residential tenancy agreement</w:t>
      </w:r>
      <w:bookmarkEnd w:id="15"/>
    </w:p>
    <w:p w:rsidR="00450C28" w:rsidRDefault="00450C28">
      <w:pPr>
        <w:pStyle w:val="AH5Sec"/>
      </w:pPr>
      <w:bookmarkStart w:id="16" w:name="_Toc23417823"/>
      <w:r w:rsidRPr="001403E0">
        <w:rPr>
          <w:rStyle w:val="CharSectNo"/>
        </w:rPr>
        <w:t>5</w:t>
      </w:r>
      <w:r>
        <w:tab/>
        <w:t xml:space="preserve">Who is a </w:t>
      </w:r>
      <w:r w:rsidRPr="009D74E7">
        <w:rPr>
          <w:rStyle w:val="charItals"/>
        </w:rPr>
        <w:t>lessor</w:t>
      </w:r>
      <w:r>
        <w:t>?</w:t>
      </w:r>
      <w:bookmarkEnd w:id="16"/>
    </w:p>
    <w:p w:rsidR="00450C28" w:rsidRDefault="00450C28">
      <w:pPr>
        <w:pStyle w:val="Amain"/>
      </w:pPr>
      <w:r>
        <w:tab/>
        <w:t>(1)</w:t>
      </w:r>
      <w:r>
        <w:tab/>
        <w:t xml:space="preserve">A person is a </w:t>
      </w:r>
      <w:r w:rsidRPr="009D74E7">
        <w:rPr>
          <w:rStyle w:val="charBoldItals"/>
        </w:rPr>
        <w:t>lessor</w:t>
      </w:r>
      <w:r>
        <w:t xml:space="preserve"> if the person grants a right of occupation under a residential tenancy agreement.</w:t>
      </w:r>
    </w:p>
    <w:p w:rsidR="00450C28" w:rsidRDefault="00450C28">
      <w:pPr>
        <w:pStyle w:val="Amain"/>
      </w:pPr>
      <w:r>
        <w:tab/>
        <w:t>(2)</w:t>
      </w:r>
      <w:r>
        <w:tab/>
      </w:r>
      <w:r w:rsidRPr="009D74E7">
        <w:rPr>
          <w:rStyle w:val="charBoldItals"/>
        </w:rPr>
        <w:t>Lessor</w:t>
      </w:r>
      <w:r>
        <w:t xml:space="preserve"> includes a prospective lessor.</w:t>
      </w:r>
    </w:p>
    <w:p w:rsidR="00450C28" w:rsidRDefault="00450C28">
      <w:pPr>
        <w:pStyle w:val="AH5Sec"/>
      </w:pPr>
      <w:bookmarkStart w:id="17" w:name="_Toc23417824"/>
      <w:r w:rsidRPr="001403E0">
        <w:rPr>
          <w:rStyle w:val="CharSectNo"/>
        </w:rPr>
        <w:t>6</w:t>
      </w:r>
      <w:r>
        <w:tab/>
        <w:t xml:space="preserve">Who is a </w:t>
      </w:r>
      <w:r w:rsidRPr="009D74E7">
        <w:rPr>
          <w:rStyle w:val="charItals"/>
        </w:rPr>
        <w:t>tenant</w:t>
      </w:r>
      <w:r>
        <w:t>?</w:t>
      </w:r>
      <w:bookmarkEnd w:id="17"/>
    </w:p>
    <w:p w:rsidR="00450C28" w:rsidRDefault="00450C28">
      <w:pPr>
        <w:pStyle w:val="Amain"/>
      </w:pPr>
      <w:r>
        <w:tab/>
        <w:t>(1)</w:t>
      </w:r>
      <w:r>
        <w:tab/>
        <w:t xml:space="preserve">A person is a </w:t>
      </w:r>
      <w:r w:rsidRPr="009D74E7">
        <w:rPr>
          <w:rStyle w:val="charBoldItals"/>
        </w:rPr>
        <w:t>tenant</w:t>
      </w:r>
      <w:r>
        <w:t xml:space="preserve"> if the person has a right of occupation under a residential tenancy agreement.</w:t>
      </w:r>
    </w:p>
    <w:p w:rsidR="00450C28" w:rsidRDefault="00450C28">
      <w:pPr>
        <w:pStyle w:val="Amain"/>
      </w:pPr>
      <w:r>
        <w:tab/>
        <w:t>(2)</w:t>
      </w:r>
      <w:r>
        <w:tab/>
      </w:r>
      <w:r w:rsidRPr="009D74E7">
        <w:rPr>
          <w:rStyle w:val="charBoldItals"/>
        </w:rPr>
        <w:t>Tenant</w:t>
      </w:r>
      <w:r>
        <w:t xml:space="preserve"> includes a prospective tenant.</w:t>
      </w:r>
    </w:p>
    <w:p w:rsidR="00450C28" w:rsidRDefault="00450C28">
      <w:pPr>
        <w:pStyle w:val="AH5Sec"/>
      </w:pPr>
      <w:bookmarkStart w:id="18" w:name="_Toc23417825"/>
      <w:r w:rsidRPr="001403E0">
        <w:rPr>
          <w:rStyle w:val="CharSectNo"/>
        </w:rPr>
        <w:t>6A</w:t>
      </w:r>
      <w:r>
        <w:tab/>
        <w:t xml:space="preserve">What is a </w:t>
      </w:r>
      <w:r w:rsidRPr="009D74E7">
        <w:rPr>
          <w:rStyle w:val="charItals"/>
        </w:rPr>
        <w:t>residential tenancy agreement</w:t>
      </w:r>
      <w:r>
        <w:t>?</w:t>
      </w:r>
      <w:bookmarkEnd w:id="18"/>
    </w:p>
    <w:p w:rsidR="00450C28" w:rsidRDefault="00450C28">
      <w:pPr>
        <w:pStyle w:val="Amain"/>
      </w:pPr>
      <w:r w:rsidRPr="009D74E7">
        <w:tab/>
        <w:t>(1)</w:t>
      </w:r>
      <w:r w:rsidRPr="009D74E7">
        <w:tab/>
        <w:t xml:space="preserve">An agreement is a </w:t>
      </w:r>
      <w:r>
        <w:rPr>
          <w:rStyle w:val="charBoldItals"/>
        </w:rPr>
        <w:t>residential tenancy agreement</w:t>
      </w:r>
      <w:r>
        <w:t xml:space="preserve"> if, under the agreement—</w:t>
      </w:r>
    </w:p>
    <w:p w:rsidR="00450C28" w:rsidRDefault="00450C28">
      <w:pPr>
        <w:pStyle w:val="Apara"/>
      </w:pPr>
      <w:r>
        <w:tab/>
        <w:t>(a)</w:t>
      </w:r>
      <w:r>
        <w:tab/>
        <w:t xml:space="preserve">a person gives someone else (the </w:t>
      </w:r>
      <w:r w:rsidRPr="009D74E7">
        <w:rPr>
          <w:rStyle w:val="charBoldItals"/>
        </w:rPr>
        <w:t>tenant</w:t>
      </w:r>
      <w:r>
        <w:t>) a right to occupy stated premises; and</w:t>
      </w:r>
    </w:p>
    <w:p w:rsidR="00450C28" w:rsidRDefault="00450C28">
      <w:pPr>
        <w:pStyle w:val="Apara"/>
      </w:pPr>
      <w:r>
        <w:tab/>
        <w:t>(b)</w:t>
      </w:r>
      <w:r>
        <w:tab/>
        <w:t>the premises are for the tenant to use as a home (whether or not together with other people); and</w:t>
      </w:r>
    </w:p>
    <w:p w:rsidR="00450C28" w:rsidRDefault="00450C28">
      <w:pPr>
        <w:pStyle w:val="Apara"/>
      </w:pPr>
      <w:r>
        <w:tab/>
        <w:t>(c)</w:t>
      </w:r>
      <w:r>
        <w:tab/>
        <w:t>the right is given for value.</w:t>
      </w:r>
    </w:p>
    <w:p w:rsidR="00450C28" w:rsidRDefault="00450C28">
      <w:pPr>
        <w:pStyle w:val="Amain"/>
      </w:pPr>
      <w:r>
        <w:tab/>
        <w:t>(2)</w:t>
      </w:r>
      <w:r>
        <w:tab/>
        <w:t>The agreement may be—</w:t>
      </w:r>
    </w:p>
    <w:p w:rsidR="00450C28" w:rsidRDefault="00450C28">
      <w:pPr>
        <w:pStyle w:val="Apara"/>
      </w:pPr>
      <w:r>
        <w:tab/>
        <w:t>(a)</w:t>
      </w:r>
      <w:r>
        <w:tab/>
        <w:t>express or implied; or</w:t>
      </w:r>
    </w:p>
    <w:p w:rsidR="00450C28" w:rsidRDefault="00450C28">
      <w:pPr>
        <w:pStyle w:val="Apara"/>
      </w:pPr>
      <w:r>
        <w:tab/>
        <w:t>(b)</w:t>
      </w:r>
      <w:r>
        <w:tab/>
        <w:t>in writing, oral, or partly in writing and partly oral.</w:t>
      </w:r>
    </w:p>
    <w:p w:rsidR="00450C28" w:rsidRDefault="00450C28">
      <w:pPr>
        <w:pStyle w:val="Amain"/>
      </w:pPr>
      <w:r>
        <w:tab/>
        <w:t>(3)</w:t>
      </w:r>
      <w:r>
        <w:tab/>
        <w:t>The right to occupy may be—</w:t>
      </w:r>
    </w:p>
    <w:p w:rsidR="00450C28" w:rsidRDefault="00450C28">
      <w:pPr>
        <w:pStyle w:val="Apara"/>
      </w:pPr>
      <w:r>
        <w:tab/>
        <w:t>(a)</w:t>
      </w:r>
      <w:r>
        <w:tab/>
        <w:t>exclusive or not exclusive; and</w:t>
      </w:r>
    </w:p>
    <w:p w:rsidR="00450C28" w:rsidRDefault="00450C28">
      <w:pPr>
        <w:pStyle w:val="Apara"/>
      </w:pPr>
      <w:r>
        <w:tab/>
        <w:t>(b)</w:t>
      </w:r>
      <w:r>
        <w:tab/>
        <w:t>given with a right to use facilities, furniture or goods.</w:t>
      </w:r>
    </w:p>
    <w:p w:rsidR="00450C28" w:rsidRDefault="00450C28">
      <w:pPr>
        <w:pStyle w:val="Amain"/>
      </w:pPr>
      <w:r>
        <w:lastRenderedPageBreak/>
        <w:tab/>
        <w:t>(4)</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6D (Certain kinds of agreements not residential tenancy agreements)</w:t>
      </w:r>
    </w:p>
    <w:p w:rsidR="00450C28" w:rsidRDefault="00450C28">
      <w:pPr>
        <w:pStyle w:val="Amainbullet"/>
        <w:tabs>
          <w:tab w:val="left" w:pos="1500"/>
        </w:tabs>
      </w:pPr>
      <w:r>
        <w:rPr>
          <w:rFonts w:ascii="Symbol" w:hAnsi="Symbol"/>
          <w:sz w:val="20"/>
        </w:rPr>
        <w:t></w:t>
      </w:r>
      <w:r>
        <w:rPr>
          <w:rFonts w:ascii="Symbol" w:hAnsi="Symbol"/>
          <w:sz w:val="20"/>
        </w:rPr>
        <w:tab/>
      </w:r>
      <w:r>
        <w:t>section 6E (Certain people given right of occupation not tenants)</w:t>
      </w:r>
    </w:p>
    <w:p w:rsidR="00450C28" w:rsidRDefault="00450C28">
      <w:pPr>
        <w:pStyle w:val="Amainbullet"/>
        <w:tabs>
          <w:tab w:val="left" w:pos="1500"/>
        </w:tabs>
      </w:pPr>
      <w:r>
        <w:rPr>
          <w:rFonts w:ascii="Symbol" w:hAnsi="Symbol"/>
          <w:sz w:val="20"/>
        </w:rPr>
        <w:t></w:t>
      </w:r>
      <w:r>
        <w:rPr>
          <w:rFonts w:ascii="Symbol" w:hAnsi="Symbol"/>
          <w:sz w:val="20"/>
        </w:rPr>
        <w:tab/>
      </w:r>
      <w:r>
        <w:t>section 6F (Certain kinds of premises mean no residential tenancy agreement).</w:t>
      </w:r>
    </w:p>
    <w:p w:rsidR="00450C28" w:rsidRDefault="00450C28">
      <w:pPr>
        <w:pStyle w:val="AH5Sec"/>
      </w:pPr>
      <w:bookmarkStart w:id="19" w:name="_Toc23417826"/>
      <w:r w:rsidRPr="001403E0">
        <w:rPr>
          <w:rStyle w:val="CharSectNo"/>
        </w:rPr>
        <w:t>6B</w:t>
      </w:r>
      <w:r>
        <w:tab/>
        <w:t>Residential tenancy agreement if agreement written and says it is residential tenancy agreement</w:t>
      </w:r>
      <w:bookmarkEnd w:id="19"/>
    </w:p>
    <w:p w:rsidR="00450C28" w:rsidRDefault="00450C28">
      <w:pPr>
        <w:pStyle w:val="Amainreturn"/>
      </w:pPr>
      <w:r>
        <w:t>Despite section 6A (4), an agreement is a residential tenancy agreement if it—</w:t>
      </w:r>
    </w:p>
    <w:p w:rsidR="00450C28" w:rsidRDefault="00450C28">
      <w:pPr>
        <w:pStyle w:val="Apara"/>
      </w:pPr>
      <w:r>
        <w:tab/>
        <w:t>(a)</w:t>
      </w:r>
      <w:r>
        <w:tab/>
        <w:t>complies with section 6A (1) to (3); and</w:t>
      </w:r>
    </w:p>
    <w:p w:rsidR="00450C28" w:rsidRDefault="00450C28">
      <w:pPr>
        <w:pStyle w:val="Apara"/>
      </w:pPr>
      <w:r>
        <w:tab/>
        <w:t>(b)</w:t>
      </w:r>
      <w:r>
        <w:tab/>
        <w:t>is in writing; and</w:t>
      </w:r>
    </w:p>
    <w:p w:rsidR="00450C28" w:rsidRDefault="00450C28">
      <w:pPr>
        <w:pStyle w:val="Apara"/>
      </w:pPr>
      <w:r>
        <w:tab/>
        <w:t>(c)</w:t>
      </w:r>
      <w:r>
        <w:tab/>
        <w:t>expressly states that it is a residential tenancy agreement.</w:t>
      </w:r>
    </w:p>
    <w:p w:rsidR="00450C28" w:rsidRDefault="00450C28">
      <w:pPr>
        <w:pStyle w:val="AH5Sec"/>
      </w:pPr>
      <w:bookmarkStart w:id="20" w:name="_Toc23417827"/>
      <w:r w:rsidRPr="001403E0">
        <w:rPr>
          <w:rStyle w:val="CharSectNo"/>
        </w:rPr>
        <w:t>6C</w:t>
      </w:r>
      <w:r>
        <w:tab/>
        <w:t>Residential tenancy agreement if agreement part of employment</w:t>
      </w:r>
      <w:bookmarkEnd w:id="20"/>
    </w:p>
    <w:p w:rsidR="00450C28" w:rsidRDefault="00450C28">
      <w:pPr>
        <w:pStyle w:val="Amainreturn"/>
      </w:pPr>
      <w:r>
        <w:t>Despite section 6A (4), an agreement mentioned in section</w:t>
      </w:r>
      <w:r w:rsidR="005A2601">
        <w:t> </w:t>
      </w:r>
      <w:r>
        <w:t>6A (1) to (3) is a residential tenancy agreement if the person who is given the right to occupy the premises occupies the premises as the person’s home under the terms and conditions of the person’s employment.</w:t>
      </w:r>
    </w:p>
    <w:p w:rsidR="00450C28" w:rsidRDefault="00450C28">
      <w:pPr>
        <w:pStyle w:val="AH5Sec"/>
      </w:pPr>
      <w:bookmarkStart w:id="21" w:name="_Toc23417828"/>
      <w:r w:rsidRPr="001403E0">
        <w:rPr>
          <w:rStyle w:val="CharSectNo"/>
        </w:rPr>
        <w:t>6D</w:t>
      </w:r>
      <w:r>
        <w:tab/>
        <w:t>Certain kinds of agreements not residential tenancy agreements</w:t>
      </w:r>
      <w:bookmarkEnd w:id="21"/>
    </w:p>
    <w:p w:rsidR="00450C28" w:rsidRDefault="00450C28">
      <w:pPr>
        <w:pStyle w:val="Amain"/>
      </w:pPr>
      <w:r>
        <w:tab/>
        <w:t>(1)</w:t>
      </w:r>
      <w:r>
        <w:tab/>
        <w:t>A residential tenancy agreement does not include an agreement—</w:t>
      </w:r>
    </w:p>
    <w:p w:rsidR="00450C28" w:rsidRDefault="00450C28">
      <w:pPr>
        <w:pStyle w:val="Apara"/>
      </w:pPr>
      <w:r>
        <w:tab/>
        <w:t>(a)</w:t>
      </w:r>
      <w:r>
        <w:tab/>
        <w:t>arising under a mortgage entered into honestly in relation to the premises; or</w:t>
      </w:r>
    </w:p>
    <w:p w:rsidR="00450C28" w:rsidRDefault="00450C28" w:rsidP="005512C2">
      <w:pPr>
        <w:pStyle w:val="Apara"/>
        <w:keepNext/>
      </w:pPr>
      <w:r>
        <w:tab/>
        <w:t>(b)</w:t>
      </w:r>
      <w:r>
        <w:tab/>
        <w:t>arising under a scheme if—</w:t>
      </w:r>
    </w:p>
    <w:p w:rsidR="00450C28" w:rsidRDefault="00450C28">
      <w:pPr>
        <w:pStyle w:val="Asubpara"/>
      </w:pPr>
      <w:r>
        <w:tab/>
        <w:t>(i)</w:t>
      </w:r>
      <w:r>
        <w:tab/>
        <w:t>a group of adjacent premises is owned by a company; and</w:t>
      </w:r>
    </w:p>
    <w:p w:rsidR="00450C28" w:rsidRDefault="00450C28">
      <w:pPr>
        <w:pStyle w:val="Asubpara"/>
      </w:pPr>
      <w:r>
        <w:lastRenderedPageBreak/>
        <w:tab/>
        <w:t>(ii)</w:t>
      </w:r>
      <w:r>
        <w:tab/>
        <w:t>the tenants who have rights to occupy the adjacent premises are people who jointly have a controlling interest in the company; or</w:t>
      </w:r>
    </w:p>
    <w:p w:rsidR="00450C28" w:rsidRDefault="00450C28">
      <w:pPr>
        <w:pStyle w:val="Apara"/>
      </w:pPr>
      <w:r>
        <w:tab/>
        <w:t>(c)</w:t>
      </w:r>
      <w:r>
        <w:tab/>
        <w:t>entered into honestly to provide a right to occupy the premises for a holiday; or</w:t>
      </w:r>
    </w:p>
    <w:p w:rsidR="00450C28" w:rsidRDefault="00450C28">
      <w:pPr>
        <w:pStyle w:val="Apara"/>
      </w:pPr>
      <w:r>
        <w:tab/>
        <w:t>(d)</w:t>
      </w:r>
      <w:r>
        <w:tab/>
        <w:t>prescribed by regulation.</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2" w:name="_Toc23417829"/>
      <w:r w:rsidRPr="001403E0">
        <w:rPr>
          <w:rStyle w:val="CharSectNo"/>
        </w:rPr>
        <w:t>6E</w:t>
      </w:r>
      <w:r>
        <w:tab/>
        <w:t>Certain people given right of occupation not tenants</w:t>
      </w:r>
      <w:bookmarkEnd w:id="22"/>
    </w:p>
    <w:p w:rsidR="00450C28" w:rsidRDefault="00450C28">
      <w:pPr>
        <w:pStyle w:val="Amain"/>
      </w:pPr>
      <w:r>
        <w:tab/>
        <w:t>(1)</w:t>
      </w:r>
      <w:r>
        <w:tab/>
        <w:t>A residential tenancy agreement does not include an agreement for the right to occupy premises if the person given the right of occupation is—</w:t>
      </w:r>
    </w:p>
    <w:p w:rsidR="00450C28" w:rsidRDefault="00450C28">
      <w:pPr>
        <w:pStyle w:val="Apara"/>
      </w:pPr>
      <w:r>
        <w:tab/>
        <w:t>(a)</w:t>
      </w:r>
      <w:r>
        <w:tab/>
        <w:t>a party to an agreement entered into honestly for the sale or purchase of the premises; or</w:t>
      </w:r>
    </w:p>
    <w:p w:rsidR="00450C28" w:rsidRDefault="00450C28">
      <w:pPr>
        <w:pStyle w:val="Apara"/>
      </w:pPr>
      <w:r>
        <w:tab/>
        <w:t>(b)</w:t>
      </w:r>
      <w:r>
        <w:tab/>
        <w:t>a boarder or lodger; or</w:t>
      </w:r>
    </w:p>
    <w:p w:rsidR="00450C28" w:rsidRDefault="00450C28">
      <w:pPr>
        <w:pStyle w:val="Apara"/>
      </w:pPr>
      <w:r>
        <w:tab/>
        <w:t>(c)</w:t>
      </w:r>
      <w:r>
        <w:tab/>
        <w:t>a person prescribed by regulation.</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3" w:name="_Toc23417830"/>
      <w:r w:rsidRPr="001403E0">
        <w:rPr>
          <w:rStyle w:val="CharSectNo"/>
        </w:rPr>
        <w:lastRenderedPageBreak/>
        <w:t>6F</w:t>
      </w:r>
      <w:r>
        <w:tab/>
        <w:t>Certain kinds of premises mean no residential tenancy agreement</w:t>
      </w:r>
      <w:bookmarkEnd w:id="23"/>
    </w:p>
    <w:p w:rsidR="00450C28" w:rsidRDefault="00450C28">
      <w:pPr>
        <w:pStyle w:val="Amain"/>
        <w:keepNext/>
      </w:pPr>
      <w:r>
        <w:tab/>
        <w:t>(1)</w:t>
      </w:r>
      <w:r>
        <w:tab/>
        <w:t>A residential tenancy agreement does not include an agreement for the right to occupy premises if the premises are—</w:t>
      </w:r>
    </w:p>
    <w:p w:rsidR="00450C28" w:rsidRDefault="00450C28">
      <w:pPr>
        <w:pStyle w:val="Apara"/>
      </w:pPr>
      <w:r>
        <w:tab/>
        <w:t>(a)</w:t>
      </w:r>
      <w:r>
        <w:tab/>
        <w:t>a caravan or mobile home in a mobile home park; or</w:t>
      </w:r>
    </w:p>
    <w:p w:rsidR="00450C28" w:rsidRDefault="00450C28">
      <w:pPr>
        <w:pStyle w:val="Apara"/>
      </w:pPr>
      <w:r>
        <w:tab/>
        <w:t>(b)</w:t>
      </w:r>
      <w:r>
        <w:tab/>
        <w:t>a hotel or motel; or</w:t>
      </w:r>
    </w:p>
    <w:p w:rsidR="00450C28" w:rsidRDefault="00450C28">
      <w:pPr>
        <w:pStyle w:val="Apara"/>
      </w:pPr>
      <w:r>
        <w:tab/>
        <w:t>(c)</w:t>
      </w:r>
      <w:r>
        <w:tab/>
        <w:t>used for a club; or</w:t>
      </w:r>
    </w:p>
    <w:p w:rsidR="00450C28" w:rsidRDefault="00450C28">
      <w:pPr>
        <w:pStyle w:val="Apara"/>
      </w:pPr>
      <w:r>
        <w:tab/>
        <w:t>(d)</w:t>
      </w:r>
      <w:r>
        <w:tab/>
        <w:t>on the campus of an educational institution; or</w:t>
      </w:r>
    </w:p>
    <w:p w:rsidR="00450C28" w:rsidRDefault="00450C28">
      <w:pPr>
        <w:pStyle w:val="Apara"/>
        <w:keepNext/>
      </w:pPr>
      <w:r>
        <w:tab/>
        <w:t>(e)</w:t>
      </w:r>
      <w:r>
        <w:tab/>
        <w:t>prescribed by regulation.</w:t>
      </w:r>
    </w:p>
    <w:p w:rsidR="00450C28" w:rsidRDefault="00450C28">
      <w:pPr>
        <w:pStyle w:val="aNote"/>
      </w:pPr>
      <w:r w:rsidRPr="009D74E7">
        <w:rPr>
          <w:rStyle w:val="charItals"/>
        </w:rPr>
        <w:t>Note</w:t>
      </w:r>
      <w:r w:rsidRPr="009D74E7">
        <w:rPr>
          <w:rStyle w:val="charItals"/>
        </w:rPr>
        <w:tab/>
      </w:r>
      <w:r>
        <w:t>This Act does n</w:t>
      </w:r>
      <w:r w:rsidR="00F71564">
        <w:t>ot apply to</w:t>
      </w:r>
      <w:r>
        <w:t xml:space="preserve"> nursing homes, hostels for aged or disabled people or other prescribed premises (see s 4).</w:t>
      </w:r>
    </w:p>
    <w:p w:rsidR="00450C28" w:rsidRDefault="00450C28">
      <w:pPr>
        <w:pStyle w:val="Amain"/>
      </w:pPr>
      <w:r>
        <w:tab/>
        <w:t>(2)</w:t>
      </w:r>
      <w:r>
        <w:tab/>
        <w:t>This section is subject to the following sections:</w:t>
      </w:r>
    </w:p>
    <w:p w:rsidR="00450C28" w:rsidRDefault="00450C28">
      <w:pPr>
        <w:pStyle w:val="Amainbullet"/>
        <w:tabs>
          <w:tab w:val="left" w:pos="1500"/>
        </w:tabs>
      </w:pPr>
      <w:r>
        <w:rPr>
          <w:rFonts w:ascii="Symbol" w:hAnsi="Symbol"/>
          <w:sz w:val="20"/>
        </w:rPr>
        <w:t></w:t>
      </w:r>
      <w:r>
        <w:rPr>
          <w:rFonts w:ascii="Symbol" w:hAnsi="Symbol"/>
          <w:sz w:val="20"/>
        </w:rPr>
        <w:tab/>
      </w:r>
      <w:r>
        <w:t>section 6B (Residential tenancy agreement if agreement written and says it is residential tenancy agreement)</w:t>
      </w:r>
    </w:p>
    <w:p w:rsidR="00450C28" w:rsidRDefault="00450C28">
      <w:pPr>
        <w:pStyle w:val="Amainbullet"/>
        <w:tabs>
          <w:tab w:val="left" w:pos="1500"/>
        </w:tabs>
      </w:pPr>
      <w:r>
        <w:rPr>
          <w:rFonts w:ascii="Symbol" w:hAnsi="Symbol"/>
          <w:sz w:val="20"/>
        </w:rPr>
        <w:t></w:t>
      </w:r>
      <w:r>
        <w:rPr>
          <w:rFonts w:ascii="Symbol" w:hAnsi="Symbol"/>
          <w:sz w:val="20"/>
        </w:rPr>
        <w:tab/>
      </w:r>
      <w:r>
        <w:t>section 6C (Residential tenancy agreement if agreement part of employment).</w:t>
      </w:r>
    </w:p>
    <w:p w:rsidR="00450C28" w:rsidRDefault="00450C28">
      <w:pPr>
        <w:pStyle w:val="AH5Sec"/>
      </w:pPr>
      <w:bookmarkStart w:id="24" w:name="_Toc23417831"/>
      <w:r w:rsidRPr="001403E0">
        <w:rPr>
          <w:rStyle w:val="CharSectNo"/>
        </w:rPr>
        <w:t>7</w:t>
      </w:r>
      <w:r>
        <w:tab/>
        <w:t>When does residential tenancy agreement start?</w:t>
      </w:r>
      <w:bookmarkEnd w:id="24"/>
    </w:p>
    <w:p w:rsidR="00450C28" w:rsidRDefault="00450C28">
      <w:pPr>
        <w:pStyle w:val="Amainreturn"/>
        <w:keepNext/>
      </w:pPr>
      <w:r>
        <w:t>A residential tenancy agreement starts on the earliest of the following days:</w:t>
      </w:r>
    </w:p>
    <w:p w:rsidR="00450C28" w:rsidRDefault="00450C28">
      <w:pPr>
        <w:pStyle w:val="Apara"/>
      </w:pPr>
      <w:r>
        <w:tab/>
        <w:t>(a)</w:t>
      </w:r>
      <w:r>
        <w:tab/>
        <w:t>the day stated in the agreement;</w:t>
      </w:r>
    </w:p>
    <w:p w:rsidR="00450C28" w:rsidRDefault="00450C28">
      <w:pPr>
        <w:pStyle w:val="Apara"/>
      </w:pPr>
      <w:r>
        <w:tab/>
        <w:t>(b)</w:t>
      </w:r>
      <w:r>
        <w:tab/>
        <w:t>the 1st day both parties have signed the agreement and received a copy signed by the other;</w:t>
      </w:r>
    </w:p>
    <w:p w:rsidR="00450C28" w:rsidRDefault="00450C28">
      <w:pPr>
        <w:pStyle w:val="Apara"/>
      </w:pPr>
      <w:r>
        <w:tab/>
        <w:t>(c)</w:t>
      </w:r>
      <w:r>
        <w:tab/>
        <w:t>the day the tenant takes possession of the premises;</w:t>
      </w:r>
    </w:p>
    <w:p w:rsidR="00450C28" w:rsidRDefault="00450C28">
      <w:pPr>
        <w:pStyle w:val="Apara"/>
      </w:pPr>
      <w:r>
        <w:tab/>
        <w:t>(d)</w:t>
      </w:r>
      <w:r>
        <w:tab/>
        <w:t>the 1st day the lessor receives rent from the tenant.</w:t>
      </w:r>
    </w:p>
    <w:p w:rsidR="00450C28" w:rsidRDefault="00450C28">
      <w:pPr>
        <w:pStyle w:val="PageBreak"/>
      </w:pPr>
      <w:r>
        <w:br w:type="page"/>
      </w:r>
    </w:p>
    <w:p w:rsidR="00450C28" w:rsidRPr="001403E0" w:rsidRDefault="00450C28">
      <w:pPr>
        <w:pStyle w:val="AH2Part"/>
      </w:pPr>
      <w:bookmarkStart w:id="25" w:name="_Toc23417832"/>
      <w:r w:rsidRPr="001403E0">
        <w:rPr>
          <w:rStyle w:val="CharPartNo"/>
        </w:rPr>
        <w:lastRenderedPageBreak/>
        <w:t>Part 2</w:t>
      </w:r>
      <w:r>
        <w:tab/>
      </w:r>
      <w:r w:rsidRPr="001403E0">
        <w:rPr>
          <w:rStyle w:val="CharPartText"/>
        </w:rPr>
        <w:t>Residential tenancy agreements</w:t>
      </w:r>
      <w:bookmarkEnd w:id="25"/>
    </w:p>
    <w:p w:rsidR="00450C28" w:rsidRPr="001403E0" w:rsidRDefault="00450C28">
      <w:pPr>
        <w:pStyle w:val="AH3Div"/>
      </w:pPr>
      <w:bookmarkStart w:id="26" w:name="_Toc23417833"/>
      <w:r w:rsidRPr="001403E0">
        <w:rPr>
          <w:rStyle w:val="CharDivNo"/>
        </w:rPr>
        <w:t>Division 2.1</w:t>
      </w:r>
      <w:r>
        <w:tab/>
      </w:r>
      <w:r w:rsidRPr="001403E0">
        <w:rPr>
          <w:rStyle w:val="CharDivText"/>
        </w:rPr>
        <w:t>Terms of agreement</w:t>
      </w:r>
      <w:bookmarkEnd w:id="26"/>
    </w:p>
    <w:p w:rsidR="00450C28" w:rsidRDefault="00450C28">
      <w:pPr>
        <w:pStyle w:val="AH5Sec"/>
      </w:pPr>
      <w:bookmarkStart w:id="27" w:name="_Toc23417834"/>
      <w:r w:rsidRPr="001403E0">
        <w:rPr>
          <w:rStyle w:val="CharSectNo"/>
        </w:rPr>
        <w:t>8</w:t>
      </w:r>
      <w:r>
        <w:tab/>
        <w:t>Standard residential tenancy terms</w:t>
      </w:r>
      <w:bookmarkEnd w:id="27"/>
    </w:p>
    <w:p w:rsidR="00450C28" w:rsidRDefault="00450C28">
      <w:pPr>
        <w:pStyle w:val="Amain"/>
      </w:pPr>
      <w:r>
        <w:tab/>
        <w:t>(1)</w:t>
      </w:r>
      <w:r>
        <w:tab/>
        <w:t>A residential tenancy agreement—</w:t>
      </w:r>
    </w:p>
    <w:p w:rsidR="00450C28" w:rsidRDefault="00450C28">
      <w:pPr>
        <w:pStyle w:val="Apara"/>
      </w:pPr>
      <w:r>
        <w:tab/>
        <w:t>(a)</w:t>
      </w:r>
      <w:r>
        <w:tab/>
        <w:t>must contain, and is taken to contain, terms to the effect of the standard residential tenancy terms mentioned in schedule 1; and</w:t>
      </w:r>
    </w:p>
    <w:p w:rsidR="00450C28" w:rsidRDefault="00450C28">
      <w:pPr>
        <w:pStyle w:val="Apara"/>
      </w:pPr>
      <w:r>
        <w:tab/>
        <w:t>(b)</w:t>
      </w:r>
      <w:r>
        <w:tab/>
        <w:t>if the lessor and tenant agree—may contain a fair clause for posted people; and</w:t>
      </w:r>
    </w:p>
    <w:p w:rsidR="005955DC" w:rsidRPr="00E56DA5" w:rsidRDefault="005955DC" w:rsidP="005955DC">
      <w:pPr>
        <w:pStyle w:val="Apara"/>
      </w:pPr>
      <w:r>
        <w:tab/>
        <w:t>(c</w:t>
      </w:r>
      <w:r w:rsidRPr="00E56DA5">
        <w:t>)</w:t>
      </w:r>
      <w:r w:rsidRPr="00E56DA5">
        <w:tab/>
        <w:t>if the agreement is a fixed term agreement and the lessor and tenant agree—may contain a break lease clause; and</w:t>
      </w:r>
    </w:p>
    <w:p w:rsidR="00450C28" w:rsidRDefault="005955DC">
      <w:pPr>
        <w:pStyle w:val="Apara"/>
      </w:pPr>
      <w:r>
        <w:tab/>
        <w:t>(d</w:t>
      </w:r>
      <w:r w:rsidR="00450C28">
        <w:t>)</w:t>
      </w:r>
      <w:r w:rsidR="00450C28">
        <w:tab/>
        <w:t>may contain any other term—</w:t>
      </w:r>
    </w:p>
    <w:p w:rsidR="00450C28" w:rsidRDefault="00450C28">
      <w:pPr>
        <w:pStyle w:val="Asubpara"/>
      </w:pPr>
      <w:r>
        <w:tab/>
        <w:t>(i)</w:t>
      </w:r>
      <w:r>
        <w:tab/>
        <w:t>that is consistent with the standard residential tenancy terms; or</w:t>
      </w:r>
    </w:p>
    <w:p w:rsidR="00450C28" w:rsidRDefault="00450C28">
      <w:pPr>
        <w:pStyle w:val="Asubpara"/>
      </w:pPr>
      <w:r>
        <w:tab/>
        <w:t>(ii)</w:t>
      </w:r>
      <w:r>
        <w:tab/>
        <w:t xml:space="preserve">that is inconsistent with a standard residential tenancy term if the term has been endorsed by the </w:t>
      </w:r>
      <w:r w:rsidR="009026B3">
        <w:t>ACAT</w:t>
      </w:r>
      <w:r w:rsidR="00521E68">
        <w:t xml:space="preserve"> under section </w:t>
      </w:r>
      <w:r>
        <w:t>10.</w:t>
      </w:r>
    </w:p>
    <w:p w:rsidR="005955DC" w:rsidRPr="00E56DA5" w:rsidRDefault="005955DC" w:rsidP="005955DC">
      <w:pPr>
        <w:pStyle w:val="Amain"/>
        <w:keepNext/>
      </w:pPr>
      <w:r w:rsidRPr="00E56DA5">
        <w:lastRenderedPageBreak/>
        <w:tab/>
        <w:t>(2)</w:t>
      </w:r>
      <w:r w:rsidRPr="00E56DA5">
        <w:tab/>
        <w:t>In this section:</w:t>
      </w:r>
    </w:p>
    <w:p w:rsidR="005955DC" w:rsidRPr="00E56DA5" w:rsidRDefault="005955DC" w:rsidP="005955DC">
      <w:pPr>
        <w:pStyle w:val="aDef"/>
        <w:keepNext/>
      </w:pPr>
      <w:r w:rsidRPr="00E56DA5">
        <w:rPr>
          <w:rStyle w:val="charBoldItals"/>
        </w:rPr>
        <w:t>break lease clause</w:t>
      </w:r>
      <w:r w:rsidRPr="00E56DA5">
        <w:t xml:space="preserve"> means the following clause:</w:t>
      </w:r>
    </w:p>
    <w:p w:rsidR="005955DC" w:rsidRPr="00E56DA5" w:rsidRDefault="005955DC" w:rsidP="005955DC">
      <w:pPr>
        <w:pStyle w:val="ModH5Sec"/>
        <w:tabs>
          <w:tab w:val="clear" w:pos="1800"/>
        </w:tabs>
        <w:ind w:left="1134" w:firstLine="0"/>
      </w:pPr>
      <w:r w:rsidRPr="00E56DA5">
        <w:t>Termination before end of fixed term—fee for breaking lease</w:t>
      </w:r>
    </w:p>
    <w:p w:rsidR="005955DC" w:rsidRPr="00E56DA5" w:rsidRDefault="005955DC" w:rsidP="00BF5A2E">
      <w:pPr>
        <w:pStyle w:val="Modmain"/>
        <w:keepNext/>
        <w:keepLines/>
        <w:tabs>
          <w:tab w:val="clear" w:pos="1800"/>
        </w:tabs>
        <w:ind w:left="1843" w:hanging="743"/>
      </w:pPr>
      <w:r w:rsidRPr="00E56DA5">
        <w:tab/>
        <w:t>(1)</w:t>
      </w:r>
      <w:r w:rsidRPr="00E56DA5">
        <w:tab/>
        <w:t xml:space="preserve">If the tenant ends a fixed term agreement before the end of the fixed term (other than for a reason </w:t>
      </w:r>
      <w:r w:rsidRPr="002C6339">
        <w:t>provided for</w:t>
      </w:r>
      <w:r>
        <w:t xml:space="preserve"> </w:t>
      </w:r>
      <w:r w:rsidRPr="00E56DA5">
        <w:t xml:space="preserve">by the Residential Tenancies Act or the agreement), the tenant must pay a fee (a </w:t>
      </w:r>
      <w:r w:rsidRPr="00E56DA5">
        <w:rPr>
          <w:rStyle w:val="charBoldItals"/>
        </w:rPr>
        <w:t>break fee</w:t>
      </w:r>
      <w:r w:rsidRPr="00E56DA5">
        <w:t>) of the following amount:</w:t>
      </w:r>
    </w:p>
    <w:p w:rsidR="005955DC" w:rsidRPr="00E56DA5" w:rsidRDefault="005955DC" w:rsidP="005955DC">
      <w:pPr>
        <w:pStyle w:val="Modpara"/>
        <w:keepNext/>
      </w:pPr>
      <w:r w:rsidRPr="00E56DA5">
        <w:tab/>
        <w:t>(a)</w:t>
      </w:r>
      <w:r w:rsidRPr="00E56DA5">
        <w:tab/>
        <w:t>if the fixed term is 3 years or less—</w:t>
      </w:r>
    </w:p>
    <w:p w:rsidR="005955DC" w:rsidRPr="00E56DA5" w:rsidRDefault="005955DC" w:rsidP="005955DC">
      <w:pPr>
        <w:pStyle w:val="Modsubpara"/>
        <w:tabs>
          <w:tab w:val="clear" w:pos="2840"/>
        </w:tabs>
        <w:ind w:left="2835" w:hanging="1735"/>
      </w:pPr>
      <w:r w:rsidRPr="00E56DA5">
        <w:tab/>
        <w:t>(i)</w:t>
      </w:r>
      <w:r w:rsidRPr="00E56DA5">
        <w:tab/>
        <w:t>if less than half of the fixed term has expired—6 weeks rent; or</w:t>
      </w:r>
    </w:p>
    <w:p w:rsidR="005955DC" w:rsidRPr="00E56DA5" w:rsidRDefault="005955DC" w:rsidP="005955DC">
      <w:pPr>
        <w:pStyle w:val="Modsubpara"/>
      </w:pPr>
      <w:r w:rsidRPr="00E56DA5">
        <w:tab/>
        <w:t>(ii)</w:t>
      </w:r>
      <w:r w:rsidRPr="00E56DA5">
        <w:tab/>
        <w:t>in any other case—4 weeks rent;</w:t>
      </w:r>
    </w:p>
    <w:p w:rsidR="005955DC" w:rsidRPr="00E56DA5" w:rsidRDefault="005955DC" w:rsidP="005955DC">
      <w:pPr>
        <w:pStyle w:val="Modpara"/>
        <w:tabs>
          <w:tab w:val="clear" w:pos="2300"/>
        </w:tabs>
        <w:ind w:left="2268" w:hanging="1168"/>
      </w:pPr>
      <w:r w:rsidRPr="00E56DA5">
        <w:tab/>
        <w:t>(b)</w:t>
      </w:r>
      <w:r w:rsidRPr="00E56DA5">
        <w:tab/>
        <w:t>if the fixed term is more than 3 years—the amount agreed between the lessor and tenant.</w:t>
      </w:r>
    </w:p>
    <w:p w:rsidR="005955DC" w:rsidRDefault="005955DC" w:rsidP="005955DC">
      <w:pPr>
        <w:pStyle w:val="Modmain"/>
        <w:tabs>
          <w:tab w:val="clear" w:pos="1800"/>
        </w:tabs>
        <w:ind w:left="1843"/>
      </w:pPr>
      <w:r w:rsidRPr="00E56DA5">
        <w:tab/>
        <w:t>(2)</w:t>
      </w:r>
      <w:r w:rsidRPr="00E56DA5">
        <w:tab/>
        <w:t xml:space="preserve">The lessor agrees that the compensation payable by the tenant for ending a fixed term agreement before the end of the fixed term is limited to the amount of the break fee specified </w:t>
      </w:r>
      <w:r>
        <w:t>in subclause (1).</w:t>
      </w:r>
    </w:p>
    <w:p w:rsidR="00522178" w:rsidRPr="00604238" w:rsidRDefault="00522178" w:rsidP="00522178">
      <w:pPr>
        <w:pStyle w:val="Modmain"/>
        <w:keepNext/>
        <w:tabs>
          <w:tab w:val="clear" w:pos="1800"/>
        </w:tabs>
        <w:ind w:left="1843" w:hanging="743"/>
      </w:pPr>
      <w:r w:rsidRPr="00604238">
        <w:tab/>
        <w:t>(3)</w:t>
      </w:r>
      <w:r w:rsidRPr="00604238">
        <w:tab/>
        <w:t>However, the lessor and tenant agree that if, within the defined period after the tenant vacates the premises, the lessor enters into a residential tenancy agreement with a new tenant, the amount payable by the tenant is limited to—</w:t>
      </w:r>
    </w:p>
    <w:p w:rsidR="00522178" w:rsidRPr="00604238" w:rsidRDefault="00522178" w:rsidP="00522178">
      <w:pPr>
        <w:pStyle w:val="Modpara"/>
        <w:tabs>
          <w:tab w:val="clear" w:pos="2300"/>
        </w:tabs>
        <w:ind w:left="2268" w:hanging="1168"/>
      </w:pPr>
      <w:r w:rsidRPr="00604238">
        <w:tab/>
        <w:t>(a)</w:t>
      </w:r>
      <w:r w:rsidRPr="00604238">
        <w:tab/>
        <w:t>the amount of the break fee under subclause (1) less the amount of rent payable by the new tenant for the defined period; and</w:t>
      </w:r>
    </w:p>
    <w:p w:rsidR="00522178" w:rsidRPr="00604238" w:rsidRDefault="00522178" w:rsidP="001403E0">
      <w:pPr>
        <w:pStyle w:val="Modpara"/>
        <w:keepLines/>
        <w:tabs>
          <w:tab w:val="clear" w:pos="2300"/>
        </w:tabs>
        <w:ind w:left="2268" w:hanging="1168"/>
      </w:pPr>
      <w:r w:rsidRPr="00604238">
        <w:lastRenderedPageBreak/>
        <w:tab/>
        <w:t>(b)</w:t>
      </w:r>
      <w:r w:rsidRPr="00604238">
        <w:tab/>
        <w:t>if the tenant vacates the premises more than 4 weeks before the end of the fixed term—the lessor’s reasonable costs (not exceeding the defined cost limit) of advertising the premises for lease and of giving a right to occupy the premises to another person.</w:t>
      </w:r>
    </w:p>
    <w:p w:rsidR="00522178" w:rsidRPr="00604238" w:rsidRDefault="00522178" w:rsidP="00522178">
      <w:pPr>
        <w:pStyle w:val="Modmain"/>
      </w:pPr>
      <w:r w:rsidRPr="00604238">
        <w:tab/>
        <w:t>(4)</w:t>
      </w:r>
      <w:r w:rsidRPr="00604238">
        <w:tab/>
        <w:t>In this clause:</w:t>
      </w:r>
    </w:p>
    <w:p w:rsidR="00522178" w:rsidRPr="00604238" w:rsidRDefault="00522178" w:rsidP="00522178">
      <w:pPr>
        <w:pStyle w:val="aDef"/>
        <w:ind w:left="1560"/>
      </w:pPr>
      <w:r w:rsidRPr="00604238">
        <w:rPr>
          <w:rStyle w:val="charBoldItals"/>
        </w:rPr>
        <w:t xml:space="preserve">defined cost limit </w:t>
      </w:r>
      <w:r w:rsidRPr="00604238">
        <w:t>means—</w:t>
      </w:r>
    </w:p>
    <w:p w:rsidR="00522178" w:rsidRPr="00604238" w:rsidRDefault="00522178" w:rsidP="00522178">
      <w:pPr>
        <w:pStyle w:val="aDefpara"/>
      </w:pPr>
      <w:r w:rsidRPr="00604238">
        <w:tab/>
      </w:r>
      <w:r w:rsidRPr="00604238">
        <w:tab/>
        <w:t>(a)</w:t>
      </w:r>
      <w:r w:rsidRPr="00604238">
        <w:tab/>
        <w:t>if half or more than half of the fixed term has expired—an amount equal to 2/3 of 1 week’s rent; or</w:t>
      </w:r>
    </w:p>
    <w:p w:rsidR="00522178" w:rsidRPr="00604238" w:rsidRDefault="00522178" w:rsidP="00522178">
      <w:pPr>
        <w:pStyle w:val="aDefpara"/>
      </w:pPr>
      <w:r w:rsidRPr="00604238">
        <w:tab/>
      </w:r>
      <w:r w:rsidRPr="00604238">
        <w:tab/>
        <w:t>(b)</w:t>
      </w:r>
      <w:r w:rsidRPr="00604238">
        <w:tab/>
        <w:t>if less than half of the fixed term has expired—an amount equal to 1 week’s rent.</w:t>
      </w:r>
    </w:p>
    <w:p w:rsidR="00522178" w:rsidRPr="00604238" w:rsidRDefault="00522178" w:rsidP="00522178">
      <w:pPr>
        <w:pStyle w:val="aDef"/>
        <w:ind w:left="1560"/>
      </w:pPr>
      <w:r w:rsidRPr="00604238">
        <w:rPr>
          <w:rStyle w:val="charBoldItals"/>
        </w:rPr>
        <w:t>defined period</w:t>
      </w:r>
      <w:r w:rsidRPr="00604238">
        <w:t xml:space="preserve"> means—</w:t>
      </w:r>
    </w:p>
    <w:p w:rsidR="00522178" w:rsidRPr="00604238" w:rsidRDefault="00522178" w:rsidP="00522178">
      <w:pPr>
        <w:pStyle w:val="aDefpara"/>
      </w:pPr>
      <w:r w:rsidRPr="00604238">
        <w:tab/>
      </w:r>
      <w:r w:rsidRPr="00604238">
        <w:tab/>
        <w:t>(a)</w:t>
      </w:r>
      <w:r w:rsidRPr="00604238">
        <w:tab/>
        <w:t>if subclause (1) (a) (i) applies—6 weeks; or</w:t>
      </w:r>
    </w:p>
    <w:p w:rsidR="00522178" w:rsidRPr="00604238" w:rsidRDefault="00522178" w:rsidP="00522178">
      <w:pPr>
        <w:pStyle w:val="aDefpara"/>
      </w:pPr>
      <w:r w:rsidRPr="00604238">
        <w:tab/>
      </w:r>
      <w:r w:rsidRPr="00604238">
        <w:tab/>
        <w:t>(b)</w:t>
      </w:r>
      <w:r w:rsidRPr="00604238">
        <w:tab/>
        <w:t>if subclause (1) (a) (ii) applies—4 weeks; or</w:t>
      </w:r>
    </w:p>
    <w:p w:rsidR="00522178" w:rsidRPr="00604238" w:rsidRDefault="00522178" w:rsidP="00522178">
      <w:pPr>
        <w:pStyle w:val="aDefpara"/>
      </w:pPr>
      <w:r w:rsidRPr="00604238">
        <w:tab/>
      </w:r>
      <w:r w:rsidRPr="00604238">
        <w:tab/>
        <w:t>(c)</w:t>
      </w:r>
      <w:r w:rsidRPr="00604238">
        <w:tab/>
        <w:t>if subclause (1) (b) applies—N weeks.</w:t>
      </w:r>
    </w:p>
    <w:p w:rsidR="00522178" w:rsidRPr="00604238" w:rsidRDefault="00522178" w:rsidP="00522178">
      <w:pPr>
        <w:pStyle w:val="aDef"/>
        <w:ind w:left="1560"/>
      </w:pPr>
      <w:r w:rsidRPr="00604238">
        <w:rPr>
          <w:rStyle w:val="charBoldItals"/>
        </w:rPr>
        <w:t xml:space="preserve">N </w:t>
      </w:r>
      <w:r w:rsidRPr="00604238">
        <w:t>is the number worked out as follows:</w:t>
      </w:r>
    </w:p>
    <w:p w:rsidR="00522178" w:rsidRPr="00604238" w:rsidRDefault="00522178" w:rsidP="00522178">
      <w:pPr>
        <w:pStyle w:val="Formula"/>
      </w:pPr>
      <w:r w:rsidRPr="00604238">
        <w:t xml:space="preserve"> </w:t>
      </w:r>
      <m:oMath>
        <m:f>
          <m:fPr>
            <m:ctrlPr>
              <w:rPr>
                <w:rFonts w:ascii="Cambria Math" w:hAnsi="Cambria Math"/>
                <w:szCs w:val="24"/>
              </w:rPr>
            </m:ctrlPr>
          </m:fPr>
          <m:num>
            <m:r>
              <m:rPr>
                <m:nor/>
              </m:rPr>
              <w:rPr>
                <w:szCs w:val="24"/>
              </w:rPr>
              <m:t>break fee</m:t>
            </m:r>
          </m:num>
          <m:den>
            <m:r>
              <m:rPr>
                <m:nor/>
              </m:rPr>
              <w:rPr>
                <w:szCs w:val="24"/>
              </w:rPr>
              <m:t>weekly rent payable at the time the tenant ends the agreement</m:t>
            </m:r>
          </m:den>
        </m:f>
      </m:oMath>
    </w:p>
    <w:p w:rsidR="005955DC" w:rsidRPr="00E56DA5" w:rsidRDefault="005955DC" w:rsidP="005955DC">
      <w:pPr>
        <w:pStyle w:val="aDef"/>
        <w:keepNext/>
      </w:pPr>
      <w:r w:rsidRPr="00E56DA5">
        <w:rPr>
          <w:rStyle w:val="charBoldItals"/>
        </w:rPr>
        <w:t>fair clause for posted people</w:t>
      </w:r>
      <w:r w:rsidRPr="00E56DA5">
        <w:t xml:space="preserve"> means the following clause:</w:t>
      </w:r>
    </w:p>
    <w:p w:rsidR="005955DC" w:rsidRPr="00E56DA5" w:rsidRDefault="005955DC" w:rsidP="005955DC">
      <w:pPr>
        <w:pStyle w:val="ModH5Sec"/>
        <w:ind w:hanging="1066"/>
      </w:pPr>
      <w:r w:rsidRPr="00E56DA5">
        <w:t>Termination because of posting</w:t>
      </w:r>
    </w:p>
    <w:p w:rsidR="005955DC" w:rsidRPr="00E56DA5" w:rsidRDefault="005955DC" w:rsidP="005955DC">
      <w:pPr>
        <w:pStyle w:val="Modmain"/>
        <w:tabs>
          <w:tab w:val="clear" w:pos="1800"/>
        </w:tabs>
        <w:ind w:left="1843" w:hanging="743"/>
      </w:pPr>
      <w:r w:rsidRPr="00E56DA5">
        <w:tab/>
        <w:t>(1)</w:t>
      </w:r>
      <w:r w:rsidRPr="00E56DA5">
        <w:tab/>
        <w:t>The tenancy agreement may be terminated—</w:t>
      </w:r>
    </w:p>
    <w:p w:rsidR="005955DC" w:rsidRPr="00E56DA5" w:rsidRDefault="005955DC" w:rsidP="005955DC">
      <w:pPr>
        <w:pStyle w:val="Modpara"/>
        <w:tabs>
          <w:tab w:val="clear" w:pos="2300"/>
        </w:tabs>
        <w:ind w:left="2268" w:hanging="1168"/>
      </w:pPr>
      <w:r w:rsidRPr="00E56DA5">
        <w:tab/>
        <w:t>(a)</w:t>
      </w:r>
      <w:r w:rsidRPr="00E56DA5">
        <w:tab/>
        <w:t>if the lessor is posted to Canberra in the course of the lessor’s employment—by the lessor giving the tenant at least 8 weeks written notice; or</w:t>
      </w:r>
    </w:p>
    <w:p w:rsidR="005955DC" w:rsidRPr="00E56DA5" w:rsidRDefault="005955DC" w:rsidP="005955DC">
      <w:pPr>
        <w:pStyle w:val="Modpara"/>
        <w:tabs>
          <w:tab w:val="clear" w:pos="2300"/>
        </w:tabs>
        <w:ind w:left="2268" w:hanging="1168"/>
      </w:pPr>
      <w:r w:rsidRPr="00E56DA5">
        <w:tab/>
        <w:t>(b)</w:t>
      </w:r>
      <w:r w:rsidRPr="00E56DA5">
        <w:tab/>
        <w:t>if the tenant is posted away from Canberra in the course of the tenant’s employment—by the tenant giving the lessor at least 8 weeks written notice.</w:t>
      </w:r>
    </w:p>
    <w:p w:rsidR="005955DC" w:rsidRPr="00E56DA5" w:rsidRDefault="005955DC" w:rsidP="005955DC">
      <w:pPr>
        <w:pStyle w:val="Modmain"/>
        <w:tabs>
          <w:tab w:val="clear" w:pos="1800"/>
        </w:tabs>
        <w:ind w:left="1843" w:hanging="743"/>
      </w:pPr>
      <w:r w:rsidRPr="00E56DA5">
        <w:lastRenderedPageBreak/>
        <w:tab/>
        <w:t>(2)</w:t>
      </w:r>
      <w:r w:rsidRPr="00E56DA5">
        <w:tab/>
        <w:t>A notice under subclause (1) must be accompanied by evidence of the posting (for example, a letter from the employer of the lessor or tenant confirming the details of the posting).</w:t>
      </w:r>
    </w:p>
    <w:p w:rsidR="005955DC" w:rsidRPr="00E56DA5" w:rsidRDefault="005955DC" w:rsidP="005955DC">
      <w:pPr>
        <w:pStyle w:val="Modmain"/>
        <w:tabs>
          <w:tab w:val="clear" w:pos="1800"/>
        </w:tabs>
        <w:ind w:left="1843" w:hanging="743"/>
      </w:pPr>
      <w:r w:rsidRPr="00E56DA5">
        <w:tab/>
        <w:t>(3)</w:t>
      </w:r>
      <w:r w:rsidRPr="00E56DA5">
        <w:tab/>
        <w:t>The tenancy ends—</w:t>
      </w:r>
    </w:p>
    <w:p w:rsidR="005955DC" w:rsidRPr="00E56DA5" w:rsidRDefault="005955DC" w:rsidP="005955DC">
      <w:pPr>
        <w:pStyle w:val="Modpara"/>
        <w:tabs>
          <w:tab w:val="clear" w:pos="2300"/>
        </w:tabs>
        <w:ind w:left="2268" w:hanging="1168"/>
      </w:pPr>
      <w:r w:rsidRPr="00E56DA5">
        <w:tab/>
        <w:t>(a)</w:t>
      </w:r>
      <w:r w:rsidRPr="00E56DA5">
        <w:tab/>
        <w:t>8 weeks after the day a notice is received under subclause (1); or</w:t>
      </w:r>
    </w:p>
    <w:p w:rsidR="005955DC" w:rsidRPr="00E56DA5" w:rsidRDefault="005955DC" w:rsidP="005955DC">
      <w:pPr>
        <w:pStyle w:val="Modpara"/>
        <w:tabs>
          <w:tab w:val="clear" w:pos="2300"/>
        </w:tabs>
        <w:ind w:left="2268" w:hanging="1168"/>
      </w:pPr>
      <w:r w:rsidRPr="00E56DA5">
        <w:tab/>
        <w:t>(b)</w:t>
      </w:r>
      <w:r w:rsidRPr="00E56DA5">
        <w:tab/>
        <w:t>if a later date is stated in the notice—on the stated date.</w:t>
      </w:r>
    </w:p>
    <w:p w:rsidR="00450C28" w:rsidRDefault="00450C28">
      <w:pPr>
        <w:pStyle w:val="AH5Sec"/>
      </w:pPr>
      <w:bookmarkStart w:id="28" w:name="_Toc23417835"/>
      <w:r w:rsidRPr="001403E0">
        <w:rPr>
          <w:rStyle w:val="CharSectNo"/>
        </w:rPr>
        <w:t>9</w:t>
      </w:r>
      <w:r>
        <w:tab/>
        <w:t>Inconsistent tenancy terms void</w:t>
      </w:r>
      <w:bookmarkEnd w:id="28"/>
    </w:p>
    <w:p w:rsidR="00450C28" w:rsidRDefault="00450C28">
      <w:pPr>
        <w:pStyle w:val="Amain"/>
      </w:pPr>
      <w:r>
        <w:tab/>
        <w:t>(1)</w:t>
      </w:r>
      <w:r>
        <w:tab/>
        <w:t>A term of a residential tenancy agreement is void if—</w:t>
      </w:r>
    </w:p>
    <w:p w:rsidR="00450C28" w:rsidRDefault="00450C28">
      <w:pPr>
        <w:pStyle w:val="Apara"/>
      </w:pPr>
      <w:r>
        <w:tab/>
        <w:t>(a)</w:t>
      </w:r>
      <w:r>
        <w:tab/>
        <w:t>it is inconsistent with a standard residential tenancy term; and</w:t>
      </w:r>
    </w:p>
    <w:p w:rsidR="00450C28" w:rsidRDefault="00450C28">
      <w:pPr>
        <w:pStyle w:val="Apara"/>
      </w:pPr>
      <w:r>
        <w:tab/>
        <w:t>(b)</w:t>
      </w:r>
      <w:r>
        <w:tab/>
        <w:t xml:space="preserve">it has not been endorsed by the </w:t>
      </w:r>
      <w:r w:rsidR="009026B3">
        <w:t>ACAT</w:t>
      </w:r>
      <w:r>
        <w:t xml:space="preserve"> under section 10.</w:t>
      </w:r>
    </w:p>
    <w:p w:rsidR="00450C28" w:rsidRDefault="00450C28">
      <w:pPr>
        <w:pStyle w:val="Amain"/>
      </w:pPr>
      <w:r>
        <w:tab/>
        <w:t>(2)</w:t>
      </w:r>
      <w:r>
        <w:tab/>
        <w:t>A term of a residential tenancy agreement is void if it is inconsistent with this Act (</w:t>
      </w:r>
      <w:r>
        <w:rPr>
          <w:rFonts w:ascii="Times New (W1)" w:hAnsi="Times New (W1)"/>
        </w:rPr>
        <w:t>other than a standard residential tenancy term)</w:t>
      </w:r>
      <w:r>
        <w:t>.</w:t>
      </w:r>
    </w:p>
    <w:p w:rsidR="00450C28" w:rsidRDefault="00450C28">
      <w:pPr>
        <w:pStyle w:val="AH5Sec"/>
      </w:pPr>
      <w:bookmarkStart w:id="29" w:name="_Toc23417836"/>
      <w:r w:rsidRPr="001403E0">
        <w:rPr>
          <w:rStyle w:val="CharSectNo"/>
        </w:rPr>
        <w:t>10</w:t>
      </w:r>
      <w:r>
        <w:tab/>
        <w:t xml:space="preserve">Endorsement of inconsistent tenancy terms by </w:t>
      </w:r>
      <w:r w:rsidR="009026B3">
        <w:t>ACAT</w:t>
      </w:r>
      <w:bookmarkEnd w:id="29"/>
    </w:p>
    <w:p w:rsidR="00450C28" w:rsidRDefault="00450C28">
      <w:pPr>
        <w:pStyle w:val="Amain"/>
      </w:pPr>
      <w:r>
        <w:tab/>
        <w:t>(1)</w:t>
      </w:r>
      <w:r>
        <w:tab/>
        <w:t xml:space="preserve">The parties to a residential tenancy agreement may apply in writing to the </w:t>
      </w:r>
      <w:r w:rsidR="009026B3">
        <w:t>ACAT</w:t>
      </w:r>
      <w:r>
        <w:t xml:space="preserve"> for endorsement of a term of the agreement (the </w:t>
      </w:r>
      <w:r w:rsidRPr="009D74E7">
        <w:rPr>
          <w:rStyle w:val="charBoldItals"/>
        </w:rPr>
        <w:t>inconsistent term</w:t>
      </w:r>
      <w:r>
        <w:t>) that is inconsistent with a standard residential tenancy term.</w:t>
      </w:r>
    </w:p>
    <w:p w:rsidR="00450C28" w:rsidRDefault="00450C28">
      <w:pPr>
        <w:pStyle w:val="Amain"/>
      </w:pPr>
      <w:r>
        <w:tab/>
        <w:t>(2)</w:t>
      </w:r>
      <w:r>
        <w:tab/>
        <w:t xml:space="preserve">If the parties apply for endorsement of the inconsistent term, the </w:t>
      </w:r>
      <w:r w:rsidR="009026B3">
        <w:t>ACAT</w:t>
      </w:r>
      <w:r>
        <w:t xml:space="preserve"> must do 1 of the following:</w:t>
      </w:r>
    </w:p>
    <w:p w:rsidR="00450C28" w:rsidRDefault="00450C28">
      <w:pPr>
        <w:pStyle w:val="Apara"/>
      </w:pPr>
      <w:r>
        <w:tab/>
        <w:t>(a)</w:t>
      </w:r>
      <w:r>
        <w:tab/>
        <w:t>endorse the inconsistent term;</w:t>
      </w:r>
    </w:p>
    <w:p w:rsidR="00450C28" w:rsidRDefault="00450C28">
      <w:pPr>
        <w:pStyle w:val="Apara"/>
      </w:pPr>
      <w:r>
        <w:tab/>
        <w:t>(b)</w:t>
      </w:r>
      <w:r>
        <w:tab/>
        <w:t>substitute the equivalent standard residential tenancy term for the inconsistent term.</w:t>
      </w:r>
    </w:p>
    <w:p w:rsidR="00450C28" w:rsidRDefault="00450C28">
      <w:pPr>
        <w:pStyle w:val="Amain"/>
      </w:pPr>
      <w:r>
        <w:tab/>
        <w:t>(3)</w:t>
      </w:r>
      <w:r>
        <w:tab/>
        <w:t xml:space="preserve">In making a decision under subsection (2), the </w:t>
      </w:r>
      <w:r w:rsidR="009026B3">
        <w:t>ACAT</w:t>
      </w:r>
      <w:r>
        <w:t xml:space="preserve"> must consider—</w:t>
      </w:r>
    </w:p>
    <w:p w:rsidR="00450C28" w:rsidRDefault="00450C28">
      <w:pPr>
        <w:pStyle w:val="Apara"/>
      </w:pPr>
      <w:r>
        <w:tab/>
        <w:t>(a)</w:t>
      </w:r>
      <w:r>
        <w:tab/>
        <w:t>the criteria determined under subsection (6); and</w:t>
      </w:r>
    </w:p>
    <w:p w:rsidR="00450C28" w:rsidRDefault="00450C28">
      <w:pPr>
        <w:pStyle w:val="Apara"/>
      </w:pPr>
      <w:r>
        <w:lastRenderedPageBreak/>
        <w:tab/>
        <w:t>(b)</w:t>
      </w:r>
      <w:r>
        <w:tab/>
        <w:t>whether the inclusion of the inconsistent term in the residential tenancy agreement was obtained by fraud or undue influence.</w:t>
      </w:r>
    </w:p>
    <w:p w:rsidR="00450C28" w:rsidRDefault="00450C28">
      <w:pPr>
        <w:pStyle w:val="Amain"/>
      </w:pPr>
      <w:r>
        <w:rPr>
          <w:rFonts w:ascii="Times New (W1)" w:hAnsi="Times New (W1)"/>
        </w:rPr>
        <w:tab/>
        <w:t>(4)</w:t>
      </w:r>
      <w:r>
        <w:rPr>
          <w:rFonts w:ascii="Times New (W1)" w:hAnsi="Times New (W1)"/>
        </w:rPr>
        <w:tab/>
        <w:t xml:space="preserve">The </w:t>
      </w:r>
      <w:r w:rsidR="009026B3">
        <w:rPr>
          <w:rFonts w:ascii="Times New (W1)" w:hAnsi="Times New (W1)"/>
        </w:rPr>
        <w:t>ACAT</w:t>
      </w:r>
      <w:r>
        <w:rPr>
          <w:rFonts w:ascii="Times New (W1)" w:hAnsi="Times New (W1)"/>
        </w:rPr>
        <w:t xml:space="preserve"> must not endorse a term that is inconsistent with this Act (other than a standard residential tenancy term).</w:t>
      </w:r>
    </w:p>
    <w:p w:rsidR="00450C28" w:rsidRDefault="00450C28">
      <w:pPr>
        <w:pStyle w:val="Amain"/>
      </w:pPr>
      <w:r>
        <w:tab/>
        <w:t>(5)</w:t>
      </w:r>
      <w:r>
        <w:tab/>
        <w:t xml:space="preserve">The </w:t>
      </w:r>
      <w:r w:rsidR="009026B3">
        <w:t>ACAT</w:t>
      </w:r>
      <w:r>
        <w:t xml:space="preserve"> must not endorse a term mentioned in section 15 (5) in relation to a tenant unless satisfied that the tenant owes an amount to the housing commissioner.</w:t>
      </w:r>
    </w:p>
    <w:p w:rsidR="00450C28" w:rsidRDefault="00450C28">
      <w:pPr>
        <w:pStyle w:val="Amain"/>
      </w:pPr>
      <w:r>
        <w:tab/>
        <w:t>(6)</w:t>
      </w:r>
      <w:r>
        <w:tab/>
        <w:t>The Minister may determine criteria for subsection (3) (a).</w:t>
      </w:r>
    </w:p>
    <w:p w:rsidR="00450C28" w:rsidRDefault="00450C28">
      <w:pPr>
        <w:pStyle w:val="Amain"/>
        <w:keepNext/>
      </w:pPr>
      <w:r>
        <w:tab/>
        <w:t>(7)</w:t>
      </w:r>
      <w:r>
        <w:tab/>
        <w:t>A determination is a disallowable instrument.</w:t>
      </w:r>
    </w:p>
    <w:p w:rsidR="00450C28" w:rsidRDefault="00450C28">
      <w:pPr>
        <w:pStyle w:val="aNote"/>
      </w:pPr>
      <w:r w:rsidRPr="009D74E7">
        <w:rPr>
          <w:rStyle w:val="charItals"/>
        </w:rPr>
        <w:t>Note</w:t>
      </w:r>
      <w:r w:rsidRPr="009D74E7">
        <w:rPr>
          <w:rStyle w:val="charItals"/>
        </w:rPr>
        <w:tab/>
      </w:r>
      <w:r>
        <w:t xml:space="preserve">A disallowable instrument must be notified, and presented to the Legislative Assembly, under the </w:t>
      </w:r>
      <w:hyperlink r:id="rId38" w:tooltip="A2001-14" w:history="1">
        <w:r w:rsidR="009D74E7" w:rsidRPr="009D74E7">
          <w:rPr>
            <w:rStyle w:val="charCitHyperlinkAbbrev"/>
          </w:rPr>
          <w:t>Legislation Act</w:t>
        </w:r>
      </w:hyperlink>
      <w:r>
        <w:t>.</w:t>
      </w:r>
    </w:p>
    <w:p w:rsidR="00450C28" w:rsidRPr="001403E0" w:rsidRDefault="00450C28">
      <w:pPr>
        <w:pStyle w:val="AH3Div"/>
      </w:pPr>
      <w:bookmarkStart w:id="30" w:name="_Toc23417837"/>
      <w:r w:rsidRPr="001403E0">
        <w:rPr>
          <w:rStyle w:val="CharDivNo"/>
        </w:rPr>
        <w:t>Division 2.2</w:t>
      </w:r>
      <w:r>
        <w:tab/>
      </w:r>
      <w:r w:rsidRPr="001403E0">
        <w:rPr>
          <w:rStyle w:val="CharDivText"/>
        </w:rPr>
        <w:t>Precontractual obligations</w:t>
      </w:r>
      <w:bookmarkEnd w:id="30"/>
    </w:p>
    <w:p w:rsidR="00450C28" w:rsidRDefault="00450C28">
      <w:pPr>
        <w:pStyle w:val="AH5Sec"/>
      </w:pPr>
      <w:bookmarkStart w:id="31" w:name="_Toc23417838"/>
      <w:r w:rsidRPr="001403E0">
        <w:rPr>
          <w:rStyle w:val="CharSectNo"/>
        </w:rPr>
        <w:t>11</w:t>
      </w:r>
      <w:r>
        <w:tab/>
        <w:t>Compliance</w:t>
      </w:r>
      <w:bookmarkEnd w:id="31"/>
    </w:p>
    <w:p w:rsidR="00450C28" w:rsidRDefault="00450C28">
      <w:pPr>
        <w:pStyle w:val="Amain"/>
      </w:pPr>
      <w:r>
        <w:tab/>
        <w:t>(1)</w:t>
      </w:r>
      <w:r>
        <w:tab/>
        <w:t>A lessor or tenant, or the agent of a lessor or tenant, must comply with his or her obligations under this division before the residential tenancy agreement commences.</w:t>
      </w:r>
    </w:p>
    <w:p w:rsidR="00450C28" w:rsidRDefault="00450C28">
      <w:pPr>
        <w:pStyle w:val="Amain"/>
      </w:pPr>
      <w:r>
        <w:tab/>
        <w:t>(2)</w:t>
      </w:r>
      <w:r>
        <w:tab/>
        <w:t>A person is taken to have complied with an obligation under this division to provide certain information if that information is set out in the residential tenancy agreement being signed by the tenant.</w:t>
      </w:r>
    </w:p>
    <w:p w:rsidR="00450C28" w:rsidRDefault="00450C28">
      <w:pPr>
        <w:pStyle w:val="AH5Sec"/>
        <w:rPr>
          <w:rStyle w:val="charBold"/>
        </w:rPr>
      </w:pPr>
      <w:bookmarkStart w:id="32" w:name="_Toc23417839"/>
      <w:r w:rsidRPr="001403E0">
        <w:rPr>
          <w:rStyle w:val="CharSectNo"/>
        </w:rPr>
        <w:t>11A</w:t>
      </w:r>
      <w:r>
        <w:tab/>
        <w:t>Energy efficiency rating—advertising</w:t>
      </w:r>
      <w:bookmarkEnd w:id="32"/>
    </w:p>
    <w:p w:rsidR="00450C28" w:rsidRDefault="00450C28">
      <w:pPr>
        <w:pStyle w:val="Amain"/>
        <w:keepNext/>
      </w:pPr>
      <w:r>
        <w:tab/>
        <w:t>(1)</w:t>
      </w:r>
      <w:r>
        <w:tab/>
        <w:t>A person commits an offence if—</w:t>
      </w:r>
    </w:p>
    <w:p w:rsidR="00450C28" w:rsidRDefault="00450C28">
      <w:pPr>
        <w:pStyle w:val="Apara"/>
      </w:pPr>
      <w:r>
        <w:tab/>
        <w:t>(a)</w:t>
      </w:r>
      <w:r>
        <w:tab/>
        <w:t>the person publishes an advertisement for the lease of premises; and</w:t>
      </w:r>
    </w:p>
    <w:p w:rsidR="005955DC" w:rsidRPr="00E56DA5" w:rsidRDefault="005955DC" w:rsidP="005955DC">
      <w:pPr>
        <w:pStyle w:val="Apara"/>
      </w:pPr>
      <w:r w:rsidRPr="00E56DA5">
        <w:tab/>
        <w:t>(b)</w:t>
      </w:r>
      <w:r w:rsidRPr="00E56DA5">
        <w:tab/>
        <w:t>the advertisement does not contain—</w:t>
      </w:r>
    </w:p>
    <w:p w:rsidR="005955DC" w:rsidRPr="00E56DA5" w:rsidRDefault="005955DC" w:rsidP="005955DC">
      <w:pPr>
        <w:pStyle w:val="Asubpara"/>
      </w:pPr>
      <w:r w:rsidRPr="00E56DA5">
        <w:tab/>
        <w:t>(i)</w:t>
      </w:r>
      <w:r w:rsidRPr="00E56DA5">
        <w:tab/>
        <w:t>if there is an existing energy efficiency rating of the habitable part of the premises—a statement of the energy efficiency rating; or</w:t>
      </w:r>
    </w:p>
    <w:p w:rsidR="005955DC" w:rsidRPr="00E56DA5" w:rsidRDefault="005955DC" w:rsidP="005955DC">
      <w:pPr>
        <w:pStyle w:val="Asubpara"/>
      </w:pPr>
      <w:r w:rsidRPr="00E56DA5">
        <w:lastRenderedPageBreak/>
        <w:tab/>
        <w:t>(ii)</w:t>
      </w:r>
      <w:r w:rsidRPr="00E56DA5">
        <w:tab/>
        <w:t>if there is no existing energy efficiency rating statement for the habitable part of the premises—a statement to that effect.</w:t>
      </w:r>
    </w:p>
    <w:p w:rsidR="00450C28" w:rsidRDefault="00450C28">
      <w:pPr>
        <w:pStyle w:val="Penalty"/>
        <w:keepNext/>
      </w:pPr>
      <w:r>
        <w:t>Maximum penalty:  5 penalty units.</w:t>
      </w:r>
    </w:p>
    <w:p w:rsidR="00450C28" w:rsidRDefault="00450C28">
      <w:pPr>
        <w:pStyle w:val="Amain"/>
      </w:pPr>
      <w:r>
        <w:tab/>
        <w:t>(2)</w:t>
      </w:r>
      <w:r>
        <w:tab/>
        <w:t>Subsection (1) does not apply if the person has a reasonable excuse.</w:t>
      </w:r>
    </w:p>
    <w:p w:rsidR="00450C28" w:rsidRDefault="00450C28">
      <w:pPr>
        <w:pStyle w:val="Amain"/>
        <w:keepNext/>
      </w:pPr>
      <w:r>
        <w:tab/>
        <w:t>(3)</w:t>
      </w:r>
      <w:r>
        <w:tab/>
        <w:t>A person commits an offence if—</w:t>
      </w:r>
    </w:p>
    <w:p w:rsidR="00450C28" w:rsidRDefault="00450C28">
      <w:pPr>
        <w:pStyle w:val="Apara"/>
      </w:pPr>
      <w:r>
        <w:tab/>
        <w:t>(a)</w:t>
      </w:r>
      <w:r>
        <w:tab/>
        <w:t>the person publishes an advertisement for the lease of premises; and</w:t>
      </w:r>
    </w:p>
    <w:p w:rsidR="00450C28" w:rsidRDefault="00450C28">
      <w:pPr>
        <w:pStyle w:val="Apara"/>
      </w:pPr>
      <w:r>
        <w:tab/>
        <w:t>(b)</w:t>
      </w:r>
      <w:r>
        <w:tab/>
        <w:t>the advertisement includes a statement of the energy efficiency rating of the habitable part of the premises; and</w:t>
      </w:r>
    </w:p>
    <w:p w:rsidR="00450C28" w:rsidRDefault="00450C28">
      <w:pPr>
        <w:pStyle w:val="Apara"/>
        <w:keepNext/>
      </w:pPr>
      <w:r>
        <w:tab/>
        <w:t>(c)</w:t>
      </w:r>
      <w:r>
        <w:tab/>
        <w:t>the statement is false or misleading.</w:t>
      </w:r>
    </w:p>
    <w:p w:rsidR="00450C28" w:rsidRDefault="00450C28">
      <w:pPr>
        <w:pStyle w:val="Penalty"/>
        <w:keepNext/>
      </w:pPr>
      <w:r>
        <w:t>Maximum penalty:  5 penalty units.</w:t>
      </w:r>
    </w:p>
    <w:p w:rsidR="00450C28" w:rsidRDefault="00450C28">
      <w:pPr>
        <w:pStyle w:val="Amain"/>
      </w:pPr>
      <w:r>
        <w:tab/>
        <w:t>(4)</w:t>
      </w:r>
      <w:r>
        <w:tab/>
        <w:t>Subsection (3) does not apply if the person has a reasonable excuse.</w:t>
      </w:r>
    </w:p>
    <w:p w:rsidR="00450C28" w:rsidRDefault="00450C28">
      <w:pPr>
        <w:pStyle w:val="Amain"/>
      </w:pPr>
      <w:r>
        <w:tab/>
        <w:t>(5)</w:t>
      </w:r>
      <w:r>
        <w:tab/>
        <w:t>Also, subsection (3) (c) does not apply if the statement is not false or misleading in a material particular.</w:t>
      </w:r>
    </w:p>
    <w:p w:rsidR="00450C28" w:rsidRDefault="00450C28">
      <w:pPr>
        <w:pStyle w:val="Amain"/>
      </w:pPr>
      <w:r>
        <w:tab/>
        <w:t>(6)</w:t>
      </w:r>
      <w:r>
        <w:tab/>
        <w:t>An offence against this section is a strict liability offence.</w:t>
      </w:r>
    </w:p>
    <w:p w:rsidR="00450C28" w:rsidRDefault="00450C28">
      <w:pPr>
        <w:pStyle w:val="Amain"/>
      </w:pPr>
      <w:r>
        <w:tab/>
        <w:t>(7)</w:t>
      </w:r>
      <w:r>
        <w:tab/>
        <w:t>In this section:</w:t>
      </w:r>
    </w:p>
    <w:p w:rsidR="00450C28" w:rsidRDefault="00450C28">
      <w:pPr>
        <w:pStyle w:val="aDef"/>
      </w:pPr>
      <w:r>
        <w:rPr>
          <w:rStyle w:val="charBoldItals"/>
        </w:rPr>
        <w:t>existing energy efficiency rating</w:t>
      </w:r>
      <w:r>
        <w:t>, of the habitable part of premises, means the energy efficiency rating, or the most recent energy efficiency rating, prepared for the premises for the purpose of a sale or leasing of the premises.</w:t>
      </w:r>
    </w:p>
    <w:p w:rsidR="00450C28" w:rsidRDefault="00450C28">
      <w:pPr>
        <w:pStyle w:val="aDef"/>
      </w:pPr>
      <w:r>
        <w:rPr>
          <w:rStyle w:val="charBoldItals"/>
        </w:rPr>
        <w:t>publish</w:t>
      </w:r>
      <w:r>
        <w:t xml:space="preserve"> means communicate or </w:t>
      </w:r>
      <w:r w:rsidR="00F71564" w:rsidRPr="00383099">
        <w:t>distribute</w:t>
      </w:r>
      <w:r w:rsidR="00F71564">
        <w:t xml:space="preserve"> </w:t>
      </w:r>
      <w:r>
        <w:t>information in a way or to an extent that makes it available to, or likely to come to the notice of, the public or a section of the public.</w:t>
      </w:r>
    </w:p>
    <w:p w:rsidR="00414F10" w:rsidRPr="00604238" w:rsidRDefault="00414F10" w:rsidP="001403E0">
      <w:pPr>
        <w:pStyle w:val="AH5Sec"/>
      </w:pPr>
      <w:bookmarkStart w:id="33" w:name="_Toc23417840"/>
      <w:r w:rsidRPr="001403E0">
        <w:rPr>
          <w:rStyle w:val="CharSectNo"/>
        </w:rPr>
        <w:lastRenderedPageBreak/>
        <w:t>11AA</w:t>
      </w:r>
      <w:r w:rsidRPr="00604238">
        <w:tab/>
        <w:t>Certain special conditions must be advertised</w:t>
      </w:r>
      <w:bookmarkEnd w:id="33"/>
    </w:p>
    <w:p w:rsidR="00414F10" w:rsidRPr="00604238" w:rsidRDefault="00414F10" w:rsidP="001403E0">
      <w:pPr>
        <w:pStyle w:val="Amainreturn"/>
        <w:keepNext/>
      </w:pPr>
      <w:r w:rsidRPr="00604238">
        <w:t>A person commits an offence if—</w:t>
      </w:r>
    </w:p>
    <w:p w:rsidR="00414F10" w:rsidRPr="00604238" w:rsidRDefault="00414F10" w:rsidP="00414F10">
      <w:pPr>
        <w:pStyle w:val="Apara"/>
      </w:pPr>
      <w:r w:rsidRPr="00604238">
        <w:tab/>
        <w:t>(a)</w:t>
      </w:r>
      <w:r w:rsidRPr="00604238">
        <w:tab/>
        <w:t>the person publishes an advertisement for the lease of residential premises; and</w:t>
      </w:r>
    </w:p>
    <w:p w:rsidR="00414F10" w:rsidRPr="00604238" w:rsidRDefault="00414F10" w:rsidP="00414F10">
      <w:pPr>
        <w:pStyle w:val="Apara"/>
      </w:pPr>
      <w:r w:rsidRPr="00604238">
        <w:tab/>
        <w:t>(b)</w:t>
      </w:r>
      <w:r w:rsidRPr="00604238">
        <w:tab/>
        <w:t>the proposed residential tenancy agreement for the premises—</w:t>
      </w:r>
    </w:p>
    <w:p w:rsidR="00414F10" w:rsidRPr="00604238" w:rsidRDefault="00414F10" w:rsidP="00414F10">
      <w:pPr>
        <w:pStyle w:val="Asubpara"/>
      </w:pPr>
      <w:r w:rsidRPr="00604238">
        <w:tab/>
        <w:t>(i)</w:t>
      </w:r>
      <w:r w:rsidRPr="00604238">
        <w:tab/>
        <w:t>contains a term endorsed by the ACAT under section 10 (Endorsement of inconsistent tenancy terms by ACAT); or</w:t>
      </w:r>
    </w:p>
    <w:p w:rsidR="00414F10" w:rsidRPr="00604238" w:rsidRDefault="00414F10" w:rsidP="00414F10">
      <w:pPr>
        <w:pStyle w:val="Asubpara"/>
      </w:pPr>
      <w:r w:rsidRPr="00604238">
        <w:tab/>
        <w:t>(ii)</w:t>
      </w:r>
      <w:r w:rsidRPr="00604238">
        <w:tab/>
        <w:t>requires the lessor’s consent to keep an animal on the premises; and</w:t>
      </w:r>
    </w:p>
    <w:p w:rsidR="00414F10" w:rsidRPr="00604238" w:rsidRDefault="00414F10" w:rsidP="00414F10">
      <w:pPr>
        <w:pStyle w:val="Apara"/>
      </w:pPr>
      <w:r w:rsidRPr="00604238">
        <w:tab/>
        <w:t>(c)</w:t>
      </w:r>
      <w:r w:rsidRPr="00604238">
        <w:tab/>
        <w:t>the advertisement does not—</w:t>
      </w:r>
    </w:p>
    <w:p w:rsidR="00414F10" w:rsidRPr="00604238" w:rsidRDefault="00414F10" w:rsidP="00414F10">
      <w:pPr>
        <w:pStyle w:val="Asubpara"/>
      </w:pPr>
      <w:r w:rsidRPr="00604238">
        <w:tab/>
        <w:t>(i)</w:t>
      </w:r>
      <w:r w:rsidRPr="00604238">
        <w:tab/>
        <w:t>if paragraph (b) (i) applies—state that the term applies; and</w:t>
      </w:r>
    </w:p>
    <w:p w:rsidR="00414F10" w:rsidRPr="00604238" w:rsidRDefault="00414F10" w:rsidP="00414F10">
      <w:pPr>
        <w:pStyle w:val="Asubpara"/>
      </w:pPr>
      <w:r w:rsidRPr="00604238">
        <w:tab/>
        <w:t>(ii)</w:t>
      </w:r>
      <w:r w:rsidRPr="00604238">
        <w:tab/>
        <w:t>if paragraph (b) (ii) applies—</w:t>
      </w:r>
    </w:p>
    <w:p w:rsidR="00414F10" w:rsidRPr="00604238" w:rsidRDefault="00414F10" w:rsidP="00414F10">
      <w:pPr>
        <w:pStyle w:val="Asubsubpara"/>
      </w:pPr>
      <w:r w:rsidRPr="00604238">
        <w:tab/>
        <w:t>(A)</w:t>
      </w:r>
      <w:r w:rsidRPr="00604238">
        <w:tab/>
        <w:t>state that consent is required; and</w:t>
      </w:r>
    </w:p>
    <w:p w:rsidR="00414F10" w:rsidRPr="00604238" w:rsidRDefault="00414F10" w:rsidP="00414F10">
      <w:pPr>
        <w:pStyle w:val="Asubsubpara"/>
      </w:pPr>
      <w:r w:rsidRPr="00604238">
        <w:tab/>
        <w:t>(B)</w:t>
      </w:r>
      <w:r w:rsidRPr="00604238">
        <w:tab/>
        <w:t>if the lessor has prior approval from the ACAT under section 71AF to impose a condition on consent—state that a condition applies.</w:t>
      </w:r>
    </w:p>
    <w:p w:rsidR="00414F10" w:rsidRPr="00604238" w:rsidRDefault="00414F10" w:rsidP="00414F10">
      <w:pPr>
        <w:pStyle w:val="Penalty"/>
      </w:pPr>
      <w:r w:rsidRPr="00604238">
        <w:t xml:space="preserve">Maximum penalty:  5 penalty units. </w:t>
      </w:r>
    </w:p>
    <w:p w:rsidR="005955DC" w:rsidRPr="00E56DA5" w:rsidRDefault="005955DC" w:rsidP="005955DC">
      <w:pPr>
        <w:pStyle w:val="AH5Sec"/>
      </w:pPr>
      <w:bookmarkStart w:id="34" w:name="_Toc23417841"/>
      <w:r w:rsidRPr="001403E0">
        <w:rPr>
          <w:rStyle w:val="CharSectNo"/>
        </w:rPr>
        <w:t>11B</w:t>
      </w:r>
      <w:r w:rsidRPr="00E56DA5">
        <w:tab/>
        <w:t>Smoke alarms</w:t>
      </w:r>
      <w:bookmarkEnd w:id="34"/>
    </w:p>
    <w:p w:rsidR="005955DC" w:rsidRPr="00E56DA5" w:rsidRDefault="00685716" w:rsidP="003149C5">
      <w:pPr>
        <w:pStyle w:val="Amain"/>
        <w:keepNext/>
      </w:pPr>
      <w:r>
        <w:tab/>
        <w:t>(1)</w:t>
      </w:r>
      <w:r>
        <w:tab/>
      </w:r>
      <w:r w:rsidR="005955DC" w:rsidRPr="00E56DA5">
        <w:t>A lessor must not enter into a residential tenancy agreement with a tenant in relation to premises unless—</w:t>
      </w:r>
    </w:p>
    <w:p w:rsidR="005955DC" w:rsidRPr="00E56DA5" w:rsidRDefault="005955DC" w:rsidP="005955DC">
      <w:pPr>
        <w:pStyle w:val="Apara"/>
      </w:pPr>
      <w:r w:rsidRPr="00E56DA5">
        <w:tab/>
        <w:t>(a)</w:t>
      </w:r>
      <w:r w:rsidRPr="00E56DA5">
        <w:tab/>
        <w:t>smoke alarms are installed at the premises; and</w:t>
      </w:r>
    </w:p>
    <w:p w:rsidR="00595AC1" w:rsidRPr="001B6AD9" w:rsidRDefault="00595AC1" w:rsidP="00595AC1">
      <w:pPr>
        <w:pStyle w:val="Apara"/>
      </w:pPr>
      <w:r w:rsidRPr="001B6AD9">
        <w:tab/>
        <w:t>(b)</w:t>
      </w:r>
      <w:r w:rsidRPr="001B6AD9">
        <w:tab/>
        <w:t>the smoke alarms, and the installation of the smoke alarms, comply with the requirements prescribed by regulation.</w:t>
      </w:r>
    </w:p>
    <w:p w:rsidR="00595AC1" w:rsidRPr="001B6AD9" w:rsidRDefault="00595AC1" w:rsidP="00595AC1">
      <w:pPr>
        <w:pStyle w:val="aNote"/>
      </w:pPr>
      <w:r w:rsidRPr="001B6AD9">
        <w:rPr>
          <w:rStyle w:val="charItals"/>
        </w:rPr>
        <w:t>Note</w:t>
      </w:r>
      <w:r w:rsidRPr="001B6AD9">
        <w:rPr>
          <w:rStyle w:val="charItals"/>
        </w:rPr>
        <w:tab/>
      </w:r>
      <w:r w:rsidRPr="001B6AD9">
        <w:t xml:space="preserve">Other requirements may apply in relation to the installation of smoke alarms, for example, requirements under the </w:t>
      </w:r>
      <w:hyperlink r:id="rId39" w:tooltip="A2004-11" w:history="1">
        <w:r w:rsidRPr="001B6AD9">
          <w:rPr>
            <w:rStyle w:val="charCitHyperlinkItal"/>
          </w:rPr>
          <w:t>Building Act 2004</w:t>
        </w:r>
      </w:hyperlink>
      <w:r w:rsidRPr="001B6AD9">
        <w:t>.</w:t>
      </w:r>
    </w:p>
    <w:p w:rsidR="00595AC1" w:rsidRPr="001B6AD9" w:rsidRDefault="00595AC1" w:rsidP="00595AC1">
      <w:pPr>
        <w:pStyle w:val="Amain"/>
      </w:pPr>
      <w:r w:rsidRPr="001B6AD9">
        <w:tab/>
        <w:t>(2)</w:t>
      </w:r>
      <w:r w:rsidRPr="001B6AD9">
        <w:tab/>
        <w:t>A regulation made for subsection (1) may apply, adopt or incorporate a law or instrument as in force from time to time.</w:t>
      </w:r>
    </w:p>
    <w:p w:rsidR="00450C28" w:rsidRDefault="00450C28">
      <w:pPr>
        <w:pStyle w:val="AH5Sec"/>
      </w:pPr>
      <w:bookmarkStart w:id="35" w:name="_Toc23417842"/>
      <w:r w:rsidRPr="001403E0">
        <w:rPr>
          <w:rStyle w:val="CharSectNo"/>
        </w:rPr>
        <w:lastRenderedPageBreak/>
        <w:t>12</w:t>
      </w:r>
      <w:r>
        <w:rPr>
          <w:b w:val="0"/>
          <w:position w:val="10"/>
          <w:sz w:val="12"/>
        </w:rPr>
        <w:tab/>
      </w:r>
      <w:r>
        <w:t>Lessor’s obligations</w:t>
      </w:r>
      <w:bookmarkEnd w:id="35"/>
    </w:p>
    <w:p w:rsidR="00450C28" w:rsidRDefault="00450C28">
      <w:pPr>
        <w:pStyle w:val="Amain"/>
      </w:pPr>
      <w:r>
        <w:tab/>
        <w:t>(1)</w:t>
      </w:r>
      <w:r>
        <w:tab/>
        <w:t>The lessor must give the tenant a copy of the proposed residential tenancy agreement and, if they are not included in the copy of the agreement, the standard residential tenancy terms, and allow the tenant a reasonable time to consider the proposed agreement.</w:t>
      </w:r>
    </w:p>
    <w:p w:rsidR="00450C28" w:rsidRDefault="00450C28" w:rsidP="00072670">
      <w:pPr>
        <w:pStyle w:val="Amain"/>
        <w:keepLines/>
      </w:pPr>
      <w:r>
        <w:tab/>
        <w:t>(2)</w:t>
      </w:r>
      <w:r>
        <w:tab/>
        <w:t>A copy of a residential tenancy agreement provided under subsection (1) that contains a provision that is inconsistent with a standard residential tenancy term must be annotated in a way that draws the attention of the tenant to the provision and the fact that it is inconsistent with a standard residential tenancy term.</w:t>
      </w:r>
    </w:p>
    <w:p w:rsidR="00450C28" w:rsidRDefault="00450C28">
      <w:pPr>
        <w:pStyle w:val="Amain"/>
      </w:pPr>
      <w:r>
        <w:tab/>
        <w:t>(3)</w:t>
      </w:r>
      <w:r>
        <w:tab/>
        <w:t>The lessor must provide the tenant with the following information:</w:t>
      </w:r>
    </w:p>
    <w:p w:rsidR="00450C28" w:rsidRDefault="00450C28">
      <w:pPr>
        <w:pStyle w:val="Apara"/>
      </w:pPr>
      <w:r>
        <w:tab/>
        <w:t>(a)</w:t>
      </w:r>
      <w:r>
        <w:tab/>
        <w:t>the lessor’s full name;</w:t>
      </w:r>
    </w:p>
    <w:p w:rsidR="00450C28" w:rsidRDefault="00450C28">
      <w:pPr>
        <w:pStyle w:val="Apara"/>
      </w:pPr>
      <w:r>
        <w:tab/>
        <w:t>(b)</w:t>
      </w:r>
      <w:r>
        <w:tab/>
        <w:t>an address for service on the lessor and at which the lessor can be contacted by the tenant;</w:t>
      </w:r>
    </w:p>
    <w:p w:rsidR="00450C28" w:rsidRDefault="00450C28">
      <w:pPr>
        <w:pStyle w:val="Apara"/>
      </w:pPr>
      <w:r>
        <w:tab/>
        <w:t>(c)</w:t>
      </w:r>
      <w:r>
        <w:tab/>
        <w:t>for the premises that are the subject of the proposed residential tenancy agreement—</w:t>
      </w:r>
    </w:p>
    <w:p w:rsidR="00450C28" w:rsidRDefault="00450C28">
      <w:pPr>
        <w:pStyle w:val="Asubpara"/>
      </w:pPr>
      <w:r>
        <w:tab/>
        <w:t>(i)</w:t>
      </w:r>
      <w:r>
        <w:tab/>
        <w:t>a copy of an energy efficiency rating statement (if any) for the habitable part of the premises; or</w:t>
      </w:r>
    </w:p>
    <w:p w:rsidR="00450C28" w:rsidRDefault="00450C28" w:rsidP="00E40B25">
      <w:pPr>
        <w:pStyle w:val="Asubpara"/>
        <w:keepNext/>
      </w:pPr>
      <w:r>
        <w:tab/>
        <w:t>(ii)</w:t>
      </w:r>
      <w:r>
        <w:tab/>
        <w:t>a copy of a fresh energy efficiency rating statement for the habitable part of the premises if—</w:t>
      </w:r>
    </w:p>
    <w:p w:rsidR="00450C28" w:rsidRDefault="00450C28" w:rsidP="00E40B25">
      <w:pPr>
        <w:pStyle w:val="Asubsubpara"/>
        <w:keepLines/>
      </w:pPr>
      <w:r>
        <w:tab/>
        <w:t>(A)</w:t>
      </w:r>
      <w:r>
        <w:tab/>
        <w:t xml:space="preserve">building work under the </w:t>
      </w:r>
      <w:hyperlink r:id="rId40" w:tooltip="A2004-11" w:history="1">
        <w:r w:rsidR="009D74E7" w:rsidRPr="009D74E7">
          <w:rPr>
            <w:rStyle w:val="charCitHyperlinkItal"/>
          </w:rPr>
          <w:t>Building Act 2004</w:t>
        </w:r>
      </w:hyperlink>
      <w:r>
        <w:t>, section 6 has been carried out on the premises that affects the energy efficiency rating of the habitable part of the premises; and</w:t>
      </w:r>
    </w:p>
    <w:p w:rsidR="00450C28" w:rsidRDefault="00450C28">
      <w:pPr>
        <w:pStyle w:val="Asubsubpara"/>
      </w:pPr>
      <w:r>
        <w:tab/>
        <w:t>(B)</w:t>
      </w:r>
      <w:r>
        <w:tab/>
        <w:t>before the building work was carried out, an energy efficiency rating statement had been prepared for the habitable part of the premises;</w:t>
      </w:r>
    </w:p>
    <w:p w:rsidR="00450C28" w:rsidRDefault="00450C28" w:rsidP="001403E0">
      <w:pPr>
        <w:pStyle w:val="Apara"/>
        <w:keepLines/>
      </w:pPr>
      <w:r>
        <w:lastRenderedPageBreak/>
        <w:tab/>
        <w:t>(d)</w:t>
      </w:r>
      <w:r>
        <w:tab/>
        <w:t>if the premises are crisis accommodation provided by a declared crisis accommodation provider—a statement explaining that the lessor can terminate the agreement on 4 weeks notice if the lessor needs the premises to use as crisis accommodation for someone other than the tenant;</w:t>
      </w:r>
    </w:p>
    <w:p w:rsidR="00450C28" w:rsidRDefault="00450C28">
      <w:pPr>
        <w:pStyle w:val="Apara"/>
      </w:pPr>
      <w:r>
        <w:tab/>
        <w:t>(e)</w:t>
      </w:r>
      <w:r>
        <w:tab/>
        <w:t>if there is an asbestos assessment report for the premises and the lessor can obtain a copy of the report after taking reasonable steps—a copy of the report;</w:t>
      </w:r>
    </w:p>
    <w:p w:rsidR="00450C28" w:rsidRDefault="00450C28">
      <w:pPr>
        <w:pStyle w:val="Apara"/>
      </w:pPr>
      <w:r>
        <w:tab/>
        <w:t>(f)</w:t>
      </w:r>
      <w:r>
        <w:tab/>
        <w:t>if there is no asbestos assessment report for the premises or the lessor cannot obtain the asbestos assessment report for the premises after taking reasonable steps—an asbestos advice for the premises.</w:t>
      </w:r>
    </w:p>
    <w:p w:rsidR="00450C28" w:rsidRDefault="00450C28">
      <w:pPr>
        <w:pStyle w:val="Amain"/>
        <w:keepNext/>
      </w:pPr>
      <w:r>
        <w:tab/>
        <w:t>(4)</w:t>
      </w:r>
      <w:r>
        <w:tab/>
        <w:t>In this section:</w:t>
      </w:r>
    </w:p>
    <w:p w:rsidR="009B222A" w:rsidRPr="00552242" w:rsidRDefault="009B222A" w:rsidP="009B222A">
      <w:pPr>
        <w:pStyle w:val="aDef"/>
        <w:keepNext/>
      </w:pPr>
      <w:r w:rsidRPr="009D74E7">
        <w:rPr>
          <w:rStyle w:val="charBoldItals"/>
        </w:rPr>
        <w:t>asbestos advice</w:t>
      </w:r>
      <w:r w:rsidRPr="00552242">
        <w:t xml:space="preserve">—see the </w:t>
      </w:r>
      <w:hyperlink r:id="rId41" w:tooltip="A2004-7" w:history="1">
        <w:r w:rsidR="009D74E7" w:rsidRPr="009D74E7">
          <w:rPr>
            <w:rStyle w:val="charCitHyperlinkItal"/>
          </w:rPr>
          <w:t>Dangerous Substances Act 2004</w:t>
        </w:r>
      </w:hyperlink>
      <w:r w:rsidRPr="00552242">
        <w:t>, section 47J.</w:t>
      </w:r>
    </w:p>
    <w:p w:rsidR="009B222A" w:rsidRPr="00552242" w:rsidRDefault="009B222A" w:rsidP="009B222A">
      <w:pPr>
        <w:pStyle w:val="aDef"/>
      </w:pPr>
      <w:r w:rsidRPr="009D74E7">
        <w:rPr>
          <w:rStyle w:val="charBoldItals"/>
        </w:rPr>
        <w:t>asbestos assessment report</w:t>
      </w:r>
      <w:r w:rsidRPr="00552242">
        <w:t xml:space="preserve">, for premises—see the </w:t>
      </w:r>
      <w:hyperlink r:id="rId42" w:tooltip="A2004-7" w:history="1">
        <w:r w:rsidR="009D74E7" w:rsidRPr="009D74E7">
          <w:rPr>
            <w:rStyle w:val="charCitHyperlinkItal"/>
          </w:rPr>
          <w:t>Dangerous Substances Act 2004</w:t>
        </w:r>
      </w:hyperlink>
      <w:r w:rsidRPr="00552242">
        <w:t>, section 47K.</w:t>
      </w:r>
    </w:p>
    <w:p w:rsidR="00450C28" w:rsidRDefault="00450C28">
      <w:pPr>
        <w:pStyle w:val="aDef"/>
      </w:pPr>
      <w:r>
        <w:rPr>
          <w:rStyle w:val="charBoldItals"/>
        </w:rPr>
        <w:t>declared crisis accommodation provider</w:t>
      </w:r>
      <w:r>
        <w:t xml:space="preserve"> means a crisis accommodation provider declared under section 126.</w:t>
      </w:r>
    </w:p>
    <w:p w:rsidR="00450C28" w:rsidRDefault="00450C28">
      <w:pPr>
        <w:pStyle w:val="AH5Sec"/>
      </w:pPr>
      <w:bookmarkStart w:id="36" w:name="_Toc23417843"/>
      <w:r w:rsidRPr="001403E0">
        <w:rPr>
          <w:rStyle w:val="CharSectNo"/>
        </w:rPr>
        <w:t>13</w:t>
      </w:r>
      <w:r>
        <w:tab/>
        <w:t>Tenant’s obligations</w:t>
      </w:r>
      <w:bookmarkEnd w:id="36"/>
    </w:p>
    <w:p w:rsidR="00450C28" w:rsidRDefault="00450C28">
      <w:pPr>
        <w:pStyle w:val="Amainreturn"/>
      </w:pPr>
      <w:r>
        <w:t>The tenant must provide the lessor with the tenant’s full name.</w:t>
      </w:r>
    </w:p>
    <w:p w:rsidR="00450C28" w:rsidRDefault="00450C28">
      <w:pPr>
        <w:pStyle w:val="AH5Sec"/>
      </w:pPr>
      <w:bookmarkStart w:id="37" w:name="_Toc23417844"/>
      <w:r w:rsidRPr="001403E0">
        <w:rPr>
          <w:rStyle w:val="CharSectNo"/>
        </w:rPr>
        <w:t>14</w:t>
      </w:r>
      <w:r>
        <w:tab/>
        <w:t>Agent’s obligations</w:t>
      </w:r>
      <w:bookmarkEnd w:id="37"/>
    </w:p>
    <w:p w:rsidR="00450C28" w:rsidRDefault="00450C28">
      <w:pPr>
        <w:pStyle w:val="Amainreturn"/>
      </w:pPr>
      <w:r>
        <w:t>The agent of a lessor or tenant must provide the tenant or lessor, as the case requires, with the following information:</w:t>
      </w:r>
    </w:p>
    <w:p w:rsidR="00450C28" w:rsidRDefault="00450C28">
      <w:pPr>
        <w:pStyle w:val="Apara"/>
      </w:pPr>
      <w:r>
        <w:tab/>
        <w:t>(a)</w:t>
      </w:r>
      <w:r>
        <w:tab/>
        <w:t>the agent’s full name;</w:t>
      </w:r>
    </w:p>
    <w:p w:rsidR="00450C28" w:rsidRDefault="00450C28">
      <w:pPr>
        <w:pStyle w:val="Apara"/>
      </w:pPr>
      <w:r>
        <w:tab/>
        <w:t>(b)</w:t>
      </w:r>
      <w:r>
        <w:tab/>
        <w:t>the fact that he or she is the agent of the lessor or tenant;</w:t>
      </w:r>
    </w:p>
    <w:p w:rsidR="00450C28" w:rsidRDefault="00450C28">
      <w:pPr>
        <w:pStyle w:val="Apara"/>
      </w:pPr>
      <w:r>
        <w:lastRenderedPageBreak/>
        <w:tab/>
        <w:t>(c)</w:t>
      </w:r>
      <w:r>
        <w:tab/>
        <w:t>if the agent is a company—the name of a company employee who can be contacted in relation to the residential tenancy agreement.</w:t>
      </w:r>
    </w:p>
    <w:p w:rsidR="00450C28" w:rsidRPr="001403E0" w:rsidRDefault="00450C28">
      <w:pPr>
        <w:pStyle w:val="AH3Div"/>
      </w:pPr>
      <w:bookmarkStart w:id="38" w:name="_Toc23417845"/>
      <w:r w:rsidRPr="001403E0">
        <w:rPr>
          <w:rStyle w:val="CharDivNo"/>
        </w:rPr>
        <w:t>Division 2.3</w:t>
      </w:r>
      <w:r>
        <w:tab/>
      </w:r>
      <w:r w:rsidRPr="001403E0">
        <w:rPr>
          <w:rStyle w:val="CharDivText"/>
        </w:rPr>
        <w:t>Consideration</w:t>
      </w:r>
      <w:bookmarkEnd w:id="38"/>
    </w:p>
    <w:p w:rsidR="00450C28" w:rsidRDefault="00450C28">
      <w:pPr>
        <w:pStyle w:val="AH5Sec"/>
      </w:pPr>
      <w:bookmarkStart w:id="39" w:name="_Toc23417846"/>
      <w:r w:rsidRPr="001403E0">
        <w:rPr>
          <w:rStyle w:val="CharSectNo"/>
        </w:rPr>
        <w:t>15</w:t>
      </w:r>
      <w:r>
        <w:tab/>
        <w:t>Rent or a bond only</w:t>
      </w:r>
      <w:bookmarkEnd w:id="39"/>
    </w:p>
    <w:p w:rsidR="00450C28" w:rsidRDefault="00450C28" w:rsidP="009E09CD">
      <w:pPr>
        <w:pStyle w:val="Amain"/>
        <w:keepNext/>
      </w:pPr>
      <w:r>
        <w:tab/>
        <w:t>(1)</w:t>
      </w:r>
      <w:r>
        <w:tab/>
        <w:t>In consideration for giving a tenant a right to occupy premises, a lessor may only require or accept rent or a bond.</w:t>
      </w:r>
    </w:p>
    <w:p w:rsidR="00450C28" w:rsidRDefault="00450C28" w:rsidP="00AC4E9F">
      <w:pPr>
        <w:pStyle w:val="Amain"/>
        <w:keepNext/>
      </w:pPr>
      <w:r>
        <w:tab/>
        <w:t>(2)</w:t>
      </w:r>
      <w:r>
        <w:tab/>
        <w:t>A lessor must not require or accept any consideration for—</w:t>
      </w:r>
    </w:p>
    <w:p w:rsidR="00450C28" w:rsidRDefault="00450C28">
      <w:pPr>
        <w:pStyle w:val="Apara"/>
      </w:pPr>
      <w:r>
        <w:tab/>
        <w:t>(a)</w:t>
      </w:r>
      <w:r>
        <w:tab/>
        <w:t>agreeing to enter into, extend or renew a residential tenancy agreement; or</w:t>
      </w:r>
    </w:p>
    <w:p w:rsidR="00450C28" w:rsidRDefault="00450C28">
      <w:pPr>
        <w:pStyle w:val="Apara"/>
      </w:pPr>
      <w:r>
        <w:tab/>
        <w:t>(b)</w:t>
      </w:r>
      <w:r>
        <w:tab/>
        <w:t>agreeing to the assignment or transfer of a tenant’s rights and obligations under a residential tenancy agreement; or</w:t>
      </w:r>
    </w:p>
    <w:p w:rsidR="00450C28" w:rsidRDefault="00450C28">
      <w:pPr>
        <w:pStyle w:val="Apara"/>
      </w:pPr>
      <w:r>
        <w:tab/>
        <w:t>(c)</w:t>
      </w:r>
      <w:r>
        <w:tab/>
        <w:t>consenting to a tenant entering into, extending or renewing a residential tenancy agreement with a subtenant; or</w:t>
      </w:r>
    </w:p>
    <w:p w:rsidR="00450C28" w:rsidRDefault="00450C28">
      <w:pPr>
        <w:pStyle w:val="Apara"/>
      </w:pPr>
      <w:r>
        <w:tab/>
        <w:t>(d)</w:t>
      </w:r>
      <w:r>
        <w:tab/>
        <w:t>vacating premises; or</w:t>
      </w:r>
    </w:p>
    <w:p w:rsidR="00450C28" w:rsidRDefault="00450C28">
      <w:pPr>
        <w:pStyle w:val="Apara"/>
      </w:pPr>
      <w:r>
        <w:tab/>
        <w:t>(e)</w:t>
      </w:r>
      <w:r>
        <w:tab/>
        <w:t>giving a tenant a key to premises; or</w:t>
      </w:r>
    </w:p>
    <w:p w:rsidR="00450C28" w:rsidRDefault="00450C28">
      <w:pPr>
        <w:pStyle w:val="Apara"/>
      </w:pPr>
      <w:r>
        <w:tab/>
        <w:t>(f)</w:t>
      </w:r>
      <w:r>
        <w:tab/>
        <w:t>informing a tenant about the availability of premises for occupation under a residential tenancy agreement.</w:t>
      </w:r>
    </w:p>
    <w:p w:rsidR="00450C28" w:rsidRDefault="00450C28">
      <w:pPr>
        <w:pStyle w:val="Amain"/>
      </w:pPr>
      <w:r>
        <w:tab/>
        <w:t>(3)</w:t>
      </w:r>
      <w:r>
        <w:tab/>
        <w:t>For subsection (1), a requirement that a tenant make alterations, improvements or repairs to the premises is taken to be consideration.</w:t>
      </w:r>
    </w:p>
    <w:p w:rsidR="008B2217" w:rsidRPr="00582D10" w:rsidRDefault="008B2217" w:rsidP="008B2217">
      <w:pPr>
        <w:pStyle w:val="Amain"/>
      </w:pPr>
      <w:r w:rsidRPr="00582D10">
        <w:tab/>
        <w:t>(4)</w:t>
      </w:r>
      <w:r w:rsidRPr="00582D10">
        <w:tab/>
        <w:t xml:space="preserve">In subsection (1), a reference to a </w:t>
      </w:r>
      <w:r w:rsidRPr="00582D10">
        <w:rPr>
          <w:rStyle w:val="charBoldItals"/>
        </w:rPr>
        <w:t>bond</w:t>
      </w:r>
      <w:r w:rsidRPr="00582D10">
        <w:t>—</w:t>
      </w:r>
    </w:p>
    <w:p w:rsidR="008B2217" w:rsidRPr="00582D10" w:rsidRDefault="008B2217" w:rsidP="008B2217">
      <w:pPr>
        <w:pStyle w:val="Apara"/>
      </w:pPr>
      <w:r w:rsidRPr="00582D10">
        <w:tab/>
        <w:t>(a)</w:t>
      </w:r>
      <w:r w:rsidRPr="00582D10">
        <w:tab/>
        <w:t>includes a reference to a guarantee or an indemnity under section 16; but</w:t>
      </w:r>
    </w:p>
    <w:p w:rsidR="00407A8D" w:rsidRPr="00582D10" w:rsidRDefault="00407A8D" w:rsidP="00407A8D">
      <w:pPr>
        <w:pStyle w:val="Apara"/>
      </w:pPr>
      <w:r w:rsidRPr="00582D10">
        <w:tab/>
        <w:t>(b)</w:t>
      </w:r>
      <w:r w:rsidRPr="00582D10">
        <w:tab/>
        <w:t>if the guarantee or indemnity is a commercial guarantee—only includes a commercial guarantee that is consistent with a registered standard guarantee contract.</w:t>
      </w:r>
    </w:p>
    <w:p w:rsidR="00450C28" w:rsidRDefault="00450C28">
      <w:pPr>
        <w:pStyle w:val="Amain"/>
      </w:pPr>
      <w:r>
        <w:lastRenderedPageBreak/>
        <w:tab/>
        <w:t>(5)</w:t>
      </w:r>
      <w:r>
        <w:tab/>
        <w:t xml:space="preserve">This Act does not prevent the housing commissioner from requiring a tenant to agree to pay an outstanding amount owed by the tenant to the housing commissioner in relation to a previous tenancy in consideration for giving the tenant a right to occupy premises if the </w:t>
      </w:r>
      <w:r w:rsidR="009026B3">
        <w:t>ACAT</w:t>
      </w:r>
      <w:r>
        <w:t xml:space="preserve"> has, under section 10, endorsed the term of the residential tenancy agreement requiring the payment.</w:t>
      </w:r>
    </w:p>
    <w:p w:rsidR="00450C28" w:rsidRDefault="00450C28" w:rsidP="00AC4E9F">
      <w:pPr>
        <w:pStyle w:val="Amain"/>
        <w:keepNext/>
      </w:pPr>
      <w:r>
        <w:tab/>
        <w:t>(6)</w:t>
      </w:r>
      <w:r>
        <w:tab/>
        <w:t>The inclusion in a residential tenancy agreement of a term requiring payment of an outstanding amount owed by the tenant to the housing commissioner does not prevent—</w:t>
      </w:r>
    </w:p>
    <w:p w:rsidR="00450C28" w:rsidRDefault="00450C28">
      <w:pPr>
        <w:pStyle w:val="Apara"/>
      </w:pPr>
      <w:r>
        <w:tab/>
        <w:t>(a)</w:t>
      </w:r>
      <w:r>
        <w:tab/>
        <w:t>the commissioner and the tenant agreeing to the tenant repaying the outstanding amount over a period of time longer than the period set out in the term; or</w:t>
      </w:r>
    </w:p>
    <w:p w:rsidR="00450C28" w:rsidRDefault="00450C28">
      <w:pPr>
        <w:pStyle w:val="Apara"/>
      </w:pPr>
      <w:r>
        <w:tab/>
        <w:t>(b)</w:t>
      </w:r>
      <w:r>
        <w:tab/>
        <w:t>the commissioner from taking action against the tenant in relation to the outstanding amount.</w:t>
      </w:r>
    </w:p>
    <w:p w:rsidR="002154C4" w:rsidRPr="00582D10" w:rsidRDefault="002154C4" w:rsidP="002154C4">
      <w:pPr>
        <w:pStyle w:val="Amain"/>
      </w:pPr>
      <w:r w:rsidRPr="00582D10">
        <w:tab/>
        <w:t>(7)</w:t>
      </w:r>
      <w:r w:rsidRPr="00582D10">
        <w:tab/>
        <w:t>In this section:</w:t>
      </w:r>
    </w:p>
    <w:p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rsidR="00450C28" w:rsidRDefault="00450C28">
      <w:pPr>
        <w:pStyle w:val="AH5Sec"/>
      </w:pPr>
      <w:bookmarkStart w:id="40" w:name="_Toc23417847"/>
      <w:r w:rsidRPr="001403E0">
        <w:rPr>
          <w:rStyle w:val="CharSectNo"/>
        </w:rPr>
        <w:t>16</w:t>
      </w:r>
      <w:r>
        <w:tab/>
        <w:t>Alternative to a bond—guarantee or indemnity</w:t>
      </w:r>
      <w:bookmarkEnd w:id="40"/>
    </w:p>
    <w:p w:rsidR="00450C28" w:rsidRDefault="00450C28" w:rsidP="005B0D03">
      <w:pPr>
        <w:pStyle w:val="Amain"/>
        <w:keepLines/>
      </w:pPr>
      <w:r>
        <w:tab/>
        <w:t>(1)</w:t>
      </w:r>
      <w:r>
        <w:tab/>
        <w:t>Subject to subsection (2), in addition to or in place of a bond, a lessor may accept either a guarantee or an indemnity for the performance of a tenant’s obligations under a residential tenancy agreement.</w:t>
      </w:r>
    </w:p>
    <w:p w:rsidR="002154C4" w:rsidRPr="00582D10" w:rsidRDefault="002154C4" w:rsidP="002154C4">
      <w:pPr>
        <w:pStyle w:val="Amain"/>
      </w:pPr>
      <w:r w:rsidRPr="00582D10">
        <w:tab/>
        <w:t>(2)</w:t>
      </w:r>
      <w:r w:rsidRPr="00582D10">
        <w:tab/>
        <w:t>A guarantee or an indemnity under subsection (1) is only enforceable against the guarantor or indemnifier—</w:t>
      </w:r>
    </w:p>
    <w:p w:rsidR="002154C4" w:rsidRPr="00582D10" w:rsidRDefault="002154C4" w:rsidP="002154C4">
      <w:pPr>
        <w:pStyle w:val="Apara"/>
      </w:pPr>
      <w:r w:rsidRPr="00582D10">
        <w:tab/>
        <w:t>(a)</w:t>
      </w:r>
      <w:r w:rsidRPr="00582D10">
        <w:tab/>
        <w:t>if it is in addition to a bond—to the extent of the difference between the maximum amount that would have been payable by the tenant as a bond and the amount that is payable by the tenant as a bond; or</w:t>
      </w:r>
    </w:p>
    <w:p w:rsidR="002154C4" w:rsidRPr="00582D10" w:rsidRDefault="002154C4" w:rsidP="002154C4">
      <w:pPr>
        <w:pStyle w:val="Apara"/>
      </w:pPr>
      <w:r w:rsidRPr="00582D10">
        <w:tab/>
        <w:t>(b)</w:t>
      </w:r>
      <w:r w:rsidRPr="00582D10">
        <w:tab/>
        <w:t>if it is in place of a bond—to the extent of the maximum amount that would have been payable by the tenant as a bond.</w:t>
      </w:r>
    </w:p>
    <w:p w:rsidR="002154C4" w:rsidRPr="00582D10" w:rsidRDefault="002154C4" w:rsidP="002154C4">
      <w:pPr>
        <w:pStyle w:val="Amain"/>
      </w:pPr>
      <w:r w:rsidRPr="00582D10">
        <w:lastRenderedPageBreak/>
        <w:tab/>
        <w:t>(3)</w:t>
      </w:r>
      <w:r w:rsidRPr="00582D10">
        <w:tab/>
        <w:t>A term of a commercial guarantee, in relation to a residential tenancy agreement, that is inconsistent with, or is in addition to, a registered standard guarantee contract is void.</w:t>
      </w:r>
    </w:p>
    <w:p w:rsidR="002154C4" w:rsidRPr="00582D10" w:rsidRDefault="002154C4" w:rsidP="002154C4">
      <w:pPr>
        <w:pStyle w:val="Amain"/>
      </w:pPr>
      <w:r w:rsidRPr="00582D10">
        <w:tab/>
        <w:t>(4)</w:t>
      </w:r>
      <w:r w:rsidRPr="00582D10">
        <w:tab/>
        <w:t>If a regulation requires a commercial guarantee to include a term in the contract, the guarantee is taken to include the term.</w:t>
      </w:r>
    </w:p>
    <w:p w:rsidR="002154C4" w:rsidRPr="00582D10" w:rsidRDefault="002154C4" w:rsidP="002154C4">
      <w:pPr>
        <w:pStyle w:val="Amain"/>
      </w:pPr>
      <w:r w:rsidRPr="00582D10">
        <w:tab/>
        <w:t>(5)</w:t>
      </w:r>
      <w:r w:rsidRPr="00582D10">
        <w:tab/>
        <w:t>If a regulation requires a matter to be excluded from a commercial guarantee, the guarantee is void to the extent that it includes the matter.</w:t>
      </w:r>
    </w:p>
    <w:p w:rsidR="002154C4" w:rsidRPr="00582D10" w:rsidRDefault="002154C4" w:rsidP="002154C4">
      <w:pPr>
        <w:pStyle w:val="Amain"/>
      </w:pPr>
      <w:r w:rsidRPr="00582D10">
        <w:tab/>
        <w:t>(6)</w:t>
      </w:r>
      <w:r w:rsidRPr="00582D10">
        <w:tab/>
        <w:t>In this section:</w:t>
      </w:r>
    </w:p>
    <w:p w:rsidR="002154C4" w:rsidRPr="00582D10" w:rsidRDefault="002154C4" w:rsidP="002154C4">
      <w:pPr>
        <w:pStyle w:val="aDef"/>
      </w:pPr>
      <w:r w:rsidRPr="00582D10">
        <w:rPr>
          <w:rStyle w:val="charBoldItals"/>
        </w:rPr>
        <w:t>registered standard guarantee contract</w:t>
      </w:r>
      <w:r w:rsidRPr="00582D10">
        <w:t xml:space="preserve"> means a standard guarantee contract registered under section 104.</w:t>
      </w:r>
    </w:p>
    <w:p w:rsidR="00450C28" w:rsidRDefault="00450C28">
      <w:pPr>
        <w:pStyle w:val="AH5Sec"/>
      </w:pPr>
      <w:bookmarkStart w:id="41" w:name="_Toc23417848"/>
      <w:r w:rsidRPr="001403E0">
        <w:rPr>
          <w:rStyle w:val="CharSectNo"/>
        </w:rPr>
        <w:t>18</w:t>
      </w:r>
      <w:r>
        <w:tab/>
        <w:t>Holding deposits</w:t>
      </w:r>
      <w:bookmarkEnd w:id="41"/>
    </w:p>
    <w:p w:rsidR="00450C28" w:rsidRDefault="00450C28">
      <w:pPr>
        <w:pStyle w:val="Amain"/>
      </w:pPr>
      <w:r>
        <w:tab/>
        <w:t>(1)</w:t>
      </w:r>
      <w:r>
        <w:tab/>
        <w:t>A lessor must not require or accept a holding deposit.</w:t>
      </w:r>
    </w:p>
    <w:p w:rsidR="00450C28" w:rsidRDefault="00450C28" w:rsidP="005B0D03">
      <w:pPr>
        <w:pStyle w:val="Amain"/>
        <w:keepLines/>
      </w:pPr>
      <w:r>
        <w:tab/>
        <w:t>(2)</w:t>
      </w:r>
      <w:r>
        <w:tab/>
        <w:t>An agreement to pay a holding deposit is void, and any amount paid under an agreement to pay a holding deposit is recoverable as a debt owing by the person to whom the amount was paid to the person who paid the amount.</w:t>
      </w:r>
    </w:p>
    <w:p w:rsidR="00450C28" w:rsidRDefault="00450C28">
      <w:pPr>
        <w:pStyle w:val="Amain"/>
        <w:keepNext/>
      </w:pPr>
      <w:r>
        <w:tab/>
        <w:t>(3)</w:t>
      </w:r>
      <w:r>
        <w:tab/>
        <w:t>In this section:</w:t>
      </w:r>
    </w:p>
    <w:p w:rsidR="00450C28" w:rsidRDefault="00450C28" w:rsidP="003149C5">
      <w:pPr>
        <w:pStyle w:val="aDef"/>
        <w:keepLines/>
      </w:pPr>
      <w:r>
        <w:rPr>
          <w:rStyle w:val="charBoldItals"/>
        </w:rPr>
        <w:t>holding deposit</w:t>
      </w:r>
      <w:r>
        <w:t xml:space="preserve"> means an amount paid or payable by a tenant to a lessor in consideration for the lessor not entering into a residential tenancy agreement with a third party in relation to premises pending the tenant entering into a residential tenancy agreement with the lessor in relation to the premises.</w:t>
      </w:r>
    </w:p>
    <w:p w:rsidR="00450C28" w:rsidRPr="001403E0" w:rsidRDefault="00450C28">
      <w:pPr>
        <w:pStyle w:val="AH3Div"/>
      </w:pPr>
      <w:bookmarkStart w:id="42" w:name="_Toc23417849"/>
      <w:r w:rsidRPr="001403E0">
        <w:rPr>
          <w:rStyle w:val="CharDivNo"/>
        </w:rPr>
        <w:lastRenderedPageBreak/>
        <w:t>Division 2.4</w:t>
      </w:r>
      <w:r>
        <w:tab/>
      </w:r>
      <w:r w:rsidRPr="001403E0">
        <w:rPr>
          <w:rStyle w:val="CharDivText"/>
        </w:rPr>
        <w:t>Lessor’s obligations on signing agreement</w:t>
      </w:r>
      <w:bookmarkEnd w:id="42"/>
    </w:p>
    <w:p w:rsidR="00450C28" w:rsidRDefault="00450C28">
      <w:pPr>
        <w:pStyle w:val="AH5Sec"/>
      </w:pPr>
      <w:bookmarkStart w:id="43" w:name="_Toc23417850"/>
      <w:r w:rsidRPr="001403E0">
        <w:rPr>
          <w:rStyle w:val="CharSectNo"/>
        </w:rPr>
        <w:t>19</w:t>
      </w:r>
      <w:r>
        <w:tab/>
        <w:t>Copy of agreement to be given to tenant</w:t>
      </w:r>
      <w:bookmarkEnd w:id="43"/>
    </w:p>
    <w:p w:rsidR="00450C28" w:rsidRDefault="00450C28">
      <w:pPr>
        <w:pStyle w:val="Amain"/>
      </w:pPr>
      <w:r>
        <w:tab/>
        <w:t>(1)</w:t>
      </w:r>
      <w:r>
        <w:tab/>
        <w:t>After a residential tenancy agreement has been signed by both parties to the agreement, the lessor must give the tenant a copy of the signed agreement.</w:t>
      </w:r>
    </w:p>
    <w:p w:rsidR="00450C28" w:rsidRDefault="00450C28">
      <w:pPr>
        <w:pStyle w:val="Amain"/>
      </w:pPr>
      <w:r>
        <w:tab/>
        <w:t>(2)</w:t>
      </w:r>
      <w:r>
        <w:tab/>
        <w:t>A lessor is taken to have complied with subsection (1) only if the lessor gives the copy to the tenant within 3 weeks after the lessor receives the agreement signed by the tenant.</w:t>
      </w:r>
    </w:p>
    <w:p w:rsidR="00450C28" w:rsidRDefault="00450C28">
      <w:pPr>
        <w:pStyle w:val="PageBreak"/>
      </w:pPr>
      <w:r>
        <w:br w:type="page"/>
      </w:r>
    </w:p>
    <w:p w:rsidR="00450C28" w:rsidRPr="001403E0" w:rsidRDefault="00450C28">
      <w:pPr>
        <w:pStyle w:val="AH2Part"/>
      </w:pPr>
      <w:bookmarkStart w:id="44" w:name="_Toc23417851"/>
      <w:r w:rsidRPr="001403E0">
        <w:rPr>
          <w:rStyle w:val="CharPartNo"/>
        </w:rPr>
        <w:lastRenderedPageBreak/>
        <w:t>Part 3</w:t>
      </w:r>
      <w:r>
        <w:tab/>
      </w:r>
      <w:r w:rsidRPr="001403E0">
        <w:rPr>
          <w:rStyle w:val="CharPartText"/>
        </w:rPr>
        <w:t>Bonds</w:t>
      </w:r>
      <w:bookmarkEnd w:id="44"/>
    </w:p>
    <w:p w:rsidR="00450C28" w:rsidRPr="001403E0" w:rsidRDefault="00450C28">
      <w:pPr>
        <w:pStyle w:val="AH3Div"/>
      </w:pPr>
      <w:bookmarkStart w:id="45" w:name="_Toc23417852"/>
      <w:r w:rsidRPr="001403E0">
        <w:rPr>
          <w:rStyle w:val="CharDivNo"/>
        </w:rPr>
        <w:t>Division 3.1</w:t>
      </w:r>
      <w:r>
        <w:tab/>
      </w:r>
      <w:r w:rsidRPr="001403E0">
        <w:rPr>
          <w:rStyle w:val="CharDivText"/>
        </w:rPr>
        <w:t>Payment of bonds</w:t>
      </w:r>
      <w:bookmarkEnd w:id="45"/>
    </w:p>
    <w:p w:rsidR="00450C28" w:rsidRDefault="00450C28">
      <w:pPr>
        <w:pStyle w:val="AH5Sec"/>
      </w:pPr>
      <w:bookmarkStart w:id="46" w:name="_Toc23417853"/>
      <w:r w:rsidRPr="001403E0">
        <w:rPr>
          <w:rStyle w:val="CharSectNo"/>
        </w:rPr>
        <w:t>20</w:t>
      </w:r>
      <w:r>
        <w:tab/>
        <w:t>Maximum amount payable</w:t>
      </w:r>
      <w:bookmarkEnd w:id="46"/>
    </w:p>
    <w:p w:rsidR="00450C28" w:rsidRDefault="00450C28">
      <w:pPr>
        <w:pStyle w:val="Amainreturn"/>
      </w:pPr>
      <w:r>
        <w:t>A lessor may only require or accept as a bond an amount of not more than the first 4 weeks of rent payable under the residential tenancy agreement.</w:t>
      </w:r>
    </w:p>
    <w:p w:rsidR="00450C28" w:rsidRDefault="00450C28">
      <w:pPr>
        <w:pStyle w:val="AH5Sec"/>
      </w:pPr>
      <w:bookmarkStart w:id="47" w:name="_Toc23417854"/>
      <w:r w:rsidRPr="001403E0">
        <w:rPr>
          <w:rStyle w:val="CharSectNo"/>
        </w:rPr>
        <w:t>21</w:t>
      </w:r>
      <w:r>
        <w:tab/>
        <w:t>Only 1 bond per residential tenancy agreement</w:t>
      </w:r>
      <w:bookmarkEnd w:id="47"/>
    </w:p>
    <w:p w:rsidR="00450C28" w:rsidRDefault="00450C28">
      <w:pPr>
        <w:pStyle w:val="Amainreturn"/>
      </w:pPr>
      <w:r>
        <w:t>A lessor may only require or accept 1 bond in relation to a residential tenancy agreement.</w:t>
      </w:r>
    </w:p>
    <w:p w:rsidR="00450C28" w:rsidRDefault="00450C28">
      <w:pPr>
        <w:pStyle w:val="AH5Sec"/>
      </w:pPr>
      <w:bookmarkStart w:id="48" w:name="_Toc23417855"/>
      <w:r w:rsidRPr="001403E0">
        <w:rPr>
          <w:rStyle w:val="CharSectNo"/>
        </w:rPr>
        <w:t>22</w:t>
      </w:r>
      <w:r>
        <w:tab/>
        <w:t>Successive residential tenancy agreements</w:t>
      </w:r>
      <w:bookmarkEnd w:id="48"/>
    </w:p>
    <w:p w:rsidR="00450C28" w:rsidRDefault="00450C28">
      <w:pPr>
        <w:pStyle w:val="Amainreturn"/>
      </w:pPr>
      <w:r>
        <w:t>If—</w:t>
      </w:r>
    </w:p>
    <w:p w:rsidR="00450C28" w:rsidRDefault="00450C28">
      <w:pPr>
        <w:pStyle w:val="Apara"/>
      </w:pPr>
      <w:r>
        <w:tab/>
        <w:t>(a)</w:t>
      </w:r>
      <w:r>
        <w:tab/>
        <w:t xml:space="preserve">a bond is being held in relation to a residential tenancy agreement that terminates or is terminated (the </w:t>
      </w:r>
      <w:r>
        <w:rPr>
          <w:rStyle w:val="charBoldItals"/>
        </w:rPr>
        <w:t>first agreement</w:t>
      </w:r>
      <w:r>
        <w:t>); and</w:t>
      </w:r>
    </w:p>
    <w:p w:rsidR="00450C28" w:rsidRDefault="00450C28">
      <w:pPr>
        <w:pStyle w:val="Apara"/>
      </w:pPr>
      <w:r>
        <w:tab/>
        <w:t>(b)</w:t>
      </w:r>
      <w:r>
        <w:tab/>
        <w:t xml:space="preserve">1 or more of the tenants under the first agreement continue to occupy the premises under a second successive residential tenancy agreement (the </w:t>
      </w:r>
      <w:r>
        <w:rPr>
          <w:rStyle w:val="charBoldItals"/>
        </w:rPr>
        <w:t>second agreement</w:t>
      </w:r>
      <w:r>
        <w:t>);</w:t>
      </w:r>
    </w:p>
    <w:p w:rsidR="00450C28" w:rsidRDefault="00450C28">
      <w:pPr>
        <w:pStyle w:val="Amainreturn"/>
      </w:pPr>
      <w:r>
        <w:t xml:space="preserve">the lessor must not require or accept a bond in relation to the second agreement unless the bond in relation to the first agreement is the subject of an application for release under </w:t>
      </w:r>
      <w:r w:rsidR="00E742D8" w:rsidRPr="00E56DA5">
        <w:t>division 3.4 (Release of bond money)</w:t>
      </w:r>
      <w:r>
        <w:t>.</w:t>
      </w:r>
    </w:p>
    <w:p w:rsidR="00450C28" w:rsidRPr="001403E0" w:rsidRDefault="00450C28">
      <w:pPr>
        <w:pStyle w:val="AH3Div"/>
      </w:pPr>
      <w:bookmarkStart w:id="49" w:name="_Toc23417856"/>
      <w:r w:rsidRPr="001403E0">
        <w:rPr>
          <w:rStyle w:val="CharDivNo"/>
        </w:rPr>
        <w:lastRenderedPageBreak/>
        <w:t>Division 3.2</w:t>
      </w:r>
      <w:r>
        <w:tab/>
      </w:r>
      <w:r w:rsidRPr="001403E0">
        <w:rPr>
          <w:rStyle w:val="CharDivText"/>
        </w:rPr>
        <w:t>Depositing bond</w:t>
      </w:r>
      <w:bookmarkEnd w:id="49"/>
    </w:p>
    <w:p w:rsidR="00450C28" w:rsidRDefault="00450C28">
      <w:pPr>
        <w:pStyle w:val="AH5Sec"/>
      </w:pPr>
      <w:bookmarkStart w:id="50" w:name="_Toc23417857"/>
      <w:r w:rsidRPr="001403E0">
        <w:rPr>
          <w:rStyle w:val="CharSectNo"/>
        </w:rPr>
        <w:t>23</w:t>
      </w:r>
      <w:r>
        <w:tab/>
        <w:t>Deposit of bond by lessor</w:t>
      </w:r>
      <w:bookmarkEnd w:id="50"/>
    </w:p>
    <w:p w:rsidR="00450C28" w:rsidRDefault="00450C28" w:rsidP="00E40B25">
      <w:pPr>
        <w:pStyle w:val="Amain"/>
        <w:keepNext/>
      </w:pPr>
      <w:r>
        <w:tab/>
        <w:t>(1)</w:t>
      </w:r>
      <w:r>
        <w:tab/>
        <w:t>The tenant must pay the bond to the lessor.</w:t>
      </w:r>
    </w:p>
    <w:p w:rsidR="00450C28" w:rsidRDefault="00450C28">
      <w:pPr>
        <w:pStyle w:val="Amain"/>
      </w:pPr>
      <w:r>
        <w:tab/>
        <w:t>(2)</w:t>
      </w:r>
      <w:r>
        <w:tab/>
        <w:t>Subsection (1) does not apply if the lessor and tenant agree that the tenant will deposit the bond with the Territory.</w:t>
      </w:r>
    </w:p>
    <w:p w:rsidR="00450C28" w:rsidRDefault="00450C28">
      <w:pPr>
        <w:pStyle w:val="Amain"/>
      </w:pPr>
      <w:r>
        <w:tab/>
        <w:t>(3)</w:t>
      </w:r>
      <w:r>
        <w:tab/>
        <w:t>If the tenant pays the bond to the lessor and not to the lessor’s agent, the lessor must, before the prescribed period ends, deposit with the Territory—</w:t>
      </w:r>
    </w:p>
    <w:p w:rsidR="00450C28" w:rsidRDefault="00450C28">
      <w:pPr>
        <w:pStyle w:val="Apara"/>
      </w:pPr>
      <w:r>
        <w:tab/>
        <w:t>(a)</w:t>
      </w:r>
      <w:r>
        <w:tab/>
        <w:t>the amount of the bond; and</w:t>
      </w:r>
    </w:p>
    <w:p w:rsidR="00450C28" w:rsidRDefault="00450C28">
      <w:pPr>
        <w:pStyle w:val="Apara"/>
        <w:keepNext/>
      </w:pPr>
      <w:r>
        <w:tab/>
        <w:t>(b)</w:t>
      </w:r>
      <w:r>
        <w:tab/>
        <w:t>a notice in accordance with section 25.</w:t>
      </w:r>
    </w:p>
    <w:p w:rsidR="00450C28" w:rsidRDefault="00450C28">
      <w:pPr>
        <w:pStyle w:val="Penalty"/>
        <w:keepNext/>
      </w:pPr>
      <w:r>
        <w:t>Maximum penalty:  20 penalty units.</w:t>
      </w:r>
    </w:p>
    <w:p w:rsidR="00450C28" w:rsidRDefault="00450C28">
      <w:pPr>
        <w:pStyle w:val="Amain"/>
      </w:pPr>
      <w:r>
        <w:tab/>
        <w:t>(4)</w:t>
      </w:r>
      <w:r>
        <w:tab/>
        <w:t>If the tenant pays the bond to the lessor’s agent, the agent must, before the prescribed period ends, deposit with the Territory—</w:t>
      </w:r>
    </w:p>
    <w:p w:rsidR="00450C28" w:rsidRDefault="00450C28">
      <w:pPr>
        <w:pStyle w:val="Apara"/>
      </w:pPr>
      <w:r>
        <w:tab/>
        <w:t>(a)</w:t>
      </w:r>
      <w:r>
        <w:tab/>
        <w:t>the amount of the bond; and</w:t>
      </w:r>
    </w:p>
    <w:p w:rsidR="00450C28" w:rsidRDefault="00450C28">
      <w:pPr>
        <w:pStyle w:val="Apara"/>
        <w:keepNext/>
      </w:pPr>
      <w:r>
        <w:tab/>
        <w:t>(b)</w:t>
      </w:r>
      <w:r>
        <w:tab/>
        <w:t>a notice in accordance with section 25.</w:t>
      </w:r>
    </w:p>
    <w:p w:rsidR="00450C28" w:rsidRDefault="00450C28">
      <w:pPr>
        <w:pStyle w:val="Penalty"/>
        <w:keepNext/>
      </w:pPr>
      <w:r>
        <w:t>Maximum penalty:  20 penalty units.</w:t>
      </w:r>
    </w:p>
    <w:p w:rsidR="00450C28" w:rsidRDefault="00450C28">
      <w:pPr>
        <w:pStyle w:val="Amain"/>
      </w:pPr>
      <w:r>
        <w:tab/>
        <w:t>(5)</w:t>
      </w:r>
      <w:r>
        <w:tab/>
        <w:t>An offence against this section is a strict liability offence.</w:t>
      </w:r>
    </w:p>
    <w:p w:rsidR="00450C28" w:rsidRDefault="00450C28">
      <w:pPr>
        <w:pStyle w:val="Amain"/>
      </w:pPr>
      <w:r>
        <w:tab/>
        <w:t>(6)</w:t>
      </w:r>
      <w:r>
        <w:tab/>
        <w:t>In this section:</w:t>
      </w:r>
    </w:p>
    <w:p w:rsidR="00450C28" w:rsidRDefault="00450C28">
      <w:pPr>
        <w:pStyle w:val="aDef"/>
        <w:keepNext/>
      </w:pPr>
      <w:r>
        <w:rPr>
          <w:rStyle w:val="charBoldItals"/>
        </w:rPr>
        <w:t>prescribed period</w:t>
      </w:r>
      <w:r>
        <w:t xml:space="preserve"> means—</w:t>
      </w:r>
    </w:p>
    <w:p w:rsidR="00450C28" w:rsidRDefault="00450C28">
      <w:pPr>
        <w:pStyle w:val="aDefpara"/>
      </w:pPr>
      <w:r>
        <w:tab/>
        <w:t>(a)</w:t>
      </w:r>
      <w:r>
        <w:tab/>
        <w:t>2 weeks after the day the lessor receives the bond; or</w:t>
      </w:r>
    </w:p>
    <w:p w:rsidR="00450C28" w:rsidRDefault="00450C28">
      <w:pPr>
        <w:pStyle w:val="aDefpara"/>
      </w:pPr>
      <w:r>
        <w:tab/>
        <w:t>(b)</w:t>
      </w:r>
      <w:r>
        <w:tab/>
        <w:t>if another period is prescribed by regulation—the prescribed period.</w:t>
      </w:r>
    </w:p>
    <w:p w:rsidR="00E16BB0" w:rsidRPr="00582D10" w:rsidRDefault="00E16BB0" w:rsidP="00E16BB0">
      <w:pPr>
        <w:pStyle w:val="AH5Sec"/>
      </w:pPr>
      <w:bookmarkStart w:id="51" w:name="_Toc23417858"/>
      <w:r w:rsidRPr="001403E0">
        <w:rPr>
          <w:rStyle w:val="CharSectNo"/>
        </w:rPr>
        <w:lastRenderedPageBreak/>
        <w:t>24</w:t>
      </w:r>
      <w:r w:rsidRPr="00582D10">
        <w:tab/>
        <w:t>Deposit of bond by tenant</w:t>
      </w:r>
      <w:bookmarkEnd w:id="51"/>
    </w:p>
    <w:p w:rsidR="00E16BB0" w:rsidRPr="00582D10" w:rsidRDefault="00E16BB0" w:rsidP="00060B75">
      <w:pPr>
        <w:pStyle w:val="Amain"/>
        <w:keepNext/>
      </w:pPr>
      <w:r w:rsidRPr="00582D10">
        <w:tab/>
        <w:t>(1)</w:t>
      </w:r>
      <w:r w:rsidRPr="00582D10">
        <w:tab/>
        <w:t>If the lessor and the tenant agree to the tenant depositing the bond with the Territory—</w:t>
      </w:r>
    </w:p>
    <w:p w:rsidR="00E16BB0" w:rsidRPr="00582D10" w:rsidRDefault="00E16BB0" w:rsidP="00E16BB0">
      <w:pPr>
        <w:pStyle w:val="Apara"/>
      </w:pPr>
      <w:r w:rsidRPr="00582D10">
        <w:tab/>
        <w:t>(a)</w:t>
      </w:r>
      <w:r w:rsidRPr="00582D10">
        <w:tab/>
        <w:t>the tenant must deposit with the Territory the amount of the bond; and</w:t>
      </w:r>
    </w:p>
    <w:p w:rsidR="00E16BB0" w:rsidRPr="00582D10" w:rsidRDefault="00E16BB0" w:rsidP="00E16BB0">
      <w:pPr>
        <w:pStyle w:val="Apara"/>
      </w:pPr>
      <w:r w:rsidRPr="00582D10">
        <w:tab/>
        <w:t>(b)</w:t>
      </w:r>
      <w:r w:rsidRPr="00582D10">
        <w:tab/>
        <w:t>the tenant, or the lessor on the tenant’s behalf, must lodge a notice in accordance with section 25.</w:t>
      </w:r>
    </w:p>
    <w:p w:rsidR="00E16BB0" w:rsidRPr="00582D10" w:rsidRDefault="00E16BB0" w:rsidP="00E16BB0">
      <w:pPr>
        <w:pStyle w:val="Amain"/>
      </w:pPr>
      <w:r w:rsidRPr="00582D10">
        <w:tab/>
        <w:t>(2)</w:t>
      </w:r>
      <w:r w:rsidRPr="00582D10">
        <w:tab/>
        <w:t>Unless the lessor and the tenant otherwise agree, the tenant is not entitled to possession of the premises until—</w:t>
      </w:r>
    </w:p>
    <w:p w:rsidR="00E16BB0" w:rsidRPr="00582D10" w:rsidRDefault="00E16BB0" w:rsidP="00E16BB0">
      <w:pPr>
        <w:pStyle w:val="Apara"/>
      </w:pPr>
      <w:r w:rsidRPr="00582D10">
        <w:tab/>
        <w:t>(a)</w:t>
      </w:r>
      <w:r w:rsidRPr="00582D10">
        <w:tab/>
        <w:t>the tenant gives the lessor evidence that the bond has been deposited; or</w:t>
      </w:r>
    </w:p>
    <w:p w:rsidR="00E16BB0" w:rsidRPr="00582D10" w:rsidRDefault="00E16BB0" w:rsidP="00E16BB0">
      <w:pPr>
        <w:pStyle w:val="Apara"/>
      </w:pPr>
      <w:r w:rsidRPr="00582D10">
        <w:tab/>
        <w:t>(b)</w:t>
      </w:r>
      <w:r w:rsidRPr="00582D10">
        <w:tab/>
        <w:t>the Territory gives the lessor written notice that the bond has been deposited.</w:t>
      </w:r>
    </w:p>
    <w:p w:rsidR="00E16BB0" w:rsidRPr="00582D10" w:rsidRDefault="00E16BB0" w:rsidP="00E16BB0">
      <w:pPr>
        <w:pStyle w:val="aNote"/>
      </w:pPr>
      <w:r w:rsidRPr="00582D10">
        <w:rPr>
          <w:rStyle w:val="charItals"/>
        </w:rPr>
        <w:t>Note</w:t>
      </w:r>
      <w:r w:rsidRPr="00582D10">
        <w:rPr>
          <w:rStyle w:val="charItals"/>
        </w:rPr>
        <w:tab/>
      </w:r>
      <w:r w:rsidRPr="00582D10">
        <w:t xml:space="preserve">Under the </w:t>
      </w:r>
      <w:hyperlink r:id="rId43" w:tooltip="A2001-10" w:history="1">
        <w:r w:rsidRPr="00582D10">
          <w:rPr>
            <w:rStyle w:val="charCitHyperlinkItal"/>
          </w:rPr>
          <w:t>Electronic Transactions Act 2001</w:t>
        </w:r>
      </w:hyperlink>
      <w:r w:rsidRPr="00582D10">
        <w:t>, s 8 (1), information required to be in writing may be given electronically in certain circumstances.</w:t>
      </w:r>
    </w:p>
    <w:p w:rsidR="0009379C" w:rsidRPr="00582D10" w:rsidRDefault="0009379C" w:rsidP="0009379C">
      <w:pPr>
        <w:pStyle w:val="AH5Sec"/>
      </w:pPr>
      <w:bookmarkStart w:id="52" w:name="_Toc23417859"/>
      <w:r w:rsidRPr="001403E0">
        <w:rPr>
          <w:rStyle w:val="CharSectNo"/>
        </w:rPr>
        <w:t>25</w:t>
      </w:r>
      <w:r w:rsidRPr="00582D10">
        <w:tab/>
        <w:t>Notice about deposit</w:t>
      </w:r>
      <w:bookmarkEnd w:id="52"/>
    </w:p>
    <w:p w:rsidR="00450C28" w:rsidRDefault="00E85279">
      <w:pPr>
        <w:pStyle w:val="Amainreturn"/>
      </w:pPr>
      <w:r>
        <w:t>A notice under section 23 (3</w:t>
      </w:r>
      <w:r w:rsidR="00980188">
        <w:t>) (b)</w:t>
      </w:r>
      <w:r w:rsidR="00980188" w:rsidRPr="00582D10">
        <w:t>, section 24 (1) (b) or section 26</w:t>
      </w:r>
      <w:r w:rsidR="00450C28">
        <w:t xml:space="preserve"> must specify—</w:t>
      </w:r>
    </w:p>
    <w:p w:rsidR="00450C28" w:rsidRDefault="00450C28">
      <w:pPr>
        <w:pStyle w:val="Apara"/>
      </w:pPr>
      <w:r>
        <w:tab/>
        <w:t>(a)</w:t>
      </w:r>
      <w:r>
        <w:tab/>
        <w:t>the names of and addresses for service on the lessor and the tenant; and</w:t>
      </w:r>
    </w:p>
    <w:p w:rsidR="00450C28" w:rsidRDefault="00450C28">
      <w:pPr>
        <w:pStyle w:val="Apara"/>
      </w:pPr>
      <w:r>
        <w:tab/>
        <w:t>(b)</w:t>
      </w:r>
      <w:r>
        <w:tab/>
        <w:t>the address of the premises that are the subject of the residential tenancy agreement; and</w:t>
      </w:r>
    </w:p>
    <w:p w:rsidR="00450C28" w:rsidRDefault="00450C28">
      <w:pPr>
        <w:pStyle w:val="Apara"/>
      </w:pPr>
      <w:r>
        <w:tab/>
        <w:t>(c)</w:t>
      </w:r>
      <w:r>
        <w:tab/>
        <w:t>the rent payable under the residential tenancy agreement; and</w:t>
      </w:r>
    </w:p>
    <w:p w:rsidR="00450C28" w:rsidRDefault="00450C28">
      <w:pPr>
        <w:pStyle w:val="Apara"/>
        <w:keepNext/>
      </w:pPr>
      <w:r>
        <w:tab/>
        <w:t>(d)</w:t>
      </w:r>
      <w:r>
        <w:tab/>
        <w:t>the amount of bond being deposited.</w:t>
      </w:r>
    </w:p>
    <w:p w:rsidR="00450C28" w:rsidRDefault="00450C28">
      <w:pPr>
        <w:pStyle w:val="aNote"/>
      </w:pPr>
      <w:r w:rsidRPr="009D74E7">
        <w:rPr>
          <w:rStyle w:val="charItals"/>
        </w:rPr>
        <w:t>Note</w:t>
      </w:r>
      <w:r w:rsidRPr="009D74E7">
        <w:rPr>
          <w:rStyle w:val="charItals"/>
        </w:rPr>
        <w:t> </w:t>
      </w:r>
      <w:r w:rsidRPr="009D74E7">
        <w:rPr>
          <w:rStyle w:val="charItals"/>
        </w:rPr>
        <w:tab/>
      </w:r>
      <w:r>
        <w:t>If a form is approved under s 133 (Approved forms—Minister) for a notice, the form must be used.</w:t>
      </w:r>
    </w:p>
    <w:p w:rsidR="00B938D0" w:rsidRPr="00582D10" w:rsidRDefault="00B938D0" w:rsidP="00B938D0">
      <w:pPr>
        <w:pStyle w:val="AH5Sec"/>
      </w:pPr>
      <w:bookmarkStart w:id="53" w:name="_Toc23417860"/>
      <w:r w:rsidRPr="001403E0">
        <w:rPr>
          <w:rStyle w:val="CharSectNo"/>
        </w:rPr>
        <w:lastRenderedPageBreak/>
        <w:t>26</w:t>
      </w:r>
      <w:r w:rsidRPr="00582D10">
        <w:tab/>
        <w:t>Acknowledgment of receipt of bond money</w:t>
      </w:r>
      <w:bookmarkEnd w:id="53"/>
    </w:p>
    <w:p w:rsidR="00B938D0" w:rsidRPr="00582D10" w:rsidRDefault="00B938D0" w:rsidP="00B938D0">
      <w:pPr>
        <w:pStyle w:val="Amainreturn"/>
      </w:pPr>
      <w:r w:rsidRPr="00582D10">
        <w:t>If the Territory accepts an amount of bond, the Territory must—</w:t>
      </w:r>
    </w:p>
    <w:p w:rsidR="00B938D0" w:rsidRPr="00582D10" w:rsidRDefault="00B938D0" w:rsidP="00B938D0">
      <w:pPr>
        <w:pStyle w:val="Apara"/>
      </w:pPr>
      <w:r w:rsidRPr="00582D10">
        <w:tab/>
        <w:t>(a)</w:t>
      </w:r>
      <w:r w:rsidRPr="00582D10">
        <w:tab/>
        <w:t>if the tenant deposited the bond—give the tenant a receipt for the amount; and</w:t>
      </w:r>
    </w:p>
    <w:p w:rsidR="00B938D0" w:rsidRPr="00582D10" w:rsidRDefault="00B938D0" w:rsidP="00B938D0">
      <w:pPr>
        <w:pStyle w:val="Apara"/>
      </w:pPr>
      <w:r w:rsidRPr="00582D10">
        <w:tab/>
        <w:t>(b)</w:t>
      </w:r>
      <w:r w:rsidRPr="00582D10">
        <w:tab/>
        <w:t>give the tenant and lessor a notice in accordance with section 25.</w:t>
      </w:r>
    </w:p>
    <w:p w:rsidR="00B938D0" w:rsidRPr="00582D10" w:rsidRDefault="00B938D0" w:rsidP="00B938D0">
      <w:pPr>
        <w:pStyle w:val="aNote"/>
      </w:pPr>
      <w:r w:rsidRPr="00582D10">
        <w:rPr>
          <w:rStyle w:val="charItals"/>
        </w:rPr>
        <w:t>Note</w:t>
      </w:r>
      <w:r w:rsidRPr="00582D10">
        <w:rPr>
          <w:rStyle w:val="charItals"/>
        </w:rPr>
        <w:tab/>
      </w:r>
      <w:r w:rsidRPr="00582D10">
        <w:t xml:space="preserve">Under the </w:t>
      </w:r>
      <w:hyperlink r:id="rId44" w:tooltip="A2001-10" w:history="1">
        <w:r w:rsidRPr="00582D10">
          <w:rPr>
            <w:rStyle w:val="charCitHyperlinkItal"/>
          </w:rPr>
          <w:t>Electronic Transactions Act 2001</w:t>
        </w:r>
      </w:hyperlink>
      <w:r w:rsidRPr="00582D10">
        <w:t>, s 8 (1), information required to be in writing under this section may be given electronically in certain circumstances.</w:t>
      </w:r>
    </w:p>
    <w:p w:rsidR="00450C28" w:rsidRDefault="00450C28">
      <w:pPr>
        <w:pStyle w:val="AH5Sec"/>
      </w:pPr>
      <w:bookmarkStart w:id="54" w:name="_Toc23417861"/>
      <w:r w:rsidRPr="001403E0">
        <w:rPr>
          <w:rStyle w:val="CharSectNo"/>
        </w:rPr>
        <w:t>27</w:t>
      </w:r>
      <w:r>
        <w:tab/>
        <w:t>Payment of bond money into trust account</w:t>
      </w:r>
      <w:bookmarkEnd w:id="54"/>
    </w:p>
    <w:p w:rsidR="00450C28" w:rsidRDefault="00450C28">
      <w:pPr>
        <w:pStyle w:val="Amain"/>
      </w:pPr>
      <w:r>
        <w:tab/>
        <w:t>(1)</w:t>
      </w:r>
      <w:r>
        <w:tab/>
        <w:t>The Territory must pay all bond money received by it under this part to the credit of the trust account.</w:t>
      </w:r>
    </w:p>
    <w:p w:rsidR="00450C28" w:rsidRDefault="00450C28">
      <w:pPr>
        <w:pStyle w:val="Amain"/>
      </w:pPr>
      <w:r>
        <w:tab/>
        <w:t>(2)</w:t>
      </w:r>
      <w:r>
        <w:tab/>
        <w:t xml:space="preserve">Subject to any order of the </w:t>
      </w:r>
      <w:r w:rsidR="009026B3">
        <w:t>ACAT</w:t>
      </w:r>
      <w:r>
        <w:t>, an amount paid to the credit of the trust account in accordance with subsection (1) must be applied only in the payment of bond money in accordance with section 34 or section 35 (2).</w:t>
      </w:r>
    </w:p>
    <w:p w:rsidR="0039698F" w:rsidRDefault="0039698F" w:rsidP="0039698F">
      <w:pPr>
        <w:pStyle w:val="AH5Sec"/>
      </w:pPr>
      <w:bookmarkStart w:id="55" w:name="_Toc23417862"/>
      <w:r w:rsidRPr="001403E0">
        <w:rPr>
          <w:rStyle w:val="CharSectNo"/>
        </w:rPr>
        <w:t>28</w:t>
      </w:r>
      <w:r>
        <w:tab/>
        <w:t>Interest on amounts in trust account</w:t>
      </w:r>
      <w:bookmarkEnd w:id="55"/>
    </w:p>
    <w:p w:rsidR="0039698F" w:rsidRDefault="0039698F" w:rsidP="0039698F">
      <w:pPr>
        <w:pStyle w:val="Amain"/>
      </w:pPr>
      <w:r>
        <w:tab/>
        <w:t>(1)</w:t>
      </w:r>
      <w:r>
        <w:tab/>
        <w:t>This section applies to interest from the investment of any amount paid to the credit of the trust account under this part.</w:t>
      </w:r>
    </w:p>
    <w:p w:rsidR="0039698F" w:rsidRDefault="0039698F" w:rsidP="0039698F">
      <w:pPr>
        <w:pStyle w:val="Amain"/>
      </w:pPr>
      <w:r>
        <w:tab/>
        <w:t>(2)</w:t>
      </w:r>
      <w:r>
        <w:tab/>
        <w:t xml:space="preserve">The </w:t>
      </w:r>
      <w:r w:rsidR="005C5A40">
        <w:rPr>
          <w:lang w:eastAsia="en-AU"/>
        </w:rPr>
        <w:t>director</w:t>
      </w:r>
      <w:r w:rsidR="005C5A40">
        <w:rPr>
          <w:lang w:eastAsia="en-AU"/>
        </w:rPr>
        <w:noBreakHyphen/>
        <w:t>general</w:t>
      </w:r>
      <w:r>
        <w:t xml:space="preserve"> must pay the interest into the interest trust account or the ACAT trust account.</w:t>
      </w:r>
    </w:p>
    <w:p w:rsidR="0039698F" w:rsidRDefault="0039698F" w:rsidP="0039698F">
      <w:pPr>
        <w:pStyle w:val="aNote"/>
      </w:pPr>
      <w:r w:rsidRPr="009D74E7">
        <w:rPr>
          <w:rStyle w:val="charItals"/>
        </w:rPr>
        <w:t>Note</w:t>
      </w:r>
      <w:r w:rsidRPr="009D74E7">
        <w:rPr>
          <w:rStyle w:val="charItals"/>
        </w:rPr>
        <w:tab/>
      </w:r>
      <w:r>
        <w:t xml:space="preserve">The </w:t>
      </w:r>
      <w:hyperlink r:id="rId45" w:tooltip="A2008-35" w:history="1">
        <w:r w:rsidR="009D74E7" w:rsidRPr="009D74E7">
          <w:rPr>
            <w:rStyle w:val="charCitHyperlinkItal"/>
          </w:rPr>
          <w:t>ACT Civil and Administrative Tribunal Act 2008</w:t>
        </w:r>
      </w:hyperlink>
      <w:r>
        <w:t>, s 115C sets out how amounts paid into the ACAT trust account may be used.</w:t>
      </w:r>
    </w:p>
    <w:p w:rsidR="0039698F" w:rsidRDefault="0039698F" w:rsidP="0039698F">
      <w:pPr>
        <w:pStyle w:val="Amain"/>
      </w:pPr>
      <w:r>
        <w:tab/>
        <w:t>(3)</w:t>
      </w:r>
      <w:r>
        <w:tab/>
        <w:t xml:space="preserve">The </w:t>
      </w:r>
      <w:r w:rsidR="006924C9">
        <w:rPr>
          <w:lang w:eastAsia="en-AU"/>
        </w:rPr>
        <w:t>director</w:t>
      </w:r>
      <w:r w:rsidR="006924C9">
        <w:rPr>
          <w:lang w:eastAsia="en-AU"/>
        </w:rPr>
        <w:noBreakHyphen/>
        <w:t>general</w:t>
      </w:r>
      <w:r>
        <w:t xml:space="preserve"> may transfer amounts from the interest trust account to the ACAT trust account.</w:t>
      </w:r>
    </w:p>
    <w:p w:rsidR="0039698F" w:rsidRDefault="0039698F" w:rsidP="0039698F">
      <w:pPr>
        <w:pStyle w:val="Amain"/>
      </w:pPr>
      <w:r>
        <w:tab/>
        <w:t>(4)</w:t>
      </w:r>
      <w:r>
        <w:tab/>
        <w:t>Interest paid into the interest trust account may be applied for the following purposes:</w:t>
      </w:r>
    </w:p>
    <w:p w:rsidR="0039698F" w:rsidRDefault="0039698F" w:rsidP="0039698F">
      <w:pPr>
        <w:pStyle w:val="Apara"/>
      </w:pPr>
      <w:r>
        <w:tab/>
        <w:t>(a)</w:t>
      </w:r>
      <w:r>
        <w:tab/>
        <w:t>providing lessor and tenant information programs;</w:t>
      </w:r>
    </w:p>
    <w:p w:rsidR="0039698F" w:rsidRDefault="0039698F" w:rsidP="0039698F">
      <w:pPr>
        <w:pStyle w:val="Apara"/>
      </w:pPr>
      <w:r>
        <w:lastRenderedPageBreak/>
        <w:tab/>
        <w:t>(b)</w:t>
      </w:r>
      <w:r>
        <w:tab/>
        <w:t>providing dispute resolution services for residential tenancy disputes;</w:t>
      </w:r>
    </w:p>
    <w:p w:rsidR="0039698F" w:rsidRDefault="0039698F" w:rsidP="0039698F">
      <w:pPr>
        <w:pStyle w:val="Apara"/>
      </w:pPr>
      <w:r>
        <w:tab/>
        <w:t>(c)</w:t>
      </w:r>
      <w:r>
        <w:tab/>
        <w:t>facilitating assistance in the provision of residential accommodation, whether or not the accommodation is provided under this Act;</w:t>
      </w:r>
    </w:p>
    <w:p w:rsidR="0039698F" w:rsidRDefault="0039698F" w:rsidP="0039698F">
      <w:pPr>
        <w:pStyle w:val="Apara"/>
      </w:pPr>
      <w:r>
        <w:tab/>
        <w:t>(d)</w:t>
      </w:r>
      <w:r>
        <w:tab/>
        <w:t>researching issues of concern to lessors and tenants;</w:t>
      </w:r>
    </w:p>
    <w:p w:rsidR="0039698F" w:rsidRDefault="0039698F" w:rsidP="0039698F">
      <w:pPr>
        <w:pStyle w:val="Apara"/>
      </w:pPr>
      <w:r>
        <w:tab/>
        <w:t>(e)</w:t>
      </w:r>
      <w:r>
        <w:tab/>
        <w:t>reimbursing the costs incurred by the commissioner in instituting, defending or taking over proceedings in relation to tenancy disputes;</w:t>
      </w:r>
    </w:p>
    <w:p w:rsidR="0039698F" w:rsidRDefault="0039698F" w:rsidP="0039698F">
      <w:pPr>
        <w:pStyle w:val="Apara"/>
      </w:pPr>
      <w:r>
        <w:tab/>
        <w:t>(f)</w:t>
      </w:r>
      <w:r>
        <w:tab/>
        <w:t>reimbursing the Territory the cost of administering this Act.</w:t>
      </w:r>
    </w:p>
    <w:p w:rsidR="0039698F" w:rsidRDefault="0039698F" w:rsidP="0039698F">
      <w:pPr>
        <w:pStyle w:val="Amain"/>
      </w:pPr>
      <w:r>
        <w:tab/>
        <w:t>(5)</w:t>
      </w:r>
      <w:r>
        <w:tab/>
        <w:t>In this section:</w:t>
      </w:r>
    </w:p>
    <w:p w:rsidR="0039698F" w:rsidRDefault="0039698F" w:rsidP="0039698F">
      <w:pPr>
        <w:pStyle w:val="aDef"/>
      </w:pPr>
      <w:r>
        <w:rPr>
          <w:rStyle w:val="charBoldItals"/>
        </w:rPr>
        <w:t>interest</w:t>
      </w:r>
      <w:r>
        <w:t xml:space="preserve">—see the </w:t>
      </w:r>
      <w:hyperlink r:id="rId46" w:tooltip="A1996-22" w:history="1">
        <w:r w:rsidR="009D74E7" w:rsidRPr="009D74E7">
          <w:rPr>
            <w:rStyle w:val="charCitHyperlinkItal"/>
          </w:rPr>
          <w:t>Financial Management Act 1996</w:t>
        </w:r>
      </w:hyperlink>
      <w:r>
        <w:t>, dictionary</w:t>
      </w:r>
      <w:r>
        <w:rPr>
          <w:rStyle w:val="charItals"/>
        </w:rPr>
        <w:t>.</w:t>
      </w:r>
    </w:p>
    <w:p w:rsidR="0039698F" w:rsidRDefault="0039698F" w:rsidP="0039698F">
      <w:pPr>
        <w:pStyle w:val="aDef"/>
      </w:pPr>
      <w:r>
        <w:rPr>
          <w:rStyle w:val="charBoldItals"/>
        </w:rPr>
        <w:t>interest 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47" w:tooltip="A1996-22" w:history="1">
        <w:r w:rsidR="009D74E7" w:rsidRPr="009D74E7">
          <w:rPr>
            <w:rStyle w:val="charCitHyperlinkItal"/>
          </w:rPr>
          <w:t>Financial Management Act 1996</w:t>
        </w:r>
      </w:hyperlink>
      <w:r w:rsidRPr="009D74E7">
        <w:t>,</w:t>
      </w:r>
      <w:r>
        <w:t xml:space="preserve"> section 51.</w:t>
      </w:r>
    </w:p>
    <w:p w:rsidR="00450C28" w:rsidRPr="001403E0" w:rsidRDefault="00450C28">
      <w:pPr>
        <w:pStyle w:val="AH3Div"/>
      </w:pPr>
      <w:bookmarkStart w:id="56" w:name="_Toc23417863"/>
      <w:r w:rsidRPr="001403E0">
        <w:rPr>
          <w:rStyle w:val="CharDivNo"/>
        </w:rPr>
        <w:t>Division 3.3</w:t>
      </w:r>
      <w:r>
        <w:tab/>
      </w:r>
      <w:r w:rsidRPr="001403E0">
        <w:rPr>
          <w:rStyle w:val="CharDivText"/>
        </w:rPr>
        <w:t>Condition of premises and deductions from bond</w:t>
      </w:r>
      <w:bookmarkEnd w:id="56"/>
    </w:p>
    <w:p w:rsidR="00450C28" w:rsidRDefault="00E742D8">
      <w:pPr>
        <w:pStyle w:val="AH5Sec"/>
      </w:pPr>
      <w:bookmarkStart w:id="57" w:name="_Toc23417864"/>
      <w:r w:rsidRPr="001403E0">
        <w:rPr>
          <w:rStyle w:val="CharSectNo"/>
        </w:rPr>
        <w:t>29</w:t>
      </w:r>
      <w:r w:rsidRPr="00E56DA5">
        <w:tab/>
        <w:t>Condition report—start of tenancy</w:t>
      </w:r>
      <w:bookmarkEnd w:id="57"/>
    </w:p>
    <w:p w:rsidR="00450C28" w:rsidRDefault="00450C28">
      <w:pPr>
        <w:pStyle w:val="Amain"/>
      </w:pPr>
      <w:r>
        <w:tab/>
        <w:t>(1)</w:t>
      </w:r>
      <w:r>
        <w:tab/>
        <w:t>A lessor must, not later than the day after the tenant takes possession of the premises, give the tenant 2 copies of a report about the state of repair or general condition of the premises, and of any goods leased with the premises, on the day the tenant is given the report.</w:t>
      </w:r>
    </w:p>
    <w:p w:rsidR="00450C28" w:rsidRDefault="00450C28">
      <w:pPr>
        <w:pStyle w:val="Amain"/>
      </w:pPr>
      <w:r>
        <w:tab/>
        <w:t>(2)</w:t>
      </w:r>
      <w:r>
        <w:tab/>
        <w:t>A report under subsection (1) must be signed by the lessor.</w:t>
      </w:r>
    </w:p>
    <w:p w:rsidR="00450C28" w:rsidRDefault="00450C28">
      <w:pPr>
        <w:pStyle w:val="Amain"/>
      </w:pPr>
      <w:r>
        <w:tab/>
        <w:t>(3)</w:t>
      </w:r>
      <w:r>
        <w:tab/>
        <w:t>The tenant must, within 2 weeks after receiving the copies of the report mentioned in subsection (1), return 1 copy to the lessor, either—</w:t>
      </w:r>
    </w:p>
    <w:p w:rsidR="00450C28" w:rsidRDefault="00450C28">
      <w:pPr>
        <w:pStyle w:val="Apara"/>
      </w:pPr>
      <w:r>
        <w:tab/>
        <w:t>(a)</w:t>
      </w:r>
      <w:r>
        <w:tab/>
        <w:t>signed by the tenant; or</w:t>
      </w:r>
    </w:p>
    <w:p w:rsidR="00450C28" w:rsidRDefault="00450C28">
      <w:pPr>
        <w:pStyle w:val="Apara"/>
      </w:pPr>
      <w:r>
        <w:lastRenderedPageBreak/>
        <w:tab/>
        <w:t>(b)</w:t>
      </w:r>
      <w:r>
        <w:tab/>
        <w:t>endorsed with a statement, signed by the tenant, indicating whether the tenant agrees or disagrees with the whole of the report or with specified parts of it.</w:t>
      </w:r>
    </w:p>
    <w:p w:rsidR="00450C28" w:rsidRDefault="00450C28">
      <w:pPr>
        <w:pStyle w:val="Amain"/>
      </w:pPr>
      <w:r>
        <w:tab/>
        <w:t>(4)</w:t>
      </w:r>
      <w:r>
        <w:tab/>
        <w:t>If the tenant returns the copy signed but without further endorsement, the tenant is taken to have agreed with the whole of the report.</w:t>
      </w:r>
    </w:p>
    <w:p w:rsidR="00450C28" w:rsidRDefault="00450C28">
      <w:pPr>
        <w:pStyle w:val="Amain"/>
      </w:pPr>
      <w:r>
        <w:tab/>
        <w:t>(5)</w:t>
      </w:r>
      <w:r>
        <w:tab/>
        <w:t>To remove any doubt, a condition report for premises may, but need not, contain a list of items at the premises, other than goods leased with the premises.</w:t>
      </w:r>
    </w:p>
    <w:p w:rsidR="00450C28" w:rsidRDefault="00450C28">
      <w:pPr>
        <w:pStyle w:val="AH5Sec"/>
      </w:pPr>
      <w:bookmarkStart w:id="58" w:name="_Toc23417865"/>
      <w:r w:rsidRPr="001403E0">
        <w:rPr>
          <w:rStyle w:val="CharSectNo"/>
        </w:rPr>
        <w:t>30</w:t>
      </w:r>
      <w:r>
        <w:tab/>
        <w:t>Evidence of condition of premises</w:t>
      </w:r>
      <w:bookmarkEnd w:id="58"/>
    </w:p>
    <w:p w:rsidR="00450C28" w:rsidRDefault="00450C28">
      <w:pPr>
        <w:pStyle w:val="Amain"/>
      </w:pPr>
      <w:r>
        <w:tab/>
        <w:t>(1)</w:t>
      </w:r>
      <w:r>
        <w:tab/>
        <w:t>If section 29 (1) and (3) have been complied with, a statement in a report mentioned in section 29 about the state of repair or general condition of the premises, and of any goods leased with the premises, (other than a statement in relation to which the tenant, by endorsement, has indicated disagreement) is evidence of that state of repair or general condition on the day the tenant was given the report.</w:t>
      </w:r>
    </w:p>
    <w:p w:rsidR="00450C28" w:rsidRDefault="00450C28">
      <w:pPr>
        <w:pStyle w:val="Amain"/>
      </w:pPr>
      <w:r>
        <w:tab/>
        <w:t>(2)</w:t>
      </w:r>
      <w:r>
        <w:tab/>
        <w:t>If only section 29 (1) has been complied with, a statement in a report mentioned in section 29 about the state of repair or general condition of the premises, and of any goods leased with the premises, is evidence of that state of repair or general condition on the day the tenant was given the report.</w:t>
      </w:r>
    </w:p>
    <w:p w:rsidR="00450C28" w:rsidRDefault="00450C28">
      <w:pPr>
        <w:pStyle w:val="Amain"/>
      </w:pPr>
      <w:r>
        <w:tab/>
        <w:t>(3)</w:t>
      </w:r>
      <w:r>
        <w:tab/>
        <w:t>If section 29 (1) has not been complied with, evidence by the tenant about the state of repair or general condition of the premises, and of any goods leased with the premises, is evidence of that state of repair or general condition on the day the tenant took possession of the premises.</w:t>
      </w:r>
    </w:p>
    <w:p w:rsidR="00E742D8" w:rsidRPr="00E56DA5" w:rsidRDefault="00E742D8" w:rsidP="00E742D8">
      <w:pPr>
        <w:pStyle w:val="AH5Sec"/>
      </w:pPr>
      <w:bookmarkStart w:id="59" w:name="_Toc23417866"/>
      <w:r w:rsidRPr="001403E0">
        <w:rPr>
          <w:rStyle w:val="CharSectNo"/>
        </w:rPr>
        <w:t>30A</w:t>
      </w:r>
      <w:r w:rsidRPr="00E56DA5">
        <w:tab/>
        <w:t>Final inspection and condition report—end of tenancy</w:t>
      </w:r>
      <w:bookmarkEnd w:id="59"/>
    </w:p>
    <w:p w:rsidR="00E742D8" w:rsidRPr="00E56DA5" w:rsidRDefault="00E742D8" w:rsidP="00E742D8">
      <w:pPr>
        <w:pStyle w:val="Amain"/>
      </w:pPr>
      <w:r w:rsidRPr="00E56DA5">
        <w:tab/>
        <w:t>(1)</w:t>
      </w:r>
      <w:r w:rsidRPr="00E56DA5">
        <w:tab/>
        <w:t>A lessor must, together with the tenant, carry out an inspection of the premises at the end of the residential tenancy agreement.</w:t>
      </w:r>
    </w:p>
    <w:p w:rsidR="00E742D8" w:rsidRPr="00E56DA5" w:rsidRDefault="00E742D8" w:rsidP="00E742D8">
      <w:pPr>
        <w:pStyle w:val="Amain"/>
      </w:pPr>
      <w:r w:rsidRPr="00E56DA5">
        <w:tab/>
        <w:t>(2)</w:t>
      </w:r>
      <w:r w:rsidRPr="00E56DA5">
        <w:tab/>
        <w:t>The lessor must, together with the tenant, complete and sign a condition report based on the inspection.</w:t>
      </w:r>
    </w:p>
    <w:p w:rsidR="00E742D8" w:rsidRPr="00E56DA5" w:rsidRDefault="00E742D8" w:rsidP="00E742D8">
      <w:pPr>
        <w:pStyle w:val="Amain"/>
      </w:pPr>
      <w:r w:rsidRPr="00E56DA5">
        <w:lastRenderedPageBreak/>
        <w:tab/>
        <w:t>(3)</w:t>
      </w:r>
      <w:r w:rsidRPr="00E56DA5">
        <w:tab/>
        <w:t>However, a party may complete and sign the condition report in the absence of the other party if the party has given the other party a reasonable opportunity to be present when the report is completed and signed.</w:t>
      </w:r>
    </w:p>
    <w:p w:rsidR="00450C28" w:rsidRDefault="00450C28">
      <w:pPr>
        <w:pStyle w:val="AH5Sec"/>
      </w:pPr>
      <w:bookmarkStart w:id="60" w:name="_Toc23417867"/>
      <w:r w:rsidRPr="001403E0">
        <w:rPr>
          <w:rStyle w:val="CharSectNo"/>
        </w:rPr>
        <w:t>31</w:t>
      </w:r>
      <w:r>
        <w:tab/>
        <w:t>Deductions from bond</w:t>
      </w:r>
      <w:bookmarkEnd w:id="60"/>
    </w:p>
    <w:p w:rsidR="00450C28" w:rsidRDefault="00450C28">
      <w:pPr>
        <w:pStyle w:val="Amainreturn"/>
      </w:pPr>
      <w:r>
        <w:t>A lessor is entitled to deduct from the bond paid under the residential tenancy agreement any of the following:</w:t>
      </w:r>
    </w:p>
    <w:p w:rsidR="00450C28" w:rsidRDefault="00450C28">
      <w:pPr>
        <w:pStyle w:val="Apara"/>
      </w:pPr>
      <w:r>
        <w:tab/>
        <w:t>(a)</w:t>
      </w:r>
      <w:r>
        <w:tab/>
      </w:r>
      <w:r w:rsidR="00E742D8" w:rsidRPr="00E56DA5">
        <w:t>the reasonable cost</w:t>
      </w:r>
      <w:r>
        <w:t xml:space="preserve"> of repairs to, or the restoration of, the premises or goods leased with the premises as a result of damage (other than fair wear and tear) caused by the tenant;</w:t>
      </w:r>
    </w:p>
    <w:p w:rsidR="00E742D8" w:rsidRPr="00E56DA5" w:rsidRDefault="00E742D8" w:rsidP="00E742D8">
      <w:pPr>
        <w:pStyle w:val="Apara"/>
      </w:pPr>
      <w:r>
        <w:tab/>
        <w:t>(b</w:t>
      </w:r>
      <w:r w:rsidRPr="00E56DA5">
        <w:t>)</w:t>
      </w:r>
      <w:r w:rsidRPr="00E56DA5">
        <w:tab/>
        <w:t>the reasonable cost of securing the premises if the tenant fails to return the keys for the premises to the lessor at the end of the tenancy;</w:t>
      </w:r>
    </w:p>
    <w:p w:rsidR="00450C28" w:rsidRDefault="00E742D8">
      <w:pPr>
        <w:pStyle w:val="Apara"/>
      </w:pPr>
      <w:r>
        <w:tab/>
        <w:t>(c</w:t>
      </w:r>
      <w:r w:rsidR="00450C28">
        <w:t>)</w:t>
      </w:r>
      <w:r w:rsidR="00450C28">
        <w:tab/>
        <w:t>any rent owing and payable under the residential tenancy agreement at the time the agreement terminates or is terminated;</w:t>
      </w:r>
    </w:p>
    <w:p w:rsidR="00450C28" w:rsidRDefault="00E742D8" w:rsidP="00072670">
      <w:pPr>
        <w:pStyle w:val="Apara"/>
        <w:keepNext/>
      </w:pPr>
      <w:r>
        <w:tab/>
        <w:t>(d</w:t>
      </w:r>
      <w:r w:rsidR="00450C28">
        <w:t>)</w:t>
      </w:r>
      <w:r w:rsidR="00450C28">
        <w:tab/>
      </w:r>
      <w:r w:rsidR="00F256E2" w:rsidRPr="00E56DA5">
        <w:t>the reasonable cost</w:t>
      </w:r>
      <w:r w:rsidR="00450C28">
        <w:t xml:space="preserve"> of replacing any fuel supplied to the premises by the lessor at the commencement or during the course of the tenancy;</w:t>
      </w:r>
    </w:p>
    <w:p w:rsidR="004B4389" w:rsidRPr="00591A0F" w:rsidRDefault="004B4389" w:rsidP="004B4389">
      <w:pPr>
        <w:pStyle w:val="aExamHdgpar"/>
      </w:pPr>
      <w:r w:rsidRPr="00591A0F">
        <w:t>Examples—fuel</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gas</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oil</w:t>
      </w:r>
    </w:p>
    <w:p w:rsidR="004B4389" w:rsidRPr="00591A0F" w:rsidRDefault="004B4389" w:rsidP="004B4389">
      <w:pPr>
        <w:pStyle w:val="aExamBulletpar"/>
        <w:keepNext/>
        <w:tabs>
          <w:tab w:val="left" w:pos="2000"/>
        </w:tabs>
      </w:pPr>
      <w:r w:rsidRPr="00591A0F">
        <w:rPr>
          <w:rFonts w:ascii="Symbol" w:hAnsi="Symbol"/>
        </w:rPr>
        <w:t></w:t>
      </w:r>
      <w:r w:rsidRPr="00591A0F">
        <w:rPr>
          <w:rFonts w:ascii="Symbol" w:hAnsi="Symbol"/>
        </w:rPr>
        <w:tab/>
      </w:r>
      <w:r w:rsidRPr="00591A0F">
        <w:t>wood</w:t>
      </w:r>
    </w:p>
    <w:p w:rsidR="00450C28" w:rsidRDefault="00E742D8" w:rsidP="00060B75">
      <w:pPr>
        <w:pStyle w:val="Apara"/>
        <w:keepLines/>
      </w:pPr>
      <w:r>
        <w:tab/>
        <w:t>(e</w:t>
      </w:r>
      <w:r w:rsidR="00450C28">
        <w:t>)</w:t>
      </w:r>
      <w:r w:rsidR="00450C28">
        <w:tab/>
        <w:t>any reasonable amount (not greater than the costs incurred) for the cost of legal fees incurred by the lessor in assigning or transferring a tenant’s rights under a residential tenancy agreement;</w:t>
      </w:r>
    </w:p>
    <w:p w:rsidR="00450C28" w:rsidRDefault="00E742D8">
      <w:pPr>
        <w:pStyle w:val="Apara"/>
      </w:pPr>
      <w:r>
        <w:tab/>
        <w:t>(f</w:t>
      </w:r>
      <w:r w:rsidR="00450C28">
        <w:t>)</w:t>
      </w:r>
      <w:r w:rsidR="00450C28">
        <w:tab/>
        <w:t xml:space="preserve">any amount expressed in a term of the agreement to be deductible by the lessor from the bond, if the term is endorsed by the </w:t>
      </w:r>
      <w:r w:rsidR="009026B3">
        <w:t>ACAT</w:t>
      </w:r>
      <w:r w:rsidR="00450C28">
        <w:t xml:space="preserve"> under section 10.</w:t>
      </w:r>
    </w:p>
    <w:p w:rsidR="00450C28" w:rsidRPr="001403E0" w:rsidRDefault="00450C28">
      <w:pPr>
        <w:pStyle w:val="AH3Div"/>
      </w:pPr>
      <w:bookmarkStart w:id="61" w:name="_Toc23417868"/>
      <w:r w:rsidRPr="001403E0">
        <w:rPr>
          <w:rStyle w:val="CharDivNo"/>
        </w:rPr>
        <w:lastRenderedPageBreak/>
        <w:t>Division 3.4</w:t>
      </w:r>
      <w:r>
        <w:tab/>
      </w:r>
      <w:r w:rsidRPr="001403E0">
        <w:rPr>
          <w:rStyle w:val="CharDivText"/>
        </w:rPr>
        <w:t>Release of bond money</w:t>
      </w:r>
      <w:bookmarkEnd w:id="61"/>
    </w:p>
    <w:p w:rsidR="00F256E2" w:rsidRPr="00E56DA5" w:rsidRDefault="00F256E2" w:rsidP="00F256E2">
      <w:pPr>
        <w:pStyle w:val="AH5Sec"/>
      </w:pPr>
      <w:bookmarkStart w:id="62" w:name="_Toc23417869"/>
      <w:r w:rsidRPr="001403E0">
        <w:rPr>
          <w:rStyle w:val="CharSectNo"/>
        </w:rPr>
        <w:t>32</w:t>
      </w:r>
      <w:r w:rsidRPr="00E56DA5">
        <w:tab/>
        <w:t>Definitions—div 3.4</w:t>
      </w:r>
      <w:bookmarkEnd w:id="62"/>
    </w:p>
    <w:p w:rsidR="00F256E2" w:rsidRPr="00E56DA5" w:rsidRDefault="00F256E2" w:rsidP="00F256E2">
      <w:pPr>
        <w:pStyle w:val="Amainreturn"/>
        <w:keepNext/>
      </w:pPr>
      <w:r w:rsidRPr="00E56DA5">
        <w:t>In this division:</w:t>
      </w:r>
    </w:p>
    <w:p w:rsidR="00F256E2" w:rsidRPr="00E56DA5" w:rsidRDefault="00F256E2" w:rsidP="00F256E2">
      <w:pPr>
        <w:pStyle w:val="aDef"/>
        <w:keepLines/>
      </w:pPr>
      <w:r w:rsidRPr="00E56DA5">
        <w:rPr>
          <w:rStyle w:val="charBoldItals"/>
        </w:rPr>
        <w:t>bond release application</w:t>
      </w:r>
      <w:r w:rsidRPr="00E56DA5">
        <w:t xml:space="preserve">, in relation to a residential tenancy agreement, means an application to the Territory for payment out of the trust account of the amount of the bond paid under the agreement. </w:t>
      </w:r>
    </w:p>
    <w:p w:rsidR="00F256E2" w:rsidRPr="00E56DA5" w:rsidRDefault="00F256E2" w:rsidP="00F256E2">
      <w:pPr>
        <w:pStyle w:val="AH5Sec"/>
      </w:pPr>
      <w:bookmarkStart w:id="63" w:name="_Toc23417870"/>
      <w:r w:rsidRPr="001403E0">
        <w:rPr>
          <w:rStyle w:val="CharSectNo"/>
        </w:rPr>
        <w:t>33</w:t>
      </w:r>
      <w:r w:rsidRPr="00E56DA5">
        <w:tab/>
        <w:t>Bond release application—general</w:t>
      </w:r>
      <w:bookmarkEnd w:id="63"/>
    </w:p>
    <w:p w:rsidR="00F256E2" w:rsidRPr="00E56DA5" w:rsidRDefault="00F256E2" w:rsidP="00F256E2">
      <w:pPr>
        <w:pStyle w:val="Amain"/>
      </w:pPr>
      <w:r w:rsidRPr="00E56DA5">
        <w:tab/>
        <w:t>(1)</w:t>
      </w:r>
      <w:r w:rsidRPr="00E56DA5">
        <w:tab/>
        <w:t>A bond release application may be made after the termination of a residential tenancy agreement by—</w:t>
      </w:r>
    </w:p>
    <w:p w:rsidR="00F256E2" w:rsidRPr="00E56DA5" w:rsidRDefault="00F256E2" w:rsidP="00F256E2">
      <w:pPr>
        <w:pStyle w:val="Apara"/>
      </w:pPr>
      <w:r w:rsidRPr="00E56DA5">
        <w:tab/>
        <w:t>(a)</w:t>
      </w:r>
      <w:r w:rsidRPr="00E56DA5">
        <w:tab/>
        <w:t>the tenant and lessor jointly, under section 34A (Bond release application—joint application); or</w:t>
      </w:r>
    </w:p>
    <w:p w:rsidR="00F256E2" w:rsidRPr="00E56DA5" w:rsidRDefault="00F256E2" w:rsidP="00F256E2">
      <w:pPr>
        <w:pStyle w:val="Apara"/>
      </w:pPr>
      <w:r w:rsidRPr="00E56DA5">
        <w:tab/>
        <w:t>(b)</w:t>
      </w:r>
      <w:r w:rsidRPr="00E56DA5">
        <w:tab/>
        <w:t>the tenant, under section 34B (Bond release application—application by tenant); or</w:t>
      </w:r>
    </w:p>
    <w:p w:rsidR="00F256E2" w:rsidRPr="00E56DA5" w:rsidRDefault="00F256E2" w:rsidP="00F256E2">
      <w:pPr>
        <w:pStyle w:val="Apara"/>
      </w:pPr>
      <w:r w:rsidRPr="00E56DA5">
        <w:tab/>
        <w:t>(c)</w:t>
      </w:r>
      <w:r w:rsidRPr="00E56DA5">
        <w:tab/>
        <w:t>the lessor, under section 34C (Bond release application—application by lessor).</w:t>
      </w:r>
    </w:p>
    <w:p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rsidR="00F256E2" w:rsidRPr="00E56DA5" w:rsidRDefault="00F256E2" w:rsidP="00F256E2">
      <w:pPr>
        <w:pStyle w:val="aNote"/>
      </w:pPr>
      <w:r w:rsidRPr="00E56DA5">
        <w:rPr>
          <w:rStyle w:val="charItals"/>
        </w:rPr>
        <w:t>Note 2</w:t>
      </w:r>
      <w:r w:rsidRPr="00E56DA5">
        <w:rPr>
          <w:rStyle w:val="charItals"/>
        </w:rPr>
        <w:tab/>
      </w:r>
      <w:r w:rsidRPr="00E56DA5">
        <w:t>A bond release application may be made before the termination of a residential tenancy agreement in certain circumstances (see s 34D).</w:t>
      </w:r>
    </w:p>
    <w:p w:rsidR="00F256E2" w:rsidRPr="00E56DA5" w:rsidRDefault="00F256E2" w:rsidP="00F256E2">
      <w:pPr>
        <w:pStyle w:val="Amain"/>
      </w:pPr>
      <w:r w:rsidRPr="00E56DA5">
        <w:tab/>
        <w:t>(2)</w:t>
      </w:r>
      <w:r w:rsidRPr="00E56DA5">
        <w:tab/>
        <w:t>The lessor or tenant may make more than 1 application in relation to the agreement only with the director-general’s permission.</w:t>
      </w:r>
    </w:p>
    <w:p w:rsidR="00F256E2" w:rsidRPr="00E56DA5" w:rsidRDefault="00F256E2" w:rsidP="00F256E2">
      <w:pPr>
        <w:pStyle w:val="AH5Sec"/>
      </w:pPr>
      <w:bookmarkStart w:id="64" w:name="_Toc23417871"/>
      <w:r w:rsidRPr="001403E0">
        <w:rPr>
          <w:rStyle w:val="CharSectNo"/>
        </w:rPr>
        <w:t>34</w:t>
      </w:r>
      <w:r w:rsidRPr="00E56DA5">
        <w:tab/>
        <w:t>Bond release application—lessor’s obligations</w:t>
      </w:r>
      <w:bookmarkEnd w:id="64"/>
    </w:p>
    <w:p w:rsidR="00F256E2" w:rsidRPr="00E56DA5" w:rsidRDefault="00F256E2" w:rsidP="00BF5A2E">
      <w:pPr>
        <w:pStyle w:val="Amain"/>
        <w:keepNext/>
      </w:pPr>
      <w:r w:rsidRPr="00E56DA5">
        <w:tab/>
        <w:t>(1)</w:t>
      </w:r>
      <w:r w:rsidRPr="00E56DA5">
        <w:tab/>
        <w:t>If a residential tenancy agreement is terminated, the lessor must give the tenant—</w:t>
      </w:r>
    </w:p>
    <w:p w:rsidR="00F256E2" w:rsidRPr="00E56DA5" w:rsidRDefault="00F256E2" w:rsidP="00F256E2">
      <w:pPr>
        <w:pStyle w:val="Apara"/>
      </w:pPr>
      <w:r w:rsidRPr="00E56DA5">
        <w:tab/>
        <w:t>(a)</w:t>
      </w:r>
      <w:r w:rsidRPr="00E56DA5">
        <w:tab/>
        <w:t>a bond release application form signed by the lessor; and</w:t>
      </w:r>
    </w:p>
    <w:p w:rsidR="00F256E2" w:rsidRPr="00E56DA5" w:rsidRDefault="00F256E2" w:rsidP="008504EE">
      <w:pPr>
        <w:pStyle w:val="Apara"/>
        <w:keepNext/>
      </w:pPr>
      <w:r w:rsidRPr="00E56DA5">
        <w:lastRenderedPageBreak/>
        <w:tab/>
        <w:t>(b)</w:t>
      </w:r>
      <w:r w:rsidRPr="00E56DA5">
        <w:tab/>
        <w:t>if the application includes a claim by the lessor for a deduction from the bond—</w:t>
      </w:r>
    </w:p>
    <w:p w:rsidR="00F256E2" w:rsidRPr="00E56DA5" w:rsidRDefault="00F256E2" w:rsidP="00F256E2">
      <w:pPr>
        <w:pStyle w:val="Asubpara"/>
      </w:pPr>
      <w:r w:rsidRPr="00E56DA5">
        <w:tab/>
        <w:t>(i)</w:t>
      </w:r>
      <w:r w:rsidRPr="00E56DA5">
        <w:tab/>
        <w:t>a written statement of the reasons for the deduction; and</w:t>
      </w:r>
    </w:p>
    <w:p w:rsidR="00F256E2" w:rsidRPr="00E56DA5" w:rsidRDefault="00F256E2" w:rsidP="00F256E2">
      <w:pPr>
        <w:pStyle w:val="Asubpara"/>
      </w:pPr>
      <w:r w:rsidRPr="00E56DA5">
        <w:tab/>
        <w:t>(ii)</w:t>
      </w:r>
      <w:r w:rsidRPr="00E56DA5">
        <w:tab/>
        <w:t>if the reasons include a reason me</w:t>
      </w:r>
      <w:r w:rsidR="002F23A1">
        <w:t>ntioned in section 31 (a) or (b</w:t>
      </w:r>
      <w:r w:rsidRPr="00E56DA5">
        <w:t>) (Deductions from bond)—a written estimate of the cost of the repairs or restoration.</w:t>
      </w:r>
    </w:p>
    <w:p w:rsidR="00F256E2" w:rsidRPr="00E56DA5" w:rsidRDefault="00F256E2" w:rsidP="00F256E2">
      <w:pPr>
        <w:pStyle w:val="Amain"/>
      </w:pPr>
      <w:r w:rsidRPr="00E56DA5">
        <w:tab/>
        <w:t>(2)</w:t>
      </w:r>
      <w:r w:rsidRPr="00E56DA5">
        <w:tab/>
        <w:t>The lessor must give the signed bond release application to the tenant—</w:t>
      </w:r>
    </w:p>
    <w:p w:rsidR="00F256E2" w:rsidRPr="00E56DA5" w:rsidRDefault="00F256E2" w:rsidP="00F256E2">
      <w:pPr>
        <w:pStyle w:val="Apara"/>
      </w:pPr>
      <w:r w:rsidRPr="00E56DA5">
        <w:tab/>
        <w:t>(a)</w:t>
      </w:r>
      <w:r w:rsidRPr="00E56DA5">
        <w:tab/>
        <w:t xml:space="preserve">if the application includes a claim for a deduction from the bond for a reason mentioned in section 31 (a) or </w:t>
      </w:r>
      <w:r w:rsidR="002F23A1">
        <w:t>(b</w:t>
      </w:r>
      <w:r w:rsidRPr="00E56DA5">
        <w:t>)—10 working days after the day the residential tenancy agreement is terminated; and</w:t>
      </w:r>
    </w:p>
    <w:p w:rsidR="00F256E2" w:rsidRPr="00E56DA5" w:rsidRDefault="00F256E2" w:rsidP="00F256E2">
      <w:pPr>
        <w:pStyle w:val="Apara"/>
      </w:pPr>
      <w:r w:rsidRPr="00E56DA5">
        <w:tab/>
        <w:t>(b)</w:t>
      </w:r>
      <w:r w:rsidRPr="00E56DA5">
        <w:tab/>
        <w:t>in any other case—3 working days after the day the residential tenancy agreement is terminated.</w:t>
      </w:r>
    </w:p>
    <w:p w:rsidR="00F256E2" w:rsidRPr="00E56DA5" w:rsidRDefault="00F256E2" w:rsidP="00F256E2">
      <w:pPr>
        <w:pStyle w:val="AH5Sec"/>
      </w:pPr>
      <w:bookmarkStart w:id="65" w:name="_Toc23417872"/>
      <w:r w:rsidRPr="001403E0">
        <w:rPr>
          <w:rStyle w:val="CharSectNo"/>
        </w:rPr>
        <w:t>34A</w:t>
      </w:r>
      <w:r w:rsidRPr="00E56DA5">
        <w:tab/>
        <w:t>Bond release application—joint application</w:t>
      </w:r>
      <w:bookmarkEnd w:id="65"/>
    </w:p>
    <w:p w:rsidR="00F256E2" w:rsidRPr="00E56DA5" w:rsidRDefault="00F256E2" w:rsidP="00F256E2">
      <w:pPr>
        <w:pStyle w:val="Amain"/>
      </w:pPr>
      <w:r w:rsidRPr="00E56DA5">
        <w:tab/>
        <w:t>(1)</w:t>
      </w:r>
      <w:r w:rsidRPr="00E56DA5">
        <w:tab/>
        <w:t>This section applies if—</w:t>
      </w:r>
    </w:p>
    <w:p w:rsidR="00F256E2" w:rsidRPr="00E56DA5" w:rsidRDefault="00F256E2" w:rsidP="00F256E2">
      <w:pPr>
        <w:pStyle w:val="Apara"/>
      </w:pPr>
      <w:r w:rsidRPr="00E56DA5">
        <w:tab/>
        <w:t>(a)</w:t>
      </w:r>
      <w:r w:rsidRPr="00E56DA5">
        <w:tab/>
        <w:t>a lessor gives the tenant a signed bond release application form under section 34 (Bond release application—lessor’s obligations) in relation to a residential tenancy agreement; and</w:t>
      </w:r>
    </w:p>
    <w:p w:rsidR="00F256E2" w:rsidRPr="00E56DA5" w:rsidRDefault="00F256E2" w:rsidP="00F256E2">
      <w:pPr>
        <w:pStyle w:val="Apara"/>
      </w:pPr>
      <w:r w:rsidRPr="00E56DA5">
        <w:tab/>
        <w:t>(b)</w:t>
      </w:r>
      <w:r w:rsidRPr="00E56DA5">
        <w:tab/>
        <w:t>the tenant or, if there is more than 1 tenant, each tenant signs the form.</w:t>
      </w:r>
    </w:p>
    <w:p w:rsidR="00F256E2" w:rsidRPr="00E56DA5" w:rsidRDefault="00F256E2" w:rsidP="00F256E2">
      <w:pPr>
        <w:pStyle w:val="Amain"/>
      </w:pPr>
      <w:r w:rsidRPr="00E56DA5">
        <w:tab/>
        <w:t>(2)</w:t>
      </w:r>
      <w:r w:rsidRPr="00E56DA5">
        <w:tab/>
        <w:t>The lessor or tenant may give the signed application to the Territory.</w:t>
      </w:r>
    </w:p>
    <w:p w:rsidR="00F256E2" w:rsidRPr="00E56DA5" w:rsidRDefault="00F256E2" w:rsidP="00BF5A2E">
      <w:pPr>
        <w:pStyle w:val="Amain"/>
        <w:keepNext/>
      </w:pPr>
      <w:r w:rsidRPr="00E56DA5">
        <w:tab/>
        <w:t>(3)</w:t>
      </w:r>
      <w:r w:rsidRPr="00E56DA5">
        <w:tab/>
        <w:t>On receiving the signed application, the Territory must pay out of the trust account—</w:t>
      </w:r>
    </w:p>
    <w:p w:rsidR="00F256E2" w:rsidRPr="00E56DA5" w:rsidRDefault="00F256E2" w:rsidP="00F256E2">
      <w:pPr>
        <w:pStyle w:val="Apara"/>
      </w:pPr>
      <w:r w:rsidRPr="00E56DA5">
        <w:tab/>
        <w:t>(a)</w:t>
      </w:r>
      <w:r w:rsidRPr="00E56DA5">
        <w:tab/>
        <w:t>to the tenant or, if there is more than 1 tenant, the tenants—the amount claimed as the bond in the application, less any amount claimed by the lessor as a deduction from the bond; and</w:t>
      </w:r>
    </w:p>
    <w:p w:rsidR="00F256E2" w:rsidRPr="00E56DA5" w:rsidRDefault="00F256E2" w:rsidP="00F256E2">
      <w:pPr>
        <w:pStyle w:val="Apara"/>
      </w:pPr>
      <w:r w:rsidRPr="00E56DA5">
        <w:tab/>
        <w:t>(b)</w:t>
      </w:r>
      <w:r w:rsidRPr="00E56DA5">
        <w:tab/>
        <w:t>to the lessor—any amount claimed as a deduction.</w:t>
      </w:r>
    </w:p>
    <w:p w:rsidR="00F256E2" w:rsidRPr="00E56DA5" w:rsidRDefault="00F256E2" w:rsidP="00F256E2">
      <w:pPr>
        <w:pStyle w:val="Amain"/>
      </w:pPr>
      <w:r w:rsidRPr="00E56DA5">
        <w:lastRenderedPageBreak/>
        <w:tab/>
        <w:t>(4)</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6" w:name="_Toc23417873"/>
      <w:r w:rsidRPr="001403E0">
        <w:rPr>
          <w:rStyle w:val="CharSectNo"/>
        </w:rPr>
        <w:t>34B</w:t>
      </w:r>
      <w:r w:rsidRPr="00E56DA5">
        <w:tab/>
        <w:t>Bond release application—application by tenant</w:t>
      </w:r>
      <w:bookmarkEnd w:id="66"/>
    </w:p>
    <w:p w:rsidR="00F256E2" w:rsidRPr="00E56DA5" w:rsidRDefault="00F256E2" w:rsidP="00F256E2">
      <w:pPr>
        <w:pStyle w:val="Amain"/>
      </w:pPr>
      <w:r w:rsidRPr="00E56DA5">
        <w:tab/>
        <w:t>(1)</w:t>
      </w:r>
      <w:r w:rsidRPr="00E56DA5">
        <w:tab/>
        <w:t>A tenant may make a bond release application to the Territory if—</w:t>
      </w:r>
    </w:p>
    <w:p w:rsidR="00F256E2" w:rsidRPr="00E56DA5" w:rsidRDefault="00F256E2" w:rsidP="00F256E2">
      <w:pPr>
        <w:pStyle w:val="Apara"/>
      </w:pPr>
      <w:r w:rsidRPr="00E56DA5">
        <w:tab/>
        <w:t>(a)</w:t>
      </w:r>
      <w:r w:rsidRPr="00E56DA5">
        <w:tab/>
        <w:t>the tenant has not received a bond release application form from the lessor under section 34 (Bond release application—lessor’s obligations); or</w:t>
      </w:r>
    </w:p>
    <w:p w:rsidR="00F256E2" w:rsidRPr="00E56DA5" w:rsidRDefault="00F256E2" w:rsidP="00F256E2">
      <w:pPr>
        <w:pStyle w:val="Apara"/>
      </w:pPr>
      <w:r w:rsidRPr="00E56DA5">
        <w:tab/>
        <w:t>(b)</w:t>
      </w:r>
      <w:r w:rsidRPr="00E56DA5">
        <w:tab/>
        <w:t>the tenant has received a bond release application form under section 34 and has not signed the form; or</w:t>
      </w:r>
    </w:p>
    <w:p w:rsidR="00F256E2" w:rsidRPr="00E56DA5" w:rsidRDefault="00F256E2" w:rsidP="00F256E2">
      <w:pPr>
        <w:pStyle w:val="Apara"/>
      </w:pPr>
      <w:r w:rsidRPr="00E56DA5">
        <w:tab/>
        <w:t>(c)</w:t>
      </w:r>
      <w:r w:rsidRPr="00E56DA5">
        <w:tab/>
        <w:t>if there is more than 1 tenant—</w:t>
      </w:r>
    </w:p>
    <w:p w:rsidR="00F256E2" w:rsidRPr="00E56DA5" w:rsidRDefault="00F256E2" w:rsidP="00F256E2">
      <w:pPr>
        <w:pStyle w:val="Asubpara"/>
      </w:pPr>
      <w:r w:rsidRPr="00E56DA5">
        <w:tab/>
        <w:t>(i)</w:t>
      </w:r>
      <w:r w:rsidRPr="00E56DA5">
        <w:tab/>
        <w:t>the tenants have received a bond release application form from the lessor under section 34; and</w:t>
      </w:r>
    </w:p>
    <w:p w:rsidR="00F256E2" w:rsidRPr="00E56DA5" w:rsidRDefault="00F256E2" w:rsidP="00F256E2">
      <w:pPr>
        <w:pStyle w:val="Asubpara"/>
      </w:pPr>
      <w:r w:rsidRPr="00E56DA5">
        <w:tab/>
        <w:t>(ii)</w:t>
      </w:r>
      <w:r w:rsidRPr="00E56DA5">
        <w:tab/>
        <w:t>the tenant making the application has signed the form; but</w:t>
      </w:r>
    </w:p>
    <w:p w:rsidR="00F256E2" w:rsidRPr="00E56DA5" w:rsidRDefault="00F256E2" w:rsidP="00F256E2">
      <w:pPr>
        <w:pStyle w:val="Asubpara"/>
      </w:pPr>
      <w:r w:rsidRPr="00E56DA5">
        <w:tab/>
        <w:t>(iii)</w:t>
      </w:r>
      <w:r w:rsidRPr="00E56DA5">
        <w:tab/>
        <w:t>at least 1 tenant has not signed the form.</w:t>
      </w:r>
    </w:p>
    <w:p w:rsidR="00F256E2" w:rsidRPr="00E56DA5" w:rsidRDefault="00F256E2" w:rsidP="00F256E2">
      <w:pPr>
        <w:pStyle w:val="Amain"/>
      </w:pPr>
      <w:r w:rsidRPr="00E56DA5">
        <w:tab/>
        <w:t>(2)</w:t>
      </w:r>
      <w:r w:rsidRPr="00E56DA5">
        <w:tab/>
        <w:t>On receiving a bond release application from the tenant,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lessor and each tenant who has not signed the application (other than the applicant); and</w:t>
      </w:r>
    </w:p>
    <w:p w:rsidR="00F256E2" w:rsidRPr="00E56DA5" w:rsidRDefault="00F256E2" w:rsidP="00BF5A2E">
      <w:pPr>
        <w:pStyle w:val="Apara"/>
        <w:keepLines/>
      </w:pPr>
      <w:r w:rsidRPr="00E56DA5">
        <w:tab/>
        <w:t>(b)</w:t>
      </w:r>
      <w:r w:rsidRPr="00E56DA5">
        <w:tab/>
        <w:t>if the Territory does not receive a notice disputing the application from a person mentioned in paragraph (a) within 2 weeks after the day the person was given the notice of application—pay out of the trust account in accordance with the application the amount claimed as bond in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7" w:name="_Toc23417874"/>
      <w:r w:rsidRPr="001403E0">
        <w:rPr>
          <w:rStyle w:val="CharSectNo"/>
        </w:rPr>
        <w:lastRenderedPageBreak/>
        <w:t>34C</w:t>
      </w:r>
      <w:r w:rsidRPr="00E56DA5">
        <w:tab/>
        <w:t>Bond release application—application by lessor</w:t>
      </w:r>
      <w:bookmarkEnd w:id="67"/>
    </w:p>
    <w:p w:rsidR="00F256E2" w:rsidRPr="00E56DA5" w:rsidRDefault="00F256E2" w:rsidP="00F256E2">
      <w:pPr>
        <w:pStyle w:val="Amain"/>
      </w:pPr>
      <w:r w:rsidRPr="00E56DA5">
        <w:tab/>
        <w:t>(1)</w:t>
      </w:r>
      <w:r w:rsidRPr="00E56DA5">
        <w:tab/>
        <w:t>A lessor may make a bond release application to the Territory—</w:t>
      </w:r>
    </w:p>
    <w:p w:rsidR="00F256E2" w:rsidRPr="00E56DA5" w:rsidRDefault="00F256E2" w:rsidP="00F256E2">
      <w:pPr>
        <w:pStyle w:val="Apara"/>
      </w:pPr>
      <w:r w:rsidRPr="00E56DA5">
        <w:tab/>
        <w:t>(a)</w:t>
      </w:r>
      <w:r w:rsidRPr="00E56DA5">
        <w:tab/>
        <w:t>if—</w:t>
      </w:r>
    </w:p>
    <w:p w:rsidR="00F256E2" w:rsidRPr="00E56DA5" w:rsidRDefault="00F256E2" w:rsidP="00F256E2">
      <w:pPr>
        <w:pStyle w:val="Asubpara"/>
      </w:pPr>
      <w:r w:rsidRPr="00E56DA5">
        <w:tab/>
        <w:t>(i)</w:t>
      </w:r>
      <w:r w:rsidRPr="00E56DA5">
        <w:tab/>
        <w:t>the lessor had given a tenant a bond release application form under section 34 (Bond release application—lessor’s obligations); and</w:t>
      </w:r>
    </w:p>
    <w:p w:rsidR="00F256E2" w:rsidRPr="00E56DA5" w:rsidRDefault="00F256E2" w:rsidP="00F256E2">
      <w:pPr>
        <w:pStyle w:val="Asubpara"/>
      </w:pPr>
      <w:r w:rsidRPr="00E56DA5">
        <w:tab/>
        <w:t>(ii)</w:t>
      </w:r>
      <w:r w:rsidRPr="00E56DA5">
        <w:tab/>
        <w:t>the tenant has not given the signed bond release application to the Territory or lessor within 10 days or any longer period prescribed by regulation; or</w:t>
      </w:r>
    </w:p>
    <w:p w:rsidR="00F256E2" w:rsidRPr="00E56DA5" w:rsidRDefault="00F256E2" w:rsidP="00F256E2">
      <w:pPr>
        <w:pStyle w:val="Apara"/>
      </w:pPr>
      <w:r w:rsidRPr="00E56DA5">
        <w:tab/>
        <w:t>(b)</w:t>
      </w:r>
      <w:r w:rsidRPr="00E56DA5">
        <w:tab/>
        <w:t xml:space="preserve">if, despite taking reasonable steps to do so, the lessor has been unable to give a bond release application form to a tenant under section 34. </w:t>
      </w:r>
    </w:p>
    <w:p w:rsidR="00F256E2" w:rsidRPr="00E56DA5" w:rsidRDefault="00F256E2" w:rsidP="002F23A1">
      <w:pPr>
        <w:pStyle w:val="Amain"/>
        <w:keepNext/>
      </w:pPr>
      <w:r w:rsidRPr="00E56DA5">
        <w:tab/>
        <w:t>(2)</w:t>
      </w:r>
      <w:r w:rsidRPr="00E56DA5">
        <w:tab/>
        <w:t>On receiving a bond release application from the lessor,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tenant; and</w:t>
      </w:r>
    </w:p>
    <w:p w:rsidR="00F256E2" w:rsidRPr="00E56DA5" w:rsidRDefault="00F256E2" w:rsidP="00F256E2">
      <w:pPr>
        <w:pStyle w:val="Apara"/>
      </w:pPr>
      <w:r w:rsidRPr="00E56DA5">
        <w:tab/>
        <w:t>(b)</w:t>
      </w:r>
      <w:r w:rsidRPr="00E56DA5">
        <w:tab/>
        <w:t>if the Territory does not receive a notice disputing the application from the tenant within 2 weeks after the day the tenant was given the notice of application—pay out of the trust account in accordance with the application the amount claimed as bond in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F256E2" w:rsidRPr="00E56DA5" w:rsidRDefault="00F256E2" w:rsidP="00F256E2">
      <w:pPr>
        <w:pStyle w:val="AH5Sec"/>
      </w:pPr>
      <w:bookmarkStart w:id="68" w:name="_Toc23417875"/>
      <w:r w:rsidRPr="001403E0">
        <w:rPr>
          <w:rStyle w:val="CharSectNo"/>
        </w:rPr>
        <w:t>34D</w:t>
      </w:r>
      <w:r w:rsidRPr="00E56DA5">
        <w:tab/>
        <w:t>Bond release application before end of agreement</w:t>
      </w:r>
      <w:bookmarkEnd w:id="68"/>
    </w:p>
    <w:p w:rsidR="00F256E2" w:rsidRPr="00E56DA5" w:rsidRDefault="00F256E2" w:rsidP="00F256E2">
      <w:pPr>
        <w:pStyle w:val="Amain"/>
      </w:pPr>
      <w:r w:rsidRPr="00E56DA5">
        <w:tab/>
        <w:t>(1)</w:t>
      </w:r>
      <w:r w:rsidRPr="00E56DA5">
        <w:tab/>
        <w:t>A bond release application may be made before the termination of a residential tenancy agreement if it is—</w:t>
      </w:r>
    </w:p>
    <w:p w:rsidR="00F256E2" w:rsidRPr="00E56DA5" w:rsidRDefault="00F256E2" w:rsidP="00F256E2">
      <w:pPr>
        <w:pStyle w:val="Apara"/>
      </w:pPr>
      <w:r w:rsidRPr="00E56DA5">
        <w:tab/>
        <w:t>(a)</w:t>
      </w:r>
      <w:r w:rsidRPr="00E56DA5">
        <w:tab/>
        <w:t>made by the tenant and lessor jointly; or</w:t>
      </w:r>
    </w:p>
    <w:p w:rsidR="00F256E2" w:rsidRPr="00E56DA5" w:rsidRDefault="00F256E2" w:rsidP="00F256E2">
      <w:pPr>
        <w:pStyle w:val="Apara"/>
      </w:pPr>
      <w:r w:rsidRPr="00E56DA5">
        <w:lastRenderedPageBreak/>
        <w:tab/>
        <w:t>(b)</w:t>
      </w:r>
      <w:r w:rsidRPr="00E56DA5">
        <w:tab/>
        <w:t>made by the lessor for payment to the tenant, or by the tenant for payment to the lessor, of the total amount of the bond paid under the agreement; or</w:t>
      </w:r>
    </w:p>
    <w:p w:rsidR="00F256E2" w:rsidRPr="00E56DA5" w:rsidRDefault="00F256E2" w:rsidP="00F256E2">
      <w:pPr>
        <w:pStyle w:val="Apara"/>
      </w:pPr>
      <w:r w:rsidRPr="00E56DA5">
        <w:tab/>
        <w:t>(c)</w:t>
      </w:r>
      <w:r w:rsidRPr="00E56DA5">
        <w:tab/>
        <w:t>made by the lessor or tenant in accordance with an order of the ACAT stating that money is to be paid from an amount of bond.</w:t>
      </w:r>
    </w:p>
    <w:p w:rsidR="00F256E2" w:rsidRPr="00E56DA5" w:rsidRDefault="00F256E2" w:rsidP="00F256E2">
      <w:pPr>
        <w:pStyle w:val="aNote"/>
        <w:keepNext/>
      </w:pPr>
      <w:r w:rsidRPr="00E56DA5">
        <w:rPr>
          <w:rStyle w:val="charItals"/>
        </w:rPr>
        <w:t>Note 1</w:t>
      </w:r>
      <w:r w:rsidRPr="00E56DA5">
        <w:tab/>
        <w:t>If a form is approved under s 133 for this provision, the form must be used.</w:t>
      </w:r>
    </w:p>
    <w:p w:rsidR="00F256E2" w:rsidRPr="00E56DA5" w:rsidRDefault="00F256E2" w:rsidP="00F256E2">
      <w:pPr>
        <w:pStyle w:val="aNote"/>
      </w:pPr>
      <w:r w:rsidRPr="00E56DA5">
        <w:rPr>
          <w:rStyle w:val="charItals"/>
        </w:rPr>
        <w:t>Note 2</w:t>
      </w:r>
      <w:r w:rsidRPr="00E56DA5">
        <w:rPr>
          <w:rStyle w:val="charItals"/>
        </w:rPr>
        <w:tab/>
      </w:r>
      <w:r w:rsidRPr="00E56DA5">
        <w:t>Section 34E deals with applications mentioned in s (1) (c).</w:t>
      </w:r>
    </w:p>
    <w:p w:rsidR="00F256E2" w:rsidRPr="00E56DA5" w:rsidRDefault="00F256E2" w:rsidP="002F23A1">
      <w:pPr>
        <w:pStyle w:val="Amain"/>
        <w:keepNext/>
      </w:pPr>
      <w:r w:rsidRPr="00E56DA5">
        <w:tab/>
        <w:t>(2)</w:t>
      </w:r>
      <w:r w:rsidRPr="00E56DA5">
        <w:tab/>
        <w:t>On receiving an application under subsection (1) (a), the Territory must pay out of the trust account—</w:t>
      </w:r>
    </w:p>
    <w:p w:rsidR="00F256E2" w:rsidRPr="00E56DA5" w:rsidRDefault="00F256E2" w:rsidP="00F256E2">
      <w:pPr>
        <w:pStyle w:val="Apara"/>
      </w:pPr>
      <w:r w:rsidRPr="00E56DA5">
        <w:tab/>
        <w:t>(a)</w:t>
      </w:r>
      <w:r w:rsidRPr="00E56DA5">
        <w:tab/>
        <w:t>to the tenant—the amount claimed as the bond in the application, less any amount claimed by the lessor as a deduction from the bond; and</w:t>
      </w:r>
    </w:p>
    <w:p w:rsidR="00F256E2" w:rsidRPr="00E56DA5" w:rsidRDefault="00F256E2" w:rsidP="00F256E2">
      <w:pPr>
        <w:pStyle w:val="Apara"/>
      </w:pPr>
      <w:r w:rsidRPr="00E56DA5">
        <w:tab/>
        <w:t>(b)</w:t>
      </w:r>
      <w:r w:rsidRPr="00E56DA5">
        <w:tab/>
        <w:t>to the lessor—any amount claimed as a deduction;</w:t>
      </w:r>
    </w:p>
    <w:p w:rsidR="00F256E2" w:rsidRPr="00E56DA5" w:rsidRDefault="00F256E2" w:rsidP="00F256E2">
      <w:pPr>
        <w:pStyle w:val="Amain"/>
      </w:pPr>
      <w:r w:rsidRPr="00E56DA5">
        <w:tab/>
        <w:t>(3)</w:t>
      </w:r>
      <w:r w:rsidRPr="00E56DA5">
        <w:tab/>
        <w:t>On receiving an application under subsection (1) (b), the Territory must pay out of the trust account the amount claimed as the bond to the person mentioned in the application as the recipient.</w:t>
      </w:r>
    </w:p>
    <w:p w:rsidR="00F256E2" w:rsidRPr="00E56DA5" w:rsidRDefault="00F256E2" w:rsidP="00F256E2">
      <w:pPr>
        <w:pStyle w:val="Amain"/>
      </w:pPr>
      <w:r w:rsidRPr="00E56DA5">
        <w:tab/>
        <w:t>(4)</w:t>
      </w:r>
      <w:r w:rsidRPr="00E56DA5">
        <w:tab/>
        <w:t>The amount paid out of the trust account under subsection (2) or (3) must not exceed the amount of bond paid into the trust account in relation to the residential tenancy agreement.</w:t>
      </w:r>
    </w:p>
    <w:p w:rsidR="00F256E2" w:rsidRPr="00E56DA5" w:rsidRDefault="00F256E2" w:rsidP="00F256E2">
      <w:pPr>
        <w:pStyle w:val="AH5Sec"/>
      </w:pPr>
      <w:bookmarkStart w:id="69" w:name="_Toc23417876"/>
      <w:r w:rsidRPr="001403E0">
        <w:rPr>
          <w:rStyle w:val="CharSectNo"/>
        </w:rPr>
        <w:t>34E</w:t>
      </w:r>
      <w:r w:rsidRPr="00E56DA5">
        <w:tab/>
        <w:t>Bond release application—ACAT order</w:t>
      </w:r>
      <w:bookmarkEnd w:id="69"/>
    </w:p>
    <w:p w:rsidR="00F256E2" w:rsidRPr="00E56DA5" w:rsidRDefault="00F256E2" w:rsidP="00F256E2">
      <w:pPr>
        <w:pStyle w:val="Amain"/>
      </w:pPr>
      <w:r w:rsidRPr="00E56DA5">
        <w:tab/>
        <w:t>(1)</w:t>
      </w:r>
      <w:r w:rsidRPr="00E56DA5">
        <w:tab/>
        <w:t>This section applies if a lessor or tenant makes a bond release application, to the Territory, in relation to a residential tenancy agreement that is in accordance with an order of the ACAT stating an amount of money is to be paid from an amount of bond.</w:t>
      </w:r>
    </w:p>
    <w:p w:rsidR="00F256E2" w:rsidRPr="00E56DA5" w:rsidRDefault="00F256E2" w:rsidP="00F256E2">
      <w:pPr>
        <w:pStyle w:val="aNote"/>
      </w:pPr>
      <w:r w:rsidRPr="00E56DA5">
        <w:rPr>
          <w:rStyle w:val="charItals"/>
        </w:rPr>
        <w:t>Note</w:t>
      </w:r>
      <w:r w:rsidRPr="00E56DA5">
        <w:tab/>
        <w:t>If a form is approved under s 133 for this provision, the form must be used.</w:t>
      </w:r>
    </w:p>
    <w:p w:rsidR="00F256E2" w:rsidRPr="00E56DA5" w:rsidRDefault="00F256E2" w:rsidP="008504EE">
      <w:pPr>
        <w:pStyle w:val="Amain"/>
        <w:keepNext/>
      </w:pPr>
      <w:r w:rsidRPr="00E56DA5">
        <w:lastRenderedPageBreak/>
        <w:tab/>
        <w:t>(2)</w:t>
      </w:r>
      <w:r w:rsidRPr="00E56DA5">
        <w:tab/>
        <w:t>On receiving the application, the Territory must—</w:t>
      </w:r>
    </w:p>
    <w:p w:rsidR="00F256E2" w:rsidRPr="00E56DA5" w:rsidRDefault="00F256E2" w:rsidP="00F256E2">
      <w:pPr>
        <w:pStyle w:val="Apara"/>
      </w:pPr>
      <w:r w:rsidRPr="00E56DA5">
        <w:tab/>
        <w:t>(a)</w:t>
      </w:r>
      <w:r w:rsidRPr="00E56DA5">
        <w:tab/>
        <w:t xml:space="preserve">give written notice of the application (a </w:t>
      </w:r>
      <w:r w:rsidRPr="00E56DA5">
        <w:rPr>
          <w:rStyle w:val="charBoldItals"/>
        </w:rPr>
        <w:t>notice of application</w:t>
      </w:r>
      <w:r w:rsidRPr="00E56DA5">
        <w:t>) to the party to the agreement who did not make the application; and</w:t>
      </w:r>
    </w:p>
    <w:p w:rsidR="00F256E2" w:rsidRPr="00E56DA5" w:rsidRDefault="00F256E2" w:rsidP="00F256E2">
      <w:pPr>
        <w:pStyle w:val="Apara"/>
      </w:pPr>
      <w:r w:rsidRPr="00E56DA5">
        <w:tab/>
        <w:t>(b)</w:t>
      </w:r>
      <w:r w:rsidRPr="00E56DA5">
        <w:tab/>
        <w:t>pay out of the trust account an amount of bond in accordance with the application.</w:t>
      </w:r>
    </w:p>
    <w:p w:rsidR="00F256E2" w:rsidRPr="00E56DA5" w:rsidRDefault="00F256E2" w:rsidP="00F256E2">
      <w:pPr>
        <w:pStyle w:val="Amain"/>
      </w:pPr>
      <w:r w:rsidRPr="00E56DA5">
        <w:tab/>
        <w:t>(3)</w:t>
      </w:r>
      <w:r w:rsidRPr="00E56DA5">
        <w:tab/>
        <w:t>The amount paid out of the trust account must not exceed the amount of bond paid into the trust account in relation to the residential tenancy agreement.</w:t>
      </w:r>
    </w:p>
    <w:p w:rsidR="0034684F" w:rsidRDefault="0034684F" w:rsidP="0034684F">
      <w:pPr>
        <w:pStyle w:val="AH5Sec"/>
      </w:pPr>
      <w:bookmarkStart w:id="70" w:name="_Toc23417877"/>
      <w:r w:rsidRPr="001403E0">
        <w:rPr>
          <w:rStyle w:val="CharSectNo"/>
        </w:rPr>
        <w:t>35</w:t>
      </w:r>
      <w:r>
        <w:tab/>
        <w:t>Disputes about all or part of bond</w:t>
      </w:r>
      <w:bookmarkEnd w:id="70"/>
    </w:p>
    <w:p w:rsidR="0034684F" w:rsidRDefault="0034684F" w:rsidP="0034684F">
      <w:pPr>
        <w:pStyle w:val="Amain"/>
      </w:pPr>
      <w:r>
        <w:tab/>
        <w:t>(1)</w:t>
      </w:r>
      <w:r>
        <w:tab/>
        <w:t>This section applies if—</w:t>
      </w:r>
    </w:p>
    <w:p w:rsidR="00F256E2" w:rsidRPr="00E56DA5" w:rsidRDefault="00F256E2" w:rsidP="00F256E2">
      <w:pPr>
        <w:pStyle w:val="Apara"/>
      </w:pPr>
      <w:r w:rsidRPr="00E56DA5">
        <w:tab/>
        <w:t>(a)</w:t>
      </w:r>
      <w:r w:rsidRPr="00E56DA5">
        <w:tab/>
        <w:t xml:space="preserve">a tenant or lessor is given a notice (a </w:t>
      </w:r>
      <w:r w:rsidRPr="00E56DA5">
        <w:rPr>
          <w:rStyle w:val="charBoldItals"/>
        </w:rPr>
        <w:t>notice of application</w:t>
      </w:r>
      <w:r w:rsidRPr="00E56DA5">
        <w:t>) about a bond release application under section 34B (2) (a) (Bond release application—application by tenant) or section 34C (2) (a) (Bond release application—application by lessor); and</w:t>
      </w:r>
    </w:p>
    <w:p w:rsidR="0034684F" w:rsidRDefault="0034684F" w:rsidP="00AC4E9F">
      <w:pPr>
        <w:pStyle w:val="Apara"/>
        <w:keepNext/>
        <w:keepLines/>
      </w:pPr>
      <w:r>
        <w:tab/>
        <w:t>(b)</w:t>
      </w:r>
      <w:r>
        <w:tab/>
        <w:t>the tenant or lessor gives the Territory a written notice (a </w:t>
      </w:r>
      <w:r w:rsidRPr="009D74E7">
        <w:rPr>
          <w:rStyle w:val="charBoldItals"/>
        </w:rPr>
        <w:t>notice of dispute</w:t>
      </w:r>
      <w:r>
        <w:t>) disputing the application within 2 weeks after the day the notice of application is given to the tenant or lessor.</w:t>
      </w:r>
    </w:p>
    <w:p w:rsidR="0034684F" w:rsidRDefault="0034684F" w:rsidP="0034684F">
      <w:pPr>
        <w:pStyle w:val="Amain"/>
      </w:pPr>
      <w:r>
        <w:tab/>
        <w:t>(2)</w:t>
      </w:r>
      <w:r>
        <w:tab/>
        <w:t>The Territory must refer the application and notice of dispute to the ACAT as a tenancy dispute.</w:t>
      </w:r>
    </w:p>
    <w:p w:rsidR="0034684F" w:rsidRDefault="0034684F" w:rsidP="0034684F">
      <w:pPr>
        <w:pStyle w:val="Amain"/>
      </w:pPr>
      <w:r>
        <w:tab/>
        <w:t>(3)</w:t>
      </w:r>
      <w:r>
        <w:tab/>
        <w:t>However, the Territory need not refer the application and notice of dispute to the ACAT if the application is in accordance with an order of the ACAT stating that an amount is to be paid from an amount of bond.</w:t>
      </w:r>
    </w:p>
    <w:p w:rsidR="0034684F" w:rsidRDefault="0034684F" w:rsidP="0034684F">
      <w:pPr>
        <w:pStyle w:val="Amain"/>
      </w:pPr>
      <w:r>
        <w:tab/>
        <w:t>(4)</w:t>
      </w:r>
      <w:r>
        <w:tab/>
        <w:t>If a notice of dispute relates to only part of an amount of bond claimed, the Territory must, before referring the application and notice of dispute to the ACAT, release the amount of the bond that is not in dispute to the appropriate person.</w:t>
      </w:r>
    </w:p>
    <w:p w:rsidR="00450C28" w:rsidRDefault="00450C28">
      <w:pPr>
        <w:pStyle w:val="PageBreak"/>
      </w:pPr>
      <w:r>
        <w:br w:type="page"/>
      </w:r>
    </w:p>
    <w:p w:rsidR="00450C28" w:rsidRPr="001403E0" w:rsidRDefault="00450C28">
      <w:pPr>
        <w:pStyle w:val="AH2Part"/>
      </w:pPr>
      <w:bookmarkStart w:id="71" w:name="_Toc23417878"/>
      <w:r w:rsidRPr="001403E0">
        <w:rPr>
          <w:rStyle w:val="CharPartNo"/>
        </w:rPr>
        <w:lastRenderedPageBreak/>
        <w:t>Part 4</w:t>
      </w:r>
      <w:r>
        <w:tab/>
      </w:r>
      <w:r w:rsidRPr="001403E0">
        <w:rPr>
          <w:rStyle w:val="CharPartText"/>
        </w:rPr>
        <w:t>Termination of residential tenancy agreements</w:t>
      </w:r>
      <w:bookmarkEnd w:id="71"/>
    </w:p>
    <w:p w:rsidR="00450C28" w:rsidRPr="001403E0" w:rsidRDefault="00450C28">
      <w:pPr>
        <w:pStyle w:val="AH3Div"/>
      </w:pPr>
      <w:bookmarkStart w:id="72" w:name="_Toc23417879"/>
      <w:r w:rsidRPr="001403E0">
        <w:rPr>
          <w:rStyle w:val="CharDivNo"/>
        </w:rPr>
        <w:t>Division 4.1</w:t>
      </w:r>
      <w:r>
        <w:tab/>
      </w:r>
      <w:r w:rsidRPr="001403E0">
        <w:rPr>
          <w:rStyle w:val="CharDivText"/>
        </w:rPr>
        <w:t>General</w:t>
      </w:r>
      <w:bookmarkEnd w:id="72"/>
    </w:p>
    <w:p w:rsidR="00450C28" w:rsidRDefault="00450C28">
      <w:pPr>
        <w:pStyle w:val="AH5Sec"/>
      </w:pPr>
      <w:bookmarkStart w:id="73" w:name="_Toc23417880"/>
      <w:r w:rsidRPr="001403E0">
        <w:rPr>
          <w:rStyle w:val="CharSectNo"/>
        </w:rPr>
        <w:t>36</w:t>
      </w:r>
      <w:r>
        <w:tab/>
        <w:t>Termination</w:t>
      </w:r>
      <w:bookmarkEnd w:id="73"/>
    </w:p>
    <w:p w:rsidR="00450C28" w:rsidRDefault="007C0A2C" w:rsidP="007C0A2C">
      <w:pPr>
        <w:pStyle w:val="Amain"/>
      </w:pPr>
      <w:r>
        <w:tab/>
        <w:t>(1)</w:t>
      </w:r>
      <w:r>
        <w:tab/>
      </w:r>
      <w:r w:rsidR="00450C28">
        <w:t>Despite anything to the contrary in any territory law, a residential tenancy agreement must not terminate or be terminated other than in the following circumstances:</w:t>
      </w:r>
    </w:p>
    <w:p w:rsidR="00450C28" w:rsidRDefault="00450C28">
      <w:pPr>
        <w:pStyle w:val="Apara"/>
      </w:pPr>
      <w:r>
        <w:tab/>
        <w:t>(a)</w:t>
      </w:r>
      <w:r>
        <w:tab/>
        <w:t>if a fixed term agreement ends and the tenant vacates the premises on or after the end of the agreement;</w:t>
      </w:r>
    </w:p>
    <w:p w:rsidR="00450C28" w:rsidRDefault="00450C28">
      <w:pPr>
        <w:pStyle w:val="Apara"/>
      </w:pPr>
      <w:r>
        <w:tab/>
        <w:t>(b)</w:t>
      </w:r>
      <w:r>
        <w:tab/>
        <w:t>if a tenant notifies the lessor in the form approved under section 133 (Approved forms—Minister) for a termination notice, and vacates the premises in accordance with the notice;</w:t>
      </w:r>
    </w:p>
    <w:p w:rsidR="00450C28" w:rsidRDefault="00450C28">
      <w:pPr>
        <w:pStyle w:val="Apara"/>
      </w:pPr>
      <w:r>
        <w:tab/>
        <w:t>(c)</w:t>
      </w:r>
      <w:r>
        <w:tab/>
        <w:t xml:space="preserve">if the </w:t>
      </w:r>
      <w:r w:rsidR="009026B3">
        <w:t>ACAT</w:t>
      </w:r>
      <w:r>
        <w:t xml:space="preserve"> terminates an agreement under division 4.3</w:t>
      </w:r>
      <w:r w:rsidR="00F05F14" w:rsidRPr="002C6339">
        <w:t>, division 4.4 or division 6.5A</w:t>
      </w:r>
      <w:r>
        <w:t>;</w:t>
      </w:r>
    </w:p>
    <w:p w:rsidR="00450C28" w:rsidRDefault="00450C28">
      <w:pPr>
        <w:pStyle w:val="Apara"/>
      </w:pPr>
      <w:r>
        <w:tab/>
        <w:t>(d)</w:t>
      </w:r>
      <w:r>
        <w:tab/>
        <w:t xml:space="preserve">if the </w:t>
      </w:r>
      <w:r w:rsidR="009026B3">
        <w:t>ACAT</w:t>
      </w:r>
      <w:r>
        <w:t xml:space="preserve"> makes a termination and possession order in relation to the premises that are the subject of the agreement under division 4.4 </w:t>
      </w:r>
      <w:r w:rsidR="00414F10" w:rsidRPr="00604238">
        <w:t>, division 4.5, division 6.5 or division 6.5A</w:t>
      </w:r>
      <w:r>
        <w:t>;</w:t>
      </w:r>
    </w:p>
    <w:p w:rsidR="00450C28" w:rsidRDefault="00450C28">
      <w:pPr>
        <w:pStyle w:val="Apara"/>
      </w:pPr>
      <w:r>
        <w:tab/>
        <w:t>(e)</w:t>
      </w:r>
      <w:r>
        <w:tab/>
        <w:t>if the tenant abandons the premises that are the subject of the agreement;</w:t>
      </w:r>
    </w:p>
    <w:p w:rsidR="00450C28" w:rsidRDefault="00450C28">
      <w:pPr>
        <w:pStyle w:val="Apara"/>
      </w:pPr>
      <w:r>
        <w:tab/>
        <w:t>(f)</w:t>
      </w:r>
      <w:r>
        <w:tab/>
        <w:t>if a person takes action in accordance with section 64;</w:t>
      </w:r>
    </w:p>
    <w:p w:rsidR="00450C28" w:rsidRDefault="00450C28">
      <w:pPr>
        <w:pStyle w:val="Apara"/>
      </w:pPr>
      <w:r>
        <w:tab/>
        <w:t>(g)</w:t>
      </w:r>
      <w:r>
        <w:tab/>
        <w:t>if the tenant and lessor agree in writing to terminate the agreement and the tenant vacates the premises in accordance with the agreement to terminate;</w:t>
      </w:r>
    </w:p>
    <w:p w:rsidR="00450C28" w:rsidRDefault="00450C28">
      <w:pPr>
        <w:pStyle w:val="Apara"/>
      </w:pPr>
      <w:r>
        <w:tab/>
        <w:t>(h)</w:t>
      </w:r>
      <w:r>
        <w:tab/>
        <w:t>if the tenant and the lessor are the same person;</w:t>
      </w:r>
    </w:p>
    <w:p w:rsidR="00450C28" w:rsidRDefault="00450C28">
      <w:pPr>
        <w:pStyle w:val="Apara"/>
      </w:pPr>
      <w:r>
        <w:tab/>
        <w:t>(i)</w:t>
      </w:r>
      <w:r>
        <w:tab/>
        <w:t>if—</w:t>
      </w:r>
    </w:p>
    <w:p w:rsidR="00450C28" w:rsidRDefault="00450C28">
      <w:pPr>
        <w:pStyle w:val="Asubpara"/>
      </w:pPr>
      <w:r>
        <w:tab/>
        <w:t>(i)</w:t>
      </w:r>
      <w:r>
        <w:tab/>
        <w:t>a party to the agreement repudiates the agreement; and</w:t>
      </w:r>
    </w:p>
    <w:p w:rsidR="00450C28" w:rsidRDefault="00450C28">
      <w:pPr>
        <w:pStyle w:val="Asubpara"/>
      </w:pPr>
      <w:r>
        <w:tab/>
        <w:t>(ii)</w:t>
      </w:r>
      <w:r>
        <w:tab/>
        <w:t>the other party accepts the repudiation; and</w:t>
      </w:r>
    </w:p>
    <w:p w:rsidR="00450C28" w:rsidRDefault="00450C28">
      <w:pPr>
        <w:pStyle w:val="Asubpara"/>
      </w:pPr>
      <w:r>
        <w:lastRenderedPageBreak/>
        <w:tab/>
        <w:t>(iii)</w:t>
      </w:r>
      <w:r>
        <w:tab/>
        <w:t>the tenant vacates the premises;</w:t>
      </w:r>
    </w:p>
    <w:p w:rsidR="00450C28" w:rsidRDefault="00450C28">
      <w:pPr>
        <w:pStyle w:val="Apara"/>
      </w:pPr>
      <w:r>
        <w:tab/>
        <w:t>(k)</w:t>
      </w:r>
      <w:r>
        <w:tab/>
        <w:t>for crisis accommodation—if the lessor—</w:t>
      </w:r>
    </w:p>
    <w:p w:rsidR="00450C28" w:rsidRDefault="00450C28">
      <w:pPr>
        <w:pStyle w:val="Asubpara"/>
      </w:pPr>
      <w:r>
        <w:tab/>
        <w:t>(i)</w:t>
      </w:r>
      <w:r>
        <w:tab/>
        <w:t>gives the tenant 4 weeks notice to terminate the agreement; and</w:t>
      </w:r>
    </w:p>
    <w:p w:rsidR="00450C28" w:rsidRDefault="00450C28">
      <w:pPr>
        <w:pStyle w:val="Asubpara"/>
      </w:pPr>
      <w:r>
        <w:tab/>
        <w:t>(ii)</w:t>
      </w:r>
      <w:r>
        <w:tab/>
        <w:t>has given the tenant information about alternative accommodation; and</w:t>
      </w:r>
    </w:p>
    <w:p w:rsidR="00450C28" w:rsidRDefault="00450C28">
      <w:pPr>
        <w:pStyle w:val="Asubpara"/>
      </w:pPr>
      <w:r>
        <w:tab/>
        <w:t>(iii)</w:t>
      </w:r>
      <w:r>
        <w:tab/>
        <w:t>needs the premises to use as crisis accommodation fo</w:t>
      </w:r>
      <w:r w:rsidR="003D61B6">
        <w:t>r someone other than the tenant;</w:t>
      </w:r>
    </w:p>
    <w:p w:rsidR="00756A07" w:rsidRPr="00E17C2E" w:rsidRDefault="00756A07" w:rsidP="00756A07">
      <w:pPr>
        <w:pStyle w:val="Apara"/>
      </w:pPr>
      <w:r w:rsidRPr="00E17C2E">
        <w:tab/>
        <w:t>(l)</w:t>
      </w:r>
      <w:r w:rsidRPr="00E17C2E">
        <w:tab/>
        <w:t>if a party to the agreement terminates the agreement under section 64AA because the premises ar</w:t>
      </w:r>
      <w:r w:rsidR="00646ACD">
        <w:t>e affected residential premises;</w:t>
      </w:r>
    </w:p>
    <w:p w:rsidR="00756A07" w:rsidRDefault="00756A07" w:rsidP="00756A07">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646ACD" w:rsidRPr="00667352" w:rsidRDefault="00646ACD" w:rsidP="00646ACD">
      <w:pPr>
        <w:pStyle w:val="Apara"/>
      </w:pPr>
      <w:r w:rsidRPr="00667352">
        <w:tab/>
        <w:t>(m)</w:t>
      </w:r>
      <w:r w:rsidRPr="00667352">
        <w:tab/>
        <w:t>if a party to the agreement terminates the agreement under section 64AB because the premises ar</w:t>
      </w:r>
      <w:r w:rsidR="00F256E2">
        <w:t>e an eligible impacted property;</w:t>
      </w:r>
    </w:p>
    <w:p w:rsidR="00646ACD" w:rsidRDefault="00646ACD" w:rsidP="00646ACD">
      <w:pPr>
        <w:pStyle w:val="aNotepar"/>
      </w:pPr>
      <w:r w:rsidRPr="00C13D82">
        <w:rPr>
          <w:rStyle w:val="charItals"/>
        </w:rPr>
        <w:t>Note</w:t>
      </w:r>
      <w:r w:rsidRPr="00C13D82">
        <w:rPr>
          <w:rStyle w:val="charItals"/>
        </w:rPr>
        <w:tab/>
      </w:r>
      <w:r w:rsidRPr="00C13D82">
        <w:rPr>
          <w:rStyle w:val="charBoldItals"/>
        </w:rPr>
        <w:t>Eligible impacted property</w:t>
      </w:r>
      <w:r w:rsidRPr="00667352">
        <w:t xml:space="preserve">—see the </w:t>
      </w:r>
      <w:hyperlink r:id="rId48" w:tooltip="A2003-40" w:history="1">
        <w:r w:rsidRPr="00334717">
          <w:rPr>
            <w:rStyle w:val="charCitHyperlinkItal"/>
          </w:rPr>
          <w:t>Civil Law (Sale of Residential Property) Act 2003</w:t>
        </w:r>
      </w:hyperlink>
      <w:r w:rsidRPr="00667352">
        <w:t>, s 9A (1).</w:t>
      </w:r>
    </w:p>
    <w:p w:rsidR="00F256E2" w:rsidRDefault="00F256E2" w:rsidP="00F256E2">
      <w:pPr>
        <w:pStyle w:val="Apara"/>
      </w:pPr>
      <w:r w:rsidRPr="00E56DA5">
        <w:tab/>
        <w:t>(n)</w:t>
      </w:r>
      <w:r w:rsidRPr="00E56DA5">
        <w:tab/>
        <w:t>if the agreement contains a fair clause for posted people—a party to the agreement terminates the agreement in accordance with the clause.</w:t>
      </w:r>
    </w:p>
    <w:p w:rsidR="00F256E2" w:rsidRPr="00E56DA5" w:rsidRDefault="00F256E2" w:rsidP="00F256E2">
      <w:pPr>
        <w:pStyle w:val="Amain"/>
      </w:pPr>
      <w:r w:rsidRPr="00E56DA5">
        <w:tab/>
        <w:t>(2)</w:t>
      </w:r>
      <w:r w:rsidRPr="00E56DA5">
        <w:tab/>
        <w:t xml:space="preserve">In this section: </w:t>
      </w:r>
    </w:p>
    <w:p w:rsidR="00F256E2" w:rsidRPr="00E56DA5" w:rsidRDefault="00F256E2" w:rsidP="00F256E2">
      <w:pPr>
        <w:pStyle w:val="aDef"/>
      </w:pPr>
      <w:r w:rsidRPr="00E56DA5">
        <w:rPr>
          <w:rStyle w:val="charBoldItals"/>
        </w:rPr>
        <w:t>fair clause for posted people</w:t>
      </w:r>
      <w:r w:rsidR="00BA19DF">
        <w:t>—see section 8 (2).</w:t>
      </w:r>
    </w:p>
    <w:p w:rsidR="00450C28" w:rsidRDefault="00450C28">
      <w:pPr>
        <w:pStyle w:val="AH5Sec"/>
      </w:pPr>
      <w:bookmarkStart w:id="74" w:name="_Toc23417881"/>
      <w:r w:rsidRPr="001403E0">
        <w:rPr>
          <w:rStyle w:val="CharSectNo"/>
        </w:rPr>
        <w:t>37</w:t>
      </w:r>
      <w:r>
        <w:tab/>
        <w:t>Entry for eviction purposes</w:t>
      </w:r>
      <w:bookmarkEnd w:id="74"/>
    </w:p>
    <w:p w:rsidR="00450C28" w:rsidRDefault="00450C28">
      <w:pPr>
        <w:pStyle w:val="Amain"/>
      </w:pPr>
      <w:r>
        <w:tab/>
        <w:t>(1)</w:t>
      </w:r>
      <w:r>
        <w:tab/>
        <w:t xml:space="preserve">A person must not enter premises or any part of premises of which someone else has prescribed possession for the purpose of recovering possession of the premises or part except in accordance with a warrant issued by the registrar, an order or a warrant of the </w:t>
      </w:r>
      <w:r w:rsidR="009026B3">
        <w:t>ACAT</w:t>
      </w:r>
      <w:r>
        <w:t xml:space="preserve"> or an order or judgment of the Supreme Court.</w:t>
      </w:r>
    </w:p>
    <w:p w:rsidR="00450C28" w:rsidRDefault="00450C28">
      <w:pPr>
        <w:pStyle w:val="Amain"/>
      </w:pPr>
      <w:r>
        <w:lastRenderedPageBreak/>
        <w:tab/>
        <w:t>(2)</w:t>
      </w:r>
      <w:r>
        <w:tab/>
        <w:t xml:space="preserve">Subject to subsection (3), if a person enters premises in contravention of subsection (1) (the </w:t>
      </w:r>
      <w:r>
        <w:rPr>
          <w:rStyle w:val="charBoldItals"/>
        </w:rPr>
        <w:t>offender</w:t>
      </w:r>
      <w:r>
        <w:t xml:space="preserve">), the </w:t>
      </w:r>
      <w:r w:rsidR="009026B3">
        <w:t>ACAT</w:t>
      </w:r>
      <w:r>
        <w:t xml:space="preserve"> must, on application, order the offender to pay to the person who had prescribed possession of the premises the compensation that the </w:t>
      </w:r>
      <w:r w:rsidR="009026B3">
        <w:t>ACAT</w:t>
      </w:r>
      <w:r>
        <w:t xml:space="preserve"> considers appropriate.</w:t>
      </w:r>
    </w:p>
    <w:p w:rsidR="00450C28" w:rsidRDefault="00450C28">
      <w:pPr>
        <w:pStyle w:val="Amain"/>
      </w:pPr>
      <w:r>
        <w:tab/>
        <w:t>(3)</w:t>
      </w:r>
      <w:r>
        <w:tab/>
        <w:t>In considering how much compensation is appropriate for subsection</w:t>
      </w:r>
      <w:r w:rsidR="008504EE">
        <w:t> </w:t>
      </w:r>
      <w:r>
        <w:t xml:space="preserve">(2), the </w:t>
      </w:r>
      <w:r w:rsidR="009026B3">
        <w:t>ACAT</w:t>
      </w:r>
      <w:r>
        <w:t xml:space="preserve"> must consider whether the lessor reasonably believed that the premises had been abandoned by the tenant.</w:t>
      </w:r>
    </w:p>
    <w:p w:rsidR="00450C28" w:rsidRDefault="00450C28">
      <w:pPr>
        <w:pStyle w:val="Amain"/>
      </w:pPr>
      <w:r>
        <w:tab/>
        <w:t>(4)</w:t>
      </w:r>
      <w:r>
        <w:tab/>
        <w:t xml:space="preserve">If an offender mentioned in subsection (2) is not the lessor but is acting on behalf of a lessor with the lessor’s consent, the </w:t>
      </w:r>
      <w:r w:rsidR="009026B3">
        <w:t>ACAT</w:t>
      </w:r>
      <w:r>
        <w:t xml:space="preserve"> must make any order for compensation that it would otherwise have made against the offender against the lessor.</w:t>
      </w:r>
    </w:p>
    <w:p w:rsidR="00450C28" w:rsidRDefault="00450C28">
      <w:pPr>
        <w:pStyle w:val="Amain"/>
        <w:keepNext/>
      </w:pPr>
      <w:r>
        <w:tab/>
        <w:t>(5)</w:t>
      </w:r>
      <w:r>
        <w:tab/>
        <w:t>For this section, the following possession is prescribed:</w:t>
      </w:r>
    </w:p>
    <w:p w:rsidR="00450C28" w:rsidRDefault="00450C28" w:rsidP="00A60C8B">
      <w:pPr>
        <w:pStyle w:val="Apara"/>
        <w:keepNext/>
      </w:pPr>
      <w:r>
        <w:tab/>
        <w:t>(a)</w:t>
      </w:r>
      <w:r>
        <w:tab/>
        <w:t>possession under a residential tenancy agreement;</w:t>
      </w:r>
    </w:p>
    <w:p w:rsidR="00450C28" w:rsidRDefault="00450C28">
      <w:pPr>
        <w:pStyle w:val="Apara"/>
      </w:pPr>
      <w:r>
        <w:tab/>
        <w:t>(b)</w:t>
      </w:r>
      <w:r>
        <w:tab/>
        <w:t>possession as a former tenant continuing to reside in the premises.</w:t>
      </w:r>
    </w:p>
    <w:p w:rsidR="00F256E2" w:rsidRPr="00E56DA5" w:rsidRDefault="00F256E2" w:rsidP="00F256E2">
      <w:pPr>
        <w:pStyle w:val="Amain"/>
      </w:pPr>
      <w:r w:rsidRPr="00E56DA5">
        <w:tab/>
        <w:t>(6)</w:t>
      </w:r>
      <w:r w:rsidRPr="00E56DA5">
        <w:tab/>
        <w:t xml:space="preserve">This section is subject to section 61A (Lessor may enter premises to confirm abandonment). </w:t>
      </w:r>
    </w:p>
    <w:p w:rsidR="00450C28" w:rsidRDefault="00450C28">
      <w:pPr>
        <w:pStyle w:val="AH5Sec"/>
      </w:pPr>
      <w:bookmarkStart w:id="75" w:name="_Toc23417882"/>
      <w:r w:rsidRPr="001403E0">
        <w:rPr>
          <w:rStyle w:val="CharSectNo"/>
        </w:rPr>
        <w:t>38</w:t>
      </w:r>
      <w:r>
        <w:tab/>
        <w:t>General duty to mitigate</w:t>
      </w:r>
      <w:bookmarkEnd w:id="75"/>
    </w:p>
    <w:p w:rsidR="00450C28" w:rsidRDefault="00450C28">
      <w:pPr>
        <w:pStyle w:val="Amainreturn"/>
      </w:pPr>
      <w:r>
        <w:t>A person who, apart from this section, would be entitled to compensation under this Act is not entitled to the compensation, or part of it, if the loss, or part of the loss, to be compensated could have been reasonably avoided.</w:t>
      </w:r>
    </w:p>
    <w:p w:rsidR="00450C28" w:rsidRDefault="00450C28">
      <w:pPr>
        <w:pStyle w:val="AH5Sec"/>
      </w:pPr>
      <w:bookmarkStart w:id="76" w:name="_Toc23417883"/>
      <w:r w:rsidRPr="001403E0">
        <w:rPr>
          <w:rStyle w:val="CharSectNo"/>
        </w:rPr>
        <w:t>39</w:t>
      </w:r>
      <w:r>
        <w:tab/>
        <w:t>Content of termination and possession orders</w:t>
      </w:r>
      <w:bookmarkEnd w:id="76"/>
    </w:p>
    <w:p w:rsidR="00450C28" w:rsidRDefault="00450C28">
      <w:pPr>
        <w:pStyle w:val="Amain"/>
      </w:pPr>
      <w:r>
        <w:tab/>
        <w:t>(1)</w:t>
      </w:r>
      <w:r>
        <w:tab/>
        <w:t xml:space="preserve">If the </w:t>
      </w:r>
      <w:r w:rsidR="009026B3">
        <w:t>ACAT</w:t>
      </w:r>
      <w:r>
        <w:t xml:space="preserve"> makes a termination and possession order the order must specify the following:</w:t>
      </w:r>
    </w:p>
    <w:p w:rsidR="00450C28" w:rsidRDefault="00450C28">
      <w:pPr>
        <w:pStyle w:val="Apara"/>
      </w:pPr>
      <w:r>
        <w:tab/>
        <w:t>(a)</w:t>
      </w:r>
      <w:r>
        <w:tab/>
        <w:t>the date the tenancy terminates;</w:t>
      </w:r>
    </w:p>
    <w:p w:rsidR="00450C28" w:rsidRDefault="00450C28">
      <w:pPr>
        <w:pStyle w:val="Apara"/>
      </w:pPr>
      <w:r>
        <w:lastRenderedPageBreak/>
        <w:tab/>
        <w:t>(b)</w:t>
      </w:r>
      <w:r>
        <w:tab/>
        <w:t>that the tenant must vacate the premises on or before the date of termination;</w:t>
      </w:r>
    </w:p>
    <w:p w:rsidR="00450C28" w:rsidRDefault="00450C28">
      <w:pPr>
        <w:pStyle w:val="Apara"/>
      </w:pPr>
      <w:r>
        <w:tab/>
        <w:t>(c)</w:t>
      </w:r>
      <w:r>
        <w:tab/>
        <w:t>either that, should the tenant fail to vacate the premises as specified—</w:t>
      </w:r>
    </w:p>
    <w:p w:rsidR="00450C28" w:rsidRDefault="00450C28">
      <w:pPr>
        <w:pStyle w:val="Asubpara"/>
      </w:pPr>
      <w:r>
        <w:tab/>
        <w:t>(i)</w:t>
      </w:r>
      <w:r>
        <w:tab/>
        <w:t>the lessor may request the registrar to issue a warrant for the eviction of the former tenant; or</w:t>
      </w:r>
    </w:p>
    <w:p w:rsidR="00450C28" w:rsidRDefault="00450C28">
      <w:pPr>
        <w:pStyle w:val="Asubpara"/>
      </w:pPr>
      <w:r>
        <w:tab/>
        <w:t>(ii)</w:t>
      </w:r>
      <w:r>
        <w:tab/>
        <w:t>the termination and possession order has effect as if it were a warrant for eviction.</w:t>
      </w:r>
    </w:p>
    <w:p w:rsidR="00450C28" w:rsidRDefault="00450C28">
      <w:pPr>
        <w:pStyle w:val="Amain"/>
      </w:pPr>
      <w:r>
        <w:tab/>
        <w:t>(2)</w:t>
      </w:r>
      <w:r>
        <w:tab/>
        <w:t xml:space="preserve">If a termination and possession order specifies that it has effect as if it were a warrant for eviction issued by the </w:t>
      </w:r>
      <w:r w:rsidR="009026B3">
        <w:t>ACAT</w:t>
      </w:r>
      <w:r>
        <w:t xml:space="preserve"> under division 4.2, the order must comply with section 40.</w:t>
      </w:r>
    </w:p>
    <w:p w:rsidR="00450C28" w:rsidRPr="001403E0" w:rsidRDefault="00450C28">
      <w:pPr>
        <w:pStyle w:val="AH3Div"/>
      </w:pPr>
      <w:bookmarkStart w:id="77" w:name="_Toc23417884"/>
      <w:r w:rsidRPr="001403E0">
        <w:rPr>
          <w:rStyle w:val="CharDivNo"/>
        </w:rPr>
        <w:t>Division 4.2</w:t>
      </w:r>
      <w:r>
        <w:tab/>
      </w:r>
      <w:r w:rsidRPr="001403E0">
        <w:rPr>
          <w:rStyle w:val="CharDivText"/>
        </w:rPr>
        <w:t>Warrants for eviction</w:t>
      </w:r>
      <w:bookmarkEnd w:id="77"/>
    </w:p>
    <w:p w:rsidR="00450C28" w:rsidRDefault="00450C28">
      <w:pPr>
        <w:pStyle w:val="AH5Sec"/>
      </w:pPr>
      <w:bookmarkStart w:id="78" w:name="_Toc23417885"/>
      <w:r w:rsidRPr="001403E0">
        <w:rPr>
          <w:rStyle w:val="CharSectNo"/>
        </w:rPr>
        <w:t>40</w:t>
      </w:r>
      <w:r>
        <w:tab/>
        <w:t>Content of warrant</w:t>
      </w:r>
      <w:bookmarkEnd w:id="78"/>
    </w:p>
    <w:p w:rsidR="00450C28" w:rsidRDefault="00450C28">
      <w:pPr>
        <w:pStyle w:val="Amain"/>
        <w:keepNext/>
      </w:pPr>
      <w:r>
        <w:tab/>
        <w:t>(1)</w:t>
      </w:r>
      <w:r>
        <w:tab/>
        <w:t>A warrant issued under this part must—</w:t>
      </w:r>
    </w:p>
    <w:p w:rsidR="00450C28" w:rsidRDefault="00450C28">
      <w:pPr>
        <w:pStyle w:val="Apara"/>
      </w:pPr>
      <w:r>
        <w:tab/>
        <w:t>(a)</w:t>
      </w:r>
      <w:r>
        <w:tab/>
        <w:t>authorise any police officer to take appropriate action, with any necessary and reasonable assistance, to evict a named person, or a named person and everyone else on the premises, within the period stated in the warrant; and</w:t>
      </w:r>
    </w:p>
    <w:p w:rsidR="00450C28" w:rsidRDefault="00450C28">
      <w:pPr>
        <w:pStyle w:val="Apara"/>
      </w:pPr>
      <w:r>
        <w:tab/>
        <w:t>(b)</w:t>
      </w:r>
      <w:r>
        <w:tab/>
        <w:t>require a police officer to give the named person not less than 2 days notice of the proposed eviction.</w:t>
      </w:r>
    </w:p>
    <w:p w:rsidR="00450C28" w:rsidRDefault="00450C28">
      <w:pPr>
        <w:pStyle w:val="Amain"/>
      </w:pPr>
      <w:r>
        <w:tab/>
        <w:t>(2)</w:t>
      </w:r>
      <w:r>
        <w:tab/>
        <w:t>Subsection (1) (b) does not apply if the registrar believes on reasonable grounds that—</w:t>
      </w:r>
    </w:p>
    <w:p w:rsidR="00450C28" w:rsidRDefault="00450C28">
      <w:pPr>
        <w:pStyle w:val="Apara"/>
      </w:pPr>
      <w:r>
        <w:tab/>
        <w:t>(a)</w:t>
      </w:r>
      <w:r>
        <w:tab/>
        <w:t>there are exceptional circumstances; and</w:t>
      </w:r>
    </w:p>
    <w:p w:rsidR="00450C28" w:rsidRDefault="00450C28">
      <w:pPr>
        <w:pStyle w:val="Apara"/>
      </w:pPr>
      <w:r>
        <w:tab/>
        <w:t>(b)</w:t>
      </w:r>
      <w:r>
        <w:tab/>
        <w:t>it would be inappropriate to give the notice required by subsection (1) (b).</w:t>
      </w:r>
    </w:p>
    <w:p w:rsidR="00450C28" w:rsidRDefault="00450C28">
      <w:pPr>
        <w:pStyle w:val="Amain"/>
      </w:pPr>
      <w:r>
        <w:tab/>
        <w:t>(3)</w:t>
      </w:r>
      <w:r>
        <w:tab/>
        <w:t>A regulation may prescribe what is, or is not, appropriate action to be taken under a warrant.</w:t>
      </w:r>
    </w:p>
    <w:p w:rsidR="00D81763" w:rsidRPr="00483A42" w:rsidRDefault="00D81763" w:rsidP="00D81763">
      <w:pPr>
        <w:pStyle w:val="AH5Sec"/>
      </w:pPr>
      <w:bookmarkStart w:id="79" w:name="_Toc23417886"/>
      <w:r w:rsidRPr="001403E0">
        <w:rPr>
          <w:rStyle w:val="CharSectNo"/>
        </w:rPr>
        <w:lastRenderedPageBreak/>
        <w:t>41</w:t>
      </w:r>
      <w:r w:rsidRPr="00483A42">
        <w:tab/>
        <w:t>Warrant—termination and possession order</w:t>
      </w:r>
      <w:bookmarkEnd w:id="79"/>
      <w:r w:rsidRPr="00483A42">
        <w:t xml:space="preserve"> </w:t>
      </w:r>
    </w:p>
    <w:p w:rsidR="00D81763" w:rsidRPr="00483A42" w:rsidRDefault="00D81763" w:rsidP="00D81763">
      <w:pPr>
        <w:pStyle w:val="Amainreturn"/>
      </w:pPr>
      <w:r w:rsidRPr="00483A42">
        <w:t>On application by a lessor, the registrar must issue a warrant for the eviction of a tenant if—</w:t>
      </w:r>
    </w:p>
    <w:p w:rsidR="00D81763" w:rsidRPr="00483A42" w:rsidRDefault="00D81763" w:rsidP="00D81763">
      <w:pPr>
        <w:pStyle w:val="Apara"/>
      </w:pPr>
      <w:r w:rsidRPr="00483A42">
        <w:tab/>
        <w:t>(a)</w:t>
      </w:r>
      <w:r w:rsidRPr="00483A42">
        <w:tab/>
        <w:t>the ACAT has made a termination and possession order in relation to the tenant; and</w:t>
      </w:r>
    </w:p>
    <w:p w:rsidR="00D81763" w:rsidRPr="00483A42" w:rsidRDefault="00D81763" w:rsidP="00D81763">
      <w:pPr>
        <w:pStyle w:val="Apara"/>
      </w:pPr>
      <w:r w:rsidRPr="00483A42">
        <w:tab/>
        <w:t>(b)</w:t>
      </w:r>
      <w:r w:rsidRPr="00483A42">
        <w:tab/>
        <w:t>the tenant fails to vacate the premises in accordance with the order.</w:t>
      </w:r>
    </w:p>
    <w:p w:rsidR="00D81763" w:rsidRPr="00483A42" w:rsidRDefault="00D81763" w:rsidP="00D81763">
      <w:pPr>
        <w:pStyle w:val="aNote"/>
      </w:pPr>
      <w:r w:rsidRPr="00483A42">
        <w:rPr>
          <w:rStyle w:val="charItals"/>
        </w:rPr>
        <w:t>Note</w:t>
      </w:r>
      <w:r w:rsidRPr="00483A42">
        <w:rPr>
          <w:rStyle w:val="charItals"/>
        </w:rPr>
        <w:tab/>
      </w:r>
      <w:r w:rsidRPr="00483A42">
        <w:t>The ACAT must also direct the registrar to issue a warrant for the eviction of a tenant if it makes a termination and possession order under s 49C.</w:t>
      </w:r>
    </w:p>
    <w:p w:rsidR="00450C28" w:rsidRPr="001403E0" w:rsidRDefault="00450C28">
      <w:pPr>
        <w:pStyle w:val="AH3Div"/>
      </w:pPr>
      <w:bookmarkStart w:id="80" w:name="_Toc23417887"/>
      <w:r w:rsidRPr="001403E0">
        <w:rPr>
          <w:rStyle w:val="CharDivNo"/>
        </w:rPr>
        <w:t>Division 4.3</w:t>
      </w:r>
      <w:r>
        <w:tab/>
      </w:r>
      <w:r w:rsidRPr="001403E0">
        <w:rPr>
          <w:rStyle w:val="CharDivText"/>
        </w:rPr>
        <w:t>Termination initiated by tenant</w:t>
      </w:r>
      <w:bookmarkEnd w:id="80"/>
    </w:p>
    <w:p w:rsidR="00450C28" w:rsidRDefault="00450C28">
      <w:pPr>
        <w:pStyle w:val="AH5Sec"/>
      </w:pPr>
      <w:bookmarkStart w:id="81" w:name="_Toc23417888"/>
      <w:r w:rsidRPr="001403E0">
        <w:rPr>
          <w:rStyle w:val="CharSectNo"/>
        </w:rPr>
        <w:t>43</w:t>
      </w:r>
      <w:r>
        <w:tab/>
        <w:t>Breach of standard residential tenancy terms</w:t>
      </w:r>
      <w:bookmarkEnd w:id="81"/>
    </w:p>
    <w:p w:rsidR="00450C28" w:rsidRDefault="00450C28" w:rsidP="00053676">
      <w:pPr>
        <w:pStyle w:val="Amain"/>
        <w:keepNext/>
      </w:pPr>
      <w:r>
        <w:tab/>
        <w:t>(1)</w:t>
      </w:r>
      <w:r>
        <w:tab/>
        <w:t xml:space="preserve">On application by a tenant, the </w:t>
      </w:r>
      <w:r w:rsidR="009026B3">
        <w:t>ACAT</w:t>
      </w:r>
      <w:r>
        <w:t xml:space="preserve"> may terminate a residential tenancy agreement if satisfied that—</w:t>
      </w:r>
    </w:p>
    <w:p w:rsidR="00450C28" w:rsidRDefault="00450C28">
      <w:pPr>
        <w:pStyle w:val="Apara"/>
      </w:pPr>
      <w:r>
        <w:tab/>
        <w:t>(a)</w:t>
      </w:r>
      <w:r>
        <w:tab/>
        <w:t>the lessor has breached the standard residential tenancy terms; and</w:t>
      </w:r>
    </w:p>
    <w:p w:rsidR="00450C28" w:rsidRDefault="00450C28">
      <w:pPr>
        <w:pStyle w:val="Apara"/>
      </w:pPr>
      <w:r>
        <w:tab/>
        <w:t>(b)</w:t>
      </w:r>
      <w:r>
        <w:tab/>
        <w:t xml:space="preserve">the breach of the standard residential tenancy terms was not in accordance with a term of the residential tenancy agreement endorsed by the </w:t>
      </w:r>
      <w:r w:rsidR="009026B3">
        <w:t>ACAT</w:t>
      </w:r>
      <w:r>
        <w:t>; and</w:t>
      </w:r>
    </w:p>
    <w:p w:rsidR="00450C28" w:rsidRDefault="00450C28">
      <w:pPr>
        <w:pStyle w:val="Apara"/>
      </w:pPr>
      <w:r>
        <w:tab/>
        <w:t>(c)</w:t>
      </w:r>
      <w:r>
        <w:tab/>
        <w:t>the breach justifies the termination of the tenancy.</w:t>
      </w:r>
    </w:p>
    <w:p w:rsidR="00450C28" w:rsidRDefault="00450C28">
      <w:pPr>
        <w:pStyle w:val="Amain"/>
      </w:pPr>
      <w:r>
        <w:tab/>
        <w:t>(2)</w:t>
      </w:r>
      <w:r>
        <w:tab/>
        <w:t>If—</w:t>
      </w:r>
    </w:p>
    <w:p w:rsidR="00450C28" w:rsidRDefault="00450C28">
      <w:pPr>
        <w:pStyle w:val="Apara"/>
      </w:pPr>
      <w:r>
        <w:tab/>
        <w:t>(a)</w:t>
      </w:r>
      <w:r>
        <w:tab/>
        <w:t xml:space="preserve">the </w:t>
      </w:r>
      <w:r w:rsidR="009026B3">
        <w:t>ACAT</w:t>
      </w:r>
      <w:r>
        <w:t xml:space="preserve"> decides to terminate a residential tenancy agreement in accordance with subsection (1); and</w:t>
      </w:r>
    </w:p>
    <w:p w:rsidR="00450C28" w:rsidRDefault="00450C28">
      <w:pPr>
        <w:pStyle w:val="Apara"/>
      </w:pPr>
      <w:r>
        <w:tab/>
        <w:t>(b)</w:t>
      </w:r>
      <w:r>
        <w:tab/>
        <w:t xml:space="preserve">the </w:t>
      </w:r>
      <w:r w:rsidR="009026B3">
        <w:t>ACAT</w:t>
      </w:r>
      <w:r>
        <w:t xml:space="preserve"> is satisfied that—</w:t>
      </w:r>
    </w:p>
    <w:p w:rsidR="00450C28" w:rsidRDefault="00450C28">
      <w:pPr>
        <w:pStyle w:val="Asubpara"/>
      </w:pPr>
      <w:r>
        <w:tab/>
        <w:t>(i)</w:t>
      </w:r>
      <w:r>
        <w:tab/>
        <w:t>the tenant would suffer significant hardship if the agreement were not terminated within 2 weeks after the making of the decision to terminate; and</w:t>
      </w:r>
    </w:p>
    <w:p w:rsidR="00450C28" w:rsidRDefault="00450C28">
      <w:pPr>
        <w:pStyle w:val="Asubpara"/>
      </w:pPr>
      <w:r>
        <w:lastRenderedPageBreak/>
        <w:tab/>
        <w:t>(ii)</w:t>
      </w:r>
      <w:r>
        <w:tab/>
        <w:t>that hardship would be greater than the hardship the lessor would suffer if the tenancy were terminated within 2 weeks after that day;</w:t>
      </w:r>
    </w:p>
    <w:p w:rsidR="00450C28" w:rsidRDefault="00450C28">
      <w:pPr>
        <w:pStyle w:val="Amainreturn"/>
      </w:pPr>
      <w:r>
        <w:t xml:space="preserve">the </w:t>
      </w:r>
      <w:r w:rsidR="009026B3">
        <w:t>ACAT</w:t>
      </w:r>
      <w:r>
        <w:t xml:space="preserve"> must order that the agreement be terminated at a specified time within 2 weeks after the making of the decision to terminate the tenancy.</w:t>
      </w:r>
    </w:p>
    <w:p w:rsidR="00450C28" w:rsidRDefault="00450C28" w:rsidP="00D53A62">
      <w:pPr>
        <w:pStyle w:val="Amain"/>
        <w:keepNext/>
      </w:pPr>
      <w:r>
        <w:tab/>
        <w:t>(3)</w:t>
      </w:r>
      <w:r>
        <w:tab/>
        <w:t>If—</w:t>
      </w:r>
    </w:p>
    <w:p w:rsidR="00450C28" w:rsidRDefault="00450C28">
      <w:pPr>
        <w:pStyle w:val="Apara"/>
      </w:pPr>
      <w:r>
        <w:tab/>
        <w:t>(a)</w:t>
      </w:r>
      <w:r>
        <w:tab/>
        <w:t xml:space="preserve">the </w:t>
      </w:r>
      <w:r w:rsidR="009026B3">
        <w:t>ACAT</w:t>
      </w:r>
      <w:r>
        <w:t xml:space="preserve"> decides to terminate a residential tenancy agreement in accordance with subsection (1); and</w:t>
      </w:r>
    </w:p>
    <w:p w:rsidR="00450C28" w:rsidRDefault="00450C28" w:rsidP="00072670">
      <w:pPr>
        <w:pStyle w:val="Apara"/>
        <w:keepNext/>
      </w:pPr>
      <w:r>
        <w:tab/>
        <w:t>(b)</w:t>
      </w:r>
      <w:r>
        <w:tab/>
        <w:t xml:space="preserve">the </w:t>
      </w:r>
      <w:r w:rsidR="009026B3">
        <w:t>ACAT</w:t>
      </w:r>
      <w:r>
        <w:t xml:space="preserve"> is not satisfied in relation to the matters mentioned in subsection (2) (b);</w:t>
      </w:r>
    </w:p>
    <w:p w:rsidR="00450C28" w:rsidRDefault="00450C28">
      <w:pPr>
        <w:pStyle w:val="Amainreturn"/>
      </w:pPr>
      <w:r>
        <w:t xml:space="preserve">the </w:t>
      </w:r>
      <w:r w:rsidR="009026B3">
        <w:t>ACAT</w:t>
      </w:r>
      <w:r>
        <w:t xml:space="preserve"> must order that the agreement be terminated at a specified time not less than 2 weeks after the making of the decision to terminate.</w:t>
      </w:r>
    </w:p>
    <w:p w:rsidR="00450C28" w:rsidRDefault="00450C28">
      <w:pPr>
        <w:pStyle w:val="AH5Sec"/>
      </w:pPr>
      <w:bookmarkStart w:id="82" w:name="_Toc23417889"/>
      <w:r w:rsidRPr="001403E0">
        <w:rPr>
          <w:rStyle w:val="CharSectNo"/>
        </w:rPr>
        <w:t>44</w:t>
      </w:r>
      <w:r>
        <w:tab/>
        <w:t>Significant hardship</w:t>
      </w:r>
      <w:bookmarkEnd w:id="82"/>
    </w:p>
    <w:p w:rsidR="00450C28" w:rsidRDefault="00450C28">
      <w:pPr>
        <w:pStyle w:val="Amain"/>
      </w:pPr>
      <w:r>
        <w:tab/>
        <w:t>(1)</w:t>
      </w:r>
      <w:r>
        <w:tab/>
        <w:t xml:space="preserve">On application by a tenant, the </w:t>
      </w:r>
      <w:r w:rsidR="009026B3">
        <w:t>ACAT</w:t>
      </w:r>
      <w:r>
        <w:t xml:space="preserve"> may terminate a fixed term agreement in accordance with this section if satisfied that—</w:t>
      </w:r>
    </w:p>
    <w:p w:rsidR="00450C28" w:rsidRDefault="00450C28">
      <w:pPr>
        <w:pStyle w:val="Apara"/>
      </w:pPr>
      <w:r>
        <w:tab/>
        <w:t>(a)</w:t>
      </w:r>
      <w:r>
        <w:tab/>
        <w:t>the tenant would suffer significant hardship were the agreement to continue; and</w:t>
      </w:r>
    </w:p>
    <w:p w:rsidR="00450C28" w:rsidRDefault="00450C28">
      <w:pPr>
        <w:pStyle w:val="Apara"/>
      </w:pPr>
      <w:r>
        <w:tab/>
        <w:t>(b)</w:t>
      </w:r>
      <w:r>
        <w:tab/>
        <w:t>the level of hardship is such that it is appropriate and just to terminate the agreement during its fixed term.</w:t>
      </w:r>
    </w:p>
    <w:p w:rsidR="00F256E2" w:rsidRPr="00E56DA5" w:rsidRDefault="00F256E2" w:rsidP="00F256E2">
      <w:pPr>
        <w:pStyle w:val="aExamHdgss"/>
      </w:pPr>
      <w:r w:rsidRPr="00E56DA5">
        <w:t>Example—significant hardship</w:t>
      </w:r>
    </w:p>
    <w:p w:rsidR="00F256E2" w:rsidRPr="00E56DA5" w:rsidRDefault="00F256E2" w:rsidP="00105881">
      <w:pPr>
        <w:pStyle w:val="aExamss"/>
      </w:pPr>
      <w:r w:rsidRPr="00E56DA5">
        <w:t xml:space="preserve">Chris and Jamie share premises under a residential tenancy agreement. The Magistrates Court makes an interim order under the </w:t>
      </w:r>
      <w:hyperlink r:id="rId49" w:tooltip="A2016-42" w:history="1">
        <w:r w:rsidR="00B819CB" w:rsidRPr="00B819CB">
          <w:rPr>
            <w:rStyle w:val="charCitHyperlinkItal"/>
          </w:rPr>
          <w:t>Family Violence Act 2016</w:t>
        </w:r>
      </w:hyperlink>
      <w:r w:rsidRPr="00E56DA5">
        <w:rPr>
          <w:rStyle w:val="charItals"/>
        </w:rPr>
        <w:t xml:space="preserve"> </w:t>
      </w:r>
      <w:r w:rsidRPr="00E56DA5">
        <w:t xml:space="preserve">that prohibits Chris (the respondent) from being on premises where Jamie (the protected person) lives. Jamie wishes to end the residential tenancy agreement and leave the premises. If the agreement were to continue, Jamie would suffer significant hardship. </w:t>
      </w:r>
    </w:p>
    <w:p w:rsidR="00450C28" w:rsidRDefault="00450C28" w:rsidP="00105881">
      <w:pPr>
        <w:pStyle w:val="Amain"/>
        <w:keepNext/>
      </w:pPr>
      <w:r>
        <w:lastRenderedPageBreak/>
        <w:tab/>
        <w:t>(2)</w:t>
      </w:r>
      <w:r>
        <w:tab/>
        <w:t>If—</w:t>
      </w:r>
    </w:p>
    <w:p w:rsidR="00450C28" w:rsidRDefault="00450C28">
      <w:pPr>
        <w:pStyle w:val="Apara"/>
      </w:pPr>
      <w:r>
        <w:tab/>
        <w:t>(a)</w:t>
      </w:r>
      <w:r>
        <w:tab/>
        <w:t xml:space="preserve">the </w:t>
      </w:r>
      <w:r w:rsidR="009026B3">
        <w:t>ACAT</w:t>
      </w:r>
      <w:r>
        <w:t xml:space="preserve"> decides to terminate a residential tenancy agreement in accordance with this section; and</w:t>
      </w:r>
    </w:p>
    <w:p w:rsidR="00450C28" w:rsidRDefault="00450C28" w:rsidP="00D53A62">
      <w:pPr>
        <w:pStyle w:val="Apara"/>
        <w:keepNext/>
      </w:pPr>
      <w:r>
        <w:tab/>
        <w:t>(b)</w:t>
      </w:r>
      <w:r>
        <w:tab/>
        <w:t xml:space="preserve">the </w:t>
      </w:r>
      <w:r w:rsidR="009026B3">
        <w:t>ACAT</w:t>
      </w:r>
      <w:r>
        <w:t xml:space="preserve"> is satisfied that—</w:t>
      </w:r>
    </w:p>
    <w:p w:rsidR="00450C28" w:rsidRDefault="00450C28">
      <w:pPr>
        <w:pStyle w:val="Asubpara"/>
      </w:pPr>
      <w:r>
        <w:tab/>
        <w:t>(i)</w:t>
      </w:r>
      <w:r>
        <w:tab/>
        <w:t>the tenant would suffer significant hardship if the agreement were not terminated within 8 weeks after the making of the decision to terminate; and</w:t>
      </w:r>
    </w:p>
    <w:p w:rsidR="00450C28" w:rsidRDefault="00450C28">
      <w:pPr>
        <w:pStyle w:val="Asubpara"/>
      </w:pPr>
      <w:r>
        <w:tab/>
        <w:t>(ii)</w:t>
      </w:r>
      <w:r>
        <w:tab/>
        <w:t>that hardship would be greater than the hardship the lessor would suffer if the agreement were terminated within 8 weeks after that day;</w:t>
      </w:r>
    </w:p>
    <w:p w:rsidR="00450C28" w:rsidRDefault="00450C28">
      <w:pPr>
        <w:pStyle w:val="Amainreturn"/>
        <w:keepNext/>
      </w:pPr>
      <w:r>
        <w:t xml:space="preserve">the </w:t>
      </w:r>
      <w:r w:rsidR="009026B3">
        <w:t>ACAT</w:t>
      </w:r>
      <w:r>
        <w:t xml:space="preserve"> must—</w:t>
      </w:r>
    </w:p>
    <w:p w:rsidR="00450C28" w:rsidRDefault="00450C28">
      <w:pPr>
        <w:pStyle w:val="Apara"/>
      </w:pPr>
      <w:r>
        <w:tab/>
        <w:t>(c)</w:t>
      </w:r>
      <w:r>
        <w:tab/>
        <w:t>specify the day, less than 8 weeks after the making of the decision to terminate, when the termination is to happen; and</w:t>
      </w:r>
    </w:p>
    <w:p w:rsidR="00450C28" w:rsidRDefault="00450C28">
      <w:pPr>
        <w:pStyle w:val="Apara"/>
      </w:pPr>
      <w:r>
        <w:tab/>
        <w:t>(d)</w:t>
      </w:r>
      <w:r>
        <w:tab/>
        <w:t>give the lessor the notice of the proposed termination that is reasonable in the circumstances.</w:t>
      </w:r>
    </w:p>
    <w:p w:rsidR="00450C28" w:rsidRDefault="00450C28" w:rsidP="00072670">
      <w:pPr>
        <w:pStyle w:val="Amain"/>
        <w:keepNext/>
      </w:pPr>
      <w:r>
        <w:tab/>
        <w:t>(3)</w:t>
      </w:r>
      <w:r>
        <w:tab/>
        <w:t>If—</w:t>
      </w:r>
    </w:p>
    <w:p w:rsidR="00450C28" w:rsidRDefault="00450C28">
      <w:pPr>
        <w:pStyle w:val="Apara"/>
      </w:pPr>
      <w:r>
        <w:tab/>
        <w:t>(a)</w:t>
      </w:r>
      <w:r>
        <w:tab/>
        <w:t xml:space="preserve">the </w:t>
      </w:r>
      <w:r w:rsidR="009026B3">
        <w:t>ACAT</w:t>
      </w:r>
      <w:r>
        <w:t xml:space="preserve"> decides to terminate a residential tenancy agreement in accordance with this section; and</w:t>
      </w:r>
    </w:p>
    <w:p w:rsidR="00450C28" w:rsidRDefault="00450C28">
      <w:pPr>
        <w:pStyle w:val="Apara"/>
      </w:pPr>
      <w:r>
        <w:tab/>
        <w:t>(b)</w:t>
      </w:r>
      <w:r>
        <w:tab/>
        <w:t xml:space="preserve">the </w:t>
      </w:r>
      <w:r w:rsidR="009026B3">
        <w:t>ACAT</w:t>
      </w:r>
      <w:r>
        <w:t xml:space="preserve"> is not satisfied about the matters mentioned in subsection (2) (b);</w:t>
      </w:r>
    </w:p>
    <w:p w:rsidR="00450C28" w:rsidRDefault="00450C28" w:rsidP="00A60C8B">
      <w:pPr>
        <w:pStyle w:val="Amainreturn"/>
        <w:keepNext/>
      </w:pPr>
      <w:r>
        <w:t xml:space="preserve">the </w:t>
      </w:r>
      <w:r w:rsidR="009026B3">
        <w:t>ACAT</w:t>
      </w:r>
      <w:r>
        <w:t xml:space="preserve"> must—</w:t>
      </w:r>
    </w:p>
    <w:p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rsidR="00450C28" w:rsidRDefault="00450C28">
      <w:pPr>
        <w:pStyle w:val="Apara"/>
      </w:pPr>
      <w:r>
        <w:tab/>
        <w:t>(d)</w:t>
      </w:r>
      <w:r>
        <w:tab/>
        <w:t>give the lessor not less than 8 weeks notice of the proposed termination.</w:t>
      </w:r>
    </w:p>
    <w:p w:rsidR="00450C28" w:rsidRDefault="00450C28">
      <w:pPr>
        <w:pStyle w:val="AH5Sec"/>
      </w:pPr>
      <w:bookmarkStart w:id="83" w:name="_Toc23417890"/>
      <w:r w:rsidRPr="001403E0">
        <w:rPr>
          <w:rStyle w:val="CharSectNo"/>
        </w:rPr>
        <w:lastRenderedPageBreak/>
        <w:t>45</w:t>
      </w:r>
      <w:r>
        <w:tab/>
        <w:t>Damage, injury or intention to damage or injure</w:t>
      </w:r>
      <w:bookmarkEnd w:id="83"/>
    </w:p>
    <w:p w:rsidR="00450C28" w:rsidRDefault="00450C28" w:rsidP="004B345E">
      <w:pPr>
        <w:pStyle w:val="Amainreturn"/>
        <w:keepNext/>
        <w:keepLines/>
      </w:pPr>
      <w:r>
        <w:t xml:space="preserve">On application by a tenant, the </w:t>
      </w:r>
      <w:r w:rsidR="009026B3">
        <w:t>ACAT</w:t>
      </w:r>
      <w:r>
        <w:t xml:space="preserve"> may terminate a residential tenancy agreement effective immediately if satisfied that the lessor has intentionally or recklessly caused or permitted, or is likely to so cause or permit—</w:t>
      </w:r>
    </w:p>
    <w:p w:rsidR="00450C28" w:rsidRDefault="00450C28">
      <w:pPr>
        <w:pStyle w:val="Apara"/>
      </w:pPr>
      <w:r>
        <w:tab/>
        <w:t>(a)</w:t>
      </w:r>
      <w:r>
        <w:tab/>
        <w:t>serious danger to the premises or to property of the tenant; or</w:t>
      </w:r>
    </w:p>
    <w:p w:rsidR="00450C28" w:rsidRDefault="00450C28">
      <w:pPr>
        <w:pStyle w:val="Apara"/>
      </w:pPr>
      <w:r>
        <w:tab/>
        <w:t>(b)</w:t>
      </w:r>
      <w:r>
        <w:tab/>
        <w:t>injury to the tenant or a member of the tenant’s family.</w:t>
      </w:r>
    </w:p>
    <w:p w:rsidR="00450C28" w:rsidRDefault="00450C28">
      <w:pPr>
        <w:pStyle w:val="AH5Sec"/>
      </w:pPr>
      <w:bookmarkStart w:id="84" w:name="_Toc23417891"/>
      <w:r w:rsidRPr="001403E0">
        <w:rPr>
          <w:rStyle w:val="CharSectNo"/>
        </w:rPr>
        <w:t>46</w:t>
      </w:r>
      <w:r>
        <w:tab/>
        <w:t>False or misleading statements</w:t>
      </w:r>
      <w:bookmarkEnd w:id="84"/>
    </w:p>
    <w:p w:rsidR="00450C28" w:rsidRDefault="00450C28">
      <w:pPr>
        <w:pStyle w:val="Amainreturn"/>
      </w:pPr>
      <w:r>
        <w:t xml:space="preserve">On application by a tenant, the </w:t>
      </w:r>
      <w:r w:rsidR="009026B3">
        <w:t>ACAT</w:t>
      </w:r>
      <w:r>
        <w:t xml:space="preserve"> may terminate a residential tenancy agreement if satisfied that the agreement was induced by a false or misleading statement of the lessor.</w:t>
      </w:r>
    </w:p>
    <w:p w:rsidR="00450C28" w:rsidRPr="001403E0" w:rsidRDefault="00450C28">
      <w:pPr>
        <w:pStyle w:val="AH3Div"/>
      </w:pPr>
      <w:bookmarkStart w:id="85" w:name="_Toc23417892"/>
      <w:r w:rsidRPr="001403E0">
        <w:rPr>
          <w:rStyle w:val="CharDivNo"/>
        </w:rPr>
        <w:t>Division 4.4</w:t>
      </w:r>
      <w:r>
        <w:tab/>
      </w:r>
      <w:r w:rsidRPr="001403E0">
        <w:rPr>
          <w:rStyle w:val="CharDivText"/>
        </w:rPr>
        <w:t>Termination initiated by lessor</w:t>
      </w:r>
      <w:bookmarkEnd w:id="85"/>
    </w:p>
    <w:p w:rsidR="00450C28" w:rsidRDefault="00450C28">
      <w:pPr>
        <w:pStyle w:val="AH5Sec"/>
      </w:pPr>
      <w:bookmarkStart w:id="86" w:name="_Toc23417893"/>
      <w:r w:rsidRPr="001403E0">
        <w:rPr>
          <w:rStyle w:val="CharSectNo"/>
        </w:rPr>
        <w:t>47</w:t>
      </w:r>
      <w:r>
        <w:tab/>
        <w:t>No breach of standard residential tenancy terms</w:t>
      </w:r>
      <w:bookmarkEnd w:id="86"/>
    </w:p>
    <w:p w:rsidR="00450C28" w:rsidRDefault="00450C28" w:rsidP="00072670">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a ground for termination exists under the standard residential tenancy terms (other than for a breach of the standard residential tenancy terms); and</w:t>
      </w:r>
    </w:p>
    <w:p w:rsidR="00450C28" w:rsidRDefault="00450C28">
      <w:pPr>
        <w:pStyle w:val="Apara"/>
      </w:pPr>
      <w:r>
        <w:tab/>
        <w:t>(b)</w:t>
      </w:r>
      <w:r>
        <w:tab/>
        <w:t>the lessor has served a termination notice on the tenant based on that ground; and</w:t>
      </w:r>
    </w:p>
    <w:p w:rsidR="00450C28" w:rsidRDefault="00450C28">
      <w:pPr>
        <w:pStyle w:val="Apara"/>
      </w:pPr>
      <w:r>
        <w:tab/>
        <w:t>(c)</w:t>
      </w:r>
      <w:r>
        <w:tab/>
        <w:t>the tenant has not vacated the premises as required by the termination notice.</w:t>
      </w:r>
    </w:p>
    <w:p w:rsidR="00450C28" w:rsidRDefault="00450C28">
      <w:pPr>
        <w:pStyle w:val="Amain"/>
        <w:keepNext/>
      </w:pPr>
      <w:r>
        <w:tab/>
        <w:t>(2)</w:t>
      </w:r>
      <w:r>
        <w:tab/>
        <w:t>If—</w:t>
      </w:r>
    </w:p>
    <w:p w:rsidR="00450C28" w:rsidRDefault="00450C28">
      <w:pPr>
        <w:pStyle w:val="Apara"/>
      </w:pPr>
      <w:r>
        <w:tab/>
        <w:t>(a)</w:t>
      </w:r>
      <w:r>
        <w:tab/>
        <w:t xml:space="preserve">the </w:t>
      </w:r>
      <w:r w:rsidR="000E3630">
        <w:t>ACAT</w:t>
      </w:r>
      <w:r>
        <w:t xml:space="preserve"> makes an order under subsection (1); and</w:t>
      </w:r>
    </w:p>
    <w:p w:rsidR="00450C28" w:rsidRDefault="00450C28" w:rsidP="009D194C">
      <w:pPr>
        <w:pStyle w:val="Apara"/>
        <w:keepNext/>
      </w:pPr>
      <w:r>
        <w:lastRenderedPageBreak/>
        <w:tab/>
        <w:t>(b)</w:t>
      </w:r>
      <w:r>
        <w:tab/>
        <w:t xml:space="preserve">the </w:t>
      </w:r>
      <w:r w:rsidR="000E3630">
        <w:t>ACAT</w:t>
      </w:r>
      <w:r>
        <w:t xml:space="preserve"> is satisfied that—</w:t>
      </w:r>
    </w:p>
    <w:p w:rsidR="00450C28" w:rsidRDefault="00450C28">
      <w:pPr>
        <w:pStyle w:val="Asubpara"/>
      </w:pPr>
      <w:r>
        <w:tab/>
        <w:t>(i)</w:t>
      </w:r>
      <w:r>
        <w:tab/>
        <w:t>were the order not suspended for a specified period of no more than 3 weeks the tenant would suffer significant hardship; and</w:t>
      </w:r>
    </w:p>
    <w:p w:rsidR="00450C28" w:rsidRDefault="00450C28">
      <w:pPr>
        <w:pStyle w:val="Asubpara"/>
      </w:pPr>
      <w:r>
        <w:tab/>
        <w:t>(ii)</w:t>
      </w:r>
      <w:r>
        <w:tab/>
        <w:t>that hardship would be greater than the hardship that would be suffered by the lessor if the order were suspended for the specified period;</w:t>
      </w:r>
    </w:p>
    <w:p w:rsidR="00450C28" w:rsidRDefault="00450C28">
      <w:pPr>
        <w:pStyle w:val="Amainreturn"/>
      </w:pPr>
      <w:r>
        <w:t xml:space="preserve">the </w:t>
      </w:r>
      <w:r w:rsidR="000E3630">
        <w:t>ACAT</w:t>
      </w:r>
      <w:r>
        <w:t xml:space="preserve"> may suspend the operation of the termination and possession order for a specified period of no more than 3 weeks.</w:t>
      </w:r>
    </w:p>
    <w:p w:rsidR="00450C28" w:rsidRDefault="00450C28">
      <w:pPr>
        <w:pStyle w:val="AH5Sec"/>
      </w:pPr>
      <w:bookmarkStart w:id="87" w:name="_Toc23417894"/>
      <w:r w:rsidRPr="001403E0">
        <w:rPr>
          <w:rStyle w:val="CharSectNo"/>
        </w:rPr>
        <w:t>48</w:t>
      </w:r>
      <w:r>
        <w:tab/>
        <w:t>Certain breaches of standard residential tenancy terms</w:t>
      </w:r>
      <w:bookmarkEnd w:id="87"/>
    </w:p>
    <w:p w:rsidR="00450C28" w:rsidRDefault="00450C28" w:rsidP="00072670">
      <w:pPr>
        <w:pStyle w:val="Amain"/>
        <w:keepNext/>
      </w:pPr>
      <w:r>
        <w:tab/>
        <w:t>(1)</w:t>
      </w:r>
      <w:r>
        <w:tab/>
        <w:t xml:space="preserve">On application by a lessor, the </w:t>
      </w:r>
      <w:r w:rsidR="000E3630">
        <w:t>ACAT</w:t>
      </w:r>
      <w:r>
        <w:t xml:space="preserve"> may make a termination and possession order if—</w:t>
      </w:r>
    </w:p>
    <w:p w:rsidR="00450C28" w:rsidRDefault="00450C28" w:rsidP="00072670">
      <w:pPr>
        <w:pStyle w:val="Apara"/>
        <w:keepNext/>
      </w:pPr>
      <w:r>
        <w:tab/>
        <w:t>(a)</w:t>
      </w:r>
      <w:r>
        <w:tab/>
        <w:t>satisfied that—</w:t>
      </w:r>
    </w:p>
    <w:p w:rsidR="00450C28" w:rsidRDefault="00450C28">
      <w:pPr>
        <w:pStyle w:val="Asubpara"/>
      </w:pPr>
      <w:r>
        <w:tab/>
        <w:t>(i)</w:t>
      </w:r>
      <w:r>
        <w:tab/>
        <w:t>the tenant has breached the standard residential tenancy terms (other than by failing to pay rent that has become payable); and</w:t>
      </w:r>
    </w:p>
    <w:p w:rsidR="00450C28" w:rsidRDefault="00450C28">
      <w:pPr>
        <w:pStyle w:val="Asubpara"/>
      </w:pPr>
      <w:r>
        <w:tab/>
        <w:t>(ii)</w:t>
      </w:r>
      <w:r>
        <w:tab/>
        <w:t>the lessor has served a termination notice on the tenant based on the breach; and</w:t>
      </w:r>
    </w:p>
    <w:p w:rsidR="00450C28" w:rsidRDefault="00450C28">
      <w:pPr>
        <w:pStyle w:val="Asubpara"/>
      </w:pPr>
      <w:r>
        <w:tab/>
        <w:t>(iii)</w:t>
      </w:r>
      <w:r>
        <w:tab/>
        <w:t>the tenant did not vacate the premises in accordance with the notice; and</w:t>
      </w:r>
    </w:p>
    <w:p w:rsidR="00450C28" w:rsidRDefault="00450C28">
      <w:pPr>
        <w:pStyle w:val="Asubpara"/>
      </w:pPr>
      <w:r>
        <w:tab/>
        <w:t>(iv)</w:t>
      </w:r>
      <w:r>
        <w:tab/>
        <w:t xml:space="preserve">the breach of the standard residential tenancy terms was not in accordance with a term of the residential tenancy agreement endorsed by the </w:t>
      </w:r>
      <w:r w:rsidR="000E3630">
        <w:t>ACAT</w:t>
      </w:r>
      <w:r>
        <w:t>; and</w:t>
      </w:r>
    </w:p>
    <w:p w:rsidR="00450C28" w:rsidRDefault="00450C28">
      <w:pPr>
        <w:pStyle w:val="Asubpara"/>
      </w:pPr>
      <w:r>
        <w:tab/>
        <w:t>(v)</w:t>
      </w:r>
      <w:r>
        <w:tab/>
        <w:t>the breach justifies the termination of the tenancy; or</w:t>
      </w:r>
    </w:p>
    <w:p w:rsidR="00450C28" w:rsidRDefault="00450C28">
      <w:pPr>
        <w:pStyle w:val="Apara"/>
      </w:pPr>
      <w:r>
        <w:tab/>
        <w:t>(b)</w:t>
      </w:r>
      <w:r>
        <w:tab/>
        <w:t xml:space="preserve">the </w:t>
      </w:r>
      <w:r w:rsidR="000E3630">
        <w:t>ACAT</w:t>
      </w:r>
      <w:r>
        <w:t>—</w:t>
      </w:r>
    </w:p>
    <w:p w:rsidR="00AB2708" w:rsidRPr="007F4055" w:rsidRDefault="00AB2708" w:rsidP="00AB2708">
      <w:pPr>
        <w:pStyle w:val="Asubpara"/>
      </w:pPr>
      <w:r w:rsidRPr="007F4055">
        <w:tab/>
        <w:t>(i)</w:t>
      </w:r>
      <w:r w:rsidRPr="007F4055">
        <w:tab/>
        <w:t xml:space="preserve">has made an order under section 83 (b); and </w:t>
      </w:r>
    </w:p>
    <w:p w:rsidR="00450C28" w:rsidRDefault="00450C28">
      <w:pPr>
        <w:pStyle w:val="Asubpara"/>
      </w:pPr>
      <w:r>
        <w:tab/>
        <w:t>(ii)</w:t>
      </w:r>
      <w:r>
        <w:tab/>
        <w:t>is satisfied that the tenant has breached that order; and</w:t>
      </w:r>
    </w:p>
    <w:p w:rsidR="00450C28" w:rsidRDefault="00450C28">
      <w:pPr>
        <w:pStyle w:val="Asubpara"/>
      </w:pPr>
      <w:r>
        <w:lastRenderedPageBreak/>
        <w:tab/>
        <w:t>(iii)</w:t>
      </w:r>
      <w:r>
        <w:tab/>
        <w:t>is satisfied that the breach justifies the termination of the tenancy.</w:t>
      </w:r>
    </w:p>
    <w:p w:rsidR="00450C28" w:rsidRDefault="00450C28">
      <w:pPr>
        <w:pStyle w:val="Amain"/>
      </w:pPr>
      <w:r>
        <w:tab/>
        <w:t>(2)</w:t>
      </w:r>
      <w:r>
        <w:tab/>
        <w:t xml:space="preserve">The </w:t>
      </w:r>
      <w:r w:rsidR="000E3630">
        <w:t>ACAT</w:t>
      </w:r>
      <w:r>
        <w:t xml:space="preserve"> may, if satisfied that it is appropriate and just to do so in relation to an application mentioned in subsection (1)—</w:t>
      </w:r>
    </w:p>
    <w:p w:rsidR="00450C28" w:rsidRDefault="00450C28">
      <w:pPr>
        <w:pStyle w:val="Apara"/>
      </w:pPr>
      <w:r>
        <w:tab/>
        <w:t>(a)</w:t>
      </w:r>
      <w:r>
        <w:tab/>
        <w:t>refuse to make a termination and possession order if—</w:t>
      </w:r>
    </w:p>
    <w:p w:rsidR="00450C28" w:rsidRDefault="00450C28">
      <w:pPr>
        <w:pStyle w:val="Asubpara"/>
      </w:pPr>
      <w:r>
        <w:tab/>
        <w:t>(i)</w:t>
      </w:r>
      <w:r>
        <w:tab/>
        <w:t>the tenant has remedied the relevant breach; or</w:t>
      </w:r>
    </w:p>
    <w:p w:rsidR="00450C28" w:rsidRDefault="00450C28">
      <w:pPr>
        <w:pStyle w:val="Asubpara"/>
      </w:pPr>
      <w:r>
        <w:tab/>
        <w:t>(ii)</w:t>
      </w:r>
      <w:r>
        <w:tab/>
        <w:t>the tenant undertakes to remedy the breach within a reasonable specified period and is reasonably likely to do so; or</w:t>
      </w:r>
    </w:p>
    <w:p w:rsidR="00450C28" w:rsidRDefault="00450C28">
      <w:pPr>
        <w:pStyle w:val="Apara"/>
      </w:pPr>
      <w:r>
        <w:tab/>
        <w:t>(b)</w:t>
      </w:r>
      <w:r>
        <w:tab/>
        <w:t>make a termination and possession order but suspend it for a period of no more than 3 weeks if satisfied that—</w:t>
      </w:r>
    </w:p>
    <w:p w:rsidR="00450C28" w:rsidRDefault="00450C28">
      <w:pPr>
        <w:pStyle w:val="Asubpara"/>
      </w:pPr>
      <w:r>
        <w:tab/>
        <w:t>(i)</w:t>
      </w:r>
      <w:r>
        <w:tab/>
        <w:t>were the order not suspended for a specified period of no more than 3 weeks the tenant would suffer significant hardship; and</w:t>
      </w:r>
    </w:p>
    <w:p w:rsidR="00450C28" w:rsidRDefault="00450C28">
      <w:pPr>
        <w:pStyle w:val="Asubpara"/>
      </w:pPr>
      <w:r>
        <w:tab/>
        <w:t>(ii)</w:t>
      </w:r>
      <w:r>
        <w:tab/>
        <w:t>that hardship would be greater than the hardship that would be suffered by the lessor if the order were suspended for the specified period.</w:t>
      </w:r>
    </w:p>
    <w:p w:rsidR="00D81763" w:rsidRPr="00483A42" w:rsidRDefault="00D81763" w:rsidP="00D81763">
      <w:pPr>
        <w:pStyle w:val="AH5Sec"/>
      </w:pPr>
      <w:bookmarkStart w:id="88" w:name="_Toc23417895"/>
      <w:r w:rsidRPr="001403E0">
        <w:rPr>
          <w:rStyle w:val="CharSectNo"/>
        </w:rPr>
        <w:t>49</w:t>
      </w:r>
      <w:r w:rsidRPr="00483A42">
        <w:tab/>
        <w:t>Failure to pay rent—termination and possession order</w:t>
      </w:r>
      <w:bookmarkEnd w:id="88"/>
    </w:p>
    <w:p w:rsidR="00D81763" w:rsidRPr="00483A42" w:rsidRDefault="00D81763" w:rsidP="00D81763">
      <w:pPr>
        <w:pStyle w:val="Amain"/>
      </w:pPr>
      <w:r w:rsidRPr="00483A42">
        <w:tab/>
        <w:t>(1)</w:t>
      </w:r>
      <w:r w:rsidRPr="00483A42">
        <w:tab/>
        <w:t>This section applies if—</w:t>
      </w:r>
    </w:p>
    <w:p w:rsidR="00D81763" w:rsidRPr="00483A42" w:rsidRDefault="00D81763" w:rsidP="00D81763">
      <w:pPr>
        <w:pStyle w:val="Apara"/>
      </w:pPr>
      <w:r w:rsidRPr="00483A42">
        <w:tab/>
        <w:t>(a)</w:t>
      </w:r>
      <w:r w:rsidRPr="00483A42">
        <w:tab/>
        <w:t>a tenant has failed to pay rent that has become payable under a residential tenancy agreement; and</w:t>
      </w:r>
    </w:p>
    <w:p w:rsidR="00D81763" w:rsidRPr="00483A42" w:rsidRDefault="00D81763" w:rsidP="00D81763">
      <w:pPr>
        <w:pStyle w:val="Apara"/>
      </w:pPr>
      <w:r w:rsidRPr="00483A42">
        <w:tab/>
        <w:t>(b)</w:t>
      </w:r>
      <w:r w:rsidRPr="00483A42">
        <w:tab/>
        <w:t>the lessor has served a termination notice on the tenant because of the tenant’s failure to pay rent; and</w:t>
      </w:r>
    </w:p>
    <w:p w:rsidR="00D81763" w:rsidRPr="00483A42" w:rsidRDefault="00D81763" w:rsidP="00D81763">
      <w:pPr>
        <w:pStyle w:val="Apara"/>
      </w:pPr>
      <w:r w:rsidRPr="00483A42">
        <w:tab/>
        <w:t>(c)</w:t>
      </w:r>
      <w:r w:rsidRPr="00483A42">
        <w:tab/>
        <w:t>the tenant has not vacated the premises in accordance with the notice.</w:t>
      </w:r>
    </w:p>
    <w:p w:rsidR="00D81763" w:rsidRPr="00483A42" w:rsidRDefault="00D81763" w:rsidP="00D81763">
      <w:pPr>
        <w:pStyle w:val="Amain"/>
      </w:pPr>
      <w:r w:rsidRPr="00483A42">
        <w:tab/>
        <w:t>(2)</w:t>
      </w:r>
      <w:r w:rsidRPr="00483A42">
        <w:tab/>
        <w:t>The lessor may apply to the ACAT for a termination and possession order.</w:t>
      </w:r>
    </w:p>
    <w:p w:rsidR="00D81763" w:rsidRPr="00483A42" w:rsidRDefault="00D81763" w:rsidP="003F0101">
      <w:pPr>
        <w:pStyle w:val="Amain"/>
        <w:keepNext/>
      </w:pPr>
      <w:r w:rsidRPr="00483A42">
        <w:lastRenderedPageBreak/>
        <w:tab/>
        <w:t>(3)</w:t>
      </w:r>
      <w:r w:rsidRPr="00483A42">
        <w:tab/>
        <w:t>The ACAT may—</w:t>
      </w:r>
    </w:p>
    <w:p w:rsidR="00D81763" w:rsidRPr="00483A42" w:rsidRDefault="00D81763" w:rsidP="00D81763">
      <w:pPr>
        <w:pStyle w:val="Apara"/>
      </w:pPr>
      <w:r w:rsidRPr="00483A42">
        <w:tab/>
        <w:t>(a)</w:t>
      </w:r>
      <w:r w:rsidRPr="00483A42">
        <w:tab/>
        <w:t>make a termination and possession order; or</w:t>
      </w:r>
    </w:p>
    <w:p w:rsidR="00D81763" w:rsidRPr="00483A42" w:rsidRDefault="00D81763" w:rsidP="00D81763">
      <w:pPr>
        <w:pStyle w:val="Apara"/>
      </w:pPr>
      <w:r w:rsidRPr="00483A42">
        <w:tab/>
        <w:t>(b)</w:t>
      </w:r>
      <w:r w:rsidRPr="00483A42">
        <w:tab/>
        <w:t xml:space="preserve">make a payment order; or </w:t>
      </w:r>
    </w:p>
    <w:p w:rsidR="00D81763" w:rsidRPr="00483A42" w:rsidRDefault="00D81763" w:rsidP="00D81763">
      <w:pPr>
        <w:pStyle w:val="Apara"/>
      </w:pPr>
      <w:r w:rsidRPr="00483A42">
        <w:tab/>
        <w:t>(c)</w:t>
      </w:r>
      <w:r w:rsidRPr="00483A42">
        <w:tab/>
        <w:t>refuse to make a termination and possession order or payment order if—</w:t>
      </w:r>
    </w:p>
    <w:p w:rsidR="00D81763" w:rsidRPr="00483A42" w:rsidRDefault="00D81763" w:rsidP="00D81763">
      <w:pPr>
        <w:pStyle w:val="Asubpara"/>
      </w:pPr>
      <w:r w:rsidRPr="00483A42">
        <w:tab/>
        <w:t>(i)</w:t>
      </w:r>
      <w:r w:rsidRPr="00483A42">
        <w:tab/>
        <w:t>the tenant has paid any rent that has become payable and is, in the ACAT’s opinion, reasonably likely to pay future rent as it becomes payable; and</w:t>
      </w:r>
    </w:p>
    <w:p w:rsidR="00D81763" w:rsidRPr="00483A42" w:rsidRDefault="00D81763" w:rsidP="00D81763">
      <w:pPr>
        <w:pStyle w:val="Asubpara"/>
      </w:pPr>
      <w:r w:rsidRPr="00483A42">
        <w:tab/>
        <w:t>(ii)</w:t>
      </w:r>
      <w:r w:rsidRPr="00483A42">
        <w:tab/>
        <w:t>the ACAT considers it just and appropriate to do so.</w:t>
      </w:r>
    </w:p>
    <w:p w:rsidR="00D81763" w:rsidRPr="00483A42" w:rsidRDefault="00D81763" w:rsidP="00D81763">
      <w:pPr>
        <w:pStyle w:val="Amain"/>
      </w:pPr>
      <w:r w:rsidRPr="00483A42">
        <w:tab/>
        <w:t>(4)</w:t>
      </w:r>
      <w:r w:rsidRPr="00483A42">
        <w:tab/>
        <w:t>If the ACAT makes a termination and possession order, it may suspend the order for a stated period of not more than 3 weeks if satisfied that—</w:t>
      </w:r>
    </w:p>
    <w:p w:rsidR="00D81763" w:rsidRPr="00483A42" w:rsidRDefault="00D81763" w:rsidP="00D81763">
      <w:pPr>
        <w:pStyle w:val="Apara"/>
      </w:pPr>
      <w:r w:rsidRPr="00483A42">
        <w:tab/>
        <w:t>(a)</w:t>
      </w:r>
      <w:r w:rsidRPr="00483A42">
        <w:tab/>
        <w:t>were the order not suspended for the stated period, the tenant would suffer significant hardship; and</w:t>
      </w:r>
    </w:p>
    <w:p w:rsidR="00D81763" w:rsidRPr="00483A42" w:rsidRDefault="00D81763" w:rsidP="00D81763">
      <w:pPr>
        <w:pStyle w:val="Apara"/>
      </w:pPr>
      <w:r w:rsidRPr="00483A42">
        <w:tab/>
        <w:t>(b)</w:t>
      </w:r>
      <w:r w:rsidRPr="00483A42">
        <w:tab/>
        <w:t>the tenant’s hardship would be greater than the hardship that would be suffered by the lessor if the order were suspended for the stated period.</w:t>
      </w:r>
    </w:p>
    <w:p w:rsidR="00D81763" w:rsidRPr="00483A42" w:rsidRDefault="00D81763" w:rsidP="00D81763">
      <w:pPr>
        <w:pStyle w:val="AH5Sec"/>
      </w:pPr>
      <w:bookmarkStart w:id="89" w:name="_Toc23417896"/>
      <w:r w:rsidRPr="001403E0">
        <w:rPr>
          <w:rStyle w:val="CharSectNo"/>
        </w:rPr>
        <w:t>49A</w:t>
      </w:r>
      <w:r w:rsidRPr="00483A42">
        <w:tab/>
        <w:t>Failure to pay rent—payment order</w:t>
      </w:r>
      <w:bookmarkEnd w:id="89"/>
    </w:p>
    <w:p w:rsidR="00D81763" w:rsidRPr="00483A42" w:rsidRDefault="00D81763" w:rsidP="00D81763">
      <w:pPr>
        <w:pStyle w:val="Amain"/>
      </w:pPr>
      <w:r w:rsidRPr="00483A42">
        <w:tab/>
        <w:t>(1)</w:t>
      </w:r>
      <w:r w:rsidRPr="00483A42">
        <w:tab/>
        <w:t>This section applies if a lessor applies to the ACAT for a termination and possession order under section 49 (2).</w:t>
      </w:r>
    </w:p>
    <w:p w:rsidR="00D81763" w:rsidRPr="00483A42" w:rsidRDefault="00D81763" w:rsidP="00D81763">
      <w:pPr>
        <w:pStyle w:val="Amain"/>
      </w:pPr>
      <w:r w:rsidRPr="00483A42">
        <w:tab/>
        <w:t>(2)</w:t>
      </w:r>
      <w:r w:rsidRPr="00483A42">
        <w:tab/>
        <w:t xml:space="preserve">Instead of making a termination and possession order, the ACAT may make an order (a </w:t>
      </w:r>
      <w:r w:rsidRPr="00483A42">
        <w:rPr>
          <w:rStyle w:val="charBoldItals"/>
        </w:rPr>
        <w:t>payment order</w:t>
      </w:r>
      <w:r w:rsidRPr="00483A42">
        <w:t>) requiring the tenant to pay—</w:t>
      </w:r>
    </w:p>
    <w:p w:rsidR="00D81763" w:rsidRPr="00483A42" w:rsidRDefault="00D81763" w:rsidP="00D81763">
      <w:pPr>
        <w:pStyle w:val="Apara"/>
      </w:pPr>
      <w:r w:rsidRPr="00483A42">
        <w:tab/>
        <w:t>(a)</w:t>
      </w:r>
      <w:r w:rsidRPr="00483A42">
        <w:tab/>
        <w:t xml:space="preserve">the rent, or a stated part of the rent, that has become payable; and </w:t>
      </w:r>
    </w:p>
    <w:p w:rsidR="00D81763" w:rsidRDefault="00D81763" w:rsidP="00D81763">
      <w:pPr>
        <w:pStyle w:val="Apara"/>
      </w:pPr>
      <w:r w:rsidRPr="00483A42">
        <w:tab/>
        <w:t>(b)</w:t>
      </w:r>
      <w:r w:rsidRPr="00483A42">
        <w:tab/>
        <w:t>future rent as it becomes payable.</w:t>
      </w:r>
    </w:p>
    <w:p w:rsidR="005B66B7" w:rsidRPr="00B669BF" w:rsidRDefault="005B66B7" w:rsidP="005B66B7">
      <w:pPr>
        <w:pStyle w:val="Amain"/>
      </w:pPr>
      <w:r w:rsidRPr="00B669BF">
        <w:tab/>
        <w:t>(</w:t>
      </w:r>
      <w:r w:rsidR="00A16D76">
        <w:t>3</w:t>
      </w:r>
      <w:r w:rsidRPr="00B669BF">
        <w:t>)</w:t>
      </w:r>
      <w:r w:rsidRPr="00B669BF">
        <w:tab/>
        <w:t>The ACAT must not make a payment order unless satisfied the tenant is reasonably likely to make the payments required under the order.</w:t>
      </w:r>
    </w:p>
    <w:p w:rsidR="00D81763" w:rsidRPr="00483A42" w:rsidRDefault="00D81763" w:rsidP="00D81763">
      <w:pPr>
        <w:pStyle w:val="Amain"/>
      </w:pPr>
      <w:r w:rsidRPr="00483A42">
        <w:lastRenderedPageBreak/>
        <w:tab/>
        <w:t>(</w:t>
      </w:r>
      <w:r w:rsidR="00A16D76">
        <w:t>4</w:t>
      </w:r>
      <w:r w:rsidRPr="00483A42">
        <w:t>)</w:t>
      </w:r>
      <w:r w:rsidRPr="00483A42">
        <w:tab/>
        <w:t>If the ACAT makes a payment order for part of the rent that has become payable, the ACAT may also</w:t>
      </w:r>
      <w:r w:rsidR="00521E68">
        <w:t xml:space="preserve"> make an order under section 83 </w:t>
      </w:r>
      <w:r w:rsidRPr="00483A42">
        <w:t>(c) for payment of the remaining part.</w:t>
      </w:r>
    </w:p>
    <w:p w:rsidR="00D81763" w:rsidRPr="00483A42" w:rsidRDefault="00D81763" w:rsidP="00D81763">
      <w:pPr>
        <w:pStyle w:val="Amain"/>
      </w:pPr>
      <w:r w:rsidRPr="00483A42">
        <w:tab/>
        <w:t>(</w:t>
      </w:r>
      <w:r w:rsidR="00A16D76">
        <w:t>5</w:t>
      </w:r>
      <w:r w:rsidRPr="00483A42">
        <w:t>)</w:t>
      </w:r>
      <w:r w:rsidRPr="00483A42">
        <w:tab/>
        <w:t>A payment order—</w:t>
      </w:r>
    </w:p>
    <w:p w:rsidR="00D81763" w:rsidRPr="00483A42" w:rsidRDefault="00D81763" w:rsidP="00D81763">
      <w:pPr>
        <w:pStyle w:val="Apara"/>
      </w:pPr>
      <w:r w:rsidRPr="00483A42">
        <w:tab/>
        <w:t>(a)</w:t>
      </w:r>
      <w:r w:rsidRPr="00483A42">
        <w:tab/>
        <w:t>expires on the date stated in the order (which must not be more than 1 year after the day the order is made); and</w:t>
      </w:r>
    </w:p>
    <w:p w:rsidR="00D81763" w:rsidRPr="00483A42" w:rsidRDefault="00D81763" w:rsidP="00D81763">
      <w:pPr>
        <w:pStyle w:val="Apara"/>
      </w:pPr>
      <w:r w:rsidRPr="00483A42">
        <w:tab/>
        <w:t>(b)</w:t>
      </w:r>
      <w:r w:rsidRPr="00483A42">
        <w:tab/>
        <w:t>must state that if the tenant fails to comply with the payment order, the lessor may apply for a termination and possession order under section 49B.</w:t>
      </w:r>
    </w:p>
    <w:p w:rsidR="00D81763" w:rsidRPr="00483A42" w:rsidRDefault="00D81763" w:rsidP="00D81763">
      <w:pPr>
        <w:pStyle w:val="Amain"/>
      </w:pPr>
      <w:r w:rsidRPr="00483A42">
        <w:tab/>
        <w:t>(</w:t>
      </w:r>
      <w:r w:rsidR="00A16D76">
        <w:t>6</w:t>
      </w:r>
      <w:r w:rsidRPr="00483A42">
        <w:t>)</w:t>
      </w:r>
      <w:r w:rsidRPr="00483A42">
        <w:tab/>
        <w:t>On application to the ACAT, an order under this section may be varied if—</w:t>
      </w:r>
    </w:p>
    <w:p w:rsidR="00D81763" w:rsidRPr="00483A42" w:rsidRDefault="00D81763" w:rsidP="00D81763">
      <w:pPr>
        <w:pStyle w:val="Apara"/>
      </w:pPr>
      <w:r w:rsidRPr="00483A42">
        <w:tab/>
        <w:t>(a)</w:t>
      </w:r>
      <w:r w:rsidRPr="00483A42">
        <w:tab/>
        <w:t>both parties agree to the variation; and</w:t>
      </w:r>
    </w:p>
    <w:p w:rsidR="00D81763" w:rsidRPr="00483A42" w:rsidRDefault="00D81763" w:rsidP="00D81763">
      <w:pPr>
        <w:pStyle w:val="Apara"/>
      </w:pPr>
      <w:r w:rsidRPr="00483A42">
        <w:tab/>
        <w:t>(b)</w:t>
      </w:r>
      <w:r w:rsidRPr="00483A42">
        <w:tab/>
        <w:t>the variation does not postpone the expiry date of the order; and</w:t>
      </w:r>
    </w:p>
    <w:p w:rsidR="00D81763" w:rsidRPr="00483A42" w:rsidRDefault="00D81763" w:rsidP="00D81763">
      <w:pPr>
        <w:pStyle w:val="Apara"/>
      </w:pPr>
      <w:r w:rsidRPr="00483A42">
        <w:tab/>
        <w:t>(c)</w:t>
      </w:r>
      <w:r w:rsidRPr="00483A42">
        <w:tab/>
        <w:t>the ACAT considers it just and appropriate to vary the order.</w:t>
      </w:r>
    </w:p>
    <w:p w:rsidR="00D81763" w:rsidRPr="00483A42" w:rsidRDefault="00D81763" w:rsidP="00D81763">
      <w:pPr>
        <w:pStyle w:val="AH5Sec"/>
      </w:pPr>
      <w:bookmarkStart w:id="90" w:name="_Toc23417897"/>
      <w:r w:rsidRPr="001403E0">
        <w:rPr>
          <w:rStyle w:val="CharSectNo"/>
        </w:rPr>
        <w:t>49B</w:t>
      </w:r>
      <w:r w:rsidRPr="00483A42">
        <w:tab/>
        <w:t>Failure to comply with payment order</w:t>
      </w:r>
      <w:bookmarkEnd w:id="90"/>
      <w:r w:rsidRPr="00483A42">
        <w:t xml:space="preserve"> </w:t>
      </w:r>
    </w:p>
    <w:p w:rsidR="00D81763" w:rsidRPr="00483A42" w:rsidRDefault="00D81763" w:rsidP="00D81763">
      <w:pPr>
        <w:pStyle w:val="Amain"/>
      </w:pPr>
      <w:r w:rsidRPr="00483A42">
        <w:tab/>
        <w:t>(1)</w:t>
      </w:r>
      <w:r w:rsidRPr="00483A42">
        <w:tab/>
        <w:t>This section applies if—</w:t>
      </w:r>
    </w:p>
    <w:p w:rsidR="00D81763" w:rsidRPr="00483A42" w:rsidRDefault="00D81763" w:rsidP="00D81763">
      <w:pPr>
        <w:pStyle w:val="Apara"/>
      </w:pPr>
      <w:r w:rsidRPr="00483A42">
        <w:tab/>
        <w:t>(a)</w:t>
      </w:r>
      <w:r w:rsidRPr="00483A42">
        <w:tab/>
        <w:t>the tenant has failed to comply with a payment order in the last 60 days; and</w:t>
      </w:r>
    </w:p>
    <w:p w:rsidR="00D81763" w:rsidRPr="00483A42" w:rsidRDefault="00D81763" w:rsidP="00D81763">
      <w:pPr>
        <w:pStyle w:val="Apara"/>
      </w:pPr>
      <w:r w:rsidRPr="00483A42">
        <w:tab/>
        <w:t>(b)</w:t>
      </w:r>
      <w:r w:rsidRPr="00483A42">
        <w:tab/>
        <w:t>the order has not expired; and</w:t>
      </w:r>
    </w:p>
    <w:p w:rsidR="00D81763" w:rsidRPr="00483A42" w:rsidRDefault="00D81763" w:rsidP="00D81763">
      <w:pPr>
        <w:pStyle w:val="Apara"/>
      </w:pPr>
      <w:r w:rsidRPr="00483A42">
        <w:tab/>
        <w:t>(c)</w:t>
      </w:r>
      <w:r w:rsidRPr="00483A42">
        <w:tab/>
        <w:t>the tenant continues to live at the premises.</w:t>
      </w:r>
    </w:p>
    <w:p w:rsidR="00D81763" w:rsidRPr="00483A42" w:rsidRDefault="00D81763" w:rsidP="00D81763">
      <w:pPr>
        <w:pStyle w:val="Amain"/>
      </w:pPr>
      <w:r w:rsidRPr="00483A42">
        <w:tab/>
        <w:t>(2)</w:t>
      </w:r>
      <w:r w:rsidRPr="00483A42">
        <w:tab/>
        <w:t>The lessor may apply to the registrar for a termination and possession order.</w:t>
      </w:r>
    </w:p>
    <w:p w:rsidR="00D81763" w:rsidRPr="00483A42" w:rsidRDefault="00D81763" w:rsidP="00D81763">
      <w:pPr>
        <w:pStyle w:val="Amain"/>
      </w:pPr>
      <w:r w:rsidRPr="00483A42">
        <w:tab/>
        <w:t>(3)</w:t>
      </w:r>
      <w:r w:rsidRPr="00483A42">
        <w:tab/>
        <w:t>On receiving an application for a termination and possession order, the registrar must—</w:t>
      </w:r>
    </w:p>
    <w:p w:rsidR="00D81763" w:rsidRPr="00483A42" w:rsidRDefault="00D81763" w:rsidP="00D81763">
      <w:pPr>
        <w:pStyle w:val="Apara"/>
      </w:pPr>
      <w:r w:rsidRPr="00483A42">
        <w:tab/>
        <w:t>(a)</w:t>
      </w:r>
      <w:r w:rsidRPr="00483A42">
        <w:tab/>
        <w:t>list the application for hearing before the ACAT not earlier than 1 week after the day the notice under paragraph (b) is given to the tenant; and</w:t>
      </w:r>
    </w:p>
    <w:p w:rsidR="00D81763" w:rsidRPr="00483A42" w:rsidRDefault="00D81763" w:rsidP="00D81763">
      <w:pPr>
        <w:pStyle w:val="Apara"/>
      </w:pPr>
      <w:r w:rsidRPr="00483A42">
        <w:lastRenderedPageBreak/>
        <w:tab/>
        <w:t>(b)</w:t>
      </w:r>
      <w:r w:rsidRPr="00483A42">
        <w:tab/>
        <w:t>give notice to the tenant stating—</w:t>
      </w:r>
    </w:p>
    <w:p w:rsidR="00D81763" w:rsidRPr="00483A42" w:rsidRDefault="00D81763" w:rsidP="00D81763">
      <w:pPr>
        <w:pStyle w:val="Asubpara"/>
      </w:pPr>
      <w:r w:rsidRPr="00483A42">
        <w:tab/>
        <w:t>(i)</w:t>
      </w:r>
      <w:r w:rsidRPr="00483A42">
        <w:tab/>
        <w:t>that an application for a termination and possession order has been made; and</w:t>
      </w:r>
    </w:p>
    <w:p w:rsidR="00D81763" w:rsidRPr="00483A42" w:rsidRDefault="00D81763" w:rsidP="00D81763">
      <w:pPr>
        <w:pStyle w:val="Asubpara"/>
      </w:pPr>
      <w:r w:rsidRPr="00483A42">
        <w:tab/>
        <w:t>(ii)</w:t>
      </w:r>
      <w:r w:rsidRPr="00483A42">
        <w:tab/>
        <w:t>the time when, and the place where, the application is to be heard; and</w:t>
      </w:r>
    </w:p>
    <w:p w:rsidR="00D81763" w:rsidRPr="00483A42" w:rsidRDefault="00D81763" w:rsidP="00D81763">
      <w:pPr>
        <w:pStyle w:val="Asubpara"/>
      </w:pPr>
      <w:r w:rsidRPr="00483A42">
        <w:tab/>
        <w:t>(iii)</w:t>
      </w:r>
      <w:r w:rsidRPr="00483A42">
        <w:tab/>
        <w:t>that the tenant should seek legal advice about the application if the tenant wants to continue to live at the premises.</w:t>
      </w:r>
    </w:p>
    <w:p w:rsidR="00D81763" w:rsidRPr="00483A42" w:rsidRDefault="00D81763" w:rsidP="00D81763">
      <w:pPr>
        <w:pStyle w:val="Amain"/>
      </w:pPr>
      <w:r w:rsidRPr="00483A42">
        <w:tab/>
        <w:t>(4)</w:t>
      </w:r>
      <w:r w:rsidRPr="00483A42">
        <w:tab/>
        <w:t>If the lessor does not apply to the ACAT under subsection (2), the payment order, residential tenancy agreement and any debt under the residential tenancy agreement is not affected.</w:t>
      </w:r>
    </w:p>
    <w:p w:rsidR="00D81763" w:rsidRPr="00483A42" w:rsidRDefault="00D81763" w:rsidP="00D81763">
      <w:pPr>
        <w:pStyle w:val="AH5Sec"/>
      </w:pPr>
      <w:bookmarkStart w:id="91" w:name="_Toc23417898"/>
      <w:r w:rsidRPr="001403E0">
        <w:rPr>
          <w:rStyle w:val="CharSectNo"/>
        </w:rPr>
        <w:t>49C</w:t>
      </w:r>
      <w:r w:rsidRPr="00483A42">
        <w:tab/>
        <w:t>Hearing of application—failure to comply with payment order</w:t>
      </w:r>
      <w:bookmarkEnd w:id="91"/>
      <w:r w:rsidRPr="00483A42">
        <w:t xml:space="preserve"> </w:t>
      </w:r>
    </w:p>
    <w:p w:rsidR="00D81763" w:rsidRPr="00483A42" w:rsidRDefault="00D81763" w:rsidP="00D81763">
      <w:pPr>
        <w:pStyle w:val="Amain"/>
      </w:pPr>
      <w:r w:rsidRPr="00483A42">
        <w:tab/>
        <w:t>(1)</w:t>
      </w:r>
      <w:r w:rsidRPr="00483A42">
        <w:tab/>
        <w:t>After considering an application under section 49B and hearing the parties who attend the hearing, the ACAT must—</w:t>
      </w:r>
    </w:p>
    <w:p w:rsidR="00D81763" w:rsidRPr="00483A42" w:rsidRDefault="00D81763" w:rsidP="00D81763">
      <w:pPr>
        <w:pStyle w:val="Apara"/>
      </w:pPr>
      <w:r w:rsidRPr="00483A42">
        <w:tab/>
        <w:t>(a)</w:t>
      </w:r>
      <w:r w:rsidRPr="00483A42">
        <w:tab/>
        <w:t>make a termination and possession order; or</w:t>
      </w:r>
    </w:p>
    <w:p w:rsidR="00D81763" w:rsidRPr="00483A42" w:rsidRDefault="00D81763" w:rsidP="00D81763">
      <w:pPr>
        <w:pStyle w:val="Apara"/>
      </w:pPr>
      <w:r w:rsidRPr="00483A42">
        <w:tab/>
        <w:t>(b)</w:t>
      </w:r>
      <w:r w:rsidRPr="00483A42">
        <w:tab/>
        <w:t>refuse to make a termination and possession order.</w:t>
      </w:r>
    </w:p>
    <w:p w:rsidR="00D81763" w:rsidRPr="00483A42" w:rsidRDefault="00D81763" w:rsidP="00D81763">
      <w:pPr>
        <w:pStyle w:val="Amain"/>
      </w:pPr>
      <w:r w:rsidRPr="00483A42">
        <w:tab/>
        <w:t>(2)</w:t>
      </w:r>
      <w:r w:rsidRPr="00483A42">
        <w:tab/>
        <w:t>If the ACAT makes a termination and possession order, the ACAT—</w:t>
      </w:r>
    </w:p>
    <w:p w:rsidR="00D81763" w:rsidRPr="00483A42" w:rsidRDefault="00D81763" w:rsidP="00D81763">
      <w:pPr>
        <w:pStyle w:val="Apara"/>
      </w:pPr>
      <w:r w:rsidRPr="00483A42">
        <w:tab/>
        <w:t>(a)</w:t>
      </w:r>
      <w:r w:rsidRPr="00483A42">
        <w:tab/>
        <w:t>must direct the registrar to issue a warrant for the eviction of the tenant; and</w:t>
      </w:r>
    </w:p>
    <w:p w:rsidR="00D81763" w:rsidRPr="00483A42" w:rsidRDefault="00D81763" w:rsidP="00D81763">
      <w:pPr>
        <w:pStyle w:val="Apara"/>
      </w:pPr>
      <w:r w:rsidRPr="00483A42">
        <w:tab/>
        <w:t>(b)</w:t>
      </w:r>
      <w:r w:rsidRPr="00483A42">
        <w:tab/>
        <w:t>may make an order to pay any unpaid rent that is payable.</w:t>
      </w:r>
    </w:p>
    <w:p w:rsidR="00D81763" w:rsidRPr="00483A42" w:rsidRDefault="00D81763" w:rsidP="00D81763">
      <w:pPr>
        <w:pStyle w:val="Amain"/>
      </w:pPr>
      <w:r w:rsidRPr="00483A42">
        <w:tab/>
        <w:t>(3)</w:t>
      </w:r>
      <w:r w:rsidRPr="00483A42">
        <w:tab/>
        <w:t>If the ACAT refuses to make a termination and possession order, the ACAT may—</w:t>
      </w:r>
    </w:p>
    <w:p w:rsidR="00D81763" w:rsidRPr="00483A42" w:rsidRDefault="00D81763" w:rsidP="00D81763">
      <w:pPr>
        <w:pStyle w:val="Apara"/>
      </w:pPr>
      <w:r w:rsidRPr="00483A42">
        <w:tab/>
        <w:t>(a)</w:t>
      </w:r>
      <w:r w:rsidRPr="00483A42">
        <w:tab/>
        <w:t>confirm the payment order; or</w:t>
      </w:r>
    </w:p>
    <w:p w:rsidR="00D81763" w:rsidRPr="00483A42" w:rsidRDefault="00D81763" w:rsidP="00D81763">
      <w:pPr>
        <w:pStyle w:val="Apara"/>
      </w:pPr>
      <w:r w:rsidRPr="00483A42">
        <w:tab/>
        <w:t>(b)</w:t>
      </w:r>
      <w:r w:rsidRPr="00483A42">
        <w:tab/>
        <w:t>make another payment order; or</w:t>
      </w:r>
    </w:p>
    <w:p w:rsidR="00D81763" w:rsidRPr="00483A42" w:rsidRDefault="00D81763" w:rsidP="00D81763">
      <w:pPr>
        <w:pStyle w:val="Apara"/>
      </w:pPr>
      <w:r w:rsidRPr="00483A42">
        <w:tab/>
        <w:t>(c)</w:t>
      </w:r>
      <w:r w:rsidRPr="00483A42">
        <w:tab/>
        <w:t>set aside the payment order.</w:t>
      </w:r>
    </w:p>
    <w:p w:rsidR="00D81763" w:rsidRPr="00483A42" w:rsidRDefault="00D81763" w:rsidP="003F0101">
      <w:pPr>
        <w:pStyle w:val="Amain"/>
        <w:keepNext/>
      </w:pPr>
      <w:r w:rsidRPr="00483A42">
        <w:lastRenderedPageBreak/>
        <w:tab/>
        <w:t>(4)</w:t>
      </w:r>
      <w:r w:rsidRPr="00483A42">
        <w:tab/>
        <w:t>If the ACAT makes a termination and possession order, it may suspend the order for a stated period of not more than 3 weeks if satisfied that—</w:t>
      </w:r>
    </w:p>
    <w:p w:rsidR="00D81763" w:rsidRPr="00483A42" w:rsidRDefault="00D81763" w:rsidP="00D81763">
      <w:pPr>
        <w:pStyle w:val="Apara"/>
      </w:pPr>
      <w:r w:rsidRPr="00483A42">
        <w:tab/>
        <w:t>(a)</w:t>
      </w:r>
      <w:r w:rsidRPr="00483A42">
        <w:tab/>
        <w:t>were the order not suspended for the stated period, the tenant would suffer significant hardship; and</w:t>
      </w:r>
    </w:p>
    <w:p w:rsidR="00D81763" w:rsidRPr="00483A42" w:rsidRDefault="00D81763" w:rsidP="00D81763">
      <w:pPr>
        <w:pStyle w:val="Apara"/>
      </w:pPr>
      <w:r w:rsidRPr="00483A42">
        <w:tab/>
        <w:t>(b)</w:t>
      </w:r>
      <w:r w:rsidRPr="00483A42">
        <w:tab/>
        <w:t>the tenant’s hardship would be greater than the hardship that would be suffered by the lessor if the order were suspended for the stated period.</w:t>
      </w:r>
    </w:p>
    <w:p w:rsidR="00450C28" w:rsidRDefault="00450C28">
      <w:pPr>
        <w:pStyle w:val="AH5Sec"/>
      </w:pPr>
      <w:bookmarkStart w:id="92" w:name="_Toc23417899"/>
      <w:r w:rsidRPr="001403E0">
        <w:rPr>
          <w:rStyle w:val="CharSectNo"/>
        </w:rPr>
        <w:t>50</w:t>
      </w:r>
      <w:r>
        <w:tab/>
        <w:t>Significant hardship</w:t>
      </w:r>
      <w:bookmarkEnd w:id="92"/>
    </w:p>
    <w:p w:rsidR="00450C28" w:rsidRDefault="00450C28">
      <w:pPr>
        <w:pStyle w:val="Amain"/>
      </w:pPr>
      <w:r>
        <w:tab/>
        <w:t>(1)</w:t>
      </w:r>
      <w:r>
        <w:tab/>
        <w:t xml:space="preserve">On application by a lessor, the </w:t>
      </w:r>
      <w:r w:rsidR="000E3630">
        <w:t>ACAT</w:t>
      </w:r>
      <w:r>
        <w:t xml:space="preserve"> may make a termination and possession order in relation to premises occupied under a fixed term agreement if satisfied that—</w:t>
      </w:r>
    </w:p>
    <w:p w:rsidR="00450C28" w:rsidRDefault="00450C28">
      <w:pPr>
        <w:pStyle w:val="Apara"/>
      </w:pPr>
      <w:r>
        <w:tab/>
        <w:t>(a)</w:t>
      </w:r>
      <w:r>
        <w:tab/>
        <w:t xml:space="preserve">the lessor would suffer significant hardship if the </w:t>
      </w:r>
      <w:r w:rsidR="000E3630">
        <w:t>ACAT</w:t>
      </w:r>
      <w:r>
        <w:t xml:space="preserve"> did not make the order; and</w:t>
      </w:r>
    </w:p>
    <w:p w:rsidR="00450C28" w:rsidRDefault="00450C28">
      <w:pPr>
        <w:pStyle w:val="Apara"/>
      </w:pPr>
      <w:r>
        <w:tab/>
        <w:t>(b)</w:t>
      </w:r>
      <w:r>
        <w:tab/>
        <w:t xml:space="preserve">that hardship would be greater than the hardship the tenant would suffer if the </w:t>
      </w:r>
      <w:r w:rsidR="000E3630">
        <w:t>ACAT</w:t>
      </w:r>
      <w:r>
        <w:t xml:space="preserve"> made the order.</w:t>
      </w:r>
    </w:p>
    <w:p w:rsidR="00450C28" w:rsidRDefault="00450C28">
      <w:pPr>
        <w:pStyle w:val="Amain"/>
      </w:pPr>
      <w:r>
        <w:tab/>
        <w:t>(2)</w:t>
      </w:r>
      <w:r>
        <w:tab/>
        <w:t>If—</w:t>
      </w:r>
    </w:p>
    <w:p w:rsidR="00450C28" w:rsidRDefault="00450C28">
      <w:pPr>
        <w:pStyle w:val="Apara"/>
      </w:pPr>
      <w:r>
        <w:tab/>
        <w:t>(a)</w:t>
      </w:r>
      <w:r>
        <w:tab/>
        <w:t xml:space="preserve">the </w:t>
      </w:r>
      <w:r w:rsidR="000E3630">
        <w:t>ACAT</w:t>
      </w:r>
      <w:r>
        <w:t xml:space="preserve"> decides to terminate a residential tenancy agreement in accordance with this section; and</w:t>
      </w:r>
    </w:p>
    <w:p w:rsidR="00450C28" w:rsidRDefault="00450C28">
      <w:pPr>
        <w:pStyle w:val="Apara"/>
      </w:pPr>
      <w:r>
        <w:tab/>
        <w:t>(b)</w:t>
      </w:r>
      <w:r>
        <w:tab/>
        <w:t xml:space="preserve">the </w:t>
      </w:r>
      <w:r w:rsidR="000E3630">
        <w:t>ACAT</w:t>
      </w:r>
      <w:r>
        <w:t xml:space="preserve"> is satisfied that—</w:t>
      </w:r>
    </w:p>
    <w:p w:rsidR="00450C28" w:rsidRDefault="00450C28">
      <w:pPr>
        <w:pStyle w:val="Asubpara"/>
      </w:pPr>
      <w:r>
        <w:tab/>
        <w:t>(i)</w:t>
      </w:r>
      <w:r>
        <w:tab/>
        <w:t>the lessor would suffer significant hardship if the agreement were not terminated within 8 weeks after the making of the decision to terminate; and</w:t>
      </w:r>
    </w:p>
    <w:p w:rsidR="00450C28" w:rsidRDefault="00450C28" w:rsidP="00947786">
      <w:pPr>
        <w:pStyle w:val="Asubpara"/>
        <w:keepNext/>
      </w:pPr>
      <w:r>
        <w:lastRenderedPageBreak/>
        <w:tab/>
        <w:t>(ii)</w:t>
      </w:r>
      <w:r>
        <w:tab/>
        <w:t>that hardship would be greater than the hardship the tenant would suffer if the agreement were terminated within 8 weeks after that day;</w:t>
      </w:r>
    </w:p>
    <w:p w:rsidR="00450C28" w:rsidRDefault="00450C28" w:rsidP="003F0101">
      <w:pPr>
        <w:pStyle w:val="Amainreturn"/>
        <w:keepNext/>
      </w:pPr>
      <w:r>
        <w:t xml:space="preserve">the </w:t>
      </w:r>
      <w:r w:rsidR="000E3630">
        <w:t>ACAT</w:t>
      </w:r>
      <w:r>
        <w:t xml:space="preserve"> must—</w:t>
      </w:r>
    </w:p>
    <w:p w:rsidR="00450C28" w:rsidRDefault="00450C28">
      <w:pPr>
        <w:pStyle w:val="Apara"/>
      </w:pPr>
      <w:r>
        <w:tab/>
        <w:t>(c)</w:t>
      </w:r>
      <w:r>
        <w:tab/>
        <w:t>specify the day, less than 8 weeks after the making of the decision to terminate, when the termination is to happen; and</w:t>
      </w:r>
    </w:p>
    <w:p w:rsidR="00450C28" w:rsidRDefault="00450C28">
      <w:pPr>
        <w:pStyle w:val="Apara"/>
      </w:pPr>
      <w:r>
        <w:tab/>
        <w:t>(d)</w:t>
      </w:r>
      <w:r>
        <w:tab/>
        <w:t>give the tenant the notice of the proposed termination that is reasonable in the circumstances.</w:t>
      </w:r>
    </w:p>
    <w:p w:rsidR="00450C28" w:rsidRDefault="00450C28">
      <w:pPr>
        <w:pStyle w:val="Amain"/>
        <w:keepNext/>
      </w:pPr>
      <w:r>
        <w:tab/>
        <w:t>(3)</w:t>
      </w:r>
      <w:r>
        <w:tab/>
        <w:t>If—</w:t>
      </w:r>
    </w:p>
    <w:p w:rsidR="00450C28" w:rsidRDefault="00450C28" w:rsidP="00D53A62">
      <w:pPr>
        <w:pStyle w:val="Apara"/>
        <w:keepNext/>
      </w:pPr>
      <w:r>
        <w:tab/>
        <w:t>(a)</w:t>
      </w:r>
      <w:r>
        <w:tab/>
        <w:t xml:space="preserve">the </w:t>
      </w:r>
      <w:r w:rsidR="000E3630">
        <w:t>ACAT</w:t>
      </w:r>
      <w:r>
        <w:t xml:space="preserve"> decides to terminate a residential tenancy agreement in accordance with this section; and</w:t>
      </w:r>
    </w:p>
    <w:p w:rsidR="00450C28" w:rsidRDefault="00450C28" w:rsidP="00D53A62">
      <w:pPr>
        <w:pStyle w:val="Apara"/>
        <w:keepNext/>
      </w:pPr>
      <w:r>
        <w:tab/>
        <w:t>(b)</w:t>
      </w:r>
      <w:r>
        <w:tab/>
        <w:t xml:space="preserve">the </w:t>
      </w:r>
      <w:r w:rsidR="000E3630">
        <w:t>ACAT</w:t>
      </w:r>
      <w:r>
        <w:t xml:space="preserve"> is not satisfied about the matters mentioned in subsection (2) (b);</w:t>
      </w:r>
    </w:p>
    <w:p w:rsidR="00450C28" w:rsidRDefault="00450C28">
      <w:pPr>
        <w:pStyle w:val="Amainreturn"/>
      </w:pPr>
      <w:r>
        <w:t xml:space="preserve">the </w:t>
      </w:r>
      <w:r w:rsidR="000E3630">
        <w:t>ACAT</w:t>
      </w:r>
      <w:r>
        <w:t xml:space="preserve"> must—</w:t>
      </w:r>
    </w:p>
    <w:p w:rsidR="00450C28" w:rsidRDefault="00450C28">
      <w:pPr>
        <w:pStyle w:val="Apara"/>
      </w:pPr>
      <w:r>
        <w:tab/>
        <w:t>(c)</w:t>
      </w:r>
      <w:r>
        <w:tab/>
        <w:t>taking into consideration the need to comply with paragraph (d), specify the day, not less than 8 weeks after the making of the decision to terminate, when the termination is to happen; and</w:t>
      </w:r>
    </w:p>
    <w:p w:rsidR="00450C28" w:rsidRDefault="00450C28">
      <w:pPr>
        <w:pStyle w:val="Apara"/>
      </w:pPr>
      <w:r>
        <w:tab/>
        <w:t>(d)</w:t>
      </w:r>
      <w:r>
        <w:tab/>
        <w:t>give the tenant no less than 8 weeks notice of the proposed termination.</w:t>
      </w:r>
    </w:p>
    <w:p w:rsidR="00450C28" w:rsidRDefault="00450C28">
      <w:pPr>
        <w:pStyle w:val="AH5Sec"/>
      </w:pPr>
      <w:bookmarkStart w:id="93" w:name="_Toc23417900"/>
      <w:r w:rsidRPr="001403E0">
        <w:rPr>
          <w:rStyle w:val="CharSectNo"/>
        </w:rPr>
        <w:t>51</w:t>
      </w:r>
      <w:r>
        <w:tab/>
        <w:t>Damage, injury or intention to damage or injure</w:t>
      </w:r>
      <w:bookmarkEnd w:id="93"/>
    </w:p>
    <w:p w:rsidR="00450C28" w:rsidRDefault="00450C28">
      <w:pPr>
        <w:pStyle w:val="Amainreturn"/>
      </w:pPr>
      <w:r>
        <w:t xml:space="preserve">On application by a lessor, the </w:t>
      </w:r>
      <w:r w:rsidR="000E3630">
        <w:t>ACAT</w:t>
      </w:r>
      <w:r>
        <w:t xml:space="preserve"> may make a termination and possession order effective immediately if satisfied that the tenant has intentionally or recklessly caused or allowed, or is likely to cause or allow—</w:t>
      </w:r>
    </w:p>
    <w:p w:rsidR="00450C28" w:rsidRDefault="00450C28">
      <w:pPr>
        <w:pStyle w:val="Apara"/>
      </w:pPr>
      <w:r>
        <w:tab/>
        <w:t>(a)</w:t>
      </w:r>
      <w:r>
        <w:tab/>
        <w:t>serious damage to the premises or to other property of the lessor; or</w:t>
      </w:r>
    </w:p>
    <w:p w:rsidR="00450C28" w:rsidRDefault="00450C28">
      <w:pPr>
        <w:pStyle w:val="Apara"/>
      </w:pPr>
      <w:r>
        <w:tab/>
        <w:t>(b)</w:t>
      </w:r>
      <w:r>
        <w:tab/>
        <w:t>if the lessor is an individual—injury to the lessor or a member of the lessor’s family; or</w:t>
      </w:r>
    </w:p>
    <w:p w:rsidR="00450C28" w:rsidRDefault="00450C28">
      <w:pPr>
        <w:pStyle w:val="Apara"/>
      </w:pPr>
      <w:r>
        <w:lastRenderedPageBreak/>
        <w:tab/>
        <w:t>(c)</w:t>
      </w:r>
      <w:r>
        <w:tab/>
        <w:t>if the lessor is a corporation—injury to a representative of the corporation or a member of a representative’s family; or</w:t>
      </w:r>
    </w:p>
    <w:p w:rsidR="00450C28" w:rsidRDefault="00450C28">
      <w:pPr>
        <w:pStyle w:val="Apara"/>
      </w:pPr>
      <w:r>
        <w:tab/>
        <w:t>(d)</w:t>
      </w:r>
      <w:r>
        <w:tab/>
        <w:t>serious or continuous interference with the quiet enjoyment of nearby premises by an occupier of the premises.</w:t>
      </w:r>
    </w:p>
    <w:p w:rsidR="00450C28" w:rsidRDefault="00450C28">
      <w:pPr>
        <w:pStyle w:val="AH5Sec"/>
      </w:pPr>
      <w:bookmarkStart w:id="94" w:name="_Toc23417901"/>
      <w:r w:rsidRPr="001403E0">
        <w:rPr>
          <w:rStyle w:val="CharSectNo"/>
        </w:rPr>
        <w:t>52</w:t>
      </w:r>
      <w:r>
        <w:tab/>
        <w:t>False or misleading statements</w:t>
      </w:r>
      <w:bookmarkEnd w:id="94"/>
    </w:p>
    <w:p w:rsidR="00450C28" w:rsidRDefault="00450C28">
      <w:pPr>
        <w:pStyle w:val="Amainreturn"/>
      </w:pPr>
      <w:r>
        <w:t xml:space="preserve">On application by a lessor, the </w:t>
      </w:r>
      <w:r w:rsidR="000E3630">
        <w:t>ACAT</w:t>
      </w:r>
      <w:r>
        <w:t xml:space="preserve"> may make a termination and possession order if satisfied that the residential tenancy agreement was induced by a false or misleading statement of the tenant.</w:t>
      </w:r>
    </w:p>
    <w:p w:rsidR="00450C28" w:rsidRDefault="00450C28">
      <w:pPr>
        <w:pStyle w:val="AH5Sec"/>
      </w:pPr>
      <w:bookmarkStart w:id="95" w:name="_Toc23417902"/>
      <w:r w:rsidRPr="001403E0">
        <w:rPr>
          <w:rStyle w:val="CharSectNo"/>
        </w:rPr>
        <w:t>53</w:t>
      </w:r>
      <w:r>
        <w:tab/>
        <w:t>Employer-provided accommodation</w:t>
      </w:r>
      <w:bookmarkEnd w:id="95"/>
    </w:p>
    <w:p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the residential tenancy agreement was entered into as part of a contract of employment; and</w:t>
      </w:r>
    </w:p>
    <w:p w:rsidR="00450C28" w:rsidRDefault="00450C28">
      <w:pPr>
        <w:pStyle w:val="Apara"/>
      </w:pPr>
      <w:r>
        <w:tab/>
        <w:t>(b)</w:t>
      </w:r>
      <w:r>
        <w:tab/>
        <w:t>the tenant has, since the agreement was entered into, ceased to be employed by the lessor; and</w:t>
      </w:r>
    </w:p>
    <w:p w:rsidR="00450C28" w:rsidRDefault="00450C28">
      <w:pPr>
        <w:pStyle w:val="Apara"/>
      </w:pPr>
      <w:r>
        <w:tab/>
        <w:t>(c)</w:t>
      </w:r>
      <w:r>
        <w:tab/>
        <w:t>the lessor requires the premises to accommodate another employee.</w:t>
      </w:r>
    </w:p>
    <w:p w:rsidR="00450C28" w:rsidRDefault="00450C28">
      <w:pPr>
        <w:pStyle w:val="Amain"/>
      </w:pPr>
      <w:r>
        <w:tab/>
        <w:t>(2)</w:t>
      </w:r>
      <w:r>
        <w:tab/>
        <w:t>If a residential tenancy agreement is entered into between a university and—</w:t>
      </w:r>
    </w:p>
    <w:p w:rsidR="00450C28" w:rsidRDefault="00450C28">
      <w:pPr>
        <w:pStyle w:val="Apara"/>
      </w:pPr>
      <w:r>
        <w:tab/>
        <w:t>(a)</w:t>
      </w:r>
      <w:r>
        <w:tab/>
        <w:t>a visiting academic; or</w:t>
      </w:r>
    </w:p>
    <w:p w:rsidR="00450C28" w:rsidRDefault="00450C28">
      <w:pPr>
        <w:pStyle w:val="Apara"/>
      </w:pPr>
      <w:r>
        <w:tab/>
        <w:t>(b)</w:t>
      </w:r>
      <w:r>
        <w:tab/>
        <w:t>a staff member; or</w:t>
      </w:r>
    </w:p>
    <w:p w:rsidR="00450C28" w:rsidRDefault="00450C28">
      <w:pPr>
        <w:pStyle w:val="Apara"/>
      </w:pPr>
      <w:r>
        <w:tab/>
        <w:t>(c)</w:t>
      </w:r>
      <w:r>
        <w:tab/>
        <w:t>a contract employee; or</w:t>
      </w:r>
    </w:p>
    <w:p w:rsidR="00450C28" w:rsidRDefault="00450C28">
      <w:pPr>
        <w:pStyle w:val="Apara"/>
      </w:pPr>
      <w:r>
        <w:tab/>
        <w:t>(d)</w:t>
      </w:r>
      <w:r>
        <w:tab/>
        <w:t>a postgraduate student; or</w:t>
      </w:r>
    </w:p>
    <w:p w:rsidR="00450C28" w:rsidRDefault="00450C28">
      <w:pPr>
        <w:pStyle w:val="Apara"/>
      </w:pPr>
      <w:r>
        <w:tab/>
        <w:t>(e)</w:t>
      </w:r>
      <w:r>
        <w:tab/>
        <w:t>an undergraduate student; or</w:t>
      </w:r>
    </w:p>
    <w:p w:rsidR="00450C28" w:rsidRDefault="00450C28" w:rsidP="00256F51">
      <w:pPr>
        <w:pStyle w:val="Apara"/>
        <w:keepNext/>
      </w:pPr>
      <w:r>
        <w:lastRenderedPageBreak/>
        <w:tab/>
        <w:t>(f)</w:t>
      </w:r>
      <w:r>
        <w:tab/>
        <w:t>a person undertaking an approved course of study;</w:t>
      </w:r>
    </w:p>
    <w:p w:rsidR="00450C28" w:rsidRDefault="00450C28">
      <w:pPr>
        <w:pStyle w:val="Amainreturn"/>
      </w:pPr>
      <w:r>
        <w:t xml:space="preserve">and a person of the kind mentioned in paragraphs (a) to (f) ceases to be a person of that kind, on application by the university, the </w:t>
      </w:r>
      <w:r w:rsidR="000E3630">
        <w:t>ACAT</w:t>
      </w:r>
      <w:r>
        <w:t xml:space="preserve"> may make a termination and possession order.</w:t>
      </w:r>
    </w:p>
    <w:p w:rsidR="00450C28" w:rsidRDefault="00450C28">
      <w:pPr>
        <w:pStyle w:val="Amain"/>
      </w:pPr>
      <w:r>
        <w:tab/>
        <w:t>(3)</w:t>
      </w:r>
      <w:r>
        <w:tab/>
        <w:t xml:space="preserve">If the </w:t>
      </w:r>
      <w:r w:rsidR="000E3630">
        <w:t>ACAT</w:t>
      </w:r>
      <w:r>
        <w:t xml:space="preserve"> makes an order under subsection (1) or (2), the </w:t>
      </w:r>
      <w:r w:rsidR="000E3630">
        <w:t>ACAT</w:t>
      </w:r>
      <w:r>
        <w:t xml:space="preserve"> must give the tenant no less than 4 weeks notice of the termination of the tenancy.</w:t>
      </w:r>
    </w:p>
    <w:p w:rsidR="00450C28" w:rsidRDefault="00450C28">
      <w:pPr>
        <w:pStyle w:val="AH5Sec"/>
      </w:pPr>
      <w:bookmarkStart w:id="96" w:name="_Toc23417903"/>
      <w:r w:rsidRPr="001403E0">
        <w:rPr>
          <w:rStyle w:val="CharSectNo"/>
        </w:rPr>
        <w:t>54</w:t>
      </w:r>
      <w:r>
        <w:tab/>
        <w:t>Purported assignment or subletting</w:t>
      </w:r>
      <w:bookmarkEnd w:id="96"/>
    </w:p>
    <w:p w:rsidR="00450C28" w:rsidRDefault="00450C28">
      <w:pPr>
        <w:pStyle w:val="Amain"/>
        <w:keepNext/>
      </w:pPr>
      <w:r>
        <w:tab/>
        <w:t>(1)</w:t>
      </w:r>
      <w:r>
        <w:tab/>
        <w:t xml:space="preserve">On application by a lessor, the </w:t>
      </w:r>
      <w:r w:rsidR="000E3630">
        <w:t>ACAT</w:t>
      </w:r>
      <w:r>
        <w:t xml:space="preserve"> may make a termination and possession order if satisfied that—</w:t>
      </w:r>
    </w:p>
    <w:p w:rsidR="00450C28" w:rsidRDefault="00450C28">
      <w:pPr>
        <w:pStyle w:val="Apara"/>
      </w:pPr>
      <w:r>
        <w:tab/>
        <w:t>(a)</w:t>
      </w:r>
      <w:r>
        <w:tab/>
        <w:t>the tenant purported to assign or sublet the premises in contravention of the standard residential tenancy terms; and</w:t>
      </w:r>
    </w:p>
    <w:p w:rsidR="00450C28" w:rsidRDefault="00450C28">
      <w:pPr>
        <w:pStyle w:val="Apara"/>
      </w:pPr>
      <w:r>
        <w:tab/>
        <w:t>(b)</w:t>
      </w:r>
      <w:r>
        <w:tab/>
        <w:t xml:space="preserve">the purported assignment or subletting was not in accordance with a term of the residential tenancy agreement endorsed by the </w:t>
      </w:r>
      <w:r w:rsidR="000E3630">
        <w:t>ACAT</w:t>
      </w:r>
      <w:r>
        <w:t>; and</w:t>
      </w:r>
    </w:p>
    <w:p w:rsidR="00450C28" w:rsidRDefault="00450C28">
      <w:pPr>
        <w:pStyle w:val="Apara"/>
      </w:pPr>
      <w:r>
        <w:tab/>
        <w:t>(c)</w:t>
      </w:r>
      <w:r>
        <w:tab/>
        <w:t>the lessor served a termination notice on the tenant on the basis of the purported assignment or subletting; and</w:t>
      </w:r>
    </w:p>
    <w:p w:rsidR="00450C28" w:rsidRDefault="00450C28">
      <w:pPr>
        <w:pStyle w:val="Apara"/>
      </w:pPr>
      <w:r>
        <w:tab/>
        <w:t>(d)</w:t>
      </w:r>
      <w:r>
        <w:tab/>
        <w:t>the premises have not been vacated.</w:t>
      </w:r>
    </w:p>
    <w:p w:rsidR="00450C28" w:rsidRDefault="00450C28">
      <w:pPr>
        <w:pStyle w:val="Amain"/>
      </w:pPr>
      <w:r>
        <w:tab/>
        <w:t>(2)</w:t>
      </w:r>
      <w:r>
        <w:tab/>
        <w:t xml:space="preserve">Even though the </w:t>
      </w:r>
      <w:r w:rsidR="000E3630">
        <w:t>ACAT</w:t>
      </w:r>
      <w:r>
        <w:t xml:space="preserve"> is satisfied about the matters mentioned in subsection (1) (a), (b) and (c), the </w:t>
      </w:r>
      <w:r w:rsidR="000E3630">
        <w:t>ACAT</w:t>
      </w:r>
      <w:r>
        <w:t xml:space="preserve"> may, if satisfied that it is appropriate to do so—</w:t>
      </w:r>
    </w:p>
    <w:p w:rsidR="00450C28" w:rsidRDefault="00450C28">
      <w:pPr>
        <w:pStyle w:val="Apara"/>
      </w:pPr>
      <w:r>
        <w:tab/>
        <w:t>(a)</w:t>
      </w:r>
      <w:r>
        <w:tab/>
        <w:t>if the purported assignee or sublessee vacates the premises—refuse the application for a termination and possession order; or</w:t>
      </w:r>
    </w:p>
    <w:p w:rsidR="00450C28" w:rsidRDefault="00450C28">
      <w:pPr>
        <w:pStyle w:val="Apara"/>
      </w:pPr>
      <w:r>
        <w:tab/>
        <w:t>(b)</w:t>
      </w:r>
      <w:r>
        <w:tab/>
        <w:t>make a termination and possession order contingent on the failure of the purported assignee or sublessee to vacate the premises by a day specified in the order, by which the purported assignee or sublessee has undertaken to vacate the premises; or</w:t>
      </w:r>
    </w:p>
    <w:p w:rsidR="00450C28" w:rsidRDefault="00450C28">
      <w:pPr>
        <w:pStyle w:val="Apara"/>
      </w:pPr>
      <w:r>
        <w:lastRenderedPageBreak/>
        <w:tab/>
        <w:t>(c)</w:t>
      </w:r>
      <w:r>
        <w:tab/>
        <w:t>make a termination and possession order but suspend the operation of the order for a specified period of no more than 3 weeks from the date of making the order if—</w:t>
      </w:r>
    </w:p>
    <w:p w:rsidR="00450C28" w:rsidRDefault="00450C28">
      <w:pPr>
        <w:pStyle w:val="Asubpara"/>
      </w:pPr>
      <w:r>
        <w:tab/>
        <w:t>(i)</w:t>
      </w:r>
      <w:r>
        <w:tab/>
        <w:t xml:space="preserve">the purported assignee or sublessee would suffer significant hardship if the </w:t>
      </w:r>
      <w:r w:rsidR="000E3630">
        <w:t>ACAT</w:t>
      </w:r>
      <w:r>
        <w:t xml:space="preserve"> made a termination and possession order that took effect within the specified period after the making of the order; and</w:t>
      </w:r>
    </w:p>
    <w:p w:rsidR="00450C28" w:rsidRDefault="00450C28">
      <w:pPr>
        <w:pStyle w:val="Asubpara"/>
      </w:pPr>
      <w:r>
        <w:tab/>
        <w:t>(ii)</w:t>
      </w:r>
      <w:r>
        <w:tab/>
        <w:t xml:space="preserve">that hardship would be greater than the hardship the lessor would suffer if the </w:t>
      </w:r>
      <w:r w:rsidR="000E3630">
        <w:t>ACAT</w:t>
      </w:r>
      <w:r>
        <w:t xml:space="preserve"> made the order and it did not come into effect within that period.</w:t>
      </w:r>
    </w:p>
    <w:p w:rsidR="00450C28" w:rsidRDefault="00450C28">
      <w:pPr>
        <w:pStyle w:val="AH5Sec"/>
      </w:pPr>
      <w:bookmarkStart w:id="97" w:name="_Toc23417904"/>
      <w:r w:rsidRPr="001403E0">
        <w:rPr>
          <w:rStyle w:val="CharSectNo"/>
        </w:rPr>
        <w:t>55</w:t>
      </w:r>
      <w:r>
        <w:tab/>
        <w:t>Repudiation without vacation</w:t>
      </w:r>
      <w:bookmarkEnd w:id="97"/>
    </w:p>
    <w:p w:rsidR="00450C28" w:rsidRDefault="00450C28">
      <w:pPr>
        <w:pStyle w:val="Amainreturn"/>
        <w:keepNext/>
      </w:pPr>
      <w:r>
        <w:t xml:space="preserve">On application by a lessor, the </w:t>
      </w:r>
      <w:r w:rsidR="000E3630">
        <w:t>ACAT</w:t>
      </w:r>
      <w:r>
        <w:t xml:space="preserve"> may make a termination and possession order if—</w:t>
      </w:r>
    </w:p>
    <w:p w:rsidR="00450C28" w:rsidRDefault="00450C28">
      <w:pPr>
        <w:pStyle w:val="Apara"/>
      </w:pPr>
      <w:r>
        <w:tab/>
        <w:t>(a)</w:t>
      </w:r>
      <w:r>
        <w:tab/>
        <w:t>the tenant repudiates the residential tenancy agreement in writing; and</w:t>
      </w:r>
    </w:p>
    <w:p w:rsidR="00450C28" w:rsidRDefault="00450C28">
      <w:pPr>
        <w:pStyle w:val="Apara"/>
      </w:pPr>
      <w:r>
        <w:tab/>
        <w:t>(b)</w:t>
      </w:r>
      <w:r>
        <w:tab/>
        <w:t>the lessor accepts the repudiation as proposed by the tenant; and</w:t>
      </w:r>
    </w:p>
    <w:p w:rsidR="00450C28" w:rsidRDefault="00450C28">
      <w:pPr>
        <w:pStyle w:val="Apara"/>
      </w:pPr>
      <w:r>
        <w:tab/>
        <w:t>(c)</w:t>
      </w:r>
      <w:r>
        <w:tab/>
        <w:t>the tenant fails to vacate the premises on or before the date specified for vacation in the notice of repudiation.</w:t>
      </w:r>
    </w:p>
    <w:p w:rsidR="003D61B6" w:rsidRPr="00E17C2E" w:rsidRDefault="003D61B6" w:rsidP="003D61B6">
      <w:pPr>
        <w:pStyle w:val="AH5Sec"/>
      </w:pPr>
      <w:bookmarkStart w:id="98" w:name="_Toc23417905"/>
      <w:r w:rsidRPr="001403E0">
        <w:rPr>
          <w:rStyle w:val="CharSectNo"/>
        </w:rPr>
        <w:t>55A</w:t>
      </w:r>
      <w:r w:rsidRPr="00E17C2E">
        <w:tab/>
        <w:t>Affected residential premises</w:t>
      </w:r>
      <w:bookmarkEnd w:id="98"/>
    </w:p>
    <w:p w:rsidR="003D61B6" w:rsidRPr="00E17C2E" w:rsidRDefault="003D61B6" w:rsidP="003D61B6">
      <w:pPr>
        <w:pStyle w:val="Amain"/>
      </w:pPr>
      <w:r w:rsidRPr="00E17C2E">
        <w:tab/>
        <w:t>(1)</w:t>
      </w:r>
      <w:r w:rsidRPr="00E17C2E">
        <w:tab/>
        <w:t>On application by a lessor, the ACAT may make a termination and possession order if satisfied that—</w:t>
      </w:r>
    </w:p>
    <w:p w:rsidR="003D61B6" w:rsidRPr="00E17C2E" w:rsidRDefault="003D61B6" w:rsidP="003D61B6">
      <w:pPr>
        <w:pStyle w:val="Apara"/>
      </w:pPr>
      <w:r w:rsidRPr="00E17C2E">
        <w:tab/>
        <w:t>(a)</w:t>
      </w:r>
      <w:r w:rsidRPr="00E17C2E">
        <w:tab/>
        <w:t>the premises are affected residential premises; and</w:t>
      </w:r>
    </w:p>
    <w:p w:rsidR="003D61B6" w:rsidRPr="00E17C2E" w:rsidRDefault="003D61B6" w:rsidP="003D61B6">
      <w:pPr>
        <w:pStyle w:val="aNotepar"/>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3D61B6" w:rsidRPr="00E17C2E" w:rsidRDefault="003D61B6" w:rsidP="003D61B6">
      <w:pPr>
        <w:pStyle w:val="Apara"/>
      </w:pPr>
      <w:r w:rsidRPr="00E17C2E">
        <w:tab/>
        <w:t>(b)</w:t>
      </w:r>
      <w:r w:rsidRPr="00E17C2E">
        <w:tab/>
        <w:t>the lessor has given the tenant written notice under section 64AA (Termination—affected residential premises) terminating the tenancy agreement; and</w:t>
      </w:r>
    </w:p>
    <w:p w:rsidR="003D61B6" w:rsidRPr="00E17C2E" w:rsidRDefault="003D61B6" w:rsidP="003D61B6">
      <w:pPr>
        <w:pStyle w:val="Apara"/>
      </w:pPr>
      <w:r w:rsidRPr="00E17C2E">
        <w:tab/>
        <w:t>(c)</w:t>
      </w:r>
      <w:r w:rsidRPr="00E17C2E">
        <w:tab/>
        <w:t>the tenant has not vacated the premises as required by the notice.</w:t>
      </w:r>
    </w:p>
    <w:p w:rsidR="003D61B6" w:rsidRPr="00E17C2E" w:rsidRDefault="003D61B6" w:rsidP="00D53A62">
      <w:pPr>
        <w:pStyle w:val="Amain"/>
        <w:keepNext/>
      </w:pPr>
      <w:r w:rsidRPr="00E17C2E">
        <w:lastRenderedPageBreak/>
        <w:tab/>
        <w:t>(2)</w:t>
      </w:r>
      <w:r w:rsidRPr="00E17C2E">
        <w:tab/>
        <w:t>The ACAT may suspend the operation of the termination and possession order for a stated period of up to 3 weeks if satisfied that—</w:t>
      </w:r>
    </w:p>
    <w:p w:rsidR="003D61B6" w:rsidRPr="00E17C2E" w:rsidRDefault="003D61B6" w:rsidP="009D194C">
      <w:pPr>
        <w:pStyle w:val="Apara"/>
        <w:keepNext/>
      </w:pPr>
      <w:r w:rsidRPr="00E17C2E">
        <w:tab/>
        <w:t>(a)</w:t>
      </w:r>
      <w:r w:rsidRPr="00E17C2E">
        <w:tab/>
        <w:t>the tenant would suffer significant hardship if the order were not suspended for the stated period; and</w:t>
      </w:r>
    </w:p>
    <w:p w:rsidR="003D61B6" w:rsidRDefault="003D61B6" w:rsidP="003D61B6">
      <w:pPr>
        <w:pStyle w:val="Apara"/>
      </w:pPr>
      <w:r w:rsidRPr="00E17C2E">
        <w:tab/>
        <w:t>(b)</w:t>
      </w:r>
      <w:r w:rsidRPr="00E17C2E">
        <w:tab/>
        <w:t>the hardship would be greater than the hardship the lessor would suffer if the order were s</w:t>
      </w:r>
      <w:r w:rsidR="00646ACD">
        <w:t>uspended for the stated period.</w:t>
      </w:r>
    </w:p>
    <w:p w:rsidR="00646ACD" w:rsidRPr="00667352" w:rsidRDefault="00646ACD" w:rsidP="00646ACD">
      <w:pPr>
        <w:pStyle w:val="AH5Sec"/>
      </w:pPr>
      <w:bookmarkStart w:id="99" w:name="_Toc23417906"/>
      <w:r w:rsidRPr="001403E0">
        <w:rPr>
          <w:rStyle w:val="CharSectNo"/>
        </w:rPr>
        <w:t>55B</w:t>
      </w:r>
      <w:r w:rsidRPr="00667352">
        <w:tab/>
        <w:t>Eligible impacted property</w:t>
      </w:r>
      <w:bookmarkEnd w:id="99"/>
    </w:p>
    <w:p w:rsidR="00646ACD" w:rsidRPr="00667352" w:rsidRDefault="00646ACD" w:rsidP="004B345E">
      <w:pPr>
        <w:pStyle w:val="Amain"/>
        <w:keepNext/>
      </w:pPr>
      <w:r w:rsidRPr="00667352">
        <w:tab/>
        <w:t>(1)</w:t>
      </w:r>
      <w:r w:rsidRPr="00667352">
        <w:tab/>
        <w:t>On application by a lessor, the ACAT may make a termination and possession order if satisfied that—</w:t>
      </w:r>
    </w:p>
    <w:p w:rsidR="00646ACD" w:rsidRPr="00667352" w:rsidRDefault="00646ACD" w:rsidP="004B345E">
      <w:pPr>
        <w:pStyle w:val="Apara"/>
        <w:keepNext/>
      </w:pPr>
      <w:r w:rsidRPr="00667352">
        <w:tab/>
        <w:t>(a)</w:t>
      </w:r>
      <w:r w:rsidRPr="00667352">
        <w:tab/>
        <w:t>the premises are an eligible impacted property; and</w:t>
      </w:r>
    </w:p>
    <w:p w:rsidR="00646ACD" w:rsidRPr="00667352" w:rsidRDefault="00646ACD" w:rsidP="00646ACD">
      <w:pPr>
        <w:pStyle w:val="aNotepar"/>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50" w:tooltip="A2003-40" w:history="1">
        <w:r w:rsidRPr="00334717">
          <w:rPr>
            <w:rStyle w:val="charCitHyperlinkItal"/>
          </w:rPr>
          <w:t>Civil Law (Sale of Residential Property) Act 2003</w:t>
        </w:r>
      </w:hyperlink>
      <w:r w:rsidRPr="00667352">
        <w:t>, s 9A (1).</w:t>
      </w:r>
    </w:p>
    <w:p w:rsidR="00646ACD" w:rsidRPr="00667352" w:rsidRDefault="00646ACD" w:rsidP="00646ACD">
      <w:pPr>
        <w:pStyle w:val="Apara"/>
      </w:pPr>
      <w:r w:rsidRPr="00667352">
        <w:tab/>
        <w:t>(b)</w:t>
      </w:r>
      <w:r w:rsidRPr="00667352">
        <w:tab/>
        <w:t>the lessor has given the tenant written notice under section 64AB (Termination—eligible impacted property) terminating the tenancy agreement; and</w:t>
      </w:r>
    </w:p>
    <w:p w:rsidR="00646ACD" w:rsidRPr="00667352" w:rsidRDefault="00646ACD" w:rsidP="00646ACD">
      <w:pPr>
        <w:pStyle w:val="Apara"/>
      </w:pPr>
      <w:r w:rsidRPr="00667352">
        <w:tab/>
        <w:t>(c)</w:t>
      </w:r>
      <w:r w:rsidRPr="00667352">
        <w:tab/>
        <w:t>the tenant has not vacated the premises as required by the notice.</w:t>
      </w:r>
    </w:p>
    <w:p w:rsidR="00646ACD" w:rsidRPr="00667352" w:rsidRDefault="00646ACD" w:rsidP="00646ACD">
      <w:pPr>
        <w:pStyle w:val="Amain"/>
      </w:pPr>
      <w:r w:rsidRPr="00667352">
        <w:tab/>
        <w:t>(2)</w:t>
      </w:r>
      <w:r w:rsidRPr="00667352">
        <w:tab/>
        <w:t>The ACAT may suspend the operation of the termination and possession order for a stated period of up to 3 weeks if satisfied that—</w:t>
      </w:r>
    </w:p>
    <w:p w:rsidR="00646ACD" w:rsidRPr="00667352" w:rsidRDefault="00646ACD" w:rsidP="00646ACD">
      <w:pPr>
        <w:pStyle w:val="Apara"/>
      </w:pPr>
      <w:r w:rsidRPr="00667352">
        <w:tab/>
        <w:t>(a)</w:t>
      </w:r>
      <w:r w:rsidRPr="00667352">
        <w:tab/>
        <w:t>the tenant would suffer significant hardship if the order were not suspended for the stated period; and</w:t>
      </w:r>
    </w:p>
    <w:p w:rsidR="00646ACD" w:rsidRPr="00667352" w:rsidRDefault="00646ACD" w:rsidP="00646ACD">
      <w:pPr>
        <w:pStyle w:val="Apara"/>
      </w:pPr>
      <w:r w:rsidRPr="00667352">
        <w:tab/>
        <w:t>(b)</w:t>
      </w:r>
      <w:r w:rsidRPr="00667352">
        <w:tab/>
        <w:t>the hardship would be greater than the hardship the lessor would suffer if the order were s</w:t>
      </w:r>
      <w:r w:rsidR="00256F51">
        <w:t>uspended for the stated period.</w:t>
      </w:r>
    </w:p>
    <w:p w:rsidR="00450C28" w:rsidRDefault="00450C28">
      <w:pPr>
        <w:pStyle w:val="AH5Sec"/>
      </w:pPr>
      <w:bookmarkStart w:id="100" w:name="_Toc23417907"/>
      <w:r w:rsidRPr="001403E0">
        <w:rPr>
          <w:rStyle w:val="CharSectNo"/>
        </w:rPr>
        <w:lastRenderedPageBreak/>
        <w:t>56</w:t>
      </w:r>
      <w:r>
        <w:tab/>
        <w:t>Compensation to lessor</w:t>
      </w:r>
      <w:bookmarkEnd w:id="100"/>
    </w:p>
    <w:p w:rsidR="00450C28" w:rsidRDefault="00450C28" w:rsidP="009D194C">
      <w:pPr>
        <w:pStyle w:val="Amainreturn"/>
        <w:keepNext/>
        <w:keepLines/>
      </w:pPr>
      <w:r>
        <w:t xml:space="preserve">If a person to whom a termination and possession order is directed fails to vacate the specified premises in accordance with the order, the </w:t>
      </w:r>
      <w:r w:rsidR="000E3630">
        <w:t>ACAT</w:t>
      </w:r>
      <w:r>
        <w:t xml:space="preserve"> may, on application made within 4 weeks after the date when the person was to vacate the premises, order the person to pay to the applicant such of the following as it considers appropriate:</w:t>
      </w:r>
    </w:p>
    <w:p w:rsidR="00450C28" w:rsidRDefault="00450C28" w:rsidP="00D53A62">
      <w:pPr>
        <w:pStyle w:val="Apara"/>
        <w:keepLines/>
      </w:pPr>
      <w:r>
        <w:tab/>
        <w:t>(a)</w:t>
      </w:r>
      <w:r>
        <w:tab/>
        <w:t>an amount equal to the rent that would have been payable to the applicant if the premises had been tenanted during the period for which the person was in possession of the premises after termination of the residential tenancy agreement;</w:t>
      </w:r>
    </w:p>
    <w:p w:rsidR="00450C28" w:rsidRDefault="00450C28">
      <w:pPr>
        <w:pStyle w:val="Apara"/>
      </w:pPr>
      <w:r>
        <w:tab/>
        <w:t>(b)</w:t>
      </w:r>
      <w:r>
        <w:tab/>
        <w:t>an amount equal to the reasonable costs incurred by the applicant in applying for a warrant for eviction and having the warrant executed.</w:t>
      </w:r>
    </w:p>
    <w:p w:rsidR="00450C28" w:rsidRDefault="00450C28">
      <w:pPr>
        <w:pStyle w:val="AH5Sec"/>
      </w:pPr>
      <w:bookmarkStart w:id="101" w:name="_Toc23417908"/>
      <w:r w:rsidRPr="001403E0">
        <w:rPr>
          <w:rStyle w:val="CharSectNo"/>
        </w:rPr>
        <w:t>57</w:t>
      </w:r>
      <w:r>
        <w:tab/>
        <w:t>Retaliatory applications</w:t>
      </w:r>
      <w:bookmarkEnd w:id="101"/>
    </w:p>
    <w:p w:rsidR="00450C28" w:rsidRDefault="00450C28">
      <w:pPr>
        <w:pStyle w:val="Amain"/>
      </w:pPr>
      <w:r>
        <w:tab/>
        <w:t>(1)</w:t>
      </w:r>
      <w:r>
        <w:tab/>
        <w:t>This section applies if—</w:t>
      </w:r>
    </w:p>
    <w:p w:rsidR="00450C28" w:rsidRDefault="00450C28">
      <w:pPr>
        <w:pStyle w:val="Apara"/>
      </w:pPr>
      <w:r>
        <w:tab/>
        <w:t>(a)</w:t>
      </w:r>
      <w:r>
        <w:tab/>
        <w:t>a lessor has applied for a termination and possession order under this part; and</w:t>
      </w:r>
    </w:p>
    <w:p w:rsidR="00450C28" w:rsidRDefault="00450C28">
      <w:pPr>
        <w:pStyle w:val="Apara"/>
      </w:pPr>
      <w:r>
        <w:tab/>
        <w:t>(b)</w:t>
      </w:r>
      <w:r>
        <w:tab/>
        <w:t>the tenant presents evidence that—</w:t>
      </w:r>
    </w:p>
    <w:p w:rsidR="00450C28" w:rsidRDefault="00450C28">
      <w:pPr>
        <w:pStyle w:val="Asubpara"/>
      </w:pPr>
      <w:r>
        <w:tab/>
        <w:t>(i)</w:t>
      </w:r>
      <w:r>
        <w:tab/>
        <w:t xml:space="preserve">the tenant applied to the </w:t>
      </w:r>
      <w:r w:rsidR="000E3630">
        <w:t>ACAT</w:t>
      </w:r>
      <w:r>
        <w:t xml:space="preserve"> for an order in relation to the lessor; or</w:t>
      </w:r>
    </w:p>
    <w:p w:rsidR="00450C28" w:rsidRDefault="00450C28">
      <w:pPr>
        <w:pStyle w:val="Asubpara"/>
      </w:pPr>
      <w:r>
        <w:tab/>
        <w:t>(ii)</w:t>
      </w:r>
      <w:r>
        <w:tab/>
        <w:t>the tenant complained to a governmental entity in relation to the lessor; or</w:t>
      </w:r>
    </w:p>
    <w:p w:rsidR="00450C28" w:rsidRDefault="00450C28" w:rsidP="00BD5F39">
      <w:pPr>
        <w:pStyle w:val="Asubpara"/>
      </w:pPr>
      <w:r>
        <w:tab/>
        <w:t>(iii)</w:t>
      </w:r>
      <w:r>
        <w:tab/>
        <w:t>the tenant took reasonable action to secure or enforce the tenant’s rights; or</w:t>
      </w:r>
    </w:p>
    <w:p w:rsidR="00450C28" w:rsidRDefault="00450C28" w:rsidP="00BD5F39">
      <w:pPr>
        <w:pStyle w:val="aExamHdgsubpar"/>
        <w:keepNext w:val="0"/>
      </w:pPr>
      <w:r>
        <w:t>Examples</w:t>
      </w:r>
    </w:p>
    <w:p w:rsidR="00450C28" w:rsidRDefault="00450C28" w:rsidP="00BD5F39">
      <w:pPr>
        <w:pStyle w:val="aExamNumTextss"/>
      </w:pPr>
      <w:r>
        <w:tab/>
        <w:t>1</w:t>
      </w:r>
      <w:r>
        <w:tab/>
        <w:t>The tenant sought legal advice.</w:t>
      </w:r>
    </w:p>
    <w:p w:rsidR="00450C28" w:rsidRDefault="00450C28" w:rsidP="00BD5F39">
      <w:pPr>
        <w:pStyle w:val="aExamNumTextss"/>
      </w:pPr>
      <w:r>
        <w:tab/>
        <w:t>2</w:t>
      </w:r>
      <w:r>
        <w:tab/>
        <w:t>The tenant sought mediation.</w:t>
      </w:r>
    </w:p>
    <w:p w:rsidR="00450C28" w:rsidRDefault="00450C28" w:rsidP="00BD5F39">
      <w:pPr>
        <w:pStyle w:val="Asubpara"/>
        <w:keepNext/>
      </w:pPr>
      <w:r>
        <w:lastRenderedPageBreak/>
        <w:tab/>
        <w:t>(iv)</w:t>
      </w:r>
      <w:r>
        <w:tab/>
        <w:t xml:space="preserve">the </w:t>
      </w:r>
      <w:r w:rsidR="000E3630">
        <w:t>ACAT</w:t>
      </w:r>
      <w:r>
        <w:t xml:space="preserve"> made an order in favour of the tenant against the lessor.</w:t>
      </w:r>
    </w:p>
    <w:p w:rsidR="00450C28" w:rsidRDefault="00450C28">
      <w:pPr>
        <w:pStyle w:val="Amain"/>
      </w:pPr>
      <w:r>
        <w:tab/>
        <w:t>(2)</w:t>
      </w:r>
      <w:r>
        <w:tab/>
        <w:t xml:space="preserve">The </w:t>
      </w:r>
      <w:r w:rsidR="000E3630">
        <w:t>ACAT</w:t>
      </w:r>
      <w:r>
        <w:t xml:space="preserve"> must refuse to make the termination and possession order—</w:t>
      </w:r>
    </w:p>
    <w:p w:rsidR="00450C28" w:rsidRDefault="00450C28">
      <w:pPr>
        <w:pStyle w:val="Apara"/>
      </w:pPr>
      <w:r>
        <w:tab/>
        <w:t>(a)</w:t>
      </w:r>
      <w:r>
        <w:tab/>
        <w:t>if satisfied that the circumstance mentioned in subsection (1) (b) exists; and</w:t>
      </w:r>
    </w:p>
    <w:p w:rsidR="00450C28" w:rsidRDefault="00450C28">
      <w:pPr>
        <w:pStyle w:val="Apara"/>
      </w:pPr>
      <w:r>
        <w:tab/>
        <w:t>(b)</w:t>
      </w:r>
      <w:r>
        <w:tab/>
        <w:t xml:space="preserve">in the absence of proof to the satisfaction of the </w:t>
      </w:r>
      <w:r w:rsidR="000E3630">
        <w:t>ACAT</w:t>
      </w:r>
      <w:r>
        <w:t xml:space="preserve"> that the lessor was not motivated to apply for a termination and possession order by the circumstance.</w:t>
      </w:r>
    </w:p>
    <w:p w:rsidR="00450C28" w:rsidRDefault="00450C28">
      <w:pPr>
        <w:pStyle w:val="Amain"/>
      </w:pPr>
      <w:r>
        <w:tab/>
        <w:t>(3)</w:t>
      </w:r>
      <w:r>
        <w:tab/>
        <w:t>Subsection (2) applies despite any other provision of this part.</w:t>
      </w:r>
    </w:p>
    <w:p w:rsidR="00450C28" w:rsidRPr="001403E0" w:rsidRDefault="00450C28">
      <w:pPr>
        <w:pStyle w:val="AH3Div"/>
      </w:pPr>
      <w:bookmarkStart w:id="102" w:name="_Toc23417909"/>
      <w:r w:rsidRPr="001403E0">
        <w:rPr>
          <w:rStyle w:val="CharDivNo"/>
        </w:rPr>
        <w:t>Division 4.5</w:t>
      </w:r>
      <w:r>
        <w:tab/>
      </w:r>
      <w:r w:rsidRPr="001403E0">
        <w:rPr>
          <w:rStyle w:val="CharDivText"/>
        </w:rPr>
        <w:t>Defective termination notices</w:t>
      </w:r>
      <w:bookmarkEnd w:id="102"/>
    </w:p>
    <w:p w:rsidR="00450C28" w:rsidRDefault="00450C28">
      <w:pPr>
        <w:pStyle w:val="AH5Sec"/>
      </w:pPr>
      <w:bookmarkStart w:id="103" w:name="_Toc23417910"/>
      <w:r w:rsidRPr="001403E0">
        <w:rPr>
          <w:rStyle w:val="CharSectNo"/>
        </w:rPr>
        <w:t>58</w:t>
      </w:r>
      <w:r>
        <w:tab/>
        <w:t>Lessor’s defective notice if tenant vacates</w:t>
      </w:r>
      <w:bookmarkEnd w:id="103"/>
    </w:p>
    <w:p w:rsidR="00450C28" w:rsidRDefault="00450C28">
      <w:pPr>
        <w:pStyle w:val="Amain"/>
      </w:pPr>
      <w:r>
        <w:tab/>
        <w:t>(1)</w:t>
      </w:r>
      <w:r>
        <w:tab/>
        <w:t>If—</w:t>
      </w:r>
    </w:p>
    <w:p w:rsidR="00450C28" w:rsidRDefault="00450C28">
      <w:pPr>
        <w:pStyle w:val="Apara"/>
      </w:pPr>
      <w:r>
        <w:tab/>
        <w:t>(a)</w:t>
      </w:r>
      <w:r>
        <w:tab/>
        <w:t>a lessor purports to serve a termination notice on a person;</w:t>
      </w:r>
    </w:p>
    <w:p w:rsidR="004B4389" w:rsidRPr="00591A0F" w:rsidRDefault="004B4389" w:rsidP="004B4389">
      <w:pPr>
        <w:pStyle w:val="Apara"/>
      </w:pPr>
      <w:r w:rsidRPr="00591A0F">
        <w:tab/>
        <w:t>(b)</w:t>
      </w:r>
      <w:r w:rsidRPr="00591A0F">
        <w:tab/>
        <w:t>the notice is not—</w:t>
      </w:r>
    </w:p>
    <w:p w:rsidR="004B4389" w:rsidRPr="00591A0F" w:rsidRDefault="004B4389" w:rsidP="004B4389">
      <w:pPr>
        <w:pStyle w:val="Asubpara"/>
      </w:pPr>
      <w:r w:rsidRPr="00591A0F">
        <w:tab/>
        <w:t>(i)</w:t>
      </w:r>
      <w:r w:rsidRPr="00591A0F">
        <w:tab/>
        <w:t>in the form approved under section 133 (Approved forms—Minister) for a termination notice; or</w:t>
      </w:r>
    </w:p>
    <w:p w:rsidR="004B4389" w:rsidRPr="00591A0F" w:rsidRDefault="004B4389" w:rsidP="004B4389">
      <w:pPr>
        <w:pStyle w:val="Asubpara"/>
      </w:pPr>
      <w:r w:rsidRPr="00591A0F">
        <w:tab/>
        <w:t>(ii)</w:t>
      </w:r>
      <w:r w:rsidRPr="00591A0F">
        <w:tab/>
        <w:t>served as prescribed by regulation; and</w:t>
      </w:r>
    </w:p>
    <w:p w:rsidR="00450C28" w:rsidRDefault="00450C28">
      <w:pPr>
        <w:pStyle w:val="Apara"/>
      </w:pPr>
      <w:r>
        <w:tab/>
        <w:t>(c)</w:t>
      </w:r>
      <w:r>
        <w:tab/>
        <w:t>the person vacates the premises in accordance with the notice;</w:t>
      </w:r>
    </w:p>
    <w:p w:rsidR="00450C28" w:rsidRDefault="00450C28">
      <w:pPr>
        <w:pStyle w:val="Amainreturn"/>
      </w:pPr>
      <w:r>
        <w:t>the residential tenancy agreement terminates on the day the person vacates the premises.</w:t>
      </w:r>
    </w:p>
    <w:p w:rsidR="00450C28" w:rsidRDefault="00450C28" w:rsidP="00D53A62">
      <w:pPr>
        <w:pStyle w:val="Amain"/>
        <w:keepLines/>
      </w:pPr>
      <w:r>
        <w:tab/>
        <w:t>(2)</w:t>
      </w:r>
      <w:r>
        <w:tab/>
        <w:t xml:space="preserve">A former tenant who vacated premises in accordance with a termination notice that was not in the form approved under section 133 (Approved forms—Minister) for a termination notice may apply to the </w:t>
      </w:r>
      <w:r w:rsidR="000E3630">
        <w:t>ACAT</w:t>
      </w:r>
      <w:r>
        <w:t xml:space="preserve"> for the following orders:</w:t>
      </w:r>
    </w:p>
    <w:p w:rsidR="00450C28" w:rsidRDefault="00450C28">
      <w:pPr>
        <w:pStyle w:val="Apara"/>
      </w:pPr>
      <w:r>
        <w:tab/>
        <w:t>(a)</w:t>
      </w:r>
      <w:r>
        <w:tab/>
        <w:t>an order for compensation for wrongful eviction;</w:t>
      </w:r>
    </w:p>
    <w:p w:rsidR="00450C28" w:rsidRDefault="00450C28">
      <w:pPr>
        <w:pStyle w:val="Apara"/>
      </w:pPr>
      <w:r>
        <w:lastRenderedPageBreak/>
        <w:tab/>
        <w:t>(b)</w:t>
      </w:r>
      <w:r>
        <w:tab/>
        <w:t>an order for reinstatement as tenant in possession of the premises.</w:t>
      </w:r>
    </w:p>
    <w:p w:rsidR="00450C28" w:rsidRDefault="00450C28">
      <w:pPr>
        <w:pStyle w:val="Amain"/>
      </w:pPr>
      <w:r>
        <w:tab/>
        <w:t>(3)</w:t>
      </w:r>
      <w:r>
        <w:tab/>
        <w:t xml:space="preserve">The </w:t>
      </w:r>
      <w:r w:rsidR="000E3630">
        <w:t>ACAT</w:t>
      </w:r>
      <w:r>
        <w:t xml:space="preserve"> must not make an order mentioned in subsection</w:t>
      </w:r>
      <w:r w:rsidR="0022626C">
        <w:t> </w:t>
      </w:r>
      <w:r>
        <w:t>(2) (b) unless—</w:t>
      </w:r>
    </w:p>
    <w:p w:rsidR="00450C28" w:rsidRDefault="00450C28">
      <w:pPr>
        <w:pStyle w:val="Apara"/>
      </w:pPr>
      <w:r>
        <w:tab/>
        <w:t>(a)</w:t>
      </w:r>
      <w:r>
        <w:tab/>
        <w:t>the premises are vacant and have not been leased; and</w:t>
      </w:r>
    </w:p>
    <w:p w:rsidR="00450C28" w:rsidRDefault="00450C28">
      <w:pPr>
        <w:pStyle w:val="Apara"/>
      </w:pPr>
      <w:r>
        <w:tab/>
        <w:t>(b)</w:t>
      </w:r>
      <w:r>
        <w:tab/>
        <w:t xml:space="preserve">the </w:t>
      </w:r>
      <w:r w:rsidR="000E3630">
        <w:t>ACAT</w:t>
      </w:r>
      <w:r>
        <w:t xml:space="preserve"> considers it appropriate to do so.</w:t>
      </w:r>
    </w:p>
    <w:p w:rsidR="00450C28" w:rsidRDefault="00450C28">
      <w:pPr>
        <w:pStyle w:val="AH5Sec"/>
      </w:pPr>
      <w:bookmarkStart w:id="104" w:name="_Toc23417911"/>
      <w:r w:rsidRPr="001403E0">
        <w:rPr>
          <w:rStyle w:val="CharSectNo"/>
        </w:rPr>
        <w:t>59</w:t>
      </w:r>
      <w:r>
        <w:tab/>
        <w:t>Lessor’s defective notice if tenant does not vacate</w:t>
      </w:r>
      <w:bookmarkEnd w:id="104"/>
    </w:p>
    <w:p w:rsidR="00450C28" w:rsidRDefault="00450C28">
      <w:pPr>
        <w:pStyle w:val="Amain"/>
      </w:pPr>
      <w:r>
        <w:tab/>
        <w:t>(1)</w:t>
      </w:r>
      <w:r>
        <w:tab/>
        <w:t>If—</w:t>
      </w:r>
    </w:p>
    <w:p w:rsidR="00450C28" w:rsidRDefault="00450C28">
      <w:pPr>
        <w:pStyle w:val="Apara"/>
      </w:pPr>
      <w:r>
        <w:tab/>
        <w:t>(a)</w:t>
      </w:r>
      <w:r>
        <w:tab/>
        <w:t>a lessor purports to serve a termination notice on a tenant; and</w:t>
      </w:r>
    </w:p>
    <w:p w:rsidR="004B4389" w:rsidRPr="00591A0F" w:rsidRDefault="004B4389" w:rsidP="004B4389">
      <w:pPr>
        <w:pStyle w:val="Apara"/>
      </w:pPr>
      <w:r w:rsidRPr="00591A0F">
        <w:tab/>
        <w:t>(b)</w:t>
      </w:r>
      <w:r w:rsidRPr="00591A0F">
        <w:tab/>
        <w:t>the notice is not—</w:t>
      </w:r>
    </w:p>
    <w:p w:rsidR="004B4389" w:rsidRPr="00591A0F" w:rsidRDefault="004B4389" w:rsidP="004B4389">
      <w:pPr>
        <w:pStyle w:val="Asubpara"/>
      </w:pPr>
      <w:r w:rsidRPr="00591A0F">
        <w:tab/>
        <w:t>(i)</w:t>
      </w:r>
      <w:r w:rsidRPr="00591A0F">
        <w:tab/>
        <w:t>in the form approved under section 133 (Approved forms—Minister) for a termination notice; or</w:t>
      </w:r>
    </w:p>
    <w:p w:rsidR="004B4389" w:rsidRPr="00591A0F" w:rsidRDefault="004B4389" w:rsidP="004B4389">
      <w:pPr>
        <w:pStyle w:val="Asubpara"/>
      </w:pPr>
      <w:r w:rsidRPr="00591A0F">
        <w:tab/>
        <w:t>(ii)</w:t>
      </w:r>
      <w:r w:rsidRPr="00591A0F">
        <w:tab/>
        <w:t>served as prescribed by regulation; and</w:t>
      </w:r>
    </w:p>
    <w:p w:rsidR="00450C28" w:rsidRDefault="00450C28">
      <w:pPr>
        <w:pStyle w:val="Apara"/>
      </w:pPr>
      <w:r>
        <w:tab/>
        <w:t>(c)</w:t>
      </w:r>
      <w:r>
        <w:tab/>
        <w:t>the tenant does not vacate the premises;</w:t>
      </w:r>
    </w:p>
    <w:p w:rsidR="00450C28" w:rsidRDefault="00450C28">
      <w:pPr>
        <w:pStyle w:val="Amainreturn"/>
      </w:pPr>
      <w:r>
        <w:t xml:space="preserve">the lessor may apply to the </w:t>
      </w:r>
      <w:r w:rsidR="000E3630">
        <w:t>ACAT</w:t>
      </w:r>
      <w:r>
        <w:t xml:space="preserve"> for a waiver of the defect in the notice or in the service of the notice and for the making of a termination and possession order.</w:t>
      </w:r>
    </w:p>
    <w:p w:rsidR="00450C28" w:rsidRDefault="00450C28">
      <w:pPr>
        <w:pStyle w:val="Amain"/>
      </w:pPr>
      <w:r>
        <w:tab/>
        <w:t>(2)</w:t>
      </w:r>
      <w:r>
        <w:tab/>
        <w:t xml:space="preserve">The </w:t>
      </w:r>
      <w:r w:rsidR="000E3630">
        <w:t>ACAT</w:t>
      </w:r>
      <w:r>
        <w:t xml:space="preserve"> must not waive a defect in a termination notice or its service and make a termination and possession order unless satisfied that the defect did not, and is not likely to, place the tenant in a significantly worse position than the tenant would have been in had the notice been in, and served in, accordance with the standard residential tenancy terms.</w:t>
      </w:r>
    </w:p>
    <w:p w:rsidR="00450C28" w:rsidRDefault="00450C28">
      <w:pPr>
        <w:pStyle w:val="AH5Sec"/>
      </w:pPr>
      <w:bookmarkStart w:id="105" w:name="_Toc23417912"/>
      <w:r w:rsidRPr="001403E0">
        <w:rPr>
          <w:rStyle w:val="CharSectNo"/>
        </w:rPr>
        <w:lastRenderedPageBreak/>
        <w:t>60</w:t>
      </w:r>
      <w:r>
        <w:tab/>
        <w:t>Tenant’s defective termination notice</w:t>
      </w:r>
      <w:bookmarkEnd w:id="105"/>
    </w:p>
    <w:p w:rsidR="00450C28" w:rsidRDefault="00450C28" w:rsidP="00947786">
      <w:pPr>
        <w:pStyle w:val="Amain"/>
        <w:keepLines/>
      </w:pPr>
      <w:r>
        <w:tab/>
        <w:t>(1)</w:t>
      </w:r>
      <w:r>
        <w:tab/>
        <w:t>If a tenant purports to serve a termination notice on a lessor and vacates the premises in accordance with the notice, even though the notice is not in the form approved under section 133 (Approved forms—Minister) for a termination notice—</w:t>
      </w:r>
    </w:p>
    <w:p w:rsidR="00450C28" w:rsidRDefault="00450C28">
      <w:pPr>
        <w:pStyle w:val="Apara"/>
      </w:pPr>
      <w:r>
        <w:tab/>
        <w:t>(a)</w:t>
      </w:r>
      <w:r>
        <w:tab/>
        <w:t>the residential tenancy agreement terminates on the vacation of the premises in accordance with the notice; and</w:t>
      </w:r>
    </w:p>
    <w:p w:rsidR="00450C28" w:rsidRDefault="00450C28">
      <w:pPr>
        <w:pStyle w:val="Apara"/>
      </w:pPr>
      <w:r>
        <w:tab/>
        <w:t>(b)</w:t>
      </w:r>
      <w:r>
        <w:tab/>
        <w:t xml:space="preserve">the former lessor may apply to the </w:t>
      </w:r>
      <w:r w:rsidR="000E3630">
        <w:t>ACAT</w:t>
      </w:r>
      <w:r>
        <w:t xml:space="preserve"> for compensation for the tenant’s abandonment of the premises.</w:t>
      </w:r>
    </w:p>
    <w:p w:rsidR="00450C28" w:rsidRDefault="00450C28">
      <w:pPr>
        <w:pStyle w:val="Amain"/>
      </w:pPr>
      <w:r>
        <w:tab/>
        <w:t>(2)</w:t>
      </w:r>
      <w:r>
        <w:tab/>
        <w:t xml:space="preserve">The </w:t>
      </w:r>
      <w:r w:rsidR="000E3630">
        <w:t>ACAT</w:t>
      </w:r>
      <w:r>
        <w:t xml:space="preserve"> must award compensation to a person who makes an application mentioned in subsection (1) (b) unless satisfied that the person was not in a significantly worse position because of the defect in the notice than the person would have been had the notice been in the approved form.</w:t>
      </w:r>
    </w:p>
    <w:p w:rsidR="00450C28" w:rsidRPr="001403E0" w:rsidRDefault="00450C28">
      <w:pPr>
        <w:pStyle w:val="AH3Div"/>
      </w:pPr>
      <w:bookmarkStart w:id="106" w:name="_Toc23417913"/>
      <w:r w:rsidRPr="001403E0">
        <w:rPr>
          <w:rStyle w:val="CharDivNo"/>
        </w:rPr>
        <w:t>Division 4.6</w:t>
      </w:r>
      <w:r>
        <w:tab/>
      </w:r>
      <w:r w:rsidRPr="001403E0">
        <w:rPr>
          <w:rStyle w:val="CharDivText"/>
        </w:rPr>
        <w:t>Abandonment of premises</w:t>
      </w:r>
      <w:bookmarkEnd w:id="106"/>
    </w:p>
    <w:p w:rsidR="00450C28" w:rsidRDefault="00450C28">
      <w:pPr>
        <w:pStyle w:val="AH5Sec"/>
      </w:pPr>
      <w:bookmarkStart w:id="107" w:name="_Toc23417914"/>
      <w:r w:rsidRPr="001403E0">
        <w:rPr>
          <w:rStyle w:val="CharSectNo"/>
        </w:rPr>
        <w:t>61</w:t>
      </w:r>
      <w:r>
        <w:tab/>
        <w:t>Effect of abandonment</w:t>
      </w:r>
      <w:bookmarkEnd w:id="107"/>
    </w:p>
    <w:p w:rsidR="00450C28" w:rsidRDefault="00450C28">
      <w:pPr>
        <w:pStyle w:val="Amainreturn"/>
        <w:keepNext/>
      </w:pPr>
      <w:r>
        <w:t>If a tenant abandons premises that the tenant occupies under a residential tenancy agreement, the agreement terminates on the day of abandonment.</w:t>
      </w:r>
    </w:p>
    <w:p w:rsidR="00BD3FB2" w:rsidRDefault="00BD3FB2" w:rsidP="00BD3FB2">
      <w:pPr>
        <w:pStyle w:val="aNote"/>
      </w:pPr>
      <w:r w:rsidRPr="009D74E7">
        <w:rPr>
          <w:rStyle w:val="charItals"/>
        </w:rPr>
        <w:t>Note</w:t>
      </w:r>
      <w:r w:rsidRPr="009D74E7">
        <w:rPr>
          <w:rStyle w:val="charItals"/>
        </w:rPr>
        <w:tab/>
      </w:r>
      <w:r>
        <w:t xml:space="preserve">If there is a dispute about the date of abandonment, the parties may apply to the ACAT for an interim order declaring when the premises were abandoned (see </w:t>
      </w:r>
      <w:hyperlink r:id="rId51" w:tooltip="A2008-35" w:history="1">
        <w:r w:rsidR="009D74E7" w:rsidRPr="009D74E7">
          <w:rPr>
            <w:rStyle w:val="charCitHyperlinkItal"/>
          </w:rPr>
          <w:t>ACT Civil and Administrative Tribunal Act 2008</w:t>
        </w:r>
      </w:hyperlink>
      <w:r>
        <w:t>, s 53).</w:t>
      </w:r>
    </w:p>
    <w:p w:rsidR="004A5BC3" w:rsidRPr="00E56DA5" w:rsidRDefault="004A5BC3" w:rsidP="00256F51">
      <w:pPr>
        <w:pStyle w:val="AH5Sec"/>
        <w:keepLines/>
      </w:pPr>
      <w:bookmarkStart w:id="108" w:name="_Toc23417915"/>
      <w:r w:rsidRPr="001403E0">
        <w:rPr>
          <w:rStyle w:val="CharSectNo"/>
        </w:rPr>
        <w:lastRenderedPageBreak/>
        <w:t>61A</w:t>
      </w:r>
      <w:r w:rsidRPr="00E56DA5">
        <w:tab/>
        <w:t>Lessor may enter premises to confirm abandonment</w:t>
      </w:r>
      <w:bookmarkEnd w:id="108"/>
    </w:p>
    <w:p w:rsidR="004A5BC3" w:rsidRPr="00E56DA5" w:rsidRDefault="004A5BC3" w:rsidP="00256F51">
      <w:pPr>
        <w:pStyle w:val="Amain"/>
        <w:keepNext/>
        <w:keepLines/>
      </w:pPr>
      <w:r w:rsidRPr="00E56DA5">
        <w:tab/>
        <w:t>(1)</w:t>
      </w:r>
      <w:r w:rsidRPr="00E56DA5">
        <w:tab/>
        <w:t xml:space="preserve">This section applies if a lessor of premises under a residential tenancy agreement has taken all reasonable steps to contact the tenant and believes on reasonable grounds that the premises have been abandoned by the tenant. </w:t>
      </w:r>
    </w:p>
    <w:p w:rsidR="004A5BC3" w:rsidRPr="00E56DA5" w:rsidRDefault="004A5BC3" w:rsidP="004A5BC3">
      <w:pPr>
        <w:pStyle w:val="aExamHdgss"/>
      </w:pPr>
      <w:r w:rsidRPr="00E56DA5">
        <w:t>Example</w:t>
      </w:r>
    </w:p>
    <w:p w:rsidR="004A5BC3" w:rsidRPr="00E56DA5" w:rsidRDefault="004A5BC3" w:rsidP="004A5BC3">
      <w:pPr>
        <w:pStyle w:val="aExamss"/>
        <w:keepNext/>
        <w:keepLines/>
      </w:pPr>
      <w:r w:rsidRPr="00E56DA5">
        <w:t>David has a fixed-term residential tenancy agreement with Michael to rent Michael’s house. David hasn’t paid his rent for 4 weeks so Michael tries to call David on the telephone number David gave him as a contact number. After several unsuccessful attempts to call him, Michael then sends letters to David’s postal and email addresses but gets no response. Michael also drives by the house on several occasions at different times and notices that there is never any activity there. He also notices a smashed window and broken glass on the ground. Michael has taken all reasonable steps to contact David and has reasonable grounds for believing the premises have been abandoned by David.</w:t>
      </w:r>
    </w:p>
    <w:p w:rsidR="004A5BC3" w:rsidRPr="00E56DA5" w:rsidRDefault="004A5BC3" w:rsidP="004A5BC3">
      <w:pPr>
        <w:pStyle w:val="Amain"/>
      </w:pPr>
      <w:r w:rsidRPr="00E56DA5">
        <w:tab/>
        <w:t>(2)</w:t>
      </w:r>
      <w:r w:rsidRPr="00E56DA5">
        <w:tab/>
        <w:t>The lessor may, without the tenant’s consent, and without giving notice to the tenant, enter the premises during the residential tenancy agreement to confirm whether the premises have been abandoned.</w:t>
      </w:r>
    </w:p>
    <w:p w:rsidR="004A5BC3" w:rsidRPr="00E56DA5" w:rsidRDefault="004A5BC3" w:rsidP="004A5BC3">
      <w:pPr>
        <w:pStyle w:val="Amain"/>
      </w:pPr>
      <w:r w:rsidRPr="00E56DA5">
        <w:tab/>
        <w:t>(3)</w:t>
      </w:r>
      <w:r w:rsidRPr="00E56DA5">
        <w:tab/>
        <w:t>However, the lessor must not enter the premises—</w:t>
      </w:r>
    </w:p>
    <w:p w:rsidR="004A5BC3" w:rsidRPr="00E56DA5" w:rsidRDefault="004A5BC3" w:rsidP="004A5BC3">
      <w:pPr>
        <w:pStyle w:val="Apara"/>
      </w:pPr>
      <w:r w:rsidRPr="00E56DA5">
        <w:tab/>
        <w:t>(a)</w:t>
      </w:r>
      <w:r w:rsidRPr="00E56DA5">
        <w:tab/>
        <w:t>on Sunday; or</w:t>
      </w:r>
    </w:p>
    <w:p w:rsidR="004A5BC3" w:rsidRPr="00E56DA5" w:rsidRDefault="004A5BC3" w:rsidP="004A5BC3">
      <w:pPr>
        <w:pStyle w:val="Apara"/>
      </w:pPr>
      <w:r w:rsidRPr="00E56DA5">
        <w:tab/>
        <w:t>(b)</w:t>
      </w:r>
      <w:r w:rsidRPr="00E56DA5">
        <w:tab/>
        <w:t>on a public holiday; or</w:t>
      </w:r>
    </w:p>
    <w:p w:rsidR="004A5BC3" w:rsidRPr="00E56DA5" w:rsidRDefault="004A5BC3" w:rsidP="004A5BC3">
      <w:pPr>
        <w:pStyle w:val="Apara"/>
      </w:pPr>
      <w:r w:rsidRPr="00E56DA5">
        <w:tab/>
        <w:t>(c)</w:t>
      </w:r>
      <w:r w:rsidRPr="00E56DA5">
        <w:tab/>
        <w:t>before 8am or after 6pm.</w:t>
      </w:r>
    </w:p>
    <w:p w:rsidR="00450C28" w:rsidRDefault="00450C28">
      <w:pPr>
        <w:pStyle w:val="AH5Sec"/>
      </w:pPr>
      <w:bookmarkStart w:id="109" w:name="_Toc23417916"/>
      <w:r w:rsidRPr="001403E0">
        <w:rPr>
          <w:rStyle w:val="CharSectNo"/>
        </w:rPr>
        <w:t>62</w:t>
      </w:r>
      <w:r>
        <w:tab/>
        <w:t>Abandonment during fixed term</w:t>
      </w:r>
      <w:bookmarkEnd w:id="109"/>
    </w:p>
    <w:p w:rsidR="00450C28" w:rsidRDefault="00450C28" w:rsidP="00D53A62">
      <w:pPr>
        <w:pStyle w:val="Amain"/>
        <w:keepNext/>
      </w:pPr>
      <w:r>
        <w:tab/>
        <w:t>(1)</w:t>
      </w:r>
      <w:r>
        <w:tab/>
        <w:t xml:space="preserve">If a tenant abandons premises before the end of a fixed term agreement, the former lessor may apply to the </w:t>
      </w:r>
      <w:r w:rsidR="000E3630">
        <w:t>ACAT</w:t>
      </w:r>
      <w:r>
        <w:t xml:space="preserve"> for the following compensation:</w:t>
      </w:r>
    </w:p>
    <w:p w:rsidR="00450C28" w:rsidRDefault="00450C28">
      <w:pPr>
        <w:pStyle w:val="Apara"/>
      </w:pPr>
      <w:r>
        <w:tab/>
        <w:t>(a)</w:t>
      </w:r>
      <w:r>
        <w:tab/>
        <w:t>compensation for the loss of the rent that the former lessor would have received had the agreement continued to the end of its term;</w:t>
      </w:r>
    </w:p>
    <w:p w:rsidR="00450C28" w:rsidRDefault="00450C28">
      <w:pPr>
        <w:pStyle w:val="Apara"/>
      </w:pPr>
      <w:r>
        <w:tab/>
        <w:t>(b)</w:t>
      </w:r>
      <w:r>
        <w:tab/>
        <w:t>compensation for the reasonable costs of advertising the premises for lease and of giving a right to occupy the premises to another person.</w:t>
      </w:r>
    </w:p>
    <w:p w:rsidR="00450C28" w:rsidRDefault="00450C28">
      <w:pPr>
        <w:pStyle w:val="Amain"/>
      </w:pPr>
      <w:r>
        <w:lastRenderedPageBreak/>
        <w:tab/>
        <w:t>(2)</w:t>
      </w:r>
      <w:r>
        <w:tab/>
        <w:t xml:space="preserve">On application, the </w:t>
      </w:r>
      <w:r w:rsidR="000E3630">
        <w:t>ACAT</w:t>
      </w:r>
      <w:r>
        <w:t xml:space="preserve"> may award compensation of the kind mentioned in subsection (1) (a) and (b).</w:t>
      </w:r>
    </w:p>
    <w:p w:rsidR="00450C28" w:rsidRDefault="00450C28">
      <w:pPr>
        <w:pStyle w:val="Amain"/>
      </w:pPr>
      <w:r>
        <w:tab/>
        <w:t>(3)</w:t>
      </w:r>
      <w:r>
        <w:tab/>
        <w:t xml:space="preserve">The amount of compensation the </w:t>
      </w:r>
      <w:r w:rsidR="000E3630">
        <w:t>ACAT</w:t>
      </w:r>
      <w:r>
        <w:t xml:space="preserve"> may award—</w:t>
      </w:r>
    </w:p>
    <w:p w:rsidR="00450C28" w:rsidRDefault="00450C28">
      <w:pPr>
        <w:pStyle w:val="Apara"/>
      </w:pPr>
      <w:r>
        <w:tab/>
        <w:t>(a)</w:t>
      </w:r>
      <w:r>
        <w:tab/>
        <w:t>under subsection (1) (a) must not exceed an amount equal to 25 weeks rent; and</w:t>
      </w:r>
    </w:p>
    <w:p w:rsidR="00450C28" w:rsidRDefault="00450C28">
      <w:pPr>
        <w:pStyle w:val="Apara"/>
      </w:pPr>
      <w:r>
        <w:tab/>
        <w:t>(b)</w:t>
      </w:r>
      <w:r>
        <w:tab/>
        <w:t>under subsection (1) (b) must not exceed an amount equal to 1 week’s rent.</w:t>
      </w:r>
    </w:p>
    <w:p w:rsidR="00450C28" w:rsidRDefault="00450C28" w:rsidP="0022626C">
      <w:pPr>
        <w:pStyle w:val="Amain"/>
        <w:keepNext/>
      </w:pPr>
      <w:r>
        <w:tab/>
        <w:t>(4)</w:t>
      </w:r>
      <w:r>
        <w:tab/>
        <w:t xml:space="preserve">In deciding the amount of compensation that may be awarded under subsection (2) in relation to costs, the </w:t>
      </w:r>
      <w:r w:rsidR="000E3630">
        <w:t>ACAT</w:t>
      </w:r>
      <w:r>
        <w:t xml:space="preserve"> must have regard to when, apart from the abandonment of the premises—</w:t>
      </w:r>
    </w:p>
    <w:p w:rsidR="00450C28" w:rsidRDefault="00450C28">
      <w:pPr>
        <w:pStyle w:val="Apara"/>
      </w:pPr>
      <w:r>
        <w:tab/>
        <w:t>(a)</w:t>
      </w:r>
      <w:r>
        <w:tab/>
        <w:t>the agreement would have ended; and</w:t>
      </w:r>
    </w:p>
    <w:p w:rsidR="00450C28" w:rsidRDefault="00450C28">
      <w:pPr>
        <w:pStyle w:val="Apara"/>
      </w:pPr>
      <w:r>
        <w:tab/>
        <w:t>(b)</w:t>
      </w:r>
      <w:r>
        <w:tab/>
        <w:t>the lessor would have incurred th</w:t>
      </w:r>
      <w:r w:rsidR="004B345E">
        <w:t>e costs mentioned in subsection </w:t>
      </w:r>
      <w:r>
        <w:t>(1) (b).</w:t>
      </w:r>
    </w:p>
    <w:p w:rsidR="00450C28" w:rsidRDefault="00450C28">
      <w:pPr>
        <w:pStyle w:val="AH5Sec"/>
      </w:pPr>
      <w:bookmarkStart w:id="110" w:name="_Toc23417917"/>
      <w:r w:rsidRPr="001403E0">
        <w:rPr>
          <w:rStyle w:val="CharSectNo"/>
        </w:rPr>
        <w:t>63</w:t>
      </w:r>
      <w:r>
        <w:tab/>
        <w:t>Abandonment during periodic agreement</w:t>
      </w:r>
      <w:bookmarkEnd w:id="110"/>
    </w:p>
    <w:p w:rsidR="00450C28" w:rsidRDefault="008629E3" w:rsidP="008629E3">
      <w:pPr>
        <w:pStyle w:val="Amain"/>
      </w:pPr>
      <w:r>
        <w:tab/>
        <w:t>(1)</w:t>
      </w:r>
      <w:r>
        <w:tab/>
      </w:r>
      <w:r w:rsidR="00450C28">
        <w:t>If a tenant abandons premises of which the tenant has possession under a periodic agreement, the former lessor may claim from the former tenant compensation of an amount equivalent to 3 weeks rent.</w:t>
      </w:r>
    </w:p>
    <w:p w:rsidR="004B4389" w:rsidRPr="00591A0F" w:rsidRDefault="004B4389" w:rsidP="004B4389">
      <w:pPr>
        <w:pStyle w:val="Amain"/>
      </w:pPr>
      <w:r w:rsidRPr="00591A0F">
        <w:tab/>
        <w:t>(2)</w:t>
      </w:r>
      <w:r w:rsidRPr="00591A0F">
        <w:tab/>
        <w:t>In this section:</w:t>
      </w:r>
    </w:p>
    <w:p w:rsidR="004B4389" w:rsidRPr="00591A0F" w:rsidRDefault="004B4389" w:rsidP="00256F51">
      <w:pPr>
        <w:pStyle w:val="aDef"/>
      </w:pPr>
      <w:r w:rsidRPr="00591A0F">
        <w:rPr>
          <w:rStyle w:val="charBoldItals"/>
        </w:rPr>
        <w:t>periodic agreement</w:t>
      </w:r>
      <w:r w:rsidRPr="00591A0F">
        <w:t xml:space="preserve"> means a residential tenancy agreement that is not a fixed term agreement.</w:t>
      </w:r>
    </w:p>
    <w:p w:rsidR="00450C28" w:rsidRPr="001403E0" w:rsidRDefault="00450C28">
      <w:pPr>
        <w:pStyle w:val="AH3Div"/>
      </w:pPr>
      <w:bookmarkStart w:id="111" w:name="_Toc23417918"/>
      <w:r w:rsidRPr="001403E0">
        <w:rPr>
          <w:rStyle w:val="CharDivNo"/>
        </w:rPr>
        <w:lastRenderedPageBreak/>
        <w:t>Division 4.7</w:t>
      </w:r>
      <w:r>
        <w:tab/>
      </w:r>
      <w:r w:rsidRPr="001403E0">
        <w:rPr>
          <w:rStyle w:val="CharDivText"/>
        </w:rPr>
        <w:t>Miscellaneous</w:t>
      </w:r>
      <w:bookmarkEnd w:id="111"/>
    </w:p>
    <w:p w:rsidR="00450C28" w:rsidRDefault="00450C28">
      <w:pPr>
        <w:pStyle w:val="AH5Sec"/>
      </w:pPr>
      <w:bookmarkStart w:id="112" w:name="_Toc23417919"/>
      <w:r w:rsidRPr="001403E0">
        <w:rPr>
          <w:rStyle w:val="CharSectNo"/>
        </w:rPr>
        <w:t>64</w:t>
      </w:r>
      <w:r>
        <w:tab/>
        <w:t>Successor in title to lessor</w:t>
      </w:r>
      <w:bookmarkEnd w:id="112"/>
    </w:p>
    <w:p w:rsidR="00450C28" w:rsidRDefault="00450C28" w:rsidP="009A6B56">
      <w:pPr>
        <w:pStyle w:val="Amain"/>
        <w:keepNext/>
        <w:keepLines/>
      </w:pPr>
      <w:r>
        <w:tab/>
        <w:t>(1)</w:t>
      </w:r>
      <w:r>
        <w:tab/>
        <w:t>A person other than a lessor who, apart from section 36, would be entitled to possession of premises, may terminate the residential tenancy agreement relating to the premises by—</w:t>
      </w:r>
    </w:p>
    <w:p w:rsidR="00450C28" w:rsidRDefault="00450C28" w:rsidP="009A6B56">
      <w:pPr>
        <w:pStyle w:val="Apara"/>
        <w:keepNext/>
        <w:keepLines/>
      </w:pPr>
      <w:r>
        <w:tab/>
        <w:t>(a)</w:t>
      </w:r>
      <w:r>
        <w:tab/>
        <w:t>notifying the tenant as soon as practicable after becoming so entitled that the person would be entitled to possession apart from section 36 and that the person who was lessor is no longer lessor; and</w:t>
      </w:r>
    </w:p>
    <w:p w:rsidR="00450C28" w:rsidRDefault="00450C28">
      <w:pPr>
        <w:pStyle w:val="Apara"/>
        <w:keepNext/>
      </w:pPr>
      <w:r>
        <w:tab/>
        <w:t>(b)</w:t>
      </w:r>
      <w:r>
        <w:tab/>
        <w:t>giving the tenant not less than 8 weeks notice to vacate the premises.</w:t>
      </w:r>
    </w:p>
    <w:p w:rsidR="00450C28" w:rsidRDefault="00450C28">
      <w:pPr>
        <w:pStyle w:val="aExamHdgss"/>
      </w:pPr>
      <w:r>
        <w:t>Examples</w:t>
      </w:r>
    </w:p>
    <w:p w:rsidR="00450C28" w:rsidRDefault="00450C28">
      <w:pPr>
        <w:pStyle w:val="aExamINumss"/>
      </w:pPr>
      <w:r>
        <w:t>1</w:t>
      </w:r>
      <w:r>
        <w:tab/>
        <w:t>The lessor dies and the premises are inherited by the lessor’s child.  The child may terminate the tenancy.</w:t>
      </w:r>
    </w:p>
    <w:p w:rsidR="00450C28" w:rsidRDefault="00450C28">
      <w:pPr>
        <w:pStyle w:val="aExamINumss"/>
        <w:keepNext/>
      </w:pPr>
      <w:r>
        <w:t>2</w:t>
      </w:r>
      <w:r>
        <w:tab/>
        <w:t>The lessor mortgages the premises, defaults on the mortgage and the mortgagee forecloses.  The mortgagee may terminate the tenancy.</w:t>
      </w:r>
    </w:p>
    <w:p w:rsidR="00450C28" w:rsidRDefault="00450C28">
      <w:pPr>
        <w:pStyle w:val="aNote"/>
        <w:keepNext/>
      </w:pPr>
      <w:r w:rsidRPr="009D74E7">
        <w:rPr>
          <w:rStyle w:val="charItals"/>
        </w:rPr>
        <w:t>Note</w:t>
      </w:r>
      <w:r w:rsidR="00736A65">
        <w:rPr>
          <w:rStyle w:val="charItals"/>
          <w:i w:val="0"/>
        </w:rPr>
        <w:tab/>
      </w:r>
      <w:r>
        <w:t>If a form is approved under s 133 (Approved forms—Minister) for a notice, the form must be used.</w:t>
      </w:r>
    </w:p>
    <w:p w:rsidR="00450C28" w:rsidRDefault="00450C28" w:rsidP="004B345E">
      <w:pPr>
        <w:pStyle w:val="Amain"/>
        <w:keepNext/>
      </w:pPr>
      <w:r>
        <w:tab/>
        <w:t>(2)</w:t>
      </w:r>
      <w:r>
        <w:tab/>
        <w:t>A person cannot terminate a tenancy under subsection (1) if the person—</w:t>
      </w:r>
    </w:p>
    <w:p w:rsidR="00450C28" w:rsidRDefault="00450C28">
      <w:pPr>
        <w:pStyle w:val="Apara"/>
      </w:pPr>
      <w:r>
        <w:tab/>
        <w:t>(a)</w:t>
      </w:r>
      <w:r>
        <w:tab/>
        <w:t>is a purchaser of the premises; and</w:t>
      </w:r>
    </w:p>
    <w:p w:rsidR="00450C28" w:rsidRDefault="00450C28">
      <w:pPr>
        <w:pStyle w:val="Apara"/>
      </w:pPr>
      <w:r>
        <w:tab/>
        <w:t>(b)</w:t>
      </w:r>
      <w:r>
        <w:tab/>
        <w:t>knew about the tenancy, or could reasonably be expected to have known about the tenancy, before purchasing the premises.</w:t>
      </w:r>
    </w:p>
    <w:p w:rsidR="00450C28" w:rsidRDefault="00450C28">
      <w:pPr>
        <w:pStyle w:val="Amain"/>
        <w:keepLines/>
      </w:pPr>
      <w:r>
        <w:tab/>
        <w:t>(3)</w:t>
      </w:r>
      <w:r>
        <w:tab/>
        <w:t>If a person has given notices under subsection (1), the relevant residential tenancy agreement terminates at the end of the period of 8 weeks after the date of the notice mentioned in subsection (1) (b) or on the later date specified in the notice.</w:t>
      </w:r>
    </w:p>
    <w:p w:rsidR="003D61B6" w:rsidRPr="00E17C2E" w:rsidRDefault="003D61B6" w:rsidP="003D61B6">
      <w:pPr>
        <w:pStyle w:val="AH5Sec"/>
      </w:pPr>
      <w:bookmarkStart w:id="113" w:name="_Toc23417920"/>
      <w:r w:rsidRPr="001403E0">
        <w:rPr>
          <w:rStyle w:val="CharSectNo"/>
        </w:rPr>
        <w:lastRenderedPageBreak/>
        <w:t>64AA</w:t>
      </w:r>
      <w:r w:rsidRPr="00E17C2E">
        <w:tab/>
        <w:t>Termination—affected residential premises</w:t>
      </w:r>
      <w:bookmarkEnd w:id="113"/>
      <w:r w:rsidRPr="00E17C2E">
        <w:t xml:space="preserve"> </w:t>
      </w:r>
    </w:p>
    <w:p w:rsidR="003D61B6" w:rsidRPr="00E17C2E" w:rsidRDefault="003D61B6" w:rsidP="003D61B6">
      <w:pPr>
        <w:pStyle w:val="Amain"/>
      </w:pPr>
      <w:r w:rsidRPr="00E17C2E">
        <w:tab/>
        <w:t>(1)</w:t>
      </w:r>
      <w:r w:rsidRPr="00E17C2E">
        <w:tab/>
        <w:t>This section applies if premises that are the subject of a residential tenancy agreement are affected residential premises.</w:t>
      </w:r>
    </w:p>
    <w:p w:rsidR="003D61B6" w:rsidRPr="00E17C2E" w:rsidRDefault="003D61B6" w:rsidP="003D61B6">
      <w:pPr>
        <w:pStyle w:val="aNote"/>
      </w:pPr>
      <w:r w:rsidRPr="00E17C2E">
        <w:rPr>
          <w:rStyle w:val="charItals"/>
        </w:rPr>
        <w:t>Note</w:t>
      </w:r>
      <w:r w:rsidRPr="00E17C2E">
        <w:rPr>
          <w:rStyle w:val="charItals"/>
        </w:rPr>
        <w:tab/>
      </w:r>
      <w:r w:rsidRPr="00E17C2E">
        <w:rPr>
          <w:rStyle w:val="charBoldItals"/>
        </w:rPr>
        <w:t>Affected residential premises</w:t>
      </w:r>
      <w:r w:rsidRPr="00E17C2E">
        <w:t>—see the dictionary.</w:t>
      </w:r>
    </w:p>
    <w:p w:rsidR="003D61B6" w:rsidRPr="00E17C2E" w:rsidRDefault="003D61B6" w:rsidP="003D61B6">
      <w:pPr>
        <w:pStyle w:val="Amain"/>
      </w:pPr>
      <w:r w:rsidRPr="00E17C2E">
        <w:tab/>
        <w:t>(2)</w:t>
      </w:r>
      <w:r w:rsidRPr="00E17C2E">
        <w:tab/>
        <w:t>A party to the residential tenancy agreement may, by written notice to the other party, terminate the agreement.</w:t>
      </w:r>
    </w:p>
    <w:p w:rsidR="003D61B6" w:rsidRPr="00E17C2E" w:rsidRDefault="003D61B6" w:rsidP="003D61B6">
      <w:pPr>
        <w:pStyle w:val="Amain"/>
      </w:pPr>
      <w:r w:rsidRPr="00E17C2E">
        <w:tab/>
        <w:t>(3)</w:t>
      </w:r>
      <w:r w:rsidRPr="00E17C2E">
        <w:tab/>
        <w:t>If the tenant terminates the agreement, the tenant must give the lessor at least 2 days notice of the termination.</w:t>
      </w:r>
    </w:p>
    <w:p w:rsidR="003D61B6" w:rsidRPr="00E17C2E" w:rsidRDefault="003D61B6" w:rsidP="003D61B6">
      <w:pPr>
        <w:pStyle w:val="Amain"/>
      </w:pPr>
      <w:r w:rsidRPr="00E17C2E">
        <w:tab/>
        <w:t>(4)</w:t>
      </w:r>
      <w:r w:rsidRPr="00E17C2E">
        <w:tab/>
        <w:t>If the lessor terminates the agreement, the lessor must give the tenant at least 1 week’s notice of the termination.</w:t>
      </w:r>
    </w:p>
    <w:p w:rsidR="003D61B6" w:rsidRDefault="003D61B6" w:rsidP="003D61B6">
      <w:pPr>
        <w:pStyle w:val="Amain"/>
      </w:pPr>
      <w:r w:rsidRPr="00E17C2E">
        <w:tab/>
        <w:t>(5)</w:t>
      </w:r>
      <w:r w:rsidRPr="00E17C2E">
        <w:tab/>
        <w:t>The tenancy ends on the date stated in the notice.</w:t>
      </w:r>
    </w:p>
    <w:p w:rsidR="00646ACD" w:rsidRPr="00667352" w:rsidRDefault="00646ACD" w:rsidP="00646ACD">
      <w:pPr>
        <w:pStyle w:val="AH5Sec"/>
      </w:pPr>
      <w:bookmarkStart w:id="114" w:name="_Toc23417921"/>
      <w:r w:rsidRPr="001403E0">
        <w:rPr>
          <w:rStyle w:val="CharSectNo"/>
        </w:rPr>
        <w:t>64AB</w:t>
      </w:r>
      <w:r w:rsidRPr="00667352">
        <w:tab/>
        <w:t>Termination—eligible impacted property</w:t>
      </w:r>
      <w:bookmarkEnd w:id="114"/>
    </w:p>
    <w:p w:rsidR="00646ACD" w:rsidRPr="00667352" w:rsidRDefault="00646ACD" w:rsidP="00646ACD">
      <w:pPr>
        <w:pStyle w:val="Amain"/>
      </w:pPr>
      <w:r w:rsidRPr="00667352">
        <w:tab/>
        <w:t>(1)</w:t>
      </w:r>
      <w:r w:rsidRPr="00667352">
        <w:tab/>
        <w:t>This section applies if premises that are the subject of a residential tenancy agreement are an eligible impacted property.</w:t>
      </w:r>
    </w:p>
    <w:p w:rsidR="00646ACD" w:rsidRPr="00667352" w:rsidRDefault="00646ACD" w:rsidP="00646ACD">
      <w:pPr>
        <w:pStyle w:val="aNote"/>
      </w:pPr>
      <w:r w:rsidRPr="00667352">
        <w:rPr>
          <w:rStyle w:val="charItals"/>
        </w:rPr>
        <w:t>Note</w:t>
      </w:r>
      <w:r w:rsidRPr="00667352">
        <w:rPr>
          <w:rStyle w:val="charItals"/>
        </w:rPr>
        <w:tab/>
      </w:r>
      <w:r w:rsidRPr="00667352">
        <w:rPr>
          <w:rStyle w:val="charBoldItals"/>
        </w:rPr>
        <w:t>Eligible impacted property</w:t>
      </w:r>
      <w:r w:rsidRPr="00667352">
        <w:t xml:space="preserve">—see the </w:t>
      </w:r>
      <w:hyperlink r:id="rId52" w:tooltip="A2003-40" w:history="1">
        <w:r w:rsidRPr="00334717">
          <w:rPr>
            <w:rStyle w:val="charCitHyperlinkItal"/>
          </w:rPr>
          <w:t>Civil Law (Sale of Residential Property) Act 2003</w:t>
        </w:r>
      </w:hyperlink>
      <w:r w:rsidRPr="00667352">
        <w:t>, s 9A (1).</w:t>
      </w:r>
    </w:p>
    <w:p w:rsidR="00646ACD" w:rsidRPr="00667352" w:rsidRDefault="00646ACD" w:rsidP="00646ACD">
      <w:pPr>
        <w:pStyle w:val="Amain"/>
      </w:pPr>
      <w:r w:rsidRPr="00667352">
        <w:tab/>
        <w:t>(2)</w:t>
      </w:r>
      <w:r w:rsidRPr="00667352">
        <w:tab/>
        <w:t>A party to the residential tenancy agreement may, by written notice to the other party, terminate the agreement.</w:t>
      </w:r>
    </w:p>
    <w:p w:rsidR="00646ACD" w:rsidRPr="00667352" w:rsidRDefault="00646ACD" w:rsidP="00646ACD">
      <w:pPr>
        <w:pStyle w:val="Amain"/>
      </w:pPr>
      <w:r w:rsidRPr="00667352">
        <w:tab/>
        <w:t>(3)</w:t>
      </w:r>
      <w:r w:rsidRPr="00667352">
        <w:tab/>
        <w:t>The party terminating the agreement must give the other party at least 28 working days notice of the termination.</w:t>
      </w:r>
    </w:p>
    <w:p w:rsidR="00646ACD" w:rsidRPr="00667352" w:rsidRDefault="00646ACD" w:rsidP="00646ACD">
      <w:pPr>
        <w:pStyle w:val="Amain"/>
      </w:pPr>
      <w:r w:rsidRPr="00667352">
        <w:tab/>
        <w:t>(4)</w:t>
      </w:r>
      <w:r w:rsidRPr="00667352">
        <w:tab/>
        <w:t>The tenancy ends on the date stated in the notice.</w:t>
      </w:r>
    </w:p>
    <w:p w:rsidR="00450C28" w:rsidRDefault="00450C28">
      <w:pPr>
        <w:pStyle w:val="PageBreak"/>
      </w:pPr>
      <w:r>
        <w:br w:type="page"/>
      </w:r>
    </w:p>
    <w:p w:rsidR="00450C28" w:rsidRPr="001403E0" w:rsidRDefault="00450C28">
      <w:pPr>
        <w:pStyle w:val="AH2Part"/>
      </w:pPr>
      <w:bookmarkStart w:id="115" w:name="_Toc23417922"/>
      <w:r w:rsidRPr="001403E0">
        <w:rPr>
          <w:rStyle w:val="CharPartNo"/>
        </w:rPr>
        <w:lastRenderedPageBreak/>
        <w:t>Part 5</w:t>
      </w:r>
      <w:r>
        <w:tab/>
      </w:r>
      <w:r w:rsidRPr="001403E0">
        <w:rPr>
          <w:rStyle w:val="CharPartText"/>
        </w:rPr>
        <w:t>Rental rate increases</w:t>
      </w:r>
      <w:bookmarkEnd w:id="115"/>
    </w:p>
    <w:p w:rsidR="00450C28" w:rsidRDefault="00450C28">
      <w:pPr>
        <w:pStyle w:val="Placeholder"/>
      </w:pPr>
      <w:r>
        <w:rPr>
          <w:rStyle w:val="CharDivNo"/>
        </w:rPr>
        <w:t xml:space="preserve">  </w:t>
      </w:r>
      <w:r>
        <w:rPr>
          <w:rStyle w:val="CharDivText"/>
        </w:rPr>
        <w:t xml:space="preserve">  </w:t>
      </w:r>
    </w:p>
    <w:p w:rsidR="00502AAB" w:rsidRPr="00496449" w:rsidRDefault="00502AAB" w:rsidP="00502AAB">
      <w:pPr>
        <w:pStyle w:val="AH5Sec"/>
      </w:pPr>
      <w:bookmarkStart w:id="116" w:name="_Toc23417923"/>
      <w:r w:rsidRPr="001403E0">
        <w:rPr>
          <w:rStyle w:val="CharSectNo"/>
        </w:rPr>
        <w:t>64A</w:t>
      </w:r>
      <w:r w:rsidRPr="00496449">
        <w:tab/>
        <w:t>Standard residential tenancy term—increase in rent</w:t>
      </w:r>
      <w:bookmarkEnd w:id="116"/>
    </w:p>
    <w:p w:rsidR="00502AAB" w:rsidRDefault="00502AAB" w:rsidP="00502AAB">
      <w:pPr>
        <w:pStyle w:val="Amainreturn"/>
        <w:rPr>
          <w:lang w:eastAsia="en-AU"/>
        </w:rPr>
      </w:pPr>
      <w:r w:rsidRPr="00496449">
        <w:t xml:space="preserve">Under a fixed term agreement rent may not be increased </w:t>
      </w:r>
      <w:r w:rsidRPr="00496449">
        <w:rPr>
          <w:lang w:eastAsia="en-AU"/>
        </w:rPr>
        <w:t>during the currency of the fixed term unless the amount of the increase, or a method for working it out, is set out in the agreement.</w:t>
      </w:r>
    </w:p>
    <w:p w:rsidR="00414F10" w:rsidRPr="00604238" w:rsidRDefault="00414F10" w:rsidP="00414F10">
      <w:pPr>
        <w:pStyle w:val="AH5Sec"/>
      </w:pPr>
      <w:bookmarkStart w:id="117" w:name="_Toc23417924"/>
      <w:r w:rsidRPr="001403E0">
        <w:rPr>
          <w:rStyle w:val="CharSectNo"/>
        </w:rPr>
        <w:t>64B</w:t>
      </w:r>
      <w:r w:rsidRPr="00604238">
        <w:tab/>
        <w:t>Limitation on rent increases</w:t>
      </w:r>
      <w:bookmarkEnd w:id="117"/>
    </w:p>
    <w:p w:rsidR="00414F10" w:rsidRPr="00604238" w:rsidRDefault="00414F10" w:rsidP="00414F10">
      <w:pPr>
        <w:pStyle w:val="Amain"/>
      </w:pPr>
      <w:r w:rsidRPr="00604238">
        <w:tab/>
        <w:t>(1)</w:t>
      </w:r>
      <w:r w:rsidRPr="00604238">
        <w:tab/>
        <w:t>A lessor may increase the rental rate under a residential tenancy agreement by an amount that is more than the amount prescribed by regulation only if—</w:t>
      </w:r>
    </w:p>
    <w:p w:rsidR="00414F10" w:rsidRPr="00604238" w:rsidRDefault="00414F10" w:rsidP="00414F10">
      <w:pPr>
        <w:pStyle w:val="Apara"/>
      </w:pPr>
      <w:r w:rsidRPr="00604238">
        <w:tab/>
        <w:t>(a)</w:t>
      </w:r>
      <w:r w:rsidRPr="00604238">
        <w:tab/>
        <w:t>the residential tenancy agreement allows the lessor to increase the rental rate by the amount; or</w:t>
      </w:r>
    </w:p>
    <w:p w:rsidR="00414F10" w:rsidRPr="00604238" w:rsidRDefault="00414F10" w:rsidP="00414F10">
      <w:pPr>
        <w:pStyle w:val="Apara"/>
      </w:pPr>
      <w:r w:rsidRPr="00604238">
        <w:tab/>
        <w:t>(b)</w:t>
      </w:r>
      <w:r w:rsidRPr="00604238">
        <w:tab/>
        <w:t>after the lessor gives notice under subsection (2), the tenant agrees, in writing, to the increase; or</w:t>
      </w:r>
    </w:p>
    <w:p w:rsidR="00414F10" w:rsidRPr="00604238" w:rsidRDefault="00414F10" w:rsidP="00414F10">
      <w:pPr>
        <w:pStyle w:val="Apara"/>
      </w:pPr>
      <w:r w:rsidRPr="00604238">
        <w:tab/>
        <w:t>(c)</w:t>
      </w:r>
      <w:r w:rsidRPr="00604238">
        <w:tab/>
        <w:t>the lessor obtains the ACAT’s prior approval.</w:t>
      </w:r>
    </w:p>
    <w:p w:rsidR="00414F10" w:rsidRPr="00604238" w:rsidRDefault="00414F10" w:rsidP="00414F10">
      <w:pPr>
        <w:pStyle w:val="Amain"/>
      </w:pPr>
      <w:r w:rsidRPr="00604238">
        <w:tab/>
        <w:t>(2)</w:t>
      </w:r>
      <w:r w:rsidRPr="00604238">
        <w:tab/>
        <w:t>For subsection (1) (b), the lessor must give the tenant a written notice stating—</w:t>
      </w:r>
    </w:p>
    <w:p w:rsidR="00414F10" w:rsidRPr="00604238" w:rsidRDefault="00414F10" w:rsidP="00414F10">
      <w:pPr>
        <w:pStyle w:val="Apara"/>
      </w:pPr>
      <w:r w:rsidRPr="00604238">
        <w:tab/>
        <w:t>(a)</w:t>
      </w:r>
      <w:r w:rsidRPr="00604238">
        <w:tab/>
        <w:t>the day the proposed increase takes effect (being a day at least 8 weeks after the day the notice is given); and</w:t>
      </w:r>
    </w:p>
    <w:p w:rsidR="00414F10" w:rsidRPr="00604238" w:rsidRDefault="00414F10" w:rsidP="00414F10">
      <w:pPr>
        <w:pStyle w:val="Apara"/>
      </w:pPr>
      <w:r w:rsidRPr="00604238">
        <w:tab/>
        <w:t>(b)</w:t>
      </w:r>
      <w:r w:rsidRPr="00604238">
        <w:tab/>
        <w:t>the amount of the proposed increase; and</w:t>
      </w:r>
    </w:p>
    <w:p w:rsidR="00414F10" w:rsidRPr="00604238" w:rsidRDefault="00414F10" w:rsidP="00414F10">
      <w:pPr>
        <w:pStyle w:val="Apara"/>
      </w:pPr>
      <w:r w:rsidRPr="00604238">
        <w:tab/>
        <w:t>(c)</w:t>
      </w:r>
      <w:r w:rsidRPr="00604238">
        <w:tab/>
        <w:t>whether the amount of the proposed increase is more than the amount prescribed under subsection (1); and</w:t>
      </w:r>
    </w:p>
    <w:p w:rsidR="00414F10" w:rsidRPr="00604238" w:rsidRDefault="00414F10" w:rsidP="00414F10">
      <w:pPr>
        <w:pStyle w:val="Apara"/>
      </w:pPr>
      <w:r w:rsidRPr="00604238">
        <w:tab/>
        <w:t>(d)</w:t>
      </w:r>
      <w:r w:rsidRPr="00604238">
        <w:tab/>
        <w:t xml:space="preserve">if the proposed increase is more than the amount prescribed under subsection (1)—that if the tenant does not agree to the increase, the lessor may only make the proposed increase with the prior approval of the ACAT. </w:t>
      </w:r>
    </w:p>
    <w:p w:rsidR="00414F10" w:rsidRPr="00604238" w:rsidRDefault="00414F10" w:rsidP="00414F10">
      <w:pPr>
        <w:pStyle w:val="AH5Sec"/>
      </w:pPr>
      <w:bookmarkStart w:id="118" w:name="_Toc23417925"/>
      <w:r w:rsidRPr="001403E0">
        <w:rPr>
          <w:rStyle w:val="CharSectNo"/>
        </w:rPr>
        <w:lastRenderedPageBreak/>
        <w:t>64C</w:t>
      </w:r>
      <w:r w:rsidRPr="00604238">
        <w:tab/>
        <w:t>Tenant may apply for review</w:t>
      </w:r>
      <w:bookmarkEnd w:id="118"/>
    </w:p>
    <w:p w:rsidR="00414F10" w:rsidRPr="00604238" w:rsidRDefault="00414F10" w:rsidP="00414F10">
      <w:pPr>
        <w:pStyle w:val="Amain"/>
      </w:pPr>
      <w:r w:rsidRPr="00604238">
        <w:tab/>
        <w:t>(1)</w:t>
      </w:r>
      <w:r w:rsidRPr="00604238">
        <w:tab/>
        <w:t>A tenant may apply to the ACAT for review of a proposed rental rate increase.</w:t>
      </w:r>
    </w:p>
    <w:p w:rsidR="00414F10" w:rsidRPr="00604238" w:rsidRDefault="00414F10" w:rsidP="00414F10">
      <w:pPr>
        <w:pStyle w:val="Amain"/>
      </w:pPr>
      <w:r w:rsidRPr="00604238">
        <w:tab/>
        <w:t>(2)</w:t>
      </w:r>
      <w:r w:rsidRPr="00604238">
        <w:tab/>
        <w:t xml:space="preserve">An application must be made not less than 2 weeks before the day on which the proposed increase is to come into effect. </w:t>
      </w:r>
    </w:p>
    <w:p w:rsidR="00450C28" w:rsidRDefault="00450C28">
      <w:pPr>
        <w:pStyle w:val="AH5Sec"/>
      </w:pPr>
      <w:bookmarkStart w:id="119" w:name="_Toc23417926"/>
      <w:r w:rsidRPr="001403E0">
        <w:rPr>
          <w:rStyle w:val="CharSectNo"/>
        </w:rPr>
        <w:t>65</w:t>
      </w:r>
      <w:r>
        <w:tab/>
        <w:t>Waiver of notice requirements</w:t>
      </w:r>
      <w:bookmarkEnd w:id="119"/>
    </w:p>
    <w:p w:rsidR="00450C28" w:rsidRDefault="00450C28">
      <w:pPr>
        <w:pStyle w:val="Amain"/>
      </w:pPr>
      <w:r>
        <w:tab/>
        <w:t>(1)</w:t>
      </w:r>
      <w:r>
        <w:tab/>
        <w:t xml:space="preserve">The </w:t>
      </w:r>
      <w:r w:rsidR="000E3630">
        <w:t>ACAT</w:t>
      </w:r>
      <w:r>
        <w:t xml:space="preserve"> may hear an application for the review of a rental rate increase even though the application is made less than 2 weeks before the day when the proposed increase is to come into effect, if the </w:t>
      </w:r>
      <w:r w:rsidR="000E3630">
        <w:t>ACAT</w:t>
      </w:r>
      <w:r>
        <w:t xml:space="preserve"> is satisfied that—</w:t>
      </w:r>
    </w:p>
    <w:p w:rsidR="00450C28" w:rsidRDefault="00450C28">
      <w:pPr>
        <w:pStyle w:val="Apara"/>
      </w:pPr>
      <w:r>
        <w:tab/>
        <w:t>(a)</w:t>
      </w:r>
      <w:r>
        <w:tab/>
        <w:t>the application is late because of special circumstances; and</w:t>
      </w:r>
    </w:p>
    <w:p w:rsidR="00450C28" w:rsidRDefault="00450C28">
      <w:pPr>
        <w:pStyle w:val="Apara"/>
      </w:pPr>
      <w:r>
        <w:tab/>
        <w:t>(b)</w:t>
      </w:r>
      <w:r>
        <w:tab/>
        <w:t>to hear the application will not place the lessor in a significantly worse position than the lessor would have been had the applicant applied as prescribed.</w:t>
      </w:r>
    </w:p>
    <w:p w:rsidR="00450C28" w:rsidRDefault="00450C28">
      <w:pPr>
        <w:pStyle w:val="Amain"/>
      </w:pPr>
      <w:r>
        <w:tab/>
        <w:t>(2)</w:t>
      </w:r>
      <w:r>
        <w:tab/>
        <w:t xml:space="preserve">If a tenant vacates premises as a result of a rental rate increase but fails to give the lessor notice of intention to vacate premises in the form approved under section 133 (Approved forms—Minister), the </w:t>
      </w:r>
      <w:r w:rsidR="000E3630">
        <w:t>ACAT</w:t>
      </w:r>
      <w:r>
        <w:t xml:space="preserve"> may, on application by the tenant or former tenant, treat the notice as having been given in the approved form if satisfied that—</w:t>
      </w:r>
    </w:p>
    <w:p w:rsidR="00450C28" w:rsidRDefault="00450C28">
      <w:pPr>
        <w:pStyle w:val="Apara"/>
      </w:pPr>
      <w:r>
        <w:tab/>
        <w:t>(a)</w:t>
      </w:r>
      <w:r>
        <w:tab/>
        <w:t>the failure to give notice in the approved form is a result of special circumstances; and</w:t>
      </w:r>
    </w:p>
    <w:p w:rsidR="00450C28" w:rsidRDefault="00450C28">
      <w:pPr>
        <w:pStyle w:val="Apara"/>
      </w:pPr>
      <w:r>
        <w:tab/>
        <w:t>(b)</w:t>
      </w:r>
      <w:r>
        <w:tab/>
        <w:t>to treat notice as having been so given will not put the lessor in a significantly worse position than if notice had been given properly.</w:t>
      </w:r>
    </w:p>
    <w:p w:rsidR="00450C28" w:rsidRDefault="00450C28">
      <w:pPr>
        <w:pStyle w:val="AH5Sec"/>
      </w:pPr>
      <w:bookmarkStart w:id="120" w:name="_Toc23417927"/>
      <w:r w:rsidRPr="001403E0">
        <w:rPr>
          <w:rStyle w:val="CharSectNo"/>
        </w:rPr>
        <w:t>66</w:t>
      </w:r>
      <w:r>
        <w:tab/>
        <w:t>Freezing rents</w:t>
      </w:r>
      <w:bookmarkEnd w:id="120"/>
    </w:p>
    <w:p w:rsidR="00450C28" w:rsidRDefault="00450C28">
      <w:pPr>
        <w:pStyle w:val="Amainreturn"/>
      </w:pPr>
      <w:r>
        <w:t xml:space="preserve">If an application for review of a rental rate increase has been made but not decided, no increase in the rental rate happens unless allowed by the </w:t>
      </w:r>
      <w:r w:rsidR="000E3630">
        <w:t>ACAT</w:t>
      </w:r>
      <w:r>
        <w:t>.</w:t>
      </w:r>
    </w:p>
    <w:p w:rsidR="00450C28" w:rsidRDefault="00450C28">
      <w:pPr>
        <w:pStyle w:val="AH5Sec"/>
      </w:pPr>
      <w:bookmarkStart w:id="121" w:name="_Toc23417928"/>
      <w:r w:rsidRPr="001403E0">
        <w:rPr>
          <w:rStyle w:val="CharSectNo"/>
        </w:rPr>
        <w:lastRenderedPageBreak/>
        <w:t>68</w:t>
      </w:r>
      <w:r>
        <w:tab/>
        <w:t>Guideline for orders</w:t>
      </w:r>
      <w:bookmarkEnd w:id="121"/>
    </w:p>
    <w:p w:rsidR="003038FE" w:rsidRPr="00604238" w:rsidRDefault="003038FE" w:rsidP="003038FE">
      <w:pPr>
        <w:pStyle w:val="Amain"/>
      </w:pPr>
      <w:r w:rsidRPr="00604238">
        <w:tab/>
        <w:t>(1)</w:t>
      </w:r>
      <w:r w:rsidRPr="00604238">
        <w:tab/>
        <w:t>This section applies if an application is made to the ACAT under section 64B (1) (c) or section 64C (1) in relation to a rental rate increase.</w:t>
      </w:r>
    </w:p>
    <w:p w:rsidR="003038FE" w:rsidRPr="00604238" w:rsidRDefault="003038FE" w:rsidP="003038FE">
      <w:pPr>
        <w:pStyle w:val="Amain"/>
      </w:pPr>
      <w:r w:rsidRPr="00604238">
        <w:tab/>
        <w:t>(</w:t>
      </w:r>
      <w:r w:rsidR="00F771C6">
        <w:t>2</w:t>
      </w:r>
      <w:r w:rsidRPr="00604238">
        <w:t>)</w:t>
      </w:r>
      <w:r w:rsidRPr="00604238">
        <w:tab/>
        <w:t>The ACAT must allow a rental rate increase if the increase is allowed under the residential tenancy agreement and is not excessive.</w:t>
      </w:r>
    </w:p>
    <w:p w:rsidR="003038FE" w:rsidRPr="00604238" w:rsidRDefault="003038FE" w:rsidP="003038FE">
      <w:pPr>
        <w:pStyle w:val="Amain"/>
      </w:pPr>
      <w:r w:rsidRPr="00604238">
        <w:tab/>
        <w:t>(</w:t>
      </w:r>
      <w:r w:rsidR="00F771C6">
        <w:t>3</w:t>
      </w:r>
      <w:r w:rsidRPr="00604238">
        <w:t>)</w:t>
      </w:r>
      <w:r w:rsidRPr="00604238">
        <w:tab/>
        <w:t>For subsection (</w:t>
      </w:r>
      <w:r w:rsidR="008C0F67">
        <w:t>2</w:t>
      </w:r>
      <w:r w:rsidRPr="00604238">
        <w:t>)—</w:t>
      </w:r>
    </w:p>
    <w:p w:rsidR="003038FE" w:rsidRPr="00604238" w:rsidRDefault="003038FE" w:rsidP="003038FE">
      <w:pPr>
        <w:pStyle w:val="Apara"/>
      </w:pPr>
      <w:r w:rsidRPr="00604238">
        <w:tab/>
        <w:t>(a)</w:t>
      </w:r>
      <w:r w:rsidRPr="00604238">
        <w:tab/>
        <w:t>unless the tenant satisfies the ACAT otherwise, a rental rate increase is not excessive if it is equal to or less than the amount prescribed by regulation; and</w:t>
      </w:r>
    </w:p>
    <w:p w:rsidR="003038FE" w:rsidRPr="00604238" w:rsidRDefault="003038FE" w:rsidP="003038FE">
      <w:pPr>
        <w:pStyle w:val="Apara"/>
      </w:pPr>
      <w:r w:rsidRPr="00604238">
        <w:tab/>
        <w:t>(b)</w:t>
      </w:r>
      <w:r w:rsidRPr="00604238">
        <w:tab/>
        <w:t>unless the lessor satisfies the ACAT otherwise, a rental rate increase is excessive if it is more than the amount prescribed by regulation.</w:t>
      </w:r>
    </w:p>
    <w:p w:rsidR="00450C28" w:rsidRDefault="00450C28">
      <w:pPr>
        <w:pStyle w:val="Amain"/>
      </w:pPr>
      <w:r>
        <w:tab/>
        <w:t>(</w:t>
      </w:r>
      <w:r w:rsidR="00F771C6">
        <w:t>4</w:t>
      </w:r>
      <w:r>
        <w:t>)</w:t>
      </w:r>
      <w:r>
        <w:tab/>
        <w:t xml:space="preserve">If a tenant or lessor proposes that a rental rate increase is or is not excessive, the </w:t>
      </w:r>
      <w:r w:rsidR="000E3630">
        <w:t>ACAT</w:t>
      </w:r>
      <w:r>
        <w:t>, in considering whether it is satisfied about the proposal, must consider the following matters:</w:t>
      </w:r>
    </w:p>
    <w:p w:rsidR="00450C28" w:rsidRDefault="00450C28">
      <w:pPr>
        <w:pStyle w:val="Apara"/>
      </w:pPr>
      <w:r>
        <w:tab/>
        <w:t>(a)</w:t>
      </w:r>
      <w:r>
        <w:tab/>
        <w:t>the rental rate before the proposed increase;</w:t>
      </w:r>
    </w:p>
    <w:p w:rsidR="00450C28" w:rsidRDefault="00450C28" w:rsidP="0022626C">
      <w:pPr>
        <w:pStyle w:val="Apara"/>
        <w:keepNext/>
      </w:pPr>
      <w:r>
        <w:tab/>
        <w:t>(b)</w:t>
      </w:r>
      <w:r>
        <w:tab/>
        <w:t>if the lessor previously increased the rental rate while the relevant tenant was tenant—</w:t>
      </w:r>
    </w:p>
    <w:p w:rsidR="00450C28" w:rsidRDefault="00450C28">
      <w:pPr>
        <w:pStyle w:val="Asubpara"/>
      </w:pPr>
      <w:r>
        <w:tab/>
        <w:t>(i)</w:t>
      </w:r>
      <w:r>
        <w:tab/>
        <w:t>the amount of the last increase before the proposed increase; and</w:t>
      </w:r>
    </w:p>
    <w:p w:rsidR="00450C28" w:rsidRDefault="00450C28">
      <w:pPr>
        <w:pStyle w:val="Asubpara"/>
      </w:pPr>
      <w:r>
        <w:tab/>
        <w:t>(ii)</w:t>
      </w:r>
      <w:r>
        <w:tab/>
        <w:t>the period since that increase;</w:t>
      </w:r>
    </w:p>
    <w:p w:rsidR="00450C28" w:rsidRDefault="00450C28">
      <w:pPr>
        <w:pStyle w:val="Apara"/>
      </w:pPr>
      <w:r>
        <w:tab/>
        <w:t>(c)</w:t>
      </w:r>
      <w:r>
        <w:tab/>
        <w:t>outgoings or costs of the lessor in relation to the premises;</w:t>
      </w:r>
    </w:p>
    <w:p w:rsidR="00450C28" w:rsidRDefault="00450C28">
      <w:pPr>
        <w:pStyle w:val="Apara"/>
      </w:pPr>
      <w:r>
        <w:tab/>
        <w:t>(d)</w:t>
      </w:r>
      <w:r>
        <w:tab/>
        <w:t>services provided by the lessor to the tenant;</w:t>
      </w:r>
    </w:p>
    <w:p w:rsidR="00450C28" w:rsidRDefault="00450C28">
      <w:pPr>
        <w:pStyle w:val="Apara"/>
      </w:pPr>
      <w:r>
        <w:tab/>
        <w:t>(e)</w:t>
      </w:r>
      <w:r>
        <w:tab/>
        <w:t>the value of fixtures and goods supplied by the lessor as part of the tenancy;</w:t>
      </w:r>
    </w:p>
    <w:p w:rsidR="00450C28" w:rsidRDefault="00450C28">
      <w:pPr>
        <w:pStyle w:val="Apara"/>
      </w:pPr>
      <w:r>
        <w:tab/>
        <w:t>(f)</w:t>
      </w:r>
      <w:r>
        <w:tab/>
        <w:t>the state of repair of the premises;</w:t>
      </w:r>
    </w:p>
    <w:p w:rsidR="00450C28" w:rsidRDefault="00450C28">
      <w:pPr>
        <w:pStyle w:val="Apara"/>
      </w:pPr>
      <w:r>
        <w:tab/>
        <w:t>(g)</w:t>
      </w:r>
      <w:r>
        <w:tab/>
        <w:t>rental rates for comparable premises;</w:t>
      </w:r>
    </w:p>
    <w:p w:rsidR="00450C28" w:rsidRDefault="00450C28">
      <w:pPr>
        <w:pStyle w:val="Apara"/>
      </w:pPr>
      <w:r>
        <w:lastRenderedPageBreak/>
        <w:tab/>
        <w:t>(h)</w:t>
      </w:r>
      <w:r>
        <w:tab/>
        <w:t>the value of any work performed or improvements carried out by the tenant with the lessor’s consent;</w:t>
      </w:r>
    </w:p>
    <w:p w:rsidR="00450C28" w:rsidRDefault="00450C28">
      <w:pPr>
        <w:pStyle w:val="Apara"/>
      </w:pPr>
      <w:r>
        <w:tab/>
        <w:t>(i)</w:t>
      </w:r>
      <w:r>
        <w:tab/>
        <w:t xml:space="preserve">any other matter the </w:t>
      </w:r>
      <w:r w:rsidR="000E3630">
        <w:t>ACAT</w:t>
      </w:r>
      <w:r>
        <w:t xml:space="preserve"> considers relevant.</w:t>
      </w:r>
    </w:p>
    <w:p w:rsidR="00450C28" w:rsidRDefault="00450C28">
      <w:pPr>
        <w:pStyle w:val="Amain"/>
      </w:pPr>
      <w:r>
        <w:tab/>
        <w:t>(</w:t>
      </w:r>
      <w:r w:rsidR="00F771C6">
        <w:t>5</w:t>
      </w:r>
      <w:r>
        <w:t>)</w:t>
      </w:r>
      <w:r>
        <w:tab/>
        <w:t xml:space="preserve">If the </w:t>
      </w:r>
      <w:r w:rsidR="000E3630">
        <w:t>ACAT</w:t>
      </w:r>
      <w:r>
        <w:t xml:space="preserve"> considers a proposed rental rate increase is excessive but a lesser increase would not be, it may disallow so much of the increase as is excessive.</w:t>
      </w:r>
    </w:p>
    <w:p w:rsidR="005C7CAC" w:rsidRDefault="005C7CAC" w:rsidP="005C7CAC">
      <w:pPr>
        <w:pStyle w:val="AH5Sec"/>
      </w:pPr>
      <w:bookmarkStart w:id="122" w:name="_Toc23417929"/>
      <w:r w:rsidRPr="001403E0">
        <w:rPr>
          <w:rStyle w:val="CharSectNo"/>
        </w:rPr>
        <w:t>68A</w:t>
      </w:r>
      <w:r>
        <w:tab/>
        <w:t>Orders</w:t>
      </w:r>
      <w:bookmarkEnd w:id="122"/>
    </w:p>
    <w:p w:rsidR="005C7CAC" w:rsidRDefault="005C7CAC" w:rsidP="005C7CAC">
      <w:pPr>
        <w:pStyle w:val="Amainreturn"/>
      </w:pPr>
      <w:r>
        <w:t xml:space="preserve">The ACAT may make the following orders in relation to an application </w:t>
      </w:r>
      <w:r w:rsidRPr="00604238">
        <w:t>to allow or to review</w:t>
      </w:r>
      <w:r>
        <w:t xml:space="preserve"> a rental rate increase:</w:t>
      </w:r>
    </w:p>
    <w:p w:rsidR="005C7CAC" w:rsidRDefault="005C7CAC" w:rsidP="005C7CAC">
      <w:pPr>
        <w:pStyle w:val="Apara"/>
      </w:pPr>
      <w:r>
        <w:tab/>
        <w:t>(a)</w:t>
      </w:r>
      <w:r>
        <w:tab/>
        <w:t>an order allowing the increase applied for or the other increase that the ACAT considers just;</w:t>
      </w:r>
    </w:p>
    <w:p w:rsidR="005C7CAC" w:rsidRDefault="005C7CAC" w:rsidP="005C7CAC">
      <w:pPr>
        <w:pStyle w:val="Apara"/>
      </w:pPr>
      <w:r>
        <w:tab/>
        <w:t>(b)</w:t>
      </w:r>
      <w:r>
        <w:tab/>
        <w:t>an order disallowing the increase;</w:t>
      </w:r>
    </w:p>
    <w:p w:rsidR="005C7CAC" w:rsidRDefault="005C7CAC" w:rsidP="005C7CAC">
      <w:pPr>
        <w:pStyle w:val="Apara"/>
      </w:pPr>
      <w:r>
        <w:tab/>
        <w:t>(c)</w:t>
      </w:r>
      <w:r>
        <w:tab/>
        <w:t>an order disallowing part of the increase.</w:t>
      </w:r>
    </w:p>
    <w:p w:rsidR="00450C28" w:rsidRDefault="00450C28">
      <w:pPr>
        <w:pStyle w:val="AH5Sec"/>
      </w:pPr>
      <w:bookmarkStart w:id="123" w:name="_Toc23417930"/>
      <w:r w:rsidRPr="001403E0">
        <w:rPr>
          <w:rStyle w:val="CharSectNo"/>
        </w:rPr>
        <w:t>69</w:t>
      </w:r>
      <w:r>
        <w:tab/>
        <w:t>Effect of orders</w:t>
      </w:r>
      <w:bookmarkEnd w:id="123"/>
    </w:p>
    <w:p w:rsidR="00450C28" w:rsidRDefault="00450C28">
      <w:pPr>
        <w:pStyle w:val="Amain"/>
      </w:pPr>
      <w:r>
        <w:tab/>
        <w:t>(1)</w:t>
      </w:r>
      <w:r>
        <w:tab/>
        <w:t xml:space="preserve">If the </w:t>
      </w:r>
      <w:r w:rsidR="000E3630">
        <w:t>ACAT</w:t>
      </w:r>
      <w:r>
        <w:t xml:space="preserve"> makes an order under </w:t>
      </w:r>
      <w:r w:rsidR="00F771C6" w:rsidRPr="00604238">
        <w:t>section 68A (a) or (c)</w:t>
      </w:r>
      <w:r>
        <w:t>, the rental rate increase takes effect from the date when the proposed increase would, apart from section 66, have taken place.</w:t>
      </w:r>
    </w:p>
    <w:p w:rsidR="00450C28" w:rsidRDefault="00450C28">
      <w:pPr>
        <w:pStyle w:val="Amain"/>
      </w:pPr>
      <w:r>
        <w:tab/>
        <w:t>(2)</w:t>
      </w:r>
      <w:r>
        <w:tab/>
        <w:t xml:space="preserve">The </w:t>
      </w:r>
      <w:r w:rsidR="000E3630">
        <w:t>ACAT</w:t>
      </w:r>
      <w:r>
        <w:t xml:space="preserve"> may, on application, grant a tenant time to pay rent owed because of the operation of subsection (1).</w:t>
      </w:r>
    </w:p>
    <w:p w:rsidR="00450C28" w:rsidRDefault="00450C28">
      <w:pPr>
        <w:pStyle w:val="Amain"/>
        <w:keepNext/>
      </w:pPr>
      <w:r>
        <w:tab/>
        <w:t>(3)</w:t>
      </w:r>
      <w:r>
        <w:tab/>
        <w:t>If—</w:t>
      </w:r>
    </w:p>
    <w:p w:rsidR="00450C28" w:rsidRDefault="00450C28">
      <w:pPr>
        <w:pStyle w:val="Apara"/>
      </w:pPr>
      <w:r>
        <w:tab/>
        <w:t>(a)</w:t>
      </w:r>
      <w:r>
        <w:tab/>
        <w:t xml:space="preserve">the </w:t>
      </w:r>
      <w:r w:rsidR="000E3630">
        <w:t>ACAT</w:t>
      </w:r>
      <w:r>
        <w:t xml:space="preserve"> makes an order mentioned in </w:t>
      </w:r>
      <w:r w:rsidR="00F771C6" w:rsidRPr="00604238">
        <w:t>section 68A (</w:t>
      </w:r>
      <w:r w:rsidR="00A13A41">
        <w:t>b</w:t>
      </w:r>
      <w:r w:rsidR="00F771C6" w:rsidRPr="00604238">
        <w:t>) or (c)</w:t>
      </w:r>
      <w:r>
        <w:t>; and</w:t>
      </w:r>
    </w:p>
    <w:p w:rsidR="00450C28" w:rsidRDefault="00450C28">
      <w:pPr>
        <w:pStyle w:val="Apara"/>
      </w:pPr>
      <w:r>
        <w:tab/>
        <w:t>(b)</w:t>
      </w:r>
      <w:r>
        <w:tab/>
        <w:t>despite section 66, the tenant has paid the lessor the full amount of the rental rate increase proposed by the lessor;</w:t>
      </w:r>
    </w:p>
    <w:p w:rsidR="00450C28" w:rsidRDefault="00450C28">
      <w:pPr>
        <w:pStyle w:val="Amainreturn"/>
      </w:pPr>
      <w:r>
        <w:t xml:space="preserve">the </w:t>
      </w:r>
      <w:r w:rsidR="000E3630">
        <w:t>ACAT</w:t>
      </w:r>
      <w:r>
        <w:t xml:space="preserve"> may order the lessor to pay to the tenant the difference between the amount the tenant paid to the lessor and the amount that was payable.</w:t>
      </w:r>
    </w:p>
    <w:p w:rsidR="00450C28" w:rsidRDefault="00450C28">
      <w:pPr>
        <w:pStyle w:val="AH5Sec"/>
      </w:pPr>
      <w:bookmarkStart w:id="124" w:name="_Toc23417931"/>
      <w:r w:rsidRPr="001403E0">
        <w:rPr>
          <w:rStyle w:val="CharSectNo"/>
        </w:rPr>
        <w:lastRenderedPageBreak/>
        <w:t>70</w:t>
      </w:r>
      <w:r>
        <w:tab/>
        <w:t>Further increases</w:t>
      </w:r>
      <w:bookmarkEnd w:id="124"/>
    </w:p>
    <w:p w:rsidR="00450C28" w:rsidRDefault="00450C28">
      <w:pPr>
        <w:pStyle w:val="Amainreturn"/>
      </w:pPr>
      <w:r>
        <w:t xml:space="preserve">If a proposed rental rate increase has been reviewed by the </w:t>
      </w:r>
      <w:r w:rsidR="000E3630">
        <w:t>ACAT</w:t>
      </w:r>
      <w:r>
        <w:t>, any further purported increase in the rental rate for a period of 12 months after the day the proposed increase was to take effect is void.</w:t>
      </w:r>
    </w:p>
    <w:p w:rsidR="00450C28" w:rsidRDefault="00450C28">
      <w:pPr>
        <w:pStyle w:val="AH5Sec"/>
      </w:pPr>
      <w:bookmarkStart w:id="125" w:name="_Toc23417932"/>
      <w:r w:rsidRPr="001403E0">
        <w:rPr>
          <w:rStyle w:val="CharSectNo"/>
        </w:rPr>
        <w:t>71</w:t>
      </w:r>
      <w:r>
        <w:tab/>
        <w:t>Reduction of existing rent</w:t>
      </w:r>
      <w:bookmarkEnd w:id="125"/>
    </w:p>
    <w:p w:rsidR="00450C28" w:rsidRDefault="00450C28">
      <w:pPr>
        <w:pStyle w:val="Amain"/>
      </w:pPr>
      <w:r>
        <w:tab/>
        <w:t>(1)</w:t>
      </w:r>
      <w:r>
        <w:tab/>
        <w:t xml:space="preserve">On application by a tenant, the </w:t>
      </w:r>
      <w:r w:rsidR="000E3630">
        <w:t>ACAT</w:t>
      </w:r>
      <w:r>
        <w:t xml:space="preserve"> must order a reduction in the rental rate payable under a residential tenancy agreement if it considers that the tenant’s use or enjoyment of the premises has diminished significantly as a result of any of the following:</w:t>
      </w:r>
    </w:p>
    <w:p w:rsidR="00450C28" w:rsidRDefault="00450C28">
      <w:pPr>
        <w:pStyle w:val="Apara"/>
      </w:pPr>
      <w:r>
        <w:tab/>
        <w:t>(a)</w:t>
      </w:r>
      <w:r>
        <w:tab/>
        <w:t>the loss or diminished utility of an appliance, furniture, a facility or a service supplied by the lessor with the premises as a result of—</w:t>
      </w:r>
    </w:p>
    <w:p w:rsidR="00450C28" w:rsidRDefault="00450C28">
      <w:pPr>
        <w:pStyle w:val="Asubpara"/>
      </w:pPr>
      <w:r>
        <w:tab/>
        <w:t>(i)</w:t>
      </w:r>
      <w:r>
        <w:tab/>
        <w:t>the withdrawal of the appliance, furniture, facility or service by the lessor; or</w:t>
      </w:r>
    </w:p>
    <w:p w:rsidR="00450C28" w:rsidRDefault="00450C28">
      <w:pPr>
        <w:pStyle w:val="Asubpara"/>
      </w:pPr>
      <w:r>
        <w:tab/>
        <w:t>(ii)</w:t>
      </w:r>
      <w:r>
        <w:tab/>
        <w:t>the failure by the lessor to maintain the premises and any appliance, furniture or facility supplied with the premises in a reasonable state of repair, having regard to their condition at the commencement of the residential tenancy agreement; or</w:t>
      </w:r>
    </w:p>
    <w:p w:rsidR="00450C28" w:rsidRDefault="00450C28">
      <w:pPr>
        <w:pStyle w:val="Asubpara"/>
      </w:pPr>
      <w:r>
        <w:tab/>
        <w:t>(iii)</w:t>
      </w:r>
      <w:r>
        <w:tab/>
        <w:t>the failure by the lessor to provide and maintain the locks or other security devices necessary to ensure that the premises are reasonably secure;</w:t>
      </w:r>
    </w:p>
    <w:p w:rsidR="00450C28" w:rsidRDefault="00450C28">
      <w:pPr>
        <w:pStyle w:val="Apara"/>
      </w:pPr>
      <w:r>
        <w:tab/>
        <w:t>(b)</w:t>
      </w:r>
      <w:r>
        <w:tab/>
        <w:t>the loss of the use of all or part of the premises;</w:t>
      </w:r>
    </w:p>
    <w:p w:rsidR="00450C28" w:rsidRDefault="00450C28">
      <w:pPr>
        <w:pStyle w:val="Apara"/>
      </w:pPr>
      <w:r>
        <w:tab/>
        <w:t>(c)</w:t>
      </w:r>
      <w:r>
        <w:tab/>
        <w:t>interference with the tenant’s quiet enjoyment of the premises or the tenant’s ability to use the premises in reasonable peace, comfort and privacy by the lessor or anyone claiming through the lessor or having an interest in, or title to, the premises.</w:t>
      </w:r>
    </w:p>
    <w:p w:rsidR="00450C28" w:rsidRDefault="00450C28" w:rsidP="008B3699">
      <w:pPr>
        <w:pStyle w:val="Amain"/>
        <w:keepLines/>
      </w:pPr>
      <w:r>
        <w:lastRenderedPageBreak/>
        <w:tab/>
        <w:t>(2)</w:t>
      </w:r>
      <w:r>
        <w:tab/>
        <w:t>To remove any doubt and for subsection (1), a tenant’s quiet enjoyment of premises is interfered with if there is substantial interference with, or a significant lessening of freedom in exercising, the tenant’s rights.</w:t>
      </w:r>
    </w:p>
    <w:p w:rsidR="00450C28" w:rsidRDefault="00450C28">
      <w:pPr>
        <w:pStyle w:val="Amain"/>
      </w:pPr>
      <w:r>
        <w:tab/>
        <w:t>(3)</w:t>
      </w:r>
      <w:r>
        <w:tab/>
        <w:t>A reduction in the rental rate ordered under subsection (1)—</w:t>
      </w:r>
    </w:p>
    <w:p w:rsidR="00450C28" w:rsidRDefault="00450C28">
      <w:pPr>
        <w:pStyle w:val="Apara"/>
      </w:pPr>
      <w:r>
        <w:tab/>
        <w:t>(a)</w:t>
      </w:r>
      <w:r>
        <w:tab/>
        <w:t xml:space="preserve">takes effect from the day the tenant’s use or enjoyment of the premises diminished, or the later date that the </w:t>
      </w:r>
      <w:r w:rsidR="000E3630">
        <w:t>ACAT</w:t>
      </w:r>
      <w:r>
        <w:t xml:space="preserve"> specifies; and</w:t>
      </w:r>
    </w:p>
    <w:p w:rsidR="00450C28" w:rsidRDefault="00450C28">
      <w:pPr>
        <w:pStyle w:val="Apara"/>
      </w:pPr>
      <w:r>
        <w:tab/>
        <w:t>(b)</w:t>
      </w:r>
      <w:r>
        <w:tab/>
        <w:t xml:space="preserve">remains in force for the period, not longer than 12 months, specified by the </w:t>
      </w:r>
      <w:r w:rsidR="000E3630">
        <w:t>ACAT</w:t>
      </w:r>
      <w:r>
        <w:t>.</w:t>
      </w:r>
    </w:p>
    <w:p w:rsidR="00450C28" w:rsidRDefault="00450C28">
      <w:pPr>
        <w:pStyle w:val="Amain"/>
      </w:pPr>
      <w:r>
        <w:tab/>
        <w:t>(4)</w:t>
      </w:r>
      <w:r>
        <w:tab/>
        <w:t xml:space="preserve">The </w:t>
      </w:r>
      <w:r w:rsidR="000E3630">
        <w:t>ACAT</w:t>
      </w:r>
      <w:r>
        <w:t xml:space="preserve"> may order a lessor to pay to the tenant the difference between the rent paid and the rent payable as a result of an order for a rental rate reduction.</w:t>
      </w:r>
    </w:p>
    <w:p w:rsidR="00450C28" w:rsidRDefault="00450C28" w:rsidP="00471467">
      <w:pPr>
        <w:pStyle w:val="Amain"/>
        <w:keepLines/>
      </w:pPr>
      <w:r>
        <w:tab/>
        <w:t>(5)</w:t>
      </w:r>
      <w:r>
        <w:tab/>
        <w:t>Any purported increase in the rental rate in relation to premises for which a reduction order is in force is void and any amount paid above and beyond the reduced rental rate in accordance with a purported increase is a debt owing by the lessor to the tenant.</w:t>
      </w:r>
    </w:p>
    <w:p w:rsidR="00450C28" w:rsidRDefault="00450C28">
      <w:pPr>
        <w:pStyle w:val="PageBreak"/>
      </w:pPr>
      <w:r>
        <w:br w:type="page"/>
      </w:r>
    </w:p>
    <w:p w:rsidR="00F771C6" w:rsidRPr="001403E0" w:rsidRDefault="00F771C6" w:rsidP="00F771C6">
      <w:pPr>
        <w:pStyle w:val="AH2Part"/>
      </w:pPr>
      <w:bookmarkStart w:id="126" w:name="_Toc23417933"/>
      <w:r w:rsidRPr="001403E0">
        <w:rPr>
          <w:rStyle w:val="CharPartNo"/>
        </w:rPr>
        <w:lastRenderedPageBreak/>
        <w:t>Part 5AA</w:t>
      </w:r>
      <w:r w:rsidRPr="00604238">
        <w:tab/>
      </w:r>
      <w:r w:rsidRPr="001403E0">
        <w:rPr>
          <w:rStyle w:val="CharPartText"/>
        </w:rPr>
        <w:t>Lessor’s consent in certain matters</w:t>
      </w:r>
      <w:bookmarkEnd w:id="126"/>
    </w:p>
    <w:p w:rsidR="00F771C6" w:rsidRPr="00604238" w:rsidRDefault="00F771C6" w:rsidP="00F771C6">
      <w:pPr>
        <w:pStyle w:val="AH5Sec"/>
      </w:pPr>
      <w:bookmarkStart w:id="127" w:name="_Toc23417934"/>
      <w:r w:rsidRPr="001403E0">
        <w:rPr>
          <w:rStyle w:val="CharSectNo"/>
        </w:rPr>
        <w:t>71AA</w:t>
      </w:r>
      <w:r w:rsidRPr="00604238">
        <w:tab/>
        <w:t>Definitions—pt 5AA</w:t>
      </w:r>
      <w:bookmarkEnd w:id="127"/>
    </w:p>
    <w:p w:rsidR="00F771C6" w:rsidRPr="00604238" w:rsidRDefault="00F771C6" w:rsidP="00F771C6">
      <w:pPr>
        <w:pStyle w:val="Amainreturn"/>
      </w:pPr>
      <w:r w:rsidRPr="00604238">
        <w:t>In this part:</w:t>
      </w:r>
    </w:p>
    <w:p w:rsidR="00F771C6" w:rsidRPr="00604238" w:rsidRDefault="00F771C6" w:rsidP="00F771C6">
      <w:pPr>
        <w:pStyle w:val="aDef"/>
      </w:pPr>
      <w:r w:rsidRPr="00604238">
        <w:rPr>
          <w:rStyle w:val="charBoldItals"/>
        </w:rPr>
        <w:t>minor modification</w:t>
      </w:r>
      <w:r w:rsidRPr="00604238">
        <w:t>, to premises under a residential tenancy agreement, means—</w:t>
      </w:r>
    </w:p>
    <w:p w:rsidR="00F771C6" w:rsidRPr="00604238" w:rsidRDefault="00F771C6" w:rsidP="00F771C6">
      <w:pPr>
        <w:pStyle w:val="aDefpara"/>
      </w:pPr>
      <w:r w:rsidRPr="00604238">
        <w:tab/>
        <w:t>(a)</w:t>
      </w:r>
      <w:r w:rsidRPr="00604238">
        <w:tab/>
        <w:t xml:space="preserve">a renovation, alteration or addition that can be removed or undone so that the premises are restored to substantially the same condition as the premises were in at the commencement of the agreement, fair wear and tear excepted; or </w:t>
      </w:r>
    </w:p>
    <w:p w:rsidR="00F771C6" w:rsidRPr="00604238" w:rsidRDefault="00F771C6" w:rsidP="00F771C6">
      <w:pPr>
        <w:pStyle w:val="aDefpara"/>
      </w:pPr>
      <w:r w:rsidRPr="00604238">
        <w:tab/>
        <w:t>(b)</w:t>
      </w:r>
      <w:r w:rsidRPr="00604238">
        <w:tab/>
        <w:t>a modification prescribed by regulation.</w:t>
      </w:r>
    </w:p>
    <w:p w:rsidR="00F771C6" w:rsidRPr="00604238" w:rsidRDefault="00F771C6" w:rsidP="00F771C6">
      <w:pPr>
        <w:pStyle w:val="aDef"/>
      </w:pPr>
      <w:r w:rsidRPr="00604238">
        <w:rPr>
          <w:rStyle w:val="charBoldItals"/>
        </w:rPr>
        <w:t>special modification</w:t>
      </w:r>
      <w:r w:rsidRPr="00604238">
        <w:t>, to premises under a residential tenancy agreement, means—</w:t>
      </w:r>
    </w:p>
    <w:p w:rsidR="00F771C6" w:rsidRPr="00604238" w:rsidRDefault="00F771C6" w:rsidP="00F771C6">
      <w:pPr>
        <w:pStyle w:val="aDefpara"/>
      </w:pPr>
      <w:r w:rsidRPr="00604238">
        <w:tab/>
        <w:t>(a)</w:t>
      </w:r>
      <w:r w:rsidRPr="00604238">
        <w:tab/>
        <w:t>a minor modification; or</w:t>
      </w:r>
    </w:p>
    <w:p w:rsidR="00F771C6" w:rsidRPr="00604238" w:rsidRDefault="00F771C6" w:rsidP="00F771C6">
      <w:pPr>
        <w:pStyle w:val="aDefpara"/>
      </w:pPr>
      <w:r w:rsidRPr="00604238">
        <w:tab/>
        <w:t>(b)</w:t>
      </w:r>
      <w:r w:rsidRPr="00604238">
        <w:tab/>
        <w:t>a renovation, alteration or addition for 1 of the following reasons:</w:t>
      </w:r>
    </w:p>
    <w:p w:rsidR="00F771C6" w:rsidRPr="00604238" w:rsidRDefault="00F771C6" w:rsidP="00F771C6">
      <w:pPr>
        <w:pStyle w:val="aDefsubpara"/>
      </w:pPr>
      <w:r w:rsidRPr="00604238">
        <w:tab/>
        <w:t>(i)</w:t>
      </w:r>
      <w:r w:rsidRPr="00604238">
        <w:tab/>
        <w:t>the safety of the tenant or other people on the premises;</w:t>
      </w:r>
    </w:p>
    <w:p w:rsidR="00F771C6" w:rsidRPr="00604238" w:rsidRDefault="00F771C6" w:rsidP="00F771C6">
      <w:pPr>
        <w:pStyle w:val="aDefsubpara"/>
      </w:pPr>
      <w:r w:rsidRPr="00604238">
        <w:tab/>
        <w:t>(ii)</w:t>
      </w:r>
      <w:r w:rsidRPr="00604238">
        <w:tab/>
        <w:t xml:space="preserve">on written recommendation of a health practitioner—to assist a tenant in relation to the tenant’s disability; </w:t>
      </w:r>
    </w:p>
    <w:p w:rsidR="00F771C6" w:rsidRPr="00604238" w:rsidRDefault="00F771C6" w:rsidP="00F771C6">
      <w:pPr>
        <w:pStyle w:val="aDefsubpara"/>
      </w:pPr>
      <w:r w:rsidRPr="00604238">
        <w:tab/>
        <w:t>(iii)</w:t>
      </w:r>
      <w:r w:rsidRPr="00604238">
        <w:tab/>
        <w:t>to improve the energy efficiency of the premises;</w:t>
      </w:r>
    </w:p>
    <w:p w:rsidR="00F771C6" w:rsidRPr="00604238" w:rsidRDefault="00F771C6" w:rsidP="00F771C6">
      <w:pPr>
        <w:pStyle w:val="aDefsubpara"/>
      </w:pPr>
      <w:r w:rsidRPr="00604238">
        <w:tab/>
        <w:t>(iv)</w:t>
      </w:r>
      <w:r w:rsidRPr="00604238">
        <w:tab/>
        <w:t xml:space="preserve">to allow access to telecommunications services; </w:t>
      </w:r>
    </w:p>
    <w:p w:rsidR="00F771C6" w:rsidRPr="00604238" w:rsidRDefault="00F771C6" w:rsidP="00F771C6">
      <w:pPr>
        <w:pStyle w:val="aDefsubpara"/>
      </w:pPr>
      <w:r w:rsidRPr="00604238">
        <w:tab/>
        <w:t>(v)</w:t>
      </w:r>
      <w:r w:rsidRPr="00604238">
        <w:tab/>
        <w:t xml:space="preserve">the security of the premises, or the tenant or other people on the premises; </w:t>
      </w:r>
    </w:p>
    <w:p w:rsidR="00F771C6" w:rsidRPr="00604238" w:rsidRDefault="00F771C6" w:rsidP="008B3699">
      <w:pPr>
        <w:pStyle w:val="aDefsubpara"/>
        <w:keepNext/>
      </w:pPr>
      <w:r w:rsidRPr="00604238">
        <w:lastRenderedPageBreak/>
        <w:tab/>
        <w:t>(vi)</w:t>
      </w:r>
      <w:r w:rsidRPr="00604238">
        <w:tab/>
        <w:t>any other reason prescribed by regulation.</w:t>
      </w:r>
    </w:p>
    <w:p w:rsidR="00F771C6" w:rsidRPr="00604238" w:rsidRDefault="00F771C6" w:rsidP="008B3699">
      <w:pPr>
        <w:pStyle w:val="aExamHdgpar"/>
      </w:pPr>
      <w:r w:rsidRPr="00604238">
        <w:t>Examples—subpar (i)</w:t>
      </w:r>
    </w:p>
    <w:p w:rsidR="00F771C6" w:rsidRPr="00604238" w:rsidRDefault="00F771C6" w:rsidP="008B3699">
      <w:pPr>
        <w:pStyle w:val="aExampar"/>
        <w:keepNext/>
      </w:pPr>
      <w:r w:rsidRPr="00604238">
        <w:t>furniture anchors, child safety gates or fittings</w:t>
      </w:r>
    </w:p>
    <w:p w:rsidR="00F771C6" w:rsidRPr="00604238" w:rsidRDefault="00F771C6" w:rsidP="00F771C6">
      <w:pPr>
        <w:pStyle w:val="aExamHdgpar"/>
      </w:pPr>
      <w:r w:rsidRPr="00604238">
        <w:t>Examples—subpar (ii)</w:t>
      </w:r>
    </w:p>
    <w:p w:rsidR="00F771C6" w:rsidRPr="00604238" w:rsidRDefault="00F771C6" w:rsidP="00F771C6">
      <w:pPr>
        <w:pStyle w:val="aExampar"/>
      </w:pPr>
      <w:r w:rsidRPr="00604238">
        <w:t>access ramps, safety rails</w:t>
      </w:r>
    </w:p>
    <w:p w:rsidR="00F771C6" w:rsidRPr="00604238" w:rsidRDefault="00F771C6" w:rsidP="00F771C6">
      <w:pPr>
        <w:pStyle w:val="aExamHdgpar"/>
      </w:pPr>
      <w:r w:rsidRPr="00604238">
        <w:t>Examples—subpar (v)</w:t>
      </w:r>
    </w:p>
    <w:p w:rsidR="00F771C6" w:rsidRPr="00604238" w:rsidRDefault="00F771C6" w:rsidP="00F771C6">
      <w:pPr>
        <w:pStyle w:val="aExampar"/>
      </w:pPr>
      <w:r w:rsidRPr="00604238">
        <w:t>deadlocks, security doors, security alarms</w:t>
      </w:r>
    </w:p>
    <w:p w:rsidR="00F771C6" w:rsidRPr="00604238" w:rsidRDefault="00F771C6" w:rsidP="00F771C6">
      <w:pPr>
        <w:pStyle w:val="AH5Sec"/>
      </w:pPr>
      <w:bookmarkStart w:id="128" w:name="_Toc23417935"/>
      <w:r w:rsidRPr="001403E0">
        <w:rPr>
          <w:rStyle w:val="CharSectNo"/>
        </w:rPr>
        <w:t>71AB</w:t>
      </w:r>
      <w:r w:rsidRPr="00604238">
        <w:tab/>
        <w:t>Process for tenant seeking consent—modifications generally</w:t>
      </w:r>
      <w:bookmarkEnd w:id="128"/>
    </w:p>
    <w:p w:rsidR="00F771C6" w:rsidRPr="00604238" w:rsidRDefault="00F771C6" w:rsidP="00F771C6">
      <w:pPr>
        <w:pStyle w:val="Amain"/>
      </w:pPr>
      <w:r w:rsidRPr="00604238">
        <w:tab/>
        <w:t>(1)</w:t>
      </w:r>
      <w:r w:rsidRPr="00604238">
        <w:tab/>
        <w:t>This section applies if, under a residential tenancy agreement, the tenant is required to obtain the lessor’s consent to renovate, or make an alteration or addition to, the premises.</w:t>
      </w:r>
    </w:p>
    <w:p w:rsidR="00F771C6" w:rsidRPr="00604238" w:rsidRDefault="00F771C6" w:rsidP="00F771C6">
      <w:pPr>
        <w:pStyle w:val="Amain"/>
      </w:pPr>
      <w:r w:rsidRPr="00604238">
        <w:tab/>
        <w:t>(2)</w:t>
      </w:r>
      <w:r w:rsidRPr="00604238">
        <w:tab/>
        <w:t>The tenant may apply, in writing, to the lessor for the lessor’s consent.</w:t>
      </w:r>
    </w:p>
    <w:p w:rsidR="00F771C6" w:rsidRPr="00604238" w:rsidRDefault="00F771C6" w:rsidP="00F771C6">
      <w:pPr>
        <w:pStyle w:val="Amain"/>
      </w:pPr>
      <w:r w:rsidRPr="00604238">
        <w:tab/>
        <w:t>(3)</w:t>
      </w:r>
      <w:r w:rsidRPr="00604238">
        <w:tab/>
        <w:t>The lessor—</w:t>
      </w:r>
    </w:p>
    <w:p w:rsidR="00F771C6" w:rsidRPr="00604238" w:rsidRDefault="00F771C6" w:rsidP="00F771C6">
      <w:pPr>
        <w:pStyle w:val="Apara"/>
      </w:pPr>
      <w:r w:rsidRPr="00604238">
        <w:tab/>
        <w:t>(a)</w:t>
      </w:r>
      <w:r w:rsidRPr="00604238">
        <w:tab/>
        <w:t>for a special modification—may refuse consent only if the lessor obtains the ACAT’s prior approval; and</w:t>
      </w:r>
    </w:p>
    <w:p w:rsidR="00F771C6" w:rsidRPr="00604238" w:rsidRDefault="00F771C6" w:rsidP="00F771C6">
      <w:pPr>
        <w:pStyle w:val="Apara"/>
      </w:pPr>
      <w:r w:rsidRPr="00604238">
        <w:tab/>
        <w:t>(b)</w:t>
      </w:r>
      <w:r w:rsidRPr="00604238">
        <w:tab/>
        <w:t>in any other case—must not unreasonably refuse consent.</w:t>
      </w:r>
    </w:p>
    <w:p w:rsidR="00F771C6" w:rsidRPr="00604238" w:rsidRDefault="00F771C6" w:rsidP="00F771C6">
      <w:pPr>
        <w:pStyle w:val="Amain"/>
      </w:pPr>
      <w:r w:rsidRPr="00604238">
        <w:tab/>
        <w:t>(4)</w:t>
      </w:r>
      <w:r w:rsidRPr="00604238">
        <w:tab/>
        <w:t xml:space="preserve">The lessor may impose a reasonable condition on consent. </w:t>
      </w:r>
    </w:p>
    <w:p w:rsidR="00F771C6" w:rsidRPr="00604238" w:rsidRDefault="00F771C6" w:rsidP="00F771C6">
      <w:pPr>
        <w:pStyle w:val="aExamHdgss"/>
      </w:pPr>
      <w:r w:rsidRPr="00604238">
        <w:t>Example</w:t>
      </w:r>
    </w:p>
    <w:p w:rsidR="00F771C6" w:rsidRPr="00604238" w:rsidRDefault="00F771C6" w:rsidP="00F771C6">
      <w:pPr>
        <w:pStyle w:val="aExamss"/>
      </w:pPr>
      <w:r w:rsidRPr="00604238">
        <w:t>requiring the proposed renovation, alteration or addition to be done in a stated way to minimise damage to the premises</w:t>
      </w:r>
    </w:p>
    <w:p w:rsidR="00F771C6" w:rsidRPr="00604238" w:rsidRDefault="00F771C6" w:rsidP="00F771C6">
      <w:pPr>
        <w:pStyle w:val="Amain"/>
      </w:pPr>
      <w:r w:rsidRPr="00604238">
        <w:tab/>
        <w:t>(5)</w:t>
      </w:r>
      <w:r w:rsidRPr="00604238">
        <w:tab/>
        <w:t>For an application under subsection (2) in relation to a special modification, the lessor is taken to consent to the tenant’s application unless, within 14 days of receiving the application, the lessor applies to the ACAT under section 71AC.</w:t>
      </w:r>
    </w:p>
    <w:p w:rsidR="00F771C6" w:rsidRPr="00604238" w:rsidRDefault="00F771C6" w:rsidP="00F771C6">
      <w:pPr>
        <w:pStyle w:val="AH5Sec"/>
      </w:pPr>
      <w:bookmarkStart w:id="129" w:name="_Toc23417936"/>
      <w:r w:rsidRPr="001403E0">
        <w:rPr>
          <w:rStyle w:val="CharSectNo"/>
        </w:rPr>
        <w:lastRenderedPageBreak/>
        <w:t>71AC</w:t>
      </w:r>
      <w:r w:rsidRPr="00604238">
        <w:tab/>
        <w:t>Lessor to apply to ACAT for refusal—special modifications</w:t>
      </w:r>
      <w:bookmarkEnd w:id="129"/>
    </w:p>
    <w:p w:rsidR="00F771C6" w:rsidRPr="00604238" w:rsidRDefault="00F771C6" w:rsidP="00F771C6">
      <w:pPr>
        <w:pStyle w:val="Amain"/>
      </w:pPr>
      <w:r w:rsidRPr="00604238">
        <w:tab/>
        <w:t>(1)</w:t>
      </w:r>
      <w:r w:rsidRPr="00604238">
        <w:tab/>
        <w:t>A lessor may apply to the ACAT for an order approving the lessor’s refusal of the tenant’s application under section 71AB (2) for consent to a special modification.</w:t>
      </w:r>
    </w:p>
    <w:p w:rsidR="00F771C6" w:rsidRPr="00604238" w:rsidRDefault="00F771C6" w:rsidP="00F771C6">
      <w:pPr>
        <w:pStyle w:val="Amain"/>
      </w:pPr>
      <w:r w:rsidRPr="00604238">
        <w:tab/>
        <w:t>(2)</w:t>
      </w:r>
      <w:r w:rsidRPr="00604238">
        <w:tab/>
        <w:t>The ACAT must—</w:t>
      </w:r>
    </w:p>
    <w:p w:rsidR="00F771C6" w:rsidRPr="00604238" w:rsidRDefault="00F771C6" w:rsidP="00F771C6">
      <w:pPr>
        <w:pStyle w:val="Apara"/>
      </w:pPr>
      <w:r w:rsidRPr="00604238">
        <w:tab/>
        <w:t>(a)</w:t>
      </w:r>
      <w:r w:rsidRPr="00604238">
        <w:tab/>
        <w:t>approve the lessor’s application; or</w:t>
      </w:r>
    </w:p>
    <w:p w:rsidR="00F771C6" w:rsidRPr="00604238" w:rsidRDefault="00F771C6" w:rsidP="00F771C6">
      <w:pPr>
        <w:pStyle w:val="Apara"/>
      </w:pPr>
      <w:r w:rsidRPr="00604238">
        <w:tab/>
        <w:t>(b)</w:t>
      </w:r>
      <w:r w:rsidRPr="00604238">
        <w:tab/>
        <w:t>refuse the lessor’s application; or</w:t>
      </w:r>
    </w:p>
    <w:p w:rsidR="00F771C6" w:rsidRPr="00604238" w:rsidRDefault="00F771C6" w:rsidP="00F771C6">
      <w:pPr>
        <w:pStyle w:val="Apara"/>
      </w:pPr>
      <w:r w:rsidRPr="00604238">
        <w:tab/>
        <w:t>(c)</w:t>
      </w:r>
      <w:r w:rsidRPr="00604238">
        <w:tab/>
        <w:t>order that the lessor consent to the tenant’s application but impose stated conditions on the consent.</w:t>
      </w:r>
    </w:p>
    <w:p w:rsidR="00F771C6" w:rsidRPr="00604238" w:rsidRDefault="00F771C6" w:rsidP="00F771C6">
      <w:pPr>
        <w:pStyle w:val="aExamHdgpar"/>
      </w:pPr>
      <w:r w:rsidRPr="00604238">
        <w:t>Example—par (c)</w:t>
      </w:r>
    </w:p>
    <w:p w:rsidR="00F771C6" w:rsidRPr="00604238" w:rsidRDefault="00F771C6" w:rsidP="00F771C6">
      <w:pPr>
        <w:pStyle w:val="aExampar"/>
      </w:pPr>
      <w:r w:rsidRPr="00604238">
        <w:t>the work be undertaken by a qualified tradesperson</w:t>
      </w:r>
    </w:p>
    <w:p w:rsidR="00F771C6" w:rsidRPr="00604238" w:rsidRDefault="00F771C6" w:rsidP="00F771C6">
      <w:pPr>
        <w:pStyle w:val="Amain"/>
      </w:pPr>
      <w:r w:rsidRPr="00604238">
        <w:tab/>
        <w:t>(3)</w:t>
      </w:r>
      <w:r w:rsidRPr="00604238">
        <w:tab/>
        <w:t>The ACAT may make an order under subsection (2) (a) or (c) if satisfied—</w:t>
      </w:r>
    </w:p>
    <w:p w:rsidR="00F771C6" w:rsidRPr="00604238" w:rsidRDefault="00F771C6" w:rsidP="00F771C6">
      <w:pPr>
        <w:pStyle w:val="Apara"/>
      </w:pPr>
      <w:r w:rsidRPr="00604238">
        <w:tab/>
        <w:t>(a)</w:t>
      </w:r>
      <w:r w:rsidRPr="00604238">
        <w:tab/>
        <w:t>the lessor would suffer significant hardship; or</w:t>
      </w:r>
    </w:p>
    <w:p w:rsidR="00F771C6" w:rsidRPr="00604238" w:rsidRDefault="00F771C6" w:rsidP="00F771C6">
      <w:pPr>
        <w:pStyle w:val="Apara"/>
      </w:pPr>
      <w:r w:rsidRPr="00604238">
        <w:tab/>
        <w:t>(b)</w:t>
      </w:r>
      <w:r w:rsidRPr="00604238">
        <w:tab/>
        <w:t>the special modification would be contrary to a territory law; or</w:t>
      </w:r>
    </w:p>
    <w:p w:rsidR="00F771C6" w:rsidRPr="00604238" w:rsidRDefault="00F771C6" w:rsidP="00F771C6">
      <w:pPr>
        <w:pStyle w:val="Apara"/>
      </w:pPr>
      <w:r w:rsidRPr="00604238">
        <w:tab/>
        <w:t>(c)</w:t>
      </w:r>
      <w:r w:rsidRPr="00604238">
        <w:tab/>
        <w:t>the special modification is likely to require modifications to other residential premises or common areas; or</w:t>
      </w:r>
    </w:p>
    <w:p w:rsidR="00F771C6" w:rsidRPr="00604238" w:rsidRDefault="00F771C6" w:rsidP="00F771C6">
      <w:pPr>
        <w:pStyle w:val="Apara"/>
      </w:pPr>
      <w:r w:rsidRPr="00604238">
        <w:tab/>
        <w:t>(d)</w:t>
      </w:r>
      <w:r w:rsidRPr="00604238">
        <w:tab/>
        <w:t>the special modification would result in additional maintenance costs for the lessor; or</w:t>
      </w:r>
    </w:p>
    <w:p w:rsidR="00F771C6" w:rsidRPr="00604238" w:rsidRDefault="00F771C6" w:rsidP="00F771C6">
      <w:pPr>
        <w:pStyle w:val="Apara"/>
      </w:pPr>
      <w:r w:rsidRPr="00604238">
        <w:tab/>
        <w:t>(e)</w:t>
      </w:r>
      <w:r w:rsidRPr="00604238">
        <w:tab/>
        <w:t xml:space="preserve">of any other matter prescribed by regulation.  </w:t>
      </w:r>
    </w:p>
    <w:p w:rsidR="00F771C6" w:rsidRPr="00604238" w:rsidRDefault="00F771C6" w:rsidP="00F771C6">
      <w:pPr>
        <w:pStyle w:val="AH5Sec"/>
      </w:pPr>
      <w:bookmarkStart w:id="130" w:name="_Toc23417937"/>
      <w:r w:rsidRPr="001403E0">
        <w:rPr>
          <w:rStyle w:val="CharSectNo"/>
        </w:rPr>
        <w:t>71AD</w:t>
      </w:r>
      <w:r w:rsidRPr="00604238">
        <w:tab/>
        <w:t>Tenant may apply to ACAT for review of refusal—other modifications</w:t>
      </w:r>
      <w:bookmarkEnd w:id="130"/>
    </w:p>
    <w:p w:rsidR="00F771C6" w:rsidRPr="00604238" w:rsidRDefault="00F771C6" w:rsidP="00F771C6">
      <w:pPr>
        <w:pStyle w:val="Amain"/>
      </w:pPr>
      <w:r w:rsidRPr="00604238">
        <w:tab/>
        <w:t>(1)</w:t>
      </w:r>
      <w:r w:rsidRPr="00604238">
        <w:tab/>
        <w:t>This section applies if—</w:t>
      </w:r>
    </w:p>
    <w:p w:rsidR="00F771C6" w:rsidRPr="00604238" w:rsidRDefault="00F771C6" w:rsidP="00F771C6">
      <w:pPr>
        <w:pStyle w:val="Apara"/>
      </w:pPr>
      <w:r w:rsidRPr="00604238">
        <w:tab/>
        <w:t>(a)</w:t>
      </w:r>
      <w:r w:rsidRPr="00604238">
        <w:tab/>
        <w:t>a tenant makes an application under section 71AB (2) for the lessor’s consent to renovate, or make an alteration or addition to, premises; and</w:t>
      </w:r>
    </w:p>
    <w:p w:rsidR="00F771C6" w:rsidRPr="00604238" w:rsidRDefault="00F771C6" w:rsidP="00F771C6">
      <w:pPr>
        <w:pStyle w:val="Apara"/>
      </w:pPr>
      <w:r w:rsidRPr="00604238">
        <w:lastRenderedPageBreak/>
        <w:tab/>
        <w:t>(b)</w:t>
      </w:r>
      <w:r w:rsidRPr="00604238">
        <w:tab/>
        <w:t>the renovation, alteration or addition is not a special modification; and</w:t>
      </w:r>
    </w:p>
    <w:p w:rsidR="00F771C6" w:rsidRPr="00604238" w:rsidRDefault="00F771C6" w:rsidP="00F771C6">
      <w:pPr>
        <w:pStyle w:val="Apara"/>
      </w:pPr>
      <w:r w:rsidRPr="00604238">
        <w:tab/>
        <w:t>(c)</w:t>
      </w:r>
      <w:r w:rsidRPr="00604238">
        <w:tab/>
        <w:t>the lessor refuses to consent to the application.</w:t>
      </w:r>
    </w:p>
    <w:p w:rsidR="00F771C6" w:rsidRPr="00604238" w:rsidRDefault="00F771C6" w:rsidP="00F771C6">
      <w:pPr>
        <w:pStyle w:val="Amain"/>
      </w:pPr>
      <w:r w:rsidRPr="00604238">
        <w:tab/>
        <w:t>(2)</w:t>
      </w:r>
      <w:r w:rsidRPr="00604238">
        <w:tab/>
        <w:t>The tenant may apply to the ACAT for an order that the lessor unreasonably refused to consent to the application.</w:t>
      </w:r>
    </w:p>
    <w:p w:rsidR="00F771C6" w:rsidRPr="00604238" w:rsidRDefault="00F771C6" w:rsidP="00F771C6">
      <w:pPr>
        <w:pStyle w:val="Amain"/>
      </w:pPr>
      <w:r w:rsidRPr="00604238">
        <w:tab/>
        <w:t>(3)</w:t>
      </w:r>
      <w:r w:rsidRPr="00604238">
        <w:tab/>
        <w:t>The ACAT must—</w:t>
      </w:r>
    </w:p>
    <w:p w:rsidR="00F771C6" w:rsidRPr="00604238" w:rsidRDefault="00F771C6" w:rsidP="00F771C6">
      <w:pPr>
        <w:pStyle w:val="Apara"/>
      </w:pPr>
      <w:r w:rsidRPr="00604238">
        <w:tab/>
        <w:t>(a)</w:t>
      </w:r>
      <w:r w:rsidRPr="00604238">
        <w:tab/>
        <w:t>approve the tenant’s application; or</w:t>
      </w:r>
    </w:p>
    <w:p w:rsidR="00F771C6" w:rsidRPr="00604238" w:rsidRDefault="00F771C6" w:rsidP="00F771C6">
      <w:pPr>
        <w:pStyle w:val="Apara"/>
      </w:pPr>
      <w:r w:rsidRPr="00604238">
        <w:tab/>
        <w:t>(b)</w:t>
      </w:r>
      <w:r w:rsidRPr="00604238">
        <w:tab/>
        <w:t>refuse the tenant’s application; or</w:t>
      </w:r>
    </w:p>
    <w:p w:rsidR="00F771C6" w:rsidRPr="00604238" w:rsidRDefault="00F771C6" w:rsidP="00F771C6">
      <w:pPr>
        <w:pStyle w:val="Apara"/>
      </w:pPr>
      <w:r w:rsidRPr="00604238">
        <w:tab/>
        <w:t>(c)</w:t>
      </w:r>
      <w:r w:rsidRPr="00604238">
        <w:tab/>
        <w:t>order that the lessor consent to the tenant’s application but impose stated conditions on the consent.</w:t>
      </w:r>
    </w:p>
    <w:p w:rsidR="00F771C6" w:rsidRPr="00604238" w:rsidRDefault="00F771C6" w:rsidP="00F771C6">
      <w:pPr>
        <w:pStyle w:val="aExamHdgpar"/>
      </w:pPr>
      <w:r w:rsidRPr="00604238">
        <w:t>Example—par (c)</w:t>
      </w:r>
    </w:p>
    <w:p w:rsidR="00F771C6" w:rsidRPr="00604238" w:rsidRDefault="00F771C6" w:rsidP="00F771C6">
      <w:pPr>
        <w:pStyle w:val="aExampar"/>
      </w:pPr>
      <w:r w:rsidRPr="00604238">
        <w:t>the work be undertaken by a qualified tradesperson</w:t>
      </w:r>
    </w:p>
    <w:p w:rsidR="00F771C6" w:rsidRPr="00604238" w:rsidRDefault="00F771C6" w:rsidP="00F771C6">
      <w:pPr>
        <w:pStyle w:val="Amain"/>
      </w:pPr>
      <w:r w:rsidRPr="00604238">
        <w:tab/>
        <w:t>(4)</w:t>
      </w:r>
      <w:r w:rsidRPr="00604238">
        <w:tab/>
        <w:t>In making a decision under subsection (3), the ACAT must consider—</w:t>
      </w:r>
    </w:p>
    <w:p w:rsidR="00F771C6" w:rsidRPr="00604238" w:rsidRDefault="00F771C6" w:rsidP="00F771C6">
      <w:pPr>
        <w:pStyle w:val="Apara"/>
      </w:pPr>
      <w:r w:rsidRPr="00604238">
        <w:tab/>
        <w:t>(a)</w:t>
      </w:r>
      <w:r w:rsidRPr="00604238">
        <w:tab/>
        <w:t>whether the modification—</w:t>
      </w:r>
    </w:p>
    <w:p w:rsidR="00F771C6" w:rsidRPr="00604238" w:rsidRDefault="00F771C6" w:rsidP="00F771C6">
      <w:pPr>
        <w:pStyle w:val="Asubpara"/>
      </w:pPr>
      <w:r w:rsidRPr="00604238">
        <w:tab/>
        <w:t>(i)</w:t>
      </w:r>
      <w:r w:rsidRPr="00604238">
        <w:tab/>
        <w:t>would cause the lessor to suffer significant hardship; and</w:t>
      </w:r>
    </w:p>
    <w:p w:rsidR="00F771C6" w:rsidRPr="00604238" w:rsidRDefault="00F771C6" w:rsidP="00F771C6">
      <w:pPr>
        <w:pStyle w:val="Asubpara"/>
      </w:pPr>
      <w:r w:rsidRPr="00604238">
        <w:tab/>
        <w:t>(ii)</w:t>
      </w:r>
      <w:r w:rsidRPr="00604238">
        <w:tab/>
        <w:t>would be contrary to a territory law; and</w:t>
      </w:r>
    </w:p>
    <w:p w:rsidR="00F771C6" w:rsidRPr="00604238" w:rsidRDefault="00F771C6" w:rsidP="00F771C6">
      <w:pPr>
        <w:pStyle w:val="Asubpara"/>
      </w:pPr>
      <w:r w:rsidRPr="00604238">
        <w:tab/>
        <w:t>(iii)</w:t>
      </w:r>
      <w:r w:rsidRPr="00604238">
        <w:tab/>
        <w:t>is likely to require modifications to other residential premises or common areas; and</w:t>
      </w:r>
    </w:p>
    <w:p w:rsidR="00F771C6" w:rsidRPr="00604238" w:rsidRDefault="00F771C6" w:rsidP="00F771C6">
      <w:pPr>
        <w:pStyle w:val="Asubpara"/>
      </w:pPr>
      <w:r w:rsidRPr="00604238">
        <w:tab/>
        <w:t>(iv)</w:t>
      </w:r>
      <w:r w:rsidRPr="00604238">
        <w:tab/>
        <w:t>would result in additional maintenance costs for the lessor; and</w:t>
      </w:r>
    </w:p>
    <w:p w:rsidR="00F771C6" w:rsidRPr="00604238" w:rsidRDefault="00F771C6" w:rsidP="00F771C6">
      <w:pPr>
        <w:pStyle w:val="Asubpara"/>
      </w:pPr>
      <w:r w:rsidRPr="00604238">
        <w:tab/>
        <w:t>(v)</w:t>
      </w:r>
      <w:r w:rsidRPr="00604238">
        <w:tab/>
        <w:t>is otherwise reasonable in the circumstances; and</w:t>
      </w:r>
    </w:p>
    <w:p w:rsidR="00F771C6" w:rsidRPr="00604238" w:rsidRDefault="00F771C6" w:rsidP="00F771C6">
      <w:pPr>
        <w:pStyle w:val="Apara"/>
      </w:pPr>
      <w:r w:rsidRPr="00604238">
        <w:tab/>
        <w:t>(b)</w:t>
      </w:r>
      <w:r w:rsidRPr="00604238">
        <w:tab/>
        <w:t>any other matter prescribed by regulation.</w:t>
      </w:r>
    </w:p>
    <w:p w:rsidR="00F771C6" w:rsidRPr="00604238" w:rsidRDefault="00F771C6" w:rsidP="00F771C6">
      <w:pPr>
        <w:pStyle w:val="AH5Sec"/>
      </w:pPr>
      <w:bookmarkStart w:id="131" w:name="_Toc23417938"/>
      <w:r w:rsidRPr="001403E0">
        <w:rPr>
          <w:rStyle w:val="CharSectNo"/>
        </w:rPr>
        <w:lastRenderedPageBreak/>
        <w:t>71AE</w:t>
      </w:r>
      <w:r w:rsidRPr="00604238">
        <w:tab/>
        <w:t>Process for tenant seeking consent—animals</w:t>
      </w:r>
      <w:bookmarkEnd w:id="131"/>
    </w:p>
    <w:p w:rsidR="00F771C6" w:rsidRPr="00604238" w:rsidRDefault="00F771C6" w:rsidP="00F771C6">
      <w:pPr>
        <w:pStyle w:val="Amain"/>
      </w:pPr>
      <w:r w:rsidRPr="00604238">
        <w:tab/>
        <w:t>(1)</w:t>
      </w:r>
      <w:r w:rsidRPr="00604238">
        <w:tab/>
        <w:t>This section applies if, under a residential tenancy agreement, the tenant is required to obtain the lessor’s consent to keep an animal on the premises.</w:t>
      </w:r>
    </w:p>
    <w:p w:rsidR="00F771C6" w:rsidRPr="00604238" w:rsidRDefault="00F771C6" w:rsidP="00F771C6">
      <w:pPr>
        <w:pStyle w:val="Amain"/>
      </w:pPr>
      <w:r w:rsidRPr="00604238">
        <w:tab/>
        <w:t>(2)</w:t>
      </w:r>
      <w:r w:rsidRPr="00604238">
        <w:tab/>
        <w:t>The tenant may apply, in writing, to the lessor for the lessor’s consent.</w:t>
      </w:r>
    </w:p>
    <w:p w:rsidR="00F771C6" w:rsidRPr="00604238" w:rsidRDefault="00F771C6" w:rsidP="00F771C6">
      <w:pPr>
        <w:pStyle w:val="Amain"/>
      </w:pPr>
      <w:r w:rsidRPr="00604238">
        <w:tab/>
        <w:t>(3)</w:t>
      </w:r>
      <w:r w:rsidRPr="00604238">
        <w:tab/>
        <w:t>The lessor may refuse consent only if the lessor obtains the ACAT’s prior approval.</w:t>
      </w:r>
    </w:p>
    <w:p w:rsidR="00F771C6" w:rsidRPr="00604238" w:rsidRDefault="00F771C6" w:rsidP="00F771C6">
      <w:pPr>
        <w:pStyle w:val="Amain"/>
      </w:pPr>
      <w:r w:rsidRPr="00604238">
        <w:tab/>
        <w:t>(4)</w:t>
      </w:r>
      <w:r w:rsidRPr="00604238">
        <w:tab/>
        <w:t>The lessor may impose a condition on consent—</w:t>
      </w:r>
    </w:p>
    <w:p w:rsidR="00F771C6" w:rsidRPr="00604238" w:rsidRDefault="00F771C6" w:rsidP="00F771C6">
      <w:pPr>
        <w:pStyle w:val="Apara"/>
      </w:pPr>
      <w:r w:rsidRPr="00604238">
        <w:tab/>
        <w:t>(a)</w:t>
      </w:r>
      <w:r w:rsidRPr="00604238">
        <w:tab/>
        <w:t>if the condition is a reasonable condition about—</w:t>
      </w:r>
    </w:p>
    <w:p w:rsidR="00F771C6" w:rsidRPr="00604238" w:rsidRDefault="00F771C6" w:rsidP="00F771C6">
      <w:pPr>
        <w:pStyle w:val="Asubpara"/>
      </w:pPr>
      <w:r w:rsidRPr="00604238">
        <w:tab/>
        <w:t>(i)</w:t>
      </w:r>
      <w:r w:rsidRPr="00604238">
        <w:tab/>
        <w:t>the number of animals kept on the premises; or</w:t>
      </w:r>
    </w:p>
    <w:p w:rsidR="00F771C6" w:rsidRPr="00604238" w:rsidRDefault="00F771C6" w:rsidP="00F771C6">
      <w:pPr>
        <w:pStyle w:val="Asubpara"/>
      </w:pPr>
      <w:r w:rsidRPr="00604238">
        <w:tab/>
        <w:t>(ii)</w:t>
      </w:r>
      <w:r w:rsidRPr="00604238">
        <w:tab/>
        <w:t>the cleaning or maintenance of the premises; or</w:t>
      </w:r>
    </w:p>
    <w:p w:rsidR="00F771C6" w:rsidRPr="00604238" w:rsidRDefault="00F771C6" w:rsidP="00F771C6">
      <w:pPr>
        <w:pStyle w:val="Apara"/>
      </w:pPr>
      <w:r w:rsidRPr="00604238">
        <w:tab/>
        <w:t>(b)</w:t>
      </w:r>
      <w:r w:rsidRPr="00604238">
        <w:tab/>
        <w:t>with the prior approval of the ACAT.</w:t>
      </w:r>
    </w:p>
    <w:p w:rsidR="00F771C6" w:rsidRPr="00604238" w:rsidRDefault="00F771C6" w:rsidP="00F771C6">
      <w:pPr>
        <w:pStyle w:val="aNotepar"/>
      </w:pPr>
      <w:r w:rsidRPr="00604238">
        <w:rPr>
          <w:rStyle w:val="charItals"/>
        </w:rPr>
        <w:t>Note</w:t>
      </w:r>
      <w:r w:rsidRPr="00604238">
        <w:rPr>
          <w:rStyle w:val="charItals"/>
        </w:rPr>
        <w:tab/>
      </w:r>
      <w:r w:rsidRPr="00604238">
        <w:t>A tenant may apply to the ACAT to resolve a tenancy dispute, including a dispute about whether a condition imposed under s (4) (a) is a reasonable condition (see pt 6).</w:t>
      </w:r>
    </w:p>
    <w:p w:rsidR="00F771C6" w:rsidRPr="00604238" w:rsidRDefault="00F771C6" w:rsidP="00F771C6">
      <w:pPr>
        <w:pStyle w:val="Amain"/>
      </w:pPr>
      <w:r w:rsidRPr="00604238">
        <w:tab/>
        <w:t>(5)</w:t>
      </w:r>
      <w:r w:rsidRPr="00604238">
        <w:tab/>
        <w:t>The lessor is taken to consent to the tenant’s application under subsection (2) unless, within 14 days of receiving the application, the lessor applies to the ACAT under section 71AF.</w:t>
      </w:r>
    </w:p>
    <w:p w:rsidR="00F771C6" w:rsidRPr="00604238" w:rsidRDefault="00F771C6" w:rsidP="00F771C6">
      <w:pPr>
        <w:pStyle w:val="AH5Sec"/>
      </w:pPr>
      <w:bookmarkStart w:id="132" w:name="_Toc23417939"/>
      <w:r w:rsidRPr="001403E0">
        <w:rPr>
          <w:rStyle w:val="CharSectNo"/>
        </w:rPr>
        <w:t>71AF</w:t>
      </w:r>
      <w:r w:rsidRPr="00604238">
        <w:tab/>
        <w:t>Lessor to apply to ACAT for refusal—animals</w:t>
      </w:r>
      <w:bookmarkEnd w:id="132"/>
    </w:p>
    <w:p w:rsidR="00F771C6" w:rsidRPr="00604238" w:rsidRDefault="00F771C6" w:rsidP="00F771C6">
      <w:pPr>
        <w:pStyle w:val="Amain"/>
      </w:pPr>
      <w:r w:rsidRPr="00604238">
        <w:tab/>
        <w:t>(1)</w:t>
      </w:r>
      <w:r w:rsidRPr="00604238">
        <w:tab/>
        <w:t>A lessor may apply to the ACAT for an order approving—</w:t>
      </w:r>
    </w:p>
    <w:p w:rsidR="00F771C6" w:rsidRPr="00604238" w:rsidRDefault="00F771C6" w:rsidP="00F771C6">
      <w:pPr>
        <w:pStyle w:val="Apara"/>
      </w:pPr>
      <w:r w:rsidRPr="00604238">
        <w:tab/>
        <w:t>(a)</w:t>
      </w:r>
      <w:r w:rsidRPr="00604238">
        <w:tab/>
        <w:t>the lessor’s refusal of the tenant’s application under section 71AE (2) to keep an animal on the premises; or</w:t>
      </w:r>
    </w:p>
    <w:p w:rsidR="00F771C6" w:rsidRPr="00604238" w:rsidRDefault="00F771C6" w:rsidP="00F771C6">
      <w:pPr>
        <w:pStyle w:val="Apara"/>
      </w:pPr>
      <w:r w:rsidRPr="00604238">
        <w:tab/>
        <w:t>(b)</w:t>
      </w:r>
      <w:r w:rsidRPr="00604238">
        <w:tab/>
        <w:t>a condition on the lessor’s consent to the tenant’s application.</w:t>
      </w:r>
    </w:p>
    <w:p w:rsidR="00F771C6" w:rsidRPr="00604238" w:rsidRDefault="00F771C6" w:rsidP="00F771C6">
      <w:pPr>
        <w:pStyle w:val="Amain"/>
      </w:pPr>
      <w:r w:rsidRPr="00604238">
        <w:tab/>
        <w:t>(2)</w:t>
      </w:r>
      <w:r w:rsidRPr="00604238">
        <w:tab/>
        <w:t>The ACAT must—</w:t>
      </w:r>
    </w:p>
    <w:p w:rsidR="00F771C6" w:rsidRPr="00604238" w:rsidRDefault="00F771C6" w:rsidP="00F771C6">
      <w:pPr>
        <w:pStyle w:val="Apara"/>
      </w:pPr>
      <w:r w:rsidRPr="00604238">
        <w:tab/>
        <w:t>(a)</w:t>
      </w:r>
      <w:r w:rsidRPr="00604238">
        <w:tab/>
        <w:t>approve the lessor’s application; or</w:t>
      </w:r>
    </w:p>
    <w:p w:rsidR="00F771C6" w:rsidRPr="00604238" w:rsidRDefault="00F771C6" w:rsidP="00F771C6">
      <w:pPr>
        <w:pStyle w:val="Apara"/>
      </w:pPr>
      <w:r w:rsidRPr="00604238">
        <w:tab/>
        <w:t>(b)</w:t>
      </w:r>
      <w:r w:rsidRPr="00604238">
        <w:tab/>
        <w:t>refuse the lessor’s application; or</w:t>
      </w:r>
    </w:p>
    <w:p w:rsidR="00F771C6" w:rsidRPr="00604238" w:rsidRDefault="00F771C6" w:rsidP="00F771C6">
      <w:pPr>
        <w:pStyle w:val="Apara"/>
      </w:pPr>
      <w:r w:rsidRPr="00604238">
        <w:lastRenderedPageBreak/>
        <w:tab/>
        <w:t>(c)</w:t>
      </w:r>
      <w:r w:rsidRPr="00604238">
        <w:tab/>
        <w:t>order that the lessor consent to the tenant’s application but impose stated conditions on the consent.</w:t>
      </w:r>
    </w:p>
    <w:p w:rsidR="00F771C6" w:rsidRPr="00604238" w:rsidRDefault="00F771C6" w:rsidP="00F771C6">
      <w:pPr>
        <w:pStyle w:val="Amain"/>
      </w:pPr>
      <w:r w:rsidRPr="00604238">
        <w:tab/>
        <w:t>(3)</w:t>
      </w:r>
      <w:r w:rsidRPr="00604238">
        <w:tab/>
        <w:t>The ACAT may make an order under subsection (2) (a) or (c) if satisfied—</w:t>
      </w:r>
    </w:p>
    <w:p w:rsidR="00F771C6" w:rsidRPr="00604238" w:rsidRDefault="00F771C6" w:rsidP="00F771C6">
      <w:pPr>
        <w:pStyle w:val="Apara"/>
      </w:pPr>
      <w:r w:rsidRPr="00604238">
        <w:tab/>
        <w:t>(a)</w:t>
      </w:r>
      <w:r w:rsidRPr="00604238">
        <w:tab/>
        <w:t>the premises are unsuitable to keep the animal; or</w:t>
      </w:r>
    </w:p>
    <w:p w:rsidR="00F771C6" w:rsidRPr="00604238" w:rsidRDefault="00F771C6" w:rsidP="00F771C6">
      <w:pPr>
        <w:pStyle w:val="Apara"/>
      </w:pPr>
      <w:r w:rsidRPr="00604238">
        <w:tab/>
        <w:t>(b)</w:t>
      </w:r>
      <w:r w:rsidRPr="00604238">
        <w:tab/>
        <w:t>keeping the animal on the premises would result in unreasonable damage to the premises; or</w:t>
      </w:r>
    </w:p>
    <w:p w:rsidR="00F771C6" w:rsidRPr="00604238" w:rsidRDefault="00F771C6" w:rsidP="00F771C6">
      <w:pPr>
        <w:pStyle w:val="Apara"/>
      </w:pPr>
      <w:r w:rsidRPr="00604238">
        <w:tab/>
        <w:t>(c)</w:t>
      </w:r>
      <w:r w:rsidRPr="00604238">
        <w:tab/>
        <w:t>keeping the animal on the premises would be an unacceptable risk to public health or safety; or</w:t>
      </w:r>
    </w:p>
    <w:p w:rsidR="00F771C6" w:rsidRPr="00604238" w:rsidRDefault="00F771C6" w:rsidP="00F771C6">
      <w:pPr>
        <w:pStyle w:val="Apara"/>
      </w:pPr>
      <w:r w:rsidRPr="00604238">
        <w:tab/>
        <w:t>(d)</w:t>
      </w:r>
      <w:r w:rsidRPr="00604238">
        <w:tab/>
        <w:t>the lessor would suffer significant hardship; or</w:t>
      </w:r>
    </w:p>
    <w:p w:rsidR="00F771C6" w:rsidRPr="00604238" w:rsidRDefault="00F771C6" w:rsidP="00F771C6">
      <w:pPr>
        <w:pStyle w:val="Apara"/>
      </w:pPr>
      <w:r w:rsidRPr="00604238">
        <w:tab/>
        <w:t>(e)</w:t>
      </w:r>
      <w:r w:rsidRPr="00604238">
        <w:tab/>
        <w:t>keeping the animal on the premises would be contrary to a territory law.</w:t>
      </w:r>
    </w:p>
    <w:p w:rsidR="00F771C6" w:rsidRPr="00604238" w:rsidRDefault="00F771C6" w:rsidP="00F771C6">
      <w:pPr>
        <w:pStyle w:val="AH5Sec"/>
      </w:pPr>
      <w:bookmarkStart w:id="133" w:name="_Toc23417940"/>
      <w:r w:rsidRPr="001403E0">
        <w:rPr>
          <w:rStyle w:val="CharSectNo"/>
        </w:rPr>
        <w:t>71AG</w:t>
      </w:r>
      <w:r w:rsidRPr="00604238">
        <w:tab/>
        <w:t>Limitation on lessor’s liability</w:t>
      </w:r>
      <w:bookmarkEnd w:id="133"/>
    </w:p>
    <w:p w:rsidR="00F771C6" w:rsidRPr="00604238" w:rsidRDefault="00F771C6" w:rsidP="00F771C6">
      <w:pPr>
        <w:pStyle w:val="Amainreturn"/>
      </w:pPr>
      <w:r w:rsidRPr="00604238">
        <w:t>The lessor has no additional duty of care to a person arising from any consent given or required under section 71AE (5).</w:t>
      </w:r>
    </w:p>
    <w:p w:rsidR="00F771C6" w:rsidRDefault="00F771C6" w:rsidP="00F771C6">
      <w:pPr>
        <w:pStyle w:val="PageBreak"/>
      </w:pPr>
      <w:r>
        <w:br w:type="page"/>
      </w:r>
    </w:p>
    <w:p w:rsidR="00450C28" w:rsidRPr="001403E0" w:rsidRDefault="00450C28">
      <w:pPr>
        <w:pStyle w:val="AH2Part"/>
      </w:pPr>
      <w:bookmarkStart w:id="134" w:name="_Toc23417941"/>
      <w:r w:rsidRPr="001403E0">
        <w:rPr>
          <w:rStyle w:val="CharPartNo"/>
        </w:rPr>
        <w:lastRenderedPageBreak/>
        <w:t>Part 5A</w:t>
      </w:r>
      <w:r>
        <w:tab/>
      </w:r>
      <w:r w:rsidRPr="001403E0">
        <w:rPr>
          <w:rStyle w:val="CharPartText"/>
        </w:rPr>
        <w:t>Occupancy agreements</w:t>
      </w:r>
      <w:bookmarkEnd w:id="134"/>
    </w:p>
    <w:p w:rsidR="00450C28" w:rsidRDefault="00450C28">
      <w:pPr>
        <w:pStyle w:val="AH5Sec"/>
      </w:pPr>
      <w:bookmarkStart w:id="135" w:name="_Toc23417942"/>
      <w:r w:rsidRPr="001403E0">
        <w:rPr>
          <w:rStyle w:val="CharSectNo"/>
        </w:rPr>
        <w:t>71A</w:t>
      </w:r>
      <w:r>
        <w:tab/>
        <w:t xml:space="preserve">Who is a </w:t>
      </w:r>
      <w:r w:rsidRPr="009D74E7">
        <w:rPr>
          <w:rStyle w:val="charItals"/>
        </w:rPr>
        <w:t>grantor</w:t>
      </w:r>
      <w:r>
        <w:t>?</w:t>
      </w:r>
      <w:bookmarkEnd w:id="135"/>
    </w:p>
    <w:p w:rsidR="00450C28" w:rsidRDefault="00450C28">
      <w:pPr>
        <w:pStyle w:val="Amain"/>
      </w:pPr>
      <w:r>
        <w:tab/>
        <w:t>(1)</w:t>
      </w:r>
      <w:r>
        <w:tab/>
        <w:t xml:space="preserve">A person is a </w:t>
      </w:r>
      <w:r w:rsidRPr="009D74E7">
        <w:rPr>
          <w:rStyle w:val="charBoldItals"/>
        </w:rPr>
        <w:t>grantor</w:t>
      </w:r>
      <w:r>
        <w:t xml:space="preserve"> if the person grants a right of occupation under an occupancy agreement.</w:t>
      </w:r>
    </w:p>
    <w:p w:rsidR="00450C28" w:rsidRDefault="00450C28">
      <w:pPr>
        <w:pStyle w:val="Amain"/>
      </w:pPr>
      <w:r>
        <w:tab/>
        <w:t>(2)</w:t>
      </w:r>
      <w:r>
        <w:tab/>
      </w:r>
      <w:r w:rsidRPr="009D74E7">
        <w:rPr>
          <w:rStyle w:val="charBoldItals"/>
        </w:rPr>
        <w:t>Grantor</w:t>
      </w:r>
      <w:r>
        <w:t xml:space="preserve"> includes a prospective grantor.</w:t>
      </w:r>
    </w:p>
    <w:p w:rsidR="00450C28" w:rsidRDefault="00450C28">
      <w:pPr>
        <w:pStyle w:val="AH5Sec"/>
      </w:pPr>
      <w:bookmarkStart w:id="136" w:name="_Toc23417943"/>
      <w:r w:rsidRPr="001403E0">
        <w:rPr>
          <w:rStyle w:val="CharSectNo"/>
        </w:rPr>
        <w:t>71B</w:t>
      </w:r>
      <w:r>
        <w:tab/>
        <w:t xml:space="preserve">Who is an </w:t>
      </w:r>
      <w:r w:rsidRPr="009D74E7">
        <w:rPr>
          <w:rStyle w:val="charItals"/>
        </w:rPr>
        <w:t>occupant</w:t>
      </w:r>
      <w:r>
        <w:t>?</w:t>
      </w:r>
      <w:bookmarkEnd w:id="136"/>
    </w:p>
    <w:p w:rsidR="00450C28" w:rsidRDefault="00450C28">
      <w:pPr>
        <w:pStyle w:val="Amain"/>
      </w:pPr>
      <w:r>
        <w:tab/>
        <w:t>(1)</w:t>
      </w:r>
      <w:r>
        <w:tab/>
        <w:t xml:space="preserve">A person is an </w:t>
      </w:r>
      <w:r w:rsidRPr="009D74E7">
        <w:rPr>
          <w:rStyle w:val="charBoldItals"/>
        </w:rPr>
        <w:t>occupant</w:t>
      </w:r>
      <w:r>
        <w:t xml:space="preserve"> if the person has a right of occupation under an occupancy agreement.</w:t>
      </w:r>
    </w:p>
    <w:p w:rsidR="00450C28" w:rsidRDefault="00450C28">
      <w:pPr>
        <w:pStyle w:val="Amain"/>
      </w:pPr>
      <w:r>
        <w:tab/>
        <w:t>(2)</w:t>
      </w:r>
      <w:r>
        <w:tab/>
      </w:r>
      <w:r w:rsidRPr="009D74E7">
        <w:rPr>
          <w:rStyle w:val="charBoldItals"/>
        </w:rPr>
        <w:t>Occupant</w:t>
      </w:r>
      <w:r>
        <w:t xml:space="preserve"> includes a prospective occupant.</w:t>
      </w:r>
    </w:p>
    <w:p w:rsidR="00450C28" w:rsidRDefault="00450C28">
      <w:pPr>
        <w:pStyle w:val="AH5Sec"/>
      </w:pPr>
      <w:bookmarkStart w:id="137" w:name="_Toc23417944"/>
      <w:r w:rsidRPr="001403E0">
        <w:rPr>
          <w:rStyle w:val="CharSectNo"/>
        </w:rPr>
        <w:t>71C</w:t>
      </w:r>
      <w:r>
        <w:tab/>
        <w:t xml:space="preserve">What is an </w:t>
      </w:r>
      <w:r>
        <w:rPr>
          <w:rStyle w:val="charItals"/>
        </w:rPr>
        <w:t>occupancy agreement</w:t>
      </w:r>
      <w:r>
        <w:t>?</w:t>
      </w:r>
      <w:bookmarkEnd w:id="137"/>
    </w:p>
    <w:p w:rsidR="00450C28" w:rsidRDefault="00450C28">
      <w:pPr>
        <w:pStyle w:val="Amain"/>
      </w:pPr>
      <w:r w:rsidRPr="009D74E7">
        <w:tab/>
        <w:t>(1)</w:t>
      </w:r>
      <w:r w:rsidRPr="009D74E7">
        <w:tab/>
        <w:t xml:space="preserve">An agreement is an </w:t>
      </w:r>
      <w:r>
        <w:rPr>
          <w:rStyle w:val="charBoldItals"/>
        </w:rPr>
        <w:t>occupancy agreement</w:t>
      </w:r>
      <w:r>
        <w:t xml:space="preserve"> if—</w:t>
      </w:r>
    </w:p>
    <w:p w:rsidR="00450C28" w:rsidRDefault="00450C28">
      <w:pPr>
        <w:pStyle w:val="Apara"/>
      </w:pPr>
      <w:r>
        <w:tab/>
        <w:t>(a)</w:t>
      </w:r>
      <w:r>
        <w:tab/>
        <w:t xml:space="preserve">a person (the </w:t>
      </w:r>
      <w:r w:rsidRPr="009D74E7">
        <w:rPr>
          <w:rStyle w:val="charBoldItals"/>
        </w:rPr>
        <w:t>grantor</w:t>
      </w:r>
      <w:r>
        <w:t xml:space="preserve">) gives someone else (the </w:t>
      </w:r>
      <w:r>
        <w:rPr>
          <w:rStyle w:val="charBoldItals"/>
        </w:rPr>
        <w:t>occupant</w:t>
      </w:r>
      <w:r w:rsidRPr="009D74E7">
        <w:t>)</w:t>
      </w:r>
      <w:r>
        <w:t xml:space="preserve"> a right to occupy stated premises; and</w:t>
      </w:r>
    </w:p>
    <w:p w:rsidR="00450C28" w:rsidRDefault="00450C28">
      <w:pPr>
        <w:pStyle w:val="Apara"/>
      </w:pPr>
      <w:r>
        <w:tab/>
        <w:t>(b)</w:t>
      </w:r>
      <w:r>
        <w:tab/>
        <w:t>the premises are for the occupant to use as a home (whether or not with other people); and</w:t>
      </w:r>
    </w:p>
    <w:p w:rsidR="00450C28" w:rsidRDefault="00450C28">
      <w:pPr>
        <w:pStyle w:val="Apara"/>
      </w:pPr>
      <w:r>
        <w:tab/>
        <w:t>(c)</w:t>
      </w:r>
      <w:r>
        <w:tab/>
        <w:t>the right is given for value; and</w:t>
      </w:r>
    </w:p>
    <w:p w:rsidR="00450C28" w:rsidRDefault="00450C28">
      <w:pPr>
        <w:pStyle w:val="Apara"/>
      </w:pPr>
      <w:r>
        <w:tab/>
        <w:t>(d)</w:t>
      </w:r>
      <w:r>
        <w:tab/>
        <w:t>the agreement is not a residential tenancy agreement.</w:t>
      </w:r>
    </w:p>
    <w:p w:rsidR="00450C28" w:rsidRDefault="00450C28">
      <w:pPr>
        <w:pStyle w:val="Amain"/>
      </w:pPr>
      <w:r>
        <w:tab/>
        <w:t>(2)</w:t>
      </w:r>
      <w:r>
        <w:tab/>
        <w:t>The agreement may be—</w:t>
      </w:r>
    </w:p>
    <w:p w:rsidR="00450C28" w:rsidRDefault="00450C28">
      <w:pPr>
        <w:pStyle w:val="Apara"/>
      </w:pPr>
      <w:r>
        <w:tab/>
        <w:t>(a)</w:t>
      </w:r>
      <w:r>
        <w:tab/>
        <w:t>express or implied; or</w:t>
      </w:r>
    </w:p>
    <w:p w:rsidR="00450C28" w:rsidRDefault="00450C28">
      <w:pPr>
        <w:pStyle w:val="Apara"/>
      </w:pPr>
      <w:r>
        <w:tab/>
        <w:t>(b)</w:t>
      </w:r>
      <w:r>
        <w:tab/>
        <w:t>in writing, oral, or partly in writing and partly oral.</w:t>
      </w:r>
    </w:p>
    <w:p w:rsidR="00450C28" w:rsidRDefault="00450C28">
      <w:pPr>
        <w:pStyle w:val="aNotepar"/>
      </w:pPr>
      <w:r w:rsidRPr="009D74E7">
        <w:rPr>
          <w:rStyle w:val="charItals"/>
        </w:rPr>
        <w:t>Note</w:t>
      </w:r>
      <w:r w:rsidRPr="009D74E7">
        <w:rPr>
          <w:rStyle w:val="charItals"/>
        </w:rPr>
        <w:tab/>
      </w:r>
      <w:r>
        <w:t>After 6 weeks, the occupancy agreement should be in writing (see s 71E (c)).</w:t>
      </w:r>
    </w:p>
    <w:p w:rsidR="00450C28" w:rsidRDefault="00450C28">
      <w:pPr>
        <w:pStyle w:val="Amain"/>
        <w:keepNext/>
      </w:pPr>
      <w:r>
        <w:lastRenderedPageBreak/>
        <w:tab/>
        <w:t>(3)</w:t>
      </w:r>
      <w:r>
        <w:tab/>
        <w:t>The right to occupy may be—</w:t>
      </w:r>
    </w:p>
    <w:p w:rsidR="00450C28" w:rsidRDefault="00450C28" w:rsidP="00A4243A">
      <w:pPr>
        <w:pStyle w:val="Apara"/>
        <w:keepNext/>
      </w:pPr>
      <w:r>
        <w:tab/>
        <w:t>(a)</w:t>
      </w:r>
      <w:r>
        <w:tab/>
        <w:t>exclusive or not;</w:t>
      </w:r>
    </w:p>
    <w:p w:rsidR="00450C28" w:rsidRDefault="00450C28">
      <w:pPr>
        <w:pStyle w:val="Apara"/>
      </w:pPr>
      <w:r>
        <w:tab/>
        <w:t>(b)</w:t>
      </w:r>
      <w:r>
        <w:tab/>
        <w:t>given with a right to use facilities, furniture or goods.</w:t>
      </w:r>
    </w:p>
    <w:p w:rsidR="00450C28" w:rsidRDefault="00450C28">
      <w:pPr>
        <w:pStyle w:val="Amain"/>
      </w:pPr>
      <w:r>
        <w:tab/>
        <w:t>(4)</w:t>
      </w:r>
      <w:r>
        <w:tab/>
        <w:t>The person given the right to occupy the premises may be—</w:t>
      </w:r>
    </w:p>
    <w:p w:rsidR="00450C28" w:rsidRDefault="00450C28">
      <w:pPr>
        <w:pStyle w:val="Apara"/>
      </w:pPr>
      <w:r>
        <w:tab/>
        <w:t>(a)</w:t>
      </w:r>
      <w:r>
        <w:tab/>
        <w:t>a boarder or lodger; or</w:t>
      </w:r>
    </w:p>
    <w:p w:rsidR="00450C28" w:rsidRDefault="00450C28">
      <w:pPr>
        <w:pStyle w:val="Apara"/>
        <w:keepNext/>
      </w:pPr>
      <w:r>
        <w:tab/>
        <w:t>(b)</w:t>
      </w:r>
      <w:r>
        <w:tab/>
        <w:t>someone prescribed by regulation for this section.</w:t>
      </w:r>
    </w:p>
    <w:p w:rsidR="00450C28" w:rsidRDefault="00450C28">
      <w:pPr>
        <w:pStyle w:val="aNote"/>
      </w:pPr>
      <w:r w:rsidRPr="009D74E7">
        <w:rPr>
          <w:rStyle w:val="charItals"/>
        </w:rPr>
        <w:t>Note</w:t>
      </w:r>
      <w:r w:rsidRPr="009D74E7">
        <w:rPr>
          <w:rStyle w:val="charItals"/>
        </w:rPr>
        <w:tab/>
      </w:r>
      <w:r>
        <w:t>This Act does n</w:t>
      </w:r>
      <w:r w:rsidR="00365097">
        <w:t>ot apply to</w:t>
      </w:r>
      <w:r>
        <w:t xml:space="preserve"> nursing homes, hostels for aged or disabled people or other prescribed premises (see s 4).</w:t>
      </w:r>
    </w:p>
    <w:p w:rsidR="00450C28" w:rsidRDefault="00450C28">
      <w:pPr>
        <w:pStyle w:val="AH5Sec"/>
      </w:pPr>
      <w:bookmarkStart w:id="138" w:name="_Toc23417945"/>
      <w:r w:rsidRPr="001403E0">
        <w:rPr>
          <w:rStyle w:val="CharSectNo"/>
        </w:rPr>
        <w:t>71D</w:t>
      </w:r>
      <w:r>
        <w:tab/>
        <w:t>When does an occupancy agreement start?</w:t>
      </w:r>
      <w:bookmarkEnd w:id="138"/>
    </w:p>
    <w:p w:rsidR="00450C28" w:rsidRDefault="00450C28">
      <w:pPr>
        <w:pStyle w:val="Amainreturn"/>
        <w:keepNext/>
      </w:pPr>
      <w:r>
        <w:t>An occupancy agreement starts on the earliest of the following days:</w:t>
      </w:r>
    </w:p>
    <w:p w:rsidR="00450C28" w:rsidRDefault="00450C28">
      <w:pPr>
        <w:pStyle w:val="Apara"/>
      </w:pPr>
      <w:r>
        <w:tab/>
        <w:t>(a)</w:t>
      </w:r>
      <w:r>
        <w:tab/>
        <w:t>the day stated in the agreement;</w:t>
      </w:r>
    </w:p>
    <w:p w:rsidR="00450C28" w:rsidRDefault="00450C28">
      <w:pPr>
        <w:pStyle w:val="Apara"/>
      </w:pPr>
      <w:r>
        <w:tab/>
        <w:t>(b)</w:t>
      </w:r>
      <w:r>
        <w:tab/>
        <w:t>the 1st day both parties have signed the agreement and received a copy signed by the other;</w:t>
      </w:r>
    </w:p>
    <w:p w:rsidR="00450C28" w:rsidRDefault="00450C28">
      <w:pPr>
        <w:pStyle w:val="Apara"/>
      </w:pPr>
      <w:r>
        <w:tab/>
        <w:t>(c)</w:t>
      </w:r>
      <w:r>
        <w:tab/>
        <w:t>the day the occupant takes possession of the premises;</w:t>
      </w:r>
    </w:p>
    <w:p w:rsidR="00450C28" w:rsidRDefault="00450C28">
      <w:pPr>
        <w:pStyle w:val="Apara"/>
      </w:pPr>
      <w:r>
        <w:tab/>
        <w:t>(d)</w:t>
      </w:r>
      <w:r>
        <w:tab/>
        <w:t>the 1st day the grantor receives rent from the occupant.</w:t>
      </w:r>
    </w:p>
    <w:p w:rsidR="00450C28" w:rsidRDefault="00450C28">
      <w:pPr>
        <w:pStyle w:val="AH5Sec"/>
      </w:pPr>
      <w:bookmarkStart w:id="139" w:name="_Toc23417946"/>
      <w:r w:rsidRPr="001403E0">
        <w:rPr>
          <w:rStyle w:val="CharSectNo"/>
        </w:rPr>
        <w:t>71E</w:t>
      </w:r>
      <w:r>
        <w:tab/>
        <w:t>Occupancy principles</w:t>
      </w:r>
      <w:bookmarkEnd w:id="139"/>
    </w:p>
    <w:p w:rsidR="00450C28" w:rsidRDefault="00450C28">
      <w:pPr>
        <w:pStyle w:val="Amain"/>
      </w:pPr>
      <w:r>
        <w:rPr>
          <w:noProof/>
        </w:rPr>
        <w:tab/>
        <w:t>(1)</w:t>
      </w:r>
      <w:r>
        <w:rPr>
          <w:noProof/>
        </w:rPr>
        <w:tab/>
        <w:t>I</w:t>
      </w:r>
      <w:r>
        <w:t xml:space="preserve">n considering a matter, or making a decision, under this Act in relation to an occupancy agreement for premises, a person must have regard to the following principles (the </w:t>
      </w:r>
      <w:r w:rsidRPr="009D74E7">
        <w:rPr>
          <w:rStyle w:val="charBoldItals"/>
        </w:rPr>
        <w:t>occupancy principles</w:t>
      </w:r>
      <w:r>
        <w:t>):</w:t>
      </w:r>
    </w:p>
    <w:p w:rsidR="00450C28" w:rsidRDefault="00450C28">
      <w:pPr>
        <w:pStyle w:val="Apara"/>
      </w:pPr>
      <w:r>
        <w:tab/>
        <w:t>(a)</w:t>
      </w:r>
      <w:r>
        <w:tab/>
        <w:t>an occupant is entitled to live in premises that are—</w:t>
      </w:r>
    </w:p>
    <w:p w:rsidR="00450C28" w:rsidRDefault="00450C28">
      <w:pPr>
        <w:pStyle w:val="Asubpara"/>
      </w:pPr>
      <w:r>
        <w:tab/>
        <w:t>(i)</w:t>
      </w:r>
      <w:r>
        <w:tab/>
        <w:t>reasonably clean; and</w:t>
      </w:r>
    </w:p>
    <w:p w:rsidR="00450C28" w:rsidRDefault="00450C28">
      <w:pPr>
        <w:pStyle w:val="Asubpara"/>
      </w:pPr>
      <w:r>
        <w:tab/>
        <w:t>(ii)</w:t>
      </w:r>
      <w:r>
        <w:tab/>
        <w:t>in a reasonable state of repair; and</w:t>
      </w:r>
    </w:p>
    <w:p w:rsidR="00450C28" w:rsidRDefault="00450C28">
      <w:pPr>
        <w:pStyle w:val="Asubpara"/>
      </w:pPr>
      <w:r>
        <w:tab/>
        <w:t>(iii)</w:t>
      </w:r>
      <w:r>
        <w:tab/>
        <w:t>reasonably secure;</w:t>
      </w:r>
    </w:p>
    <w:p w:rsidR="00450C28" w:rsidRDefault="00450C28">
      <w:pPr>
        <w:pStyle w:val="Apara"/>
      </w:pPr>
      <w:r>
        <w:tab/>
        <w:t>(b)</w:t>
      </w:r>
      <w:r>
        <w:tab/>
        <w:t>an occupant is entitled to know the rules of the premises before moving in;</w:t>
      </w:r>
    </w:p>
    <w:p w:rsidR="00450C28" w:rsidRDefault="00450C28">
      <w:pPr>
        <w:pStyle w:val="Apara"/>
      </w:pPr>
      <w:r>
        <w:lastRenderedPageBreak/>
        <w:tab/>
        <w:t>(c)</w:t>
      </w:r>
      <w:r>
        <w:tab/>
        <w:t>an occupant is entitled to the certainty of having the occupancy agreement in writing if the occupancy continues for longer than 6 weeks;</w:t>
      </w:r>
    </w:p>
    <w:p w:rsidR="00450C28" w:rsidRDefault="00450C28">
      <w:pPr>
        <w:pStyle w:val="Apara"/>
      </w:pPr>
      <w:r>
        <w:tab/>
        <w:t>(d)</w:t>
      </w:r>
      <w:r>
        <w:tab/>
        <w:t>an occupant is entitled to quiet enjoyment of the premises;</w:t>
      </w:r>
    </w:p>
    <w:p w:rsidR="00450C28" w:rsidRDefault="00450C28">
      <w:pPr>
        <w:pStyle w:val="Apara"/>
      </w:pPr>
      <w:r>
        <w:tab/>
        <w:t>(e)</w:t>
      </w:r>
      <w:r>
        <w:tab/>
        <w:t>a grantor is entitled to enter the premises at a reasonable time on reasonable grounds to carry out inspections or repairs and for other reasonable purposes;</w:t>
      </w:r>
    </w:p>
    <w:p w:rsidR="00450C28" w:rsidRDefault="00450C28">
      <w:pPr>
        <w:pStyle w:val="Apara"/>
      </w:pPr>
      <w:r>
        <w:tab/>
        <w:t>(f)</w:t>
      </w:r>
      <w:r>
        <w:tab/>
        <w:t>an occupant is entitled to 8 weeks notice before the grantor increases the amount to be paid for the right to occupy the premises;</w:t>
      </w:r>
    </w:p>
    <w:p w:rsidR="00450C28" w:rsidRDefault="00450C28">
      <w:pPr>
        <w:pStyle w:val="Apara"/>
      </w:pPr>
      <w:r>
        <w:tab/>
        <w:t>(g)</w:t>
      </w:r>
      <w:r>
        <w:tab/>
        <w:t>an occupant is entitled to know why and how the occupancy may be terminated, including how much notice will be given before eviction;</w:t>
      </w:r>
    </w:p>
    <w:p w:rsidR="00450C28" w:rsidRDefault="00450C28">
      <w:pPr>
        <w:pStyle w:val="Apara"/>
      </w:pPr>
      <w:r>
        <w:tab/>
        <w:t>(h)</w:t>
      </w:r>
      <w:r>
        <w:tab/>
        <w:t>an occupant must not be evicted without reasonable notice;</w:t>
      </w:r>
    </w:p>
    <w:p w:rsidR="00450C28" w:rsidRDefault="00450C28">
      <w:pPr>
        <w:pStyle w:val="Apara"/>
      </w:pPr>
      <w:r>
        <w:tab/>
        <w:t>(i)</w:t>
      </w:r>
      <w:r>
        <w:tab/>
        <w:t>a grantor and occupant should try to resolve disputes using reasonable dispute resolution processes.</w:t>
      </w:r>
    </w:p>
    <w:p w:rsidR="00450C28" w:rsidRDefault="00450C28">
      <w:pPr>
        <w:pStyle w:val="Amain"/>
      </w:pPr>
      <w:r>
        <w:tab/>
        <w:t>(2)</w:t>
      </w:r>
      <w:r>
        <w:tab/>
        <w:t>If an occupant occupies a mobile home on land in a mobile home park and the mobile home is not provided by the grantor—</w:t>
      </w:r>
    </w:p>
    <w:p w:rsidR="00450C28" w:rsidRDefault="00450C28">
      <w:pPr>
        <w:pStyle w:val="Apara"/>
      </w:pPr>
      <w:r>
        <w:tab/>
        <w:t>(a)</w:t>
      </w:r>
      <w:r>
        <w:tab/>
        <w:t>the occupancy principle in subsection (1) (e) applies to the land and any fixtures provided by the grantor, but not the mobile home; and</w:t>
      </w:r>
    </w:p>
    <w:p w:rsidR="00450C28" w:rsidRDefault="00450C28">
      <w:pPr>
        <w:pStyle w:val="Apara"/>
      </w:pPr>
      <w:r>
        <w:tab/>
        <w:t>(b)</w:t>
      </w:r>
      <w:r>
        <w:tab/>
        <w:t>the grantor is entitled to enter the mobile home only with reasonable notice, at reasonable times, on reasonable grounds and for reasonable purposes.</w:t>
      </w:r>
    </w:p>
    <w:p w:rsidR="00450C28" w:rsidRDefault="00450C28">
      <w:pPr>
        <w:pStyle w:val="AH5Sec"/>
      </w:pPr>
      <w:bookmarkStart w:id="140" w:name="_Toc23417947"/>
      <w:r w:rsidRPr="001403E0">
        <w:rPr>
          <w:rStyle w:val="CharSectNo"/>
        </w:rPr>
        <w:lastRenderedPageBreak/>
        <w:t>71F</w:t>
      </w:r>
      <w:r>
        <w:tab/>
        <w:t>Regulations about occupancy agreements</w:t>
      </w:r>
      <w:bookmarkEnd w:id="140"/>
    </w:p>
    <w:p w:rsidR="00450C28" w:rsidRDefault="00450C28">
      <w:pPr>
        <w:pStyle w:val="Amain"/>
        <w:keepNext/>
      </w:pPr>
      <w:r>
        <w:tab/>
        <w:t>(1)</w:t>
      </w:r>
      <w:r>
        <w:tab/>
        <w:t>A regulation may make provision in relation to occupancy agreements, including, for example, standard occupancy terms.</w:t>
      </w:r>
    </w:p>
    <w:p w:rsidR="00450C28" w:rsidRDefault="00450C28">
      <w:pPr>
        <w:pStyle w:val="aNote"/>
      </w:pPr>
      <w:r w:rsidRPr="009D74E7">
        <w:rPr>
          <w:rStyle w:val="charItals"/>
        </w:rPr>
        <w:t>Note</w:t>
      </w:r>
      <w:r>
        <w:tab/>
        <w:t xml:space="preserve">Power under an Act to make a regulation includes power to make different provision for different classes of matters (see </w:t>
      </w:r>
      <w:hyperlink r:id="rId53" w:tooltip="A2001-14" w:history="1">
        <w:r w:rsidR="009D74E7" w:rsidRPr="009D74E7">
          <w:rPr>
            <w:rStyle w:val="charCitHyperlinkAbbrev"/>
          </w:rPr>
          <w:t>Legislation Act</w:t>
        </w:r>
      </w:hyperlink>
      <w:r>
        <w:t>, s 48 (1) (a)).</w:t>
      </w:r>
    </w:p>
    <w:p w:rsidR="00450C28" w:rsidRDefault="00450C28">
      <w:pPr>
        <w:pStyle w:val="Amain"/>
      </w:pPr>
      <w:r>
        <w:tab/>
        <w:t>(2)</w:t>
      </w:r>
      <w:r>
        <w:tab/>
        <w:t>A regulation about standard occupancy terms must be consistent with the occupancy principles.</w:t>
      </w:r>
    </w:p>
    <w:p w:rsidR="00450C28" w:rsidRDefault="00450C28">
      <w:pPr>
        <w:pStyle w:val="AH5Sec"/>
      </w:pPr>
      <w:bookmarkStart w:id="141" w:name="_Toc23417948"/>
      <w:r w:rsidRPr="001403E0">
        <w:rPr>
          <w:rStyle w:val="CharSectNo"/>
        </w:rPr>
        <w:t>71G</w:t>
      </w:r>
      <w:r>
        <w:tab/>
        <w:t>Standard occupancy terms</w:t>
      </w:r>
      <w:bookmarkEnd w:id="141"/>
    </w:p>
    <w:p w:rsidR="00450C28" w:rsidRDefault="00450C28">
      <w:pPr>
        <w:pStyle w:val="Amainreturn"/>
      </w:pPr>
      <w:r>
        <w:t>An occupancy agreement—</w:t>
      </w:r>
    </w:p>
    <w:p w:rsidR="00450C28" w:rsidRDefault="00450C28">
      <w:pPr>
        <w:pStyle w:val="Apara"/>
      </w:pPr>
      <w:r>
        <w:tab/>
        <w:t>(a)</w:t>
      </w:r>
      <w:r>
        <w:tab/>
        <w:t>must contain, and is taken to contain, terms to the effect of the standard occupancy terms prescribed by regulation; and</w:t>
      </w:r>
    </w:p>
    <w:p w:rsidR="00450C28" w:rsidRDefault="00450C28">
      <w:pPr>
        <w:pStyle w:val="Apara"/>
      </w:pPr>
      <w:r>
        <w:tab/>
        <w:t>(b)</w:t>
      </w:r>
      <w:r>
        <w:tab/>
        <w:t>may contain any other term that is consistent with—</w:t>
      </w:r>
    </w:p>
    <w:p w:rsidR="00450C28" w:rsidRDefault="00450C28">
      <w:pPr>
        <w:pStyle w:val="Asubpara"/>
      </w:pPr>
      <w:r>
        <w:tab/>
        <w:t>(i)</w:t>
      </w:r>
      <w:r>
        <w:tab/>
        <w:t>the standard occupancy terms; and</w:t>
      </w:r>
    </w:p>
    <w:p w:rsidR="00450C28" w:rsidRDefault="00450C28">
      <w:pPr>
        <w:pStyle w:val="Asubpara"/>
        <w:numPr>
          <w:ilvl w:val="0"/>
          <w:numId w:val="15"/>
        </w:numPr>
      </w:pPr>
      <w:r>
        <w:t>the occupancy principles.</w:t>
      </w:r>
    </w:p>
    <w:p w:rsidR="00450C28" w:rsidRDefault="00450C28">
      <w:pPr>
        <w:pStyle w:val="AH5Sec"/>
      </w:pPr>
      <w:bookmarkStart w:id="142" w:name="_Toc23417949"/>
      <w:r w:rsidRPr="001403E0">
        <w:rPr>
          <w:rStyle w:val="CharSectNo"/>
        </w:rPr>
        <w:t>71GA</w:t>
      </w:r>
      <w:r>
        <w:tab/>
        <w:t>Occupant may deposit bond with Territory</w:t>
      </w:r>
      <w:bookmarkEnd w:id="142"/>
    </w:p>
    <w:p w:rsidR="00450C28" w:rsidRDefault="00450C28">
      <w:pPr>
        <w:pStyle w:val="Amain"/>
      </w:pPr>
      <w:r>
        <w:tab/>
        <w:t>(1)</w:t>
      </w:r>
      <w:r>
        <w:tab/>
        <w:t>The occupant under an occupancy agreement may deposit the amount of any bond under the agreement with the Territory.</w:t>
      </w:r>
    </w:p>
    <w:p w:rsidR="00450C28" w:rsidRDefault="00450C28">
      <w:pPr>
        <w:pStyle w:val="Amain"/>
      </w:pPr>
      <w:r>
        <w:tab/>
        <w:t>(2)</w:t>
      </w:r>
      <w:r>
        <w:tab/>
        <w:t>The deposit must be accompanied by a written notice that states—</w:t>
      </w:r>
    </w:p>
    <w:p w:rsidR="00450C28" w:rsidRDefault="00450C28">
      <w:pPr>
        <w:pStyle w:val="Apara"/>
        <w:suppressLineNumbers/>
      </w:pPr>
      <w:r>
        <w:tab/>
        <w:t>(a)</w:t>
      </w:r>
      <w:r>
        <w:tab/>
        <w:t>the names of, and addresses for service on, the occupant and the grantor; and</w:t>
      </w:r>
    </w:p>
    <w:p w:rsidR="00450C28" w:rsidRDefault="00450C28">
      <w:pPr>
        <w:pStyle w:val="Apara"/>
        <w:keepNext/>
        <w:suppressLineNumbers/>
      </w:pPr>
      <w:r>
        <w:tab/>
        <w:t>(b)</w:t>
      </w:r>
      <w:r>
        <w:tab/>
        <w:t>the amount of bond being deposited.</w:t>
      </w:r>
    </w:p>
    <w:p w:rsidR="00450C28" w:rsidRDefault="00450C28">
      <w:pPr>
        <w:pStyle w:val="aNote"/>
        <w:suppressLineNumbers/>
      </w:pPr>
      <w:r w:rsidRPr="009D74E7">
        <w:rPr>
          <w:rStyle w:val="charItals"/>
        </w:rPr>
        <w:t>Note</w:t>
      </w:r>
      <w:r w:rsidRPr="009D74E7">
        <w:rPr>
          <w:rStyle w:val="charItals"/>
        </w:rPr>
        <w:tab/>
      </w:r>
      <w:r>
        <w:t>If a form is approved under s 133 (Approved forms—Minister) for this provision, the form must be used.</w:t>
      </w:r>
    </w:p>
    <w:p w:rsidR="00450C28" w:rsidRDefault="00450C28">
      <w:pPr>
        <w:pStyle w:val="Amain"/>
      </w:pPr>
      <w:r>
        <w:tab/>
        <w:t>(3)</w:t>
      </w:r>
      <w:r>
        <w:tab/>
        <w:t>If the Territory accepts the amount of the bond, the Territory must—</w:t>
      </w:r>
    </w:p>
    <w:p w:rsidR="00450C28" w:rsidRDefault="00450C28">
      <w:pPr>
        <w:pStyle w:val="Apara"/>
      </w:pPr>
      <w:r>
        <w:tab/>
        <w:t>(a)</w:t>
      </w:r>
      <w:r>
        <w:tab/>
        <w:t>give the occupant a receipt for the amount; and</w:t>
      </w:r>
    </w:p>
    <w:p w:rsidR="00450C28" w:rsidRDefault="00450C28">
      <w:pPr>
        <w:pStyle w:val="Apara"/>
      </w:pPr>
      <w:r>
        <w:lastRenderedPageBreak/>
        <w:tab/>
        <w:t>(b)</w:t>
      </w:r>
      <w:r>
        <w:tab/>
        <w:t>give the grantor a copy of the notice under subsection (2).</w:t>
      </w:r>
    </w:p>
    <w:p w:rsidR="00450C28" w:rsidRDefault="00450C28">
      <w:pPr>
        <w:pStyle w:val="Amain"/>
      </w:pPr>
      <w:r>
        <w:tab/>
        <w:t>(4)</w:t>
      </w:r>
      <w:r>
        <w:tab/>
        <w:t>If the Territory accepts the amount of the bond, the applied provisions apply in relation to the occupancy agreement as if—</w:t>
      </w:r>
    </w:p>
    <w:p w:rsidR="00450C28" w:rsidRDefault="00450C28">
      <w:pPr>
        <w:pStyle w:val="Apara"/>
      </w:pPr>
      <w:r>
        <w:tab/>
        <w:t>(a)</w:t>
      </w:r>
      <w:r>
        <w:tab/>
        <w:t>the amount had been received by the Territory under part 3 (Bonds); and</w:t>
      </w:r>
    </w:p>
    <w:p w:rsidR="00450C28" w:rsidRDefault="00450C28">
      <w:pPr>
        <w:pStyle w:val="Apara"/>
      </w:pPr>
      <w:r>
        <w:tab/>
        <w:t>(b)</w:t>
      </w:r>
      <w:r>
        <w:tab/>
        <w:t>the occupancy agreement were a residential tenancy agreement; and</w:t>
      </w:r>
    </w:p>
    <w:p w:rsidR="00450C28" w:rsidRDefault="00450C28">
      <w:pPr>
        <w:pStyle w:val="Apara"/>
      </w:pPr>
      <w:r>
        <w:tab/>
        <w:t>(c)</w:t>
      </w:r>
      <w:r>
        <w:tab/>
        <w:t>the occupant were the tenant under the agreement; and</w:t>
      </w:r>
    </w:p>
    <w:p w:rsidR="00450C28" w:rsidRDefault="00450C28">
      <w:pPr>
        <w:pStyle w:val="Apara"/>
      </w:pPr>
      <w:r>
        <w:tab/>
        <w:t>(d)</w:t>
      </w:r>
      <w:r>
        <w:tab/>
        <w:t>the grantor were the lessor under the agreement; and</w:t>
      </w:r>
    </w:p>
    <w:p w:rsidR="00450C28" w:rsidRDefault="00450C28">
      <w:pPr>
        <w:pStyle w:val="Apara"/>
      </w:pPr>
      <w:r>
        <w:tab/>
        <w:t>(e)</w:t>
      </w:r>
      <w:r>
        <w:tab/>
        <w:t>any dispute between the occupant and the grantor about the bond were a tenancy dispute; and</w:t>
      </w:r>
    </w:p>
    <w:p w:rsidR="00450C28" w:rsidRDefault="00450C28">
      <w:pPr>
        <w:pStyle w:val="Apara"/>
      </w:pPr>
      <w:r>
        <w:tab/>
        <w:t>(f)</w:t>
      </w:r>
      <w:r>
        <w:tab/>
        <w:t>any other necessary changes, and any changes prescribed by regulation, were made.</w:t>
      </w:r>
    </w:p>
    <w:p w:rsidR="00450C28" w:rsidRDefault="00450C28">
      <w:pPr>
        <w:pStyle w:val="Amain"/>
      </w:pPr>
      <w:r>
        <w:tab/>
        <w:t>(5)</w:t>
      </w:r>
      <w:r>
        <w:tab/>
        <w:t>In this section:</w:t>
      </w:r>
    </w:p>
    <w:p w:rsidR="00450C28" w:rsidRDefault="00450C28">
      <w:pPr>
        <w:pStyle w:val="aDef"/>
        <w:keepNext/>
        <w:suppressLineNumbers/>
      </w:pPr>
      <w:r w:rsidRPr="009D74E7">
        <w:rPr>
          <w:rStyle w:val="charBoldItals"/>
        </w:rPr>
        <w:t>applied provisions</w:t>
      </w:r>
      <w:r>
        <w:t xml:space="preserve"> means the following provisions:</w:t>
      </w:r>
    </w:p>
    <w:p w:rsidR="00450C28" w:rsidRDefault="00450C28">
      <w:pPr>
        <w:pStyle w:val="Amainbullet"/>
        <w:suppressLineNumbers/>
        <w:tabs>
          <w:tab w:val="left" w:pos="1500"/>
        </w:tabs>
      </w:pPr>
      <w:r>
        <w:rPr>
          <w:rFonts w:ascii="Symbol" w:hAnsi="Symbol"/>
          <w:sz w:val="20"/>
        </w:rPr>
        <w:t></w:t>
      </w:r>
      <w:r>
        <w:rPr>
          <w:rFonts w:ascii="Symbol" w:hAnsi="Symbol"/>
          <w:sz w:val="20"/>
        </w:rPr>
        <w:tab/>
      </w:r>
      <w:r>
        <w:t>section 27 (Payment of bond money into trust account)</w:t>
      </w:r>
    </w:p>
    <w:p w:rsidR="00450C28" w:rsidRDefault="00450C28">
      <w:pPr>
        <w:pStyle w:val="Amainbullet"/>
        <w:suppressLineNumbers/>
        <w:tabs>
          <w:tab w:val="left" w:pos="1500"/>
        </w:tabs>
      </w:pPr>
      <w:r>
        <w:rPr>
          <w:rFonts w:ascii="Symbol" w:hAnsi="Symbol"/>
          <w:sz w:val="20"/>
        </w:rPr>
        <w:t></w:t>
      </w:r>
      <w:r>
        <w:rPr>
          <w:rFonts w:ascii="Symbol" w:hAnsi="Symbol"/>
          <w:sz w:val="20"/>
        </w:rPr>
        <w:tab/>
      </w:r>
      <w:r>
        <w:t>section 28 (</w:t>
      </w:r>
      <w:r w:rsidR="000834E1">
        <w:t>Interest on amounts in trust account</w:t>
      </w:r>
      <w:r>
        <w:t>)</w:t>
      </w:r>
    </w:p>
    <w:p w:rsidR="00450C28" w:rsidRDefault="00450C28">
      <w:pPr>
        <w:pStyle w:val="Amainbullet"/>
        <w:suppressLineNumbers/>
        <w:tabs>
          <w:tab w:val="left" w:pos="1500"/>
        </w:tabs>
      </w:pPr>
      <w:r>
        <w:rPr>
          <w:rFonts w:ascii="Symbol" w:hAnsi="Symbol"/>
          <w:sz w:val="20"/>
        </w:rPr>
        <w:t></w:t>
      </w:r>
      <w:r>
        <w:rPr>
          <w:rFonts w:ascii="Symbol" w:hAnsi="Symbol"/>
          <w:sz w:val="20"/>
        </w:rPr>
        <w:tab/>
      </w:r>
      <w:r>
        <w:t>division 3.4 (Release of bond money).</w:t>
      </w:r>
    </w:p>
    <w:p w:rsidR="00450C28" w:rsidRDefault="00450C28">
      <w:pPr>
        <w:pStyle w:val="PageBreak"/>
      </w:pPr>
      <w:r>
        <w:br w:type="page"/>
      </w:r>
    </w:p>
    <w:p w:rsidR="00BD3FB2" w:rsidRPr="001403E0" w:rsidRDefault="00BD3FB2" w:rsidP="00BD3FB2">
      <w:pPr>
        <w:pStyle w:val="AH2Part"/>
      </w:pPr>
      <w:bookmarkStart w:id="143" w:name="_Toc23417950"/>
      <w:r w:rsidRPr="001403E0">
        <w:rPr>
          <w:rStyle w:val="CharPartNo"/>
        </w:rPr>
        <w:lastRenderedPageBreak/>
        <w:t>Part 6</w:t>
      </w:r>
      <w:r>
        <w:tab/>
      </w:r>
      <w:r w:rsidRPr="001403E0">
        <w:rPr>
          <w:rStyle w:val="CharPartText"/>
        </w:rPr>
        <w:t>Resolution of residential tenancy and occupancy disputes</w:t>
      </w:r>
      <w:bookmarkEnd w:id="143"/>
    </w:p>
    <w:p w:rsidR="00BD3FB2" w:rsidRPr="001403E0" w:rsidRDefault="00BD3FB2" w:rsidP="00BD3FB2">
      <w:pPr>
        <w:pStyle w:val="AH3Div"/>
      </w:pPr>
      <w:bookmarkStart w:id="144" w:name="_Toc23417951"/>
      <w:r w:rsidRPr="001403E0">
        <w:rPr>
          <w:rStyle w:val="CharDivNo"/>
        </w:rPr>
        <w:t>Division 6.1</w:t>
      </w:r>
      <w:r>
        <w:tab/>
      </w:r>
      <w:r w:rsidRPr="001403E0">
        <w:rPr>
          <w:rStyle w:val="CharDivText"/>
        </w:rPr>
        <w:t>Important concepts</w:t>
      </w:r>
      <w:bookmarkEnd w:id="144"/>
    </w:p>
    <w:p w:rsidR="00BD3FB2" w:rsidRDefault="00BD3FB2" w:rsidP="00BD3FB2">
      <w:pPr>
        <w:pStyle w:val="AH5Sec"/>
      </w:pPr>
      <w:bookmarkStart w:id="145" w:name="_Toc23417952"/>
      <w:r w:rsidRPr="001403E0">
        <w:rPr>
          <w:rStyle w:val="CharSectNo"/>
        </w:rPr>
        <w:t>72</w:t>
      </w:r>
      <w:r>
        <w:tab/>
        <w:t xml:space="preserve">Meaning of </w:t>
      </w:r>
      <w:r w:rsidRPr="009D74E7">
        <w:rPr>
          <w:rStyle w:val="charItals"/>
        </w:rPr>
        <w:t>tenancy dispute</w:t>
      </w:r>
      <w:bookmarkEnd w:id="145"/>
    </w:p>
    <w:p w:rsidR="00BD3FB2" w:rsidRDefault="00BD3FB2" w:rsidP="00BD3FB2">
      <w:pPr>
        <w:pStyle w:val="Amain"/>
      </w:pPr>
      <w:r>
        <w:tab/>
        <w:t>(1)</w:t>
      </w:r>
      <w:r>
        <w:tab/>
        <w:t xml:space="preserve">For this Act, a dispute is a </w:t>
      </w:r>
      <w:r w:rsidRPr="009D74E7">
        <w:rPr>
          <w:rStyle w:val="charBoldItals"/>
        </w:rPr>
        <w:t>tenancy dispute</w:t>
      </w:r>
      <w:r>
        <w:t xml:space="preserve"> if it—</w:t>
      </w:r>
    </w:p>
    <w:p w:rsidR="00BD3FB2" w:rsidRDefault="00BD3FB2" w:rsidP="00BD3FB2">
      <w:pPr>
        <w:pStyle w:val="Apara"/>
      </w:pPr>
      <w:r>
        <w:tab/>
        <w:t>(a)</w:t>
      </w:r>
      <w:r>
        <w:tab/>
        <w:t>is between the parties to a residential tenancy agreement; and</w:t>
      </w:r>
    </w:p>
    <w:p w:rsidR="00BD3FB2" w:rsidRDefault="00BD3FB2" w:rsidP="00BD3FB2">
      <w:pPr>
        <w:pStyle w:val="Apara"/>
      </w:pPr>
      <w:r>
        <w:tab/>
        <w:t>(b)</w:t>
      </w:r>
      <w:r>
        <w:tab/>
        <w:t>is about, arises from, or relates to, the agreement.</w:t>
      </w:r>
    </w:p>
    <w:p w:rsidR="00BD3FB2" w:rsidRDefault="00BD3FB2" w:rsidP="00BD3FB2">
      <w:pPr>
        <w:pStyle w:val="Amain"/>
      </w:pPr>
      <w:r>
        <w:tab/>
        <w:t>(2)</w:t>
      </w:r>
      <w:r>
        <w:tab/>
        <w:t xml:space="preserve">A </w:t>
      </w:r>
      <w:r w:rsidRPr="009D74E7">
        <w:rPr>
          <w:rStyle w:val="charBoldItals"/>
        </w:rPr>
        <w:t>tenancy dispute</w:t>
      </w:r>
      <w:r>
        <w:t xml:space="preserve"> includes—</w:t>
      </w:r>
    </w:p>
    <w:p w:rsidR="00BD3FB2" w:rsidRDefault="00BD3FB2" w:rsidP="00BD3FB2">
      <w:pPr>
        <w:pStyle w:val="Apara"/>
      </w:pPr>
      <w:r>
        <w:tab/>
        <w:t>(a)</w:t>
      </w:r>
      <w:r>
        <w:tab/>
        <w:t>a dispute if an application relating to the dispute may be made under part 4 (Termination of residential tenancy agreements) or part 5 (Rental rate increases); and</w:t>
      </w:r>
    </w:p>
    <w:p w:rsidR="00BD3FB2" w:rsidRDefault="00BD3FB2" w:rsidP="00BD3FB2">
      <w:pPr>
        <w:pStyle w:val="Apara"/>
      </w:pPr>
      <w:r>
        <w:tab/>
        <w:t>(b)</w:t>
      </w:r>
      <w:r>
        <w:tab/>
        <w:t>an application for compensation under this Act.</w:t>
      </w:r>
    </w:p>
    <w:p w:rsidR="00BD3FB2" w:rsidRDefault="00BD3FB2" w:rsidP="00BD3FB2">
      <w:pPr>
        <w:pStyle w:val="AH5Sec"/>
      </w:pPr>
      <w:bookmarkStart w:id="146" w:name="_Toc23417953"/>
      <w:r w:rsidRPr="001403E0">
        <w:rPr>
          <w:rStyle w:val="CharSectNo"/>
        </w:rPr>
        <w:t>73</w:t>
      </w:r>
      <w:r>
        <w:tab/>
        <w:t xml:space="preserve">Meaning of </w:t>
      </w:r>
      <w:r w:rsidRPr="009D74E7">
        <w:rPr>
          <w:rStyle w:val="charItals"/>
        </w:rPr>
        <w:t>occupancy dispute</w:t>
      </w:r>
      <w:bookmarkEnd w:id="146"/>
    </w:p>
    <w:p w:rsidR="00BD3FB2" w:rsidRDefault="00BD3FB2" w:rsidP="00BD3FB2">
      <w:pPr>
        <w:pStyle w:val="Amainreturn"/>
      </w:pPr>
      <w:r>
        <w:t xml:space="preserve">For this Act, a dispute is an </w:t>
      </w:r>
      <w:r w:rsidRPr="009D74E7">
        <w:rPr>
          <w:rStyle w:val="charBoldItals"/>
        </w:rPr>
        <w:t>occupancy dispute</w:t>
      </w:r>
      <w:r>
        <w:t xml:space="preserve"> if it—</w:t>
      </w:r>
    </w:p>
    <w:p w:rsidR="00BD3FB2" w:rsidRDefault="00BD3FB2" w:rsidP="00BD3FB2">
      <w:pPr>
        <w:pStyle w:val="Apara"/>
      </w:pPr>
      <w:r>
        <w:tab/>
        <w:t>(a)</w:t>
      </w:r>
      <w:r>
        <w:tab/>
        <w:t>is between the parties to an occupancy agreement; and</w:t>
      </w:r>
    </w:p>
    <w:p w:rsidR="00BD3FB2" w:rsidRDefault="00BD3FB2" w:rsidP="00BD3FB2">
      <w:pPr>
        <w:pStyle w:val="Apara"/>
      </w:pPr>
      <w:r>
        <w:tab/>
        <w:t>(b)</w:t>
      </w:r>
      <w:r>
        <w:tab/>
        <w:t>is about, or relates to, the agreement.</w:t>
      </w:r>
    </w:p>
    <w:p w:rsidR="00BD3FB2" w:rsidRDefault="00BD3FB2" w:rsidP="00BD3FB2">
      <w:pPr>
        <w:pStyle w:val="AH5Sec"/>
      </w:pPr>
      <w:bookmarkStart w:id="147" w:name="_Toc23417954"/>
      <w:r w:rsidRPr="001403E0">
        <w:rPr>
          <w:rStyle w:val="CharSectNo"/>
        </w:rPr>
        <w:t>74</w:t>
      </w:r>
      <w:r>
        <w:tab/>
        <w:t>ACAT to have regard to occupancy principles</w:t>
      </w:r>
      <w:bookmarkEnd w:id="147"/>
    </w:p>
    <w:p w:rsidR="00BD3FB2" w:rsidRDefault="00BD3FB2" w:rsidP="00BD3FB2">
      <w:pPr>
        <w:pStyle w:val="Amainreturn"/>
      </w:pPr>
      <w:r>
        <w:rPr>
          <w:noProof/>
        </w:rPr>
        <w:t>I</w:t>
      </w:r>
      <w:r>
        <w:t>n considering a matter, or making a decision, under this part in relation to an occupancy dispute, the ACAT must have regard to the occupancy principles.</w:t>
      </w:r>
    </w:p>
    <w:p w:rsidR="00BD3FB2" w:rsidRPr="001403E0" w:rsidRDefault="00BD3FB2" w:rsidP="00BD3FB2">
      <w:pPr>
        <w:pStyle w:val="AH3Div"/>
      </w:pPr>
      <w:bookmarkStart w:id="148" w:name="_Toc23417955"/>
      <w:r w:rsidRPr="001403E0">
        <w:rPr>
          <w:rStyle w:val="CharDivNo"/>
        </w:rPr>
        <w:lastRenderedPageBreak/>
        <w:t>Division 6.2</w:t>
      </w:r>
      <w:r>
        <w:tab/>
      </w:r>
      <w:r w:rsidRPr="001403E0">
        <w:rPr>
          <w:rStyle w:val="CharDivText"/>
        </w:rPr>
        <w:t>Action by registrar</w:t>
      </w:r>
      <w:bookmarkEnd w:id="148"/>
    </w:p>
    <w:p w:rsidR="00BD3FB2" w:rsidRDefault="00BD3FB2" w:rsidP="00BD3FB2">
      <w:pPr>
        <w:pStyle w:val="AH5Sec"/>
      </w:pPr>
      <w:bookmarkStart w:id="149" w:name="_Toc23417956"/>
      <w:r w:rsidRPr="001403E0">
        <w:rPr>
          <w:rStyle w:val="CharSectNo"/>
        </w:rPr>
        <w:t>75</w:t>
      </w:r>
      <w:r>
        <w:tab/>
        <w:t>Assistance with inquiries about residential tenancy and occupancy agreements</w:t>
      </w:r>
      <w:bookmarkEnd w:id="149"/>
    </w:p>
    <w:p w:rsidR="00BD3FB2" w:rsidRDefault="00BD3FB2" w:rsidP="00BD3FB2">
      <w:pPr>
        <w:pStyle w:val="Amainreturn"/>
      </w:pPr>
      <w:r>
        <w:t>The registrar may give the assistance the registrar considers appropriate in relation to an inquiry about a residential tenancy agreement or occupancy agreement, including—</w:t>
      </w:r>
    </w:p>
    <w:p w:rsidR="00BD3FB2" w:rsidRDefault="00BD3FB2" w:rsidP="00BD3FB2">
      <w:pPr>
        <w:pStyle w:val="Apara"/>
      </w:pPr>
      <w:r>
        <w:tab/>
        <w:t>(a)</w:t>
      </w:r>
      <w:r>
        <w:tab/>
        <w:t>referring the person making the inquiry to services provided by the public or private sector that give advice about residential tenancy or occupancy matters generally; and</w:t>
      </w:r>
    </w:p>
    <w:p w:rsidR="00BD3FB2" w:rsidRDefault="00BD3FB2" w:rsidP="00BD3FB2">
      <w:pPr>
        <w:pStyle w:val="Apara"/>
      </w:pPr>
      <w:r>
        <w:tab/>
        <w:t>(b)</w:t>
      </w:r>
      <w:r>
        <w:tab/>
        <w:t>referring the person to services provided by the public or private sector for the resolution of tenancy disputes or occupancy disputes.</w:t>
      </w:r>
    </w:p>
    <w:p w:rsidR="00BD3FB2" w:rsidRDefault="00BD3FB2" w:rsidP="00BD3FB2">
      <w:pPr>
        <w:pStyle w:val="aNote"/>
      </w:pPr>
      <w:r w:rsidRPr="009D74E7">
        <w:rPr>
          <w:rStyle w:val="charItals"/>
        </w:rPr>
        <w:t>Note</w:t>
      </w:r>
      <w:r w:rsidRPr="009D74E7">
        <w:rPr>
          <w:rStyle w:val="charItals"/>
        </w:rPr>
        <w:tab/>
      </w:r>
      <w:r>
        <w:t xml:space="preserve">The registrar may also help a person make an application to the ACAT (see </w:t>
      </w:r>
      <w:hyperlink r:id="rId54" w:tooltip="A2008-35" w:history="1">
        <w:r w:rsidR="009D74E7" w:rsidRPr="009D74E7">
          <w:rPr>
            <w:rStyle w:val="charCitHyperlinkItal"/>
          </w:rPr>
          <w:t>ACT Civil and Administrative Tribunal Act 2008</w:t>
        </w:r>
      </w:hyperlink>
      <w:r>
        <w:t>, s 13).</w:t>
      </w:r>
    </w:p>
    <w:p w:rsidR="00F42AEF" w:rsidRDefault="00F42AEF">
      <w:pPr>
        <w:pStyle w:val="02Text"/>
        <w:sectPr w:rsidR="00F42AEF">
          <w:headerReference w:type="even" r:id="rId55"/>
          <w:headerReference w:type="default" r:id="rId56"/>
          <w:footerReference w:type="even" r:id="rId57"/>
          <w:footerReference w:type="default" r:id="rId58"/>
          <w:footerReference w:type="first" r:id="rId59"/>
          <w:pgSz w:w="11907" w:h="16839" w:code="9"/>
          <w:pgMar w:top="3880" w:right="1900" w:bottom="3100" w:left="2300" w:header="2280" w:footer="1760" w:gutter="0"/>
          <w:pgNumType w:start="1"/>
          <w:cols w:space="720"/>
          <w:titlePg/>
          <w:docGrid w:linePitch="254"/>
        </w:sectPr>
      </w:pPr>
    </w:p>
    <w:p w:rsidR="00BD3FB2" w:rsidRPr="001403E0" w:rsidRDefault="00BD3FB2" w:rsidP="00BD3FB2">
      <w:pPr>
        <w:pStyle w:val="AH3Div"/>
      </w:pPr>
      <w:bookmarkStart w:id="150" w:name="_Toc23417957"/>
      <w:r w:rsidRPr="001403E0">
        <w:rPr>
          <w:rStyle w:val="CharDivNo"/>
        </w:rPr>
        <w:t>Division 6.3</w:t>
      </w:r>
      <w:r>
        <w:tab/>
      </w:r>
      <w:r w:rsidRPr="001403E0">
        <w:rPr>
          <w:rStyle w:val="CharDivText"/>
        </w:rPr>
        <w:t>Jurisdiction of ACAT—this Act, standard residential tenancy terms and standard occupancy terms</w:t>
      </w:r>
      <w:bookmarkEnd w:id="150"/>
    </w:p>
    <w:p w:rsidR="00BD3FB2" w:rsidRDefault="00BD3FB2" w:rsidP="00D06DF6">
      <w:pPr>
        <w:pStyle w:val="AH5Sec"/>
      </w:pPr>
      <w:bookmarkStart w:id="151" w:name="_Toc23417958"/>
      <w:r w:rsidRPr="001403E0">
        <w:rPr>
          <w:rStyle w:val="CharSectNo"/>
        </w:rPr>
        <w:t>76</w:t>
      </w:r>
      <w:r>
        <w:tab/>
        <w:t>Jurisdiction of ACAT under this Act etc</w:t>
      </w:r>
      <w:bookmarkEnd w:id="151"/>
    </w:p>
    <w:p w:rsidR="00BD3FB2" w:rsidRDefault="00BD3FB2" w:rsidP="00BD3FB2">
      <w:pPr>
        <w:pStyle w:val="Amain"/>
      </w:pPr>
      <w:r>
        <w:tab/>
        <w:t>(1)</w:t>
      </w:r>
      <w:r>
        <w:tab/>
        <w:t>The ACAT has exclusive jurisdiction to hear and decide any matter that may be the subject of an application to the ACAT under—</w:t>
      </w:r>
    </w:p>
    <w:p w:rsidR="00BD3FB2" w:rsidRDefault="00BD3FB2" w:rsidP="00BD3FB2">
      <w:pPr>
        <w:pStyle w:val="Apara"/>
      </w:pPr>
      <w:r>
        <w:tab/>
        <w:t>(a)</w:t>
      </w:r>
      <w:r>
        <w:tab/>
        <w:t>this Act; or</w:t>
      </w:r>
    </w:p>
    <w:p w:rsidR="00BD3FB2" w:rsidRDefault="00BD3FB2" w:rsidP="00BD3FB2">
      <w:pPr>
        <w:pStyle w:val="Apara"/>
      </w:pPr>
      <w:r>
        <w:tab/>
        <w:t>(b)</w:t>
      </w:r>
      <w:r>
        <w:tab/>
        <w:t>the standard residential tenancy terms; or</w:t>
      </w:r>
    </w:p>
    <w:p w:rsidR="00BD3FB2" w:rsidRDefault="00BD3FB2" w:rsidP="00BD3FB2">
      <w:pPr>
        <w:pStyle w:val="Apara"/>
      </w:pPr>
      <w:r>
        <w:tab/>
        <w:t>(c)</w:t>
      </w:r>
      <w:r>
        <w:tab/>
        <w:t>the standard occupancy terms.</w:t>
      </w:r>
    </w:p>
    <w:p w:rsidR="00BD3FB2" w:rsidRDefault="00BD3FB2" w:rsidP="00BD3FB2">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0" w:tooltip="A2001-14" w:history="1">
        <w:r w:rsidR="009D74E7" w:rsidRPr="009D74E7">
          <w:rPr>
            <w:rStyle w:val="charCitHyperlinkAbbrev"/>
          </w:rPr>
          <w:t>Legislation Act</w:t>
        </w:r>
      </w:hyperlink>
      <w:r>
        <w:t>, s 104).</w:t>
      </w:r>
    </w:p>
    <w:p w:rsidR="00BD3FB2" w:rsidRDefault="00BD3FB2" w:rsidP="00E76814">
      <w:pPr>
        <w:pStyle w:val="Amain"/>
        <w:keepNext/>
      </w:pPr>
      <w:r>
        <w:lastRenderedPageBreak/>
        <w:tab/>
        <w:t>(2)</w:t>
      </w:r>
      <w:r>
        <w:tab/>
        <w:t>However, the ACAT does not have jurisdiction to make an order for—</w:t>
      </w:r>
    </w:p>
    <w:p w:rsidR="00BD3FB2" w:rsidRDefault="00BD3FB2" w:rsidP="00BD3FB2">
      <w:pPr>
        <w:pStyle w:val="Apara"/>
      </w:pPr>
      <w:r>
        <w:tab/>
        <w:t>(a)</w:t>
      </w:r>
      <w:r>
        <w:tab/>
        <w:t>the payment of an amount that is more than $25 000; or</w:t>
      </w:r>
    </w:p>
    <w:p w:rsidR="00BD3FB2" w:rsidRDefault="00BD3FB2" w:rsidP="00BD3FB2">
      <w:pPr>
        <w:pStyle w:val="Apara"/>
      </w:pPr>
      <w:r>
        <w:tab/>
        <w:t>(b)</w:t>
      </w:r>
      <w:r>
        <w:tab/>
        <w:t>work of a value that is more than $25 000.</w:t>
      </w:r>
    </w:p>
    <w:p w:rsidR="00BD3FB2" w:rsidRDefault="00BD3FB2" w:rsidP="00BD3FB2">
      <w:pPr>
        <w:pStyle w:val="Amain"/>
      </w:pPr>
      <w:r>
        <w:tab/>
        <w:t>(3)</w:t>
      </w:r>
      <w:r>
        <w:tab/>
        <w:t>This section is subject to—</w:t>
      </w:r>
    </w:p>
    <w:p w:rsidR="00BD3FB2" w:rsidRDefault="00BD3FB2" w:rsidP="00BD3FB2">
      <w:pPr>
        <w:pStyle w:val="Apara"/>
      </w:pPr>
      <w:r>
        <w:tab/>
        <w:t>(a)</w:t>
      </w:r>
      <w:r>
        <w:tab/>
        <w:t>section 78 (Extended jurisdiction of ACAT with agreement of parties); and</w:t>
      </w:r>
    </w:p>
    <w:p w:rsidR="00BD3FB2" w:rsidRDefault="00BD3FB2" w:rsidP="00BD3FB2">
      <w:pPr>
        <w:pStyle w:val="Apara"/>
      </w:pPr>
      <w:r>
        <w:tab/>
        <w:t>(b)</w:t>
      </w:r>
      <w:r>
        <w:tab/>
        <w:t xml:space="preserve">the </w:t>
      </w:r>
      <w:hyperlink r:id="rId61" w:tooltip="Act 1988 No 106 (Cwlth)" w:history="1">
        <w:r w:rsidR="00C46EB3" w:rsidRPr="00C46EB3">
          <w:rPr>
            <w:rStyle w:val="charCitHyperlinkAbbrev"/>
          </w:rPr>
          <w:t>Self-Government Act</w:t>
        </w:r>
      </w:hyperlink>
      <w:r>
        <w:t>, section 48A (Jurisdiction and powers of the Supreme Court).</w:t>
      </w:r>
    </w:p>
    <w:p w:rsidR="00BD3FB2" w:rsidRDefault="00BD3FB2" w:rsidP="00BD3FB2">
      <w:pPr>
        <w:pStyle w:val="aNote"/>
        <w:keepNext/>
      </w:pPr>
      <w:r>
        <w:rPr>
          <w:rStyle w:val="charItals"/>
        </w:rPr>
        <w:t>Note</w:t>
      </w:r>
      <w:r>
        <w:rPr>
          <w:rStyle w:val="charItals"/>
        </w:rPr>
        <w:tab/>
      </w:r>
      <w:r>
        <w:t xml:space="preserve">The </w:t>
      </w:r>
      <w:hyperlink r:id="rId62" w:tooltip="Act 1988 No 106 (Cwlth)" w:history="1">
        <w:r w:rsidR="00C46EB3" w:rsidRPr="00C46EB3">
          <w:rPr>
            <w:rStyle w:val="charCitHyperlinkAbbrev"/>
          </w:rPr>
          <w:t>Self-Government Act</w:t>
        </w:r>
      </w:hyperlink>
      <w:r>
        <w:t>, s 48A provides as follows:</w:t>
      </w:r>
    </w:p>
    <w:p w:rsidR="00BD3FB2" w:rsidRDefault="00BD3FB2" w:rsidP="00BD3FB2">
      <w:pPr>
        <w:pStyle w:val="aNotePara"/>
        <w:ind w:left="2394" w:hanging="1294"/>
      </w:pPr>
      <w:r>
        <w:tab/>
        <w:t>(1)</w:t>
      </w:r>
      <w:r>
        <w:tab/>
        <w:t>The Supreme Court is to have all original and appellate jurisdiction that is necessary for the administration of justice in the Territory.</w:t>
      </w:r>
    </w:p>
    <w:p w:rsidR="00BD3FB2" w:rsidRDefault="00BD3FB2" w:rsidP="00BD3FB2">
      <w:pPr>
        <w:pStyle w:val="aNotePara"/>
        <w:ind w:left="2394" w:hanging="1294"/>
      </w:pPr>
      <w:r>
        <w:tab/>
        <w:t>(2)</w:t>
      </w:r>
      <w:r>
        <w:tab/>
        <w:t>In addition, the Supreme Court may have such further jurisdiction as is conferred on it by any Act, enactment or Ordinance, or any law made under any Act, enactment or Ordinance.</w:t>
      </w:r>
    </w:p>
    <w:p w:rsidR="00BD3FB2" w:rsidRDefault="00BD3FB2" w:rsidP="00BD3FB2">
      <w:pPr>
        <w:pStyle w:val="aNotePara"/>
        <w:ind w:left="2394" w:hanging="1294"/>
      </w:pPr>
      <w:r>
        <w:tab/>
        <w:t>(3)</w:t>
      </w:r>
      <w:r>
        <w:tab/>
        <w:t>The Supreme Court is not bound to exercise any powers where it has concurrent jurisdiction with another court or tribunal.</w:t>
      </w:r>
    </w:p>
    <w:p w:rsidR="00BD3FB2" w:rsidRDefault="00BD3FB2" w:rsidP="00BD3FB2">
      <w:pPr>
        <w:pStyle w:val="AH5Sec"/>
      </w:pPr>
      <w:bookmarkStart w:id="152" w:name="_Toc23417959"/>
      <w:r w:rsidRPr="001403E0">
        <w:rPr>
          <w:rStyle w:val="CharSectNo"/>
        </w:rPr>
        <w:t>77</w:t>
      </w:r>
      <w:r>
        <w:tab/>
        <w:t>Saving of court jurisdiction</w:t>
      </w:r>
      <w:bookmarkEnd w:id="152"/>
    </w:p>
    <w:p w:rsidR="00BD3FB2" w:rsidRDefault="00BD3FB2" w:rsidP="00BD3FB2">
      <w:pPr>
        <w:pStyle w:val="Amain"/>
      </w:pPr>
      <w:r>
        <w:tab/>
        <w:t>(1)</w:t>
      </w:r>
      <w:r>
        <w:tab/>
        <w:t>A claim for payment of an amount, or for work of a value, that is more than $10 000 may be made in a court competent to hear and decide claims based on contract for the amount claimed.</w:t>
      </w:r>
    </w:p>
    <w:p w:rsidR="00BD3FB2" w:rsidRDefault="00BD3FB2" w:rsidP="00BD3FB2">
      <w:pPr>
        <w:pStyle w:val="Amain"/>
      </w:pPr>
      <w:r>
        <w:tab/>
        <w:t>(2)</w:t>
      </w:r>
      <w:r>
        <w:tab/>
        <w:t>If a claim mentioned in subsection (1) may be made—</w:t>
      </w:r>
    </w:p>
    <w:p w:rsidR="00BD3FB2" w:rsidRDefault="00BD3FB2" w:rsidP="00BD3FB2">
      <w:pPr>
        <w:pStyle w:val="Apara"/>
      </w:pPr>
      <w:r>
        <w:tab/>
        <w:t>(a)</w:t>
      </w:r>
      <w:r>
        <w:tab/>
        <w:t>the claimant may also make any other claim related to the relevant tenancy dispute or occupancy dispute; and</w:t>
      </w:r>
    </w:p>
    <w:p w:rsidR="00BD3FB2" w:rsidRDefault="00BD3FB2" w:rsidP="00BD3FB2">
      <w:pPr>
        <w:pStyle w:val="Apara"/>
      </w:pPr>
      <w:r>
        <w:tab/>
        <w:t>(b)</w:t>
      </w:r>
      <w:r>
        <w:tab/>
        <w:t>the court in which the proceeding is brought may exercise the powers of the ACAT under this Act.</w:t>
      </w:r>
    </w:p>
    <w:p w:rsidR="00BD3FB2" w:rsidRDefault="00BD3FB2" w:rsidP="00BD3FB2">
      <w:pPr>
        <w:pStyle w:val="Amain"/>
      </w:pPr>
      <w:r>
        <w:tab/>
        <w:t>(3)</w:t>
      </w:r>
      <w:r>
        <w:tab/>
        <w:t>This section has effect despite section 76.</w:t>
      </w:r>
    </w:p>
    <w:p w:rsidR="00BD3FB2" w:rsidRDefault="00BD3FB2" w:rsidP="00BD3FB2">
      <w:pPr>
        <w:pStyle w:val="AH5Sec"/>
      </w:pPr>
      <w:bookmarkStart w:id="153" w:name="_Toc23417960"/>
      <w:r w:rsidRPr="001403E0">
        <w:rPr>
          <w:rStyle w:val="CharSectNo"/>
        </w:rPr>
        <w:lastRenderedPageBreak/>
        <w:t>78</w:t>
      </w:r>
      <w:r>
        <w:tab/>
        <w:t>Extended jurisdiction of ACAT with agreement of parties</w:t>
      </w:r>
      <w:bookmarkEnd w:id="153"/>
    </w:p>
    <w:p w:rsidR="00BD3FB2" w:rsidRDefault="00BD3FB2" w:rsidP="00E76814">
      <w:pPr>
        <w:pStyle w:val="Amain"/>
        <w:keepNext/>
      </w:pPr>
      <w:r>
        <w:tab/>
        <w:t>(1)</w:t>
      </w:r>
      <w:r>
        <w:tab/>
        <w:t>This section applies if—</w:t>
      </w:r>
    </w:p>
    <w:p w:rsidR="00BD3FB2" w:rsidRDefault="00BD3FB2" w:rsidP="00BD3FB2">
      <w:pPr>
        <w:pStyle w:val="Apara"/>
      </w:pPr>
      <w:r>
        <w:tab/>
        <w:t>(a)</w:t>
      </w:r>
      <w:r>
        <w:tab/>
        <w:t xml:space="preserve">an application (the </w:t>
      </w:r>
      <w:r>
        <w:rPr>
          <w:rStyle w:val="charBoldItals"/>
        </w:rPr>
        <w:t>original application</w:t>
      </w:r>
      <w:r>
        <w:t>) is made to the ACAT under—</w:t>
      </w:r>
    </w:p>
    <w:p w:rsidR="00BD3FB2" w:rsidRDefault="00BD3FB2" w:rsidP="00BD3FB2">
      <w:pPr>
        <w:pStyle w:val="Asubpara"/>
      </w:pPr>
      <w:r>
        <w:tab/>
        <w:t>(i)</w:t>
      </w:r>
      <w:r>
        <w:tab/>
        <w:t>this Act; or</w:t>
      </w:r>
    </w:p>
    <w:p w:rsidR="00BD3FB2" w:rsidRDefault="00BD3FB2" w:rsidP="00BD3FB2">
      <w:pPr>
        <w:pStyle w:val="Asubpara"/>
      </w:pPr>
      <w:r>
        <w:tab/>
        <w:t>(ii)</w:t>
      </w:r>
      <w:r>
        <w:tab/>
        <w:t>the standard residential tenancy terms; or</w:t>
      </w:r>
    </w:p>
    <w:p w:rsidR="00BD3FB2" w:rsidRDefault="00BD3FB2" w:rsidP="00BD3FB2">
      <w:pPr>
        <w:pStyle w:val="Asubpara"/>
      </w:pPr>
      <w:r>
        <w:tab/>
        <w:t>(iii)</w:t>
      </w:r>
      <w:r>
        <w:tab/>
        <w:t>the standard occupancy terms; and</w:t>
      </w:r>
    </w:p>
    <w:p w:rsidR="00BD3FB2" w:rsidRDefault="00BD3FB2" w:rsidP="00BD3FB2">
      <w:pPr>
        <w:pStyle w:val="aNotepar"/>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3" w:tooltip="A2001-14" w:history="1">
        <w:r w:rsidR="009D74E7" w:rsidRPr="009D74E7">
          <w:rPr>
            <w:rStyle w:val="charCitHyperlinkAbbrev"/>
          </w:rPr>
          <w:t>Legislation Act</w:t>
        </w:r>
      </w:hyperlink>
      <w:r>
        <w:t>, s 104).</w:t>
      </w:r>
    </w:p>
    <w:p w:rsidR="00BD3FB2" w:rsidRDefault="00BD3FB2" w:rsidP="00BD3FB2">
      <w:pPr>
        <w:pStyle w:val="Apara"/>
      </w:pPr>
      <w:r>
        <w:tab/>
        <w:t>(b)</w:t>
      </w:r>
      <w:r>
        <w:tab/>
        <w:t>the parties to the proceeding agree to the ACAT exercising extended jurisdiction under this section.</w:t>
      </w:r>
    </w:p>
    <w:p w:rsidR="00BD3FB2" w:rsidRDefault="00BD3FB2" w:rsidP="00AC4E9F">
      <w:pPr>
        <w:pStyle w:val="Amain"/>
        <w:keepNext/>
      </w:pPr>
      <w:r>
        <w:tab/>
        <w:t>(2)</w:t>
      </w:r>
      <w:r>
        <w:tab/>
        <w:t>The ACAT has jurisdiction (</w:t>
      </w:r>
      <w:r>
        <w:rPr>
          <w:rStyle w:val="charBoldItals"/>
        </w:rPr>
        <w:t>extended jurisdiction</w:t>
      </w:r>
      <w:r>
        <w:t>) to hear and decide any matter that—</w:t>
      </w:r>
    </w:p>
    <w:p w:rsidR="00BD3FB2" w:rsidRDefault="00BD3FB2" w:rsidP="00BD3FB2">
      <w:pPr>
        <w:pStyle w:val="Apara"/>
      </w:pPr>
      <w:r>
        <w:tab/>
        <w:t>(a)</w:t>
      </w:r>
      <w:r>
        <w:tab/>
        <w:t>arises out of, or is ancillary to, the dispute that gave rise to the original application; and</w:t>
      </w:r>
    </w:p>
    <w:p w:rsidR="00BD3FB2" w:rsidRDefault="00BD3FB2" w:rsidP="00BD3FB2">
      <w:pPr>
        <w:pStyle w:val="Apara"/>
      </w:pPr>
      <w:r>
        <w:tab/>
        <w:t>(b)</w:t>
      </w:r>
      <w:r>
        <w:tab/>
        <w:t xml:space="preserve">the Magistrates Court has jurisdiction to hear and decide under the </w:t>
      </w:r>
      <w:hyperlink r:id="rId64" w:tooltip="A1930-21" w:history="1">
        <w:r w:rsidR="009D74E7" w:rsidRPr="009D74E7">
          <w:rPr>
            <w:rStyle w:val="charCitHyperlinkItal"/>
          </w:rPr>
          <w:t>Magistrates Court Act 1930</w:t>
        </w:r>
      </w:hyperlink>
      <w:r>
        <w:t>, part 4.2 (Civil jurisdiction).</w:t>
      </w:r>
    </w:p>
    <w:p w:rsidR="00BD3FB2" w:rsidRDefault="00BD3FB2" w:rsidP="00BD3FB2">
      <w:pPr>
        <w:pStyle w:val="Amain"/>
      </w:pPr>
      <w:r>
        <w:tab/>
        <w:t>(3)</w:t>
      </w:r>
      <w:r>
        <w:tab/>
        <w:t xml:space="preserve">If the ACAT is exercising extended jurisdiction, the ACAT has the same jurisdiction and powers as the Magistrates Court has under the </w:t>
      </w:r>
      <w:hyperlink r:id="rId65" w:tooltip="A1930-21" w:history="1">
        <w:r w:rsidR="009D74E7" w:rsidRPr="009D74E7">
          <w:rPr>
            <w:rStyle w:val="charCitHyperlinkItal"/>
          </w:rPr>
          <w:t>Magistrates Court Act 1930</w:t>
        </w:r>
      </w:hyperlink>
      <w:r>
        <w:t>, part 4.2 (Civil jurisdiction).</w:t>
      </w:r>
    </w:p>
    <w:p w:rsidR="00BD3FB2" w:rsidRDefault="00BD3FB2" w:rsidP="00BD3FB2">
      <w:pPr>
        <w:pStyle w:val="aNote"/>
      </w:pPr>
      <w:r>
        <w:rPr>
          <w:rStyle w:val="charItals"/>
        </w:rPr>
        <w:t>Note</w:t>
      </w:r>
      <w:r>
        <w:rPr>
          <w:rStyle w:val="charItals"/>
        </w:rPr>
        <w:tab/>
      </w:r>
      <w:r>
        <w:t>The Magistrates Court has jurisdiction to hear and decide any personal action at law if the amount claimed is not more than $</w:t>
      </w:r>
      <w:r w:rsidR="00D557E8">
        <w:t>2</w:t>
      </w:r>
      <w:r>
        <w:t xml:space="preserve">50 000 (see </w:t>
      </w:r>
      <w:hyperlink r:id="rId66" w:tooltip="A1930-21" w:history="1">
        <w:r w:rsidR="009D74E7" w:rsidRPr="009D74E7">
          <w:rPr>
            <w:rStyle w:val="charCitHyperlinkItal"/>
          </w:rPr>
          <w:t>Magistrates Court Act 1930</w:t>
        </w:r>
      </w:hyperlink>
      <w:r>
        <w:t>, s 257).</w:t>
      </w:r>
    </w:p>
    <w:p w:rsidR="00BD3FB2" w:rsidRDefault="00BD3FB2" w:rsidP="00BD3FB2">
      <w:pPr>
        <w:pStyle w:val="Amain"/>
      </w:pPr>
      <w:r>
        <w:tab/>
        <w:t>(4)</w:t>
      </w:r>
      <w:r>
        <w:tab/>
        <w:t xml:space="preserve">However, a provision of the </w:t>
      </w:r>
      <w:hyperlink r:id="rId67" w:tooltip="A1930-21" w:history="1">
        <w:r w:rsidR="009D74E7" w:rsidRPr="009D74E7">
          <w:rPr>
            <w:rStyle w:val="charCitHyperlinkItal"/>
          </w:rPr>
          <w:t>Magistrates Court Act 1930</w:t>
        </w:r>
      </w:hyperlink>
      <w:r>
        <w:t xml:space="preserve">, part 4.2 prescribed by a rule under the </w:t>
      </w:r>
      <w:hyperlink r:id="rId68" w:tooltip="A2008-35" w:history="1">
        <w:r w:rsidR="009D74E7" w:rsidRPr="009D74E7">
          <w:rPr>
            <w:rStyle w:val="charCitHyperlinkItal"/>
          </w:rPr>
          <w:t>ACT Civil and Administrative Tribunal Act 2008</w:t>
        </w:r>
      </w:hyperlink>
      <w:r>
        <w:t>, section 22 (2) does not apply in relation to the ACAT when exercising extended jurisdiction.</w:t>
      </w:r>
    </w:p>
    <w:p w:rsidR="00F42AEF" w:rsidRDefault="00F42AEF">
      <w:pPr>
        <w:pStyle w:val="02Text"/>
        <w:sectPr w:rsidR="00F42AEF" w:rsidSect="00D06DF6">
          <w:headerReference w:type="even" r:id="rId69"/>
          <w:headerReference w:type="default" r:id="rId70"/>
          <w:footerReference w:type="even" r:id="rId71"/>
          <w:footerReference w:type="default" r:id="rId72"/>
          <w:footerReference w:type="first" r:id="rId73"/>
          <w:type w:val="continuous"/>
          <w:pgSz w:w="11907" w:h="16839" w:code="9"/>
          <w:pgMar w:top="3878" w:right="1899" w:bottom="3101" w:left="2302" w:header="2279" w:footer="1758" w:gutter="0"/>
          <w:cols w:space="720"/>
          <w:docGrid w:linePitch="254"/>
        </w:sectPr>
      </w:pPr>
    </w:p>
    <w:p w:rsidR="00BD3FB2" w:rsidRPr="001403E0" w:rsidRDefault="00BD3FB2" w:rsidP="00BD3FB2">
      <w:pPr>
        <w:pStyle w:val="AH3Div"/>
      </w:pPr>
      <w:bookmarkStart w:id="154" w:name="_Toc23417961"/>
      <w:r w:rsidRPr="001403E0">
        <w:rPr>
          <w:rStyle w:val="CharDivNo"/>
        </w:rPr>
        <w:lastRenderedPageBreak/>
        <w:t>Division 6.4</w:t>
      </w:r>
      <w:r>
        <w:tab/>
      </w:r>
      <w:r w:rsidRPr="001403E0">
        <w:rPr>
          <w:rStyle w:val="CharDivText"/>
        </w:rPr>
        <w:t>Applications to ACAT</w:t>
      </w:r>
      <w:bookmarkEnd w:id="154"/>
    </w:p>
    <w:p w:rsidR="00BD3FB2" w:rsidRDefault="00BD3FB2" w:rsidP="00BD3FB2">
      <w:pPr>
        <w:pStyle w:val="AH5Sec"/>
      </w:pPr>
      <w:bookmarkStart w:id="155" w:name="_Toc23417962"/>
      <w:r w:rsidRPr="001403E0">
        <w:rPr>
          <w:rStyle w:val="CharSectNo"/>
        </w:rPr>
        <w:t>79</w:t>
      </w:r>
      <w:r>
        <w:tab/>
        <w:t>Who may apply to ACAT?</w:t>
      </w:r>
      <w:bookmarkEnd w:id="155"/>
    </w:p>
    <w:p w:rsidR="00BD3FB2" w:rsidRDefault="00BD3FB2" w:rsidP="00BD3FB2">
      <w:pPr>
        <w:pStyle w:val="Amain"/>
      </w:pPr>
      <w:r>
        <w:tab/>
        <w:t>(1)</w:t>
      </w:r>
      <w:r>
        <w:tab/>
        <w:t>A party to a residential tenancy agreement (including a child) may apply to the ACAT for resolution of a tenancy dispute.</w:t>
      </w:r>
    </w:p>
    <w:p w:rsidR="00BD3FB2" w:rsidRDefault="00BD3FB2" w:rsidP="00BD3FB2">
      <w:pPr>
        <w:pStyle w:val="Amain"/>
      </w:pPr>
      <w:r>
        <w:tab/>
        <w:t>(2)</w:t>
      </w:r>
      <w:r>
        <w:tab/>
        <w:t>A party to an occupancy agreement (including a child) may apply to the ACAT for resolution of an occupancy dispute.</w:t>
      </w:r>
    </w:p>
    <w:p w:rsidR="00BD3FB2" w:rsidRDefault="00BD3FB2" w:rsidP="00BD3FB2">
      <w:pPr>
        <w:pStyle w:val="AH5Sec"/>
      </w:pPr>
      <w:bookmarkStart w:id="156" w:name="_Toc23417963"/>
      <w:r w:rsidRPr="001403E0">
        <w:rPr>
          <w:rStyle w:val="CharSectNo"/>
        </w:rPr>
        <w:t>80</w:t>
      </w:r>
      <w:r>
        <w:tab/>
        <w:t>Applications to ACAT by children—application of this Act etc</w:t>
      </w:r>
      <w:bookmarkEnd w:id="156"/>
    </w:p>
    <w:p w:rsidR="00BD3FB2" w:rsidRDefault="00BD3FB2" w:rsidP="00BD3FB2">
      <w:pPr>
        <w:pStyle w:val="Amainreturn"/>
        <w:keepNext/>
      </w:pPr>
      <w:r>
        <w:t xml:space="preserve">This Act and the </w:t>
      </w:r>
      <w:hyperlink r:id="rId74" w:tooltip="A2008-35" w:history="1">
        <w:r w:rsidR="009D74E7" w:rsidRPr="009D74E7">
          <w:rPr>
            <w:rStyle w:val="charCitHyperlinkItal"/>
          </w:rPr>
          <w:t>ACT Civil and Administrative Tribunal Act 2008</w:t>
        </w:r>
      </w:hyperlink>
      <w:r w:rsidRPr="009D74E7">
        <w:rPr>
          <w:rStyle w:val="charItals"/>
        </w:rPr>
        <w:t xml:space="preserve"> </w:t>
      </w:r>
      <w:r>
        <w:t>apply in relation to an application made by a child to the ACAT as if the child were an adult.</w:t>
      </w:r>
    </w:p>
    <w:p w:rsidR="00BD3FB2" w:rsidRDefault="00BD3FB2" w:rsidP="00BD3FB2">
      <w:pPr>
        <w:pStyle w:val="aNote"/>
      </w:pPr>
      <w:r w:rsidRPr="009D74E7">
        <w:rPr>
          <w:rStyle w:val="charItals"/>
        </w:rPr>
        <w:t>Note</w:t>
      </w:r>
      <w:r w:rsidRPr="009D74E7">
        <w:rPr>
          <w:rStyle w:val="charItals"/>
        </w:rPr>
        <w:tab/>
      </w:r>
      <w:r>
        <w:rPr>
          <w:snapToGrid w:val="0"/>
        </w:rPr>
        <w:t>A reference to an Act includes a reference to the statutory instruments made or in force under the Act, including any rules (</w:t>
      </w:r>
      <w:r>
        <w:t xml:space="preserve">see </w:t>
      </w:r>
      <w:hyperlink r:id="rId75" w:tooltip="A2001-14" w:history="1">
        <w:r w:rsidR="009D74E7" w:rsidRPr="009D74E7">
          <w:rPr>
            <w:rStyle w:val="charCitHyperlinkAbbrev"/>
          </w:rPr>
          <w:t>Legislation Act</w:t>
        </w:r>
      </w:hyperlink>
      <w:r>
        <w:t>, s 104).</w:t>
      </w:r>
    </w:p>
    <w:p w:rsidR="00BD3FB2" w:rsidRPr="001403E0" w:rsidRDefault="00BD3FB2" w:rsidP="00BD3FB2">
      <w:pPr>
        <w:pStyle w:val="AH3Div"/>
      </w:pPr>
      <w:bookmarkStart w:id="157" w:name="_Toc23417964"/>
      <w:r w:rsidRPr="001403E0">
        <w:rPr>
          <w:rStyle w:val="CharDivNo"/>
        </w:rPr>
        <w:t>Division 6.5</w:t>
      </w:r>
      <w:r>
        <w:tab/>
      </w:r>
      <w:r w:rsidRPr="001403E0">
        <w:rPr>
          <w:rStyle w:val="CharDivText"/>
        </w:rPr>
        <w:t>Powers and decisions of ACAT</w:t>
      </w:r>
      <w:bookmarkEnd w:id="157"/>
    </w:p>
    <w:p w:rsidR="00BD3FB2" w:rsidRDefault="00BD3FB2" w:rsidP="00BD3FB2">
      <w:pPr>
        <w:pStyle w:val="AH5Sec"/>
      </w:pPr>
      <w:bookmarkStart w:id="158" w:name="_Toc23417965"/>
      <w:r w:rsidRPr="001403E0">
        <w:rPr>
          <w:rStyle w:val="CharSectNo"/>
        </w:rPr>
        <w:t>81</w:t>
      </w:r>
      <w:r>
        <w:tab/>
        <w:t>ACAT to assist parties to tenancy and occupancy disputes</w:t>
      </w:r>
      <w:bookmarkEnd w:id="158"/>
    </w:p>
    <w:p w:rsidR="00BD3FB2" w:rsidRDefault="00BD3FB2" w:rsidP="00BD3FB2">
      <w:pPr>
        <w:pStyle w:val="Amainreturn"/>
      </w:pPr>
      <w:r>
        <w:t>The ACAT must actively assist the parties to a tenancy or occupancy dispute to understand the hearing process and present their case.</w:t>
      </w:r>
    </w:p>
    <w:p w:rsidR="00BD3FB2" w:rsidRDefault="00BD3FB2" w:rsidP="00BD3FB2">
      <w:pPr>
        <w:pStyle w:val="AH5Sec"/>
      </w:pPr>
      <w:bookmarkStart w:id="159" w:name="_Toc23417966"/>
      <w:r w:rsidRPr="001403E0">
        <w:rPr>
          <w:rStyle w:val="CharSectNo"/>
        </w:rPr>
        <w:t>82</w:t>
      </w:r>
      <w:r>
        <w:tab/>
        <w:t>Disputes about agreements no longer in force</w:t>
      </w:r>
      <w:bookmarkEnd w:id="159"/>
    </w:p>
    <w:p w:rsidR="00BD3FB2" w:rsidRDefault="00BD3FB2" w:rsidP="00BD3FB2">
      <w:pPr>
        <w:pStyle w:val="Amainreturn"/>
      </w:pPr>
      <w:r>
        <w:t>If a residential tenancy agreement or occupancy agreement is no longer in force, the ACAT may decide a tenancy dispute or occupancy dispute arising from the agreement while it was in force only if—</w:t>
      </w:r>
    </w:p>
    <w:p w:rsidR="00BD3FB2" w:rsidRDefault="00BD3FB2" w:rsidP="00BD3FB2">
      <w:pPr>
        <w:pStyle w:val="Apara"/>
      </w:pPr>
      <w:r>
        <w:tab/>
        <w:t>(a)</w:t>
      </w:r>
      <w:r>
        <w:tab/>
        <w:t>this Act applied to the agreement while the agreement was in force; and</w:t>
      </w:r>
    </w:p>
    <w:p w:rsidR="00BD3FB2" w:rsidRDefault="00BD3FB2" w:rsidP="00BD3FB2">
      <w:pPr>
        <w:pStyle w:val="Apara"/>
      </w:pPr>
      <w:r>
        <w:lastRenderedPageBreak/>
        <w:tab/>
        <w:t>(b)</w:t>
      </w:r>
      <w:r>
        <w:tab/>
        <w:t>a party applies to the ACAT about the dispute within 6 years after the day, or the last day, the conduct giving rise to the dispute happened.</w:t>
      </w:r>
    </w:p>
    <w:p w:rsidR="00BD3FB2" w:rsidRDefault="00BD3FB2" w:rsidP="00BD3FB2">
      <w:pPr>
        <w:pStyle w:val="AH5Sec"/>
      </w:pPr>
      <w:bookmarkStart w:id="160" w:name="_Toc23417967"/>
      <w:r w:rsidRPr="001403E0">
        <w:rPr>
          <w:rStyle w:val="CharSectNo"/>
        </w:rPr>
        <w:t>83</w:t>
      </w:r>
      <w:r>
        <w:tab/>
        <w:t>Orders by ACAT</w:t>
      </w:r>
      <w:bookmarkEnd w:id="160"/>
    </w:p>
    <w:p w:rsidR="00BD3FB2" w:rsidRDefault="00BD3FB2" w:rsidP="00BD3FB2">
      <w:pPr>
        <w:pStyle w:val="Amainreturn"/>
        <w:keepNext/>
      </w:pPr>
      <w:r>
        <w:t>Without limiting the orders the ACAT may make, the ACAT may make the following orders in relation to an application about a tenancy dispute or occupancy dispute:</w:t>
      </w:r>
    </w:p>
    <w:p w:rsidR="00BD3FB2" w:rsidRDefault="00BD3FB2" w:rsidP="00BD3FB2">
      <w:pPr>
        <w:pStyle w:val="Apara"/>
      </w:pPr>
      <w:r>
        <w:tab/>
        <w:t>(a)</w:t>
      </w:r>
      <w:r>
        <w:tab/>
        <w:t>an order restraining any action in breach of a residential tenancy agreement or occupancy agreement;</w:t>
      </w:r>
    </w:p>
    <w:p w:rsidR="00BD3FB2" w:rsidRDefault="00BD3FB2" w:rsidP="00BD3FB2">
      <w:pPr>
        <w:pStyle w:val="Apara"/>
      </w:pPr>
      <w:r>
        <w:tab/>
        <w:t>(b)</w:t>
      </w:r>
      <w:r>
        <w:tab/>
        <w:t>an order requiring performance of a residential tenancy agreement or occupancy agreement;</w:t>
      </w:r>
    </w:p>
    <w:p w:rsidR="00BD3FB2" w:rsidRDefault="00BD3FB2" w:rsidP="00BD3FB2">
      <w:pPr>
        <w:pStyle w:val="Apara"/>
      </w:pPr>
      <w:r>
        <w:tab/>
        <w:t>(c)</w:t>
      </w:r>
      <w:r>
        <w:tab/>
        <w:t>an order requiring the payment of an amount to the Territory or a person;</w:t>
      </w:r>
    </w:p>
    <w:p w:rsidR="00BD3FB2" w:rsidRDefault="00BD3FB2" w:rsidP="00BD3FB2">
      <w:pPr>
        <w:pStyle w:val="Apara"/>
      </w:pPr>
      <w:r>
        <w:tab/>
        <w:t>(d)</w:t>
      </w:r>
      <w:r>
        <w:tab/>
        <w:t>an order requiring the payment of compensation for loss of rent or any other loss caused by the breach of a residential tenancy agreement or occupancy agreement;</w:t>
      </w:r>
    </w:p>
    <w:p w:rsidR="00BD3FB2" w:rsidRDefault="00BD3FB2" w:rsidP="00BD3FB2">
      <w:pPr>
        <w:pStyle w:val="Apara"/>
      </w:pPr>
      <w:r>
        <w:tab/>
        <w:t>(e)</w:t>
      </w:r>
      <w:r>
        <w:tab/>
        <w:t>an order stating that an amount (not more than the amount of bond paid into the trust account in relation to the relevant residential tenancy agreement) be paid to the lessor from the trust account;</w:t>
      </w:r>
    </w:p>
    <w:p w:rsidR="00BD3FB2" w:rsidRDefault="00BD3FB2" w:rsidP="00BD3FB2">
      <w:pPr>
        <w:pStyle w:val="Apara"/>
      </w:pPr>
      <w:r>
        <w:tab/>
        <w:t>(f)</w:t>
      </w:r>
      <w:r>
        <w:tab/>
        <w:t>an order restoring a residential tenancy agreement or occupancy agreement and granting the former tenant or occupant possession of premises—</w:t>
      </w:r>
    </w:p>
    <w:p w:rsidR="00BD3FB2" w:rsidRDefault="00BD3FB2" w:rsidP="00BD3FB2">
      <w:pPr>
        <w:pStyle w:val="Asubpara"/>
      </w:pPr>
      <w:r>
        <w:tab/>
        <w:t>(i)</w:t>
      </w:r>
      <w:r>
        <w:tab/>
        <w:t>from which the person was evicted in contravention of this Act; or</w:t>
      </w:r>
    </w:p>
    <w:p w:rsidR="00BD3FB2" w:rsidRDefault="00BD3FB2" w:rsidP="00BD3FB2">
      <w:pPr>
        <w:pStyle w:val="Asubpara"/>
      </w:pPr>
      <w:r>
        <w:tab/>
        <w:t>(ii)</w:t>
      </w:r>
      <w:r>
        <w:tab/>
        <w:t>that the person vacated in accordance with a termination notice that was not in the form (if any) approved under section 133 (Approved forms—Minister) for the notice;</w:t>
      </w:r>
    </w:p>
    <w:p w:rsidR="00BD3FB2" w:rsidRDefault="00BD3FB2" w:rsidP="00BD3FB2">
      <w:pPr>
        <w:pStyle w:val="Apara"/>
      </w:pPr>
      <w:r>
        <w:lastRenderedPageBreak/>
        <w:tab/>
        <w:t>(g)</w:t>
      </w:r>
      <w:r>
        <w:tab/>
        <w:t>an order requiring payment of all or part of the rent payable under the standard residential tenancy terms or standard occupancy terms into the ACAT until the ACAT orders otherwise;</w:t>
      </w:r>
    </w:p>
    <w:p w:rsidR="00BD3FB2" w:rsidRDefault="00BD3FB2" w:rsidP="00BD3FB2">
      <w:pPr>
        <w:pStyle w:val="Apara"/>
      </w:pPr>
      <w:r>
        <w:tab/>
        <w:t>(h)</w:t>
      </w:r>
      <w:r>
        <w:tab/>
        <w:t>an order directing payment out of any amount paid into the ACAT as appropriate;</w:t>
      </w:r>
    </w:p>
    <w:p w:rsidR="00BD3FB2" w:rsidRDefault="00BD3FB2" w:rsidP="00BD3FB2">
      <w:pPr>
        <w:pStyle w:val="Apara"/>
      </w:pPr>
      <w:r>
        <w:tab/>
        <w:t>(i)</w:t>
      </w:r>
      <w:r>
        <w:tab/>
        <w:t>an order terminating a residential tenancy agreement or occupancy agreement and granting vacant possession of the relevant premises to the applicant for the order;</w:t>
      </w:r>
    </w:p>
    <w:p w:rsidR="00BD3FB2" w:rsidRDefault="00BD3FB2" w:rsidP="00BD3FB2">
      <w:pPr>
        <w:pStyle w:val="Apara"/>
      </w:pPr>
      <w:r>
        <w:tab/>
        <w:t>(j)</w:t>
      </w:r>
      <w:r>
        <w:tab/>
        <w:t>an order declaring the premises were abandoned on a particular day;</w:t>
      </w:r>
    </w:p>
    <w:p w:rsidR="00BD3FB2" w:rsidRDefault="00BD3FB2" w:rsidP="00BD3FB2">
      <w:pPr>
        <w:pStyle w:val="Apara"/>
      </w:pPr>
      <w:r>
        <w:tab/>
        <w:t>(k)</w:t>
      </w:r>
      <w:r>
        <w:tab/>
        <w:t>an order correcting a defect in a notice or in the service of a notice.</w:t>
      </w:r>
    </w:p>
    <w:p w:rsidR="00BD3FB2" w:rsidRDefault="00BD3FB2" w:rsidP="00BD3FB2">
      <w:pPr>
        <w:pStyle w:val="aNote"/>
      </w:pPr>
      <w:r w:rsidRPr="009D74E7">
        <w:rPr>
          <w:rStyle w:val="charItals"/>
        </w:rPr>
        <w:t>Note 1</w:t>
      </w:r>
      <w:r w:rsidRPr="009D74E7">
        <w:rPr>
          <w:rStyle w:val="charItals"/>
        </w:rPr>
        <w:tab/>
      </w:r>
      <w:r>
        <w:t xml:space="preserve">The </w:t>
      </w:r>
      <w:hyperlink r:id="rId76" w:tooltip="A2008-35" w:history="1">
        <w:r w:rsidR="009D74E7" w:rsidRPr="009D74E7">
          <w:rPr>
            <w:rStyle w:val="charCitHyperlinkItal"/>
          </w:rPr>
          <w:t>ACT Civil and Administrative Tribunal Act 2008</w:t>
        </w:r>
      </w:hyperlink>
      <w:r>
        <w:t>, s 56 sets out other orders that the ACAT may make.</w:t>
      </w:r>
    </w:p>
    <w:p w:rsidR="00BD3FB2" w:rsidRDefault="00BD3FB2" w:rsidP="00BD3FB2">
      <w:pPr>
        <w:pStyle w:val="aNote"/>
      </w:pPr>
      <w:r>
        <w:rPr>
          <w:rStyle w:val="charItals"/>
        </w:rPr>
        <w:t>Note 2</w:t>
      </w:r>
      <w:r>
        <w:rPr>
          <w:rStyle w:val="charItals"/>
        </w:rPr>
        <w:tab/>
      </w:r>
      <w:r>
        <w:t xml:space="preserve">The ACAT may make interim orders (see </w:t>
      </w:r>
      <w:hyperlink r:id="rId77" w:tooltip="A2008-35" w:history="1">
        <w:r w:rsidR="009D74E7" w:rsidRPr="009D74E7">
          <w:rPr>
            <w:rStyle w:val="charCitHyperlinkItal"/>
          </w:rPr>
          <w:t>ACT Civil and Administrative Tribunal Act 2008</w:t>
        </w:r>
      </w:hyperlink>
      <w:r>
        <w:t>, s 53).</w:t>
      </w:r>
    </w:p>
    <w:p w:rsidR="00BD3FB2" w:rsidRDefault="00BD3FB2" w:rsidP="00BD3FB2">
      <w:pPr>
        <w:pStyle w:val="AH5Sec"/>
      </w:pPr>
      <w:bookmarkStart w:id="161" w:name="_Toc23417968"/>
      <w:r w:rsidRPr="001403E0">
        <w:rPr>
          <w:rStyle w:val="CharSectNo"/>
        </w:rPr>
        <w:t>84</w:t>
      </w:r>
      <w:r>
        <w:tab/>
        <w:t>Notice of intention to vacate—award of compensation</w:t>
      </w:r>
      <w:bookmarkEnd w:id="161"/>
    </w:p>
    <w:p w:rsidR="00BD3FB2" w:rsidRDefault="00BD3FB2" w:rsidP="00BD3FB2">
      <w:pPr>
        <w:pStyle w:val="Amain"/>
      </w:pPr>
      <w:r>
        <w:tab/>
        <w:t>(1)</w:t>
      </w:r>
      <w:r>
        <w:tab/>
        <w:t>If a lessor received a notice of intention to vacate before the end of a fixed term agreement, and the date nominated in the notice as the date when the tenant intends to vacate is a date before the end of the agreement, the lessor may—</w:t>
      </w:r>
    </w:p>
    <w:p w:rsidR="00BD3FB2" w:rsidRDefault="00BD3FB2" w:rsidP="00BD3FB2">
      <w:pPr>
        <w:pStyle w:val="Apara"/>
      </w:pPr>
      <w:r>
        <w:tab/>
        <w:t>(a)</w:t>
      </w:r>
      <w:r>
        <w:tab/>
        <w:t>accept the notice; or</w:t>
      </w:r>
    </w:p>
    <w:p w:rsidR="004A5BC3" w:rsidRPr="00E56DA5" w:rsidRDefault="004A5BC3" w:rsidP="004A5BC3">
      <w:pPr>
        <w:pStyle w:val="Apara"/>
      </w:pPr>
      <w:r w:rsidRPr="00E56DA5">
        <w:tab/>
        <w:t>(b)</w:t>
      </w:r>
      <w:r w:rsidRPr="00E56DA5">
        <w:tab/>
        <w:t>if the agreement does not include a break lease clause, apply to the ACAT for compensation for—</w:t>
      </w:r>
    </w:p>
    <w:p w:rsidR="00BD3FB2" w:rsidRDefault="00BD3FB2" w:rsidP="00BD3FB2">
      <w:pPr>
        <w:pStyle w:val="Asubpara"/>
      </w:pPr>
      <w:r>
        <w:tab/>
        <w:t>(i)</w:t>
      </w:r>
      <w:r>
        <w:tab/>
        <w:t>the loss of the rent that the lessor would have received had the agreement continued to the end of its term; and</w:t>
      </w:r>
    </w:p>
    <w:p w:rsidR="00BD3FB2" w:rsidRDefault="00BD3FB2" w:rsidP="00BD3FB2">
      <w:pPr>
        <w:pStyle w:val="Asubpara"/>
      </w:pPr>
      <w:r>
        <w:lastRenderedPageBreak/>
        <w:tab/>
        <w:t>(ii)</w:t>
      </w:r>
      <w:r>
        <w:tab/>
        <w:t>the reasonable costs of advertising the premises for lease and of giving a right to occupy the premises to another person.</w:t>
      </w:r>
    </w:p>
    <w:p w:rsidR="00BD3FB2" w:rsidRDefault="00BD3FB2" w:rsidP="00BD3FB2">
      <w:pPr>
        <w:pStyle w:val="Amain"/>
      </w:pPr>
      <w:r>
        <w:tab/>
        <w:t>(2)</w:t>
      </w:r>
      <w:r>
        <w:tab/>
        <w:t>On application, the ACAT may award compensation of the kind mentioned in subsection (1) (b).</w:t>
      </w:r>
    </w:p>
    <w:p w:rsidR="00BD3FB2" w:rsidRDefault="00BD3FB2" w:rsidP="00BD3FB2">
      <w:pPr>
        <w:pStyle w:val="Amain"/>
      </w:pPr>
      <w:r>
        <w:tab/>
        <w:t>(3)</w:t>
      </w:r>
      <w:r>
        <w:tab/>
        <w:t>The amount of compensation the ACAT may award—</w:t>
      </w:r>
    </w:p>
    <w:p w:rsidR="00BD3FB2" w:rsidRDefault="00BD3FB2" w:rsidP="00BD3FB2">
      <w:pPr>
        <w:pStyle w:val="Apara"/>
      </w:pPr>
      <w:r>
        <w:tab/>
        <w:t>(a)</w:t>
      </w:r>
      <w:r>
        <w:tab/>
        <w:t>under subsection (1) (b) (i) must not be more than the lesser of the following:</w:t>
      </w:r>
    </w:p>
    <w:p w:rsidR="00BD3FB2" w:rsidRDefault="00BD3FB2" w:rsidP="00BD3FB2">
      <w:pPr>
        <w:pStyle w:val="Asubpara"/>
      </w:pPr>
      <w:r>
        <w:tab/>
        <w:t>(i)</w:t>
      </w:r>
      <w:r>
        <w:tab/>
        <w:t>25 weeks rent;</w:t>
      </w:r>
    </w:p>
    <w:p w:rsidR="00BD3FB2" w:rsidRDefault="00BD3FB2" w:rsidP="00BD3FB2">
      <w:pPr>
        <w:pStyle w:val="Asubpara"/>
      </w:pPr>
      <w:r>
        <w:tab/>
        <w:t>(ii)</w:t>
      </w:r>
      <w:r>
        <w:tab/>
        <w:t>rent in relation to the unexpired part of the agreement; and</w:t>
      </w:r>
    </w:p>
    <w:p w:rsidR="00BD3FB2" w:rsidRDefault="00BD3FB2" w:rsidP="00BD3FB2">
      <w:pPr>
        <w:pStyle w:val="Apara"/>
      </w:pPr>
      <w:r>
        <w:tab/>
        <w:t>(b)</w:t>
      </w:r>
      <w:r>
        <w:tab/>
        <w:t>under subsection (1) (b) (ii) must not be more than 1</w:t>
      </w:r>
      <w:r w:rsidR="00E122A5">
        <w:t> </w:t>
      </w:r>
      <w:r>
        <w:t>week’s rent.</w:t>
      </w:r>
    </w:p>
    <w:p w:rsidR="00BD3FB2" w:rsidRDefault="00BD3FB2" w:rsidP="00BD3FB2">
      <w:pPr>
        <w:pStyle w:val="Amain"/>
      </w:pPr>
      <w:r>
        <w:tab/>
        <w:t>(4)</w:t>
      </w:r>
      <w:r>
        <w:tab/>
        <w:t>In deciding the amount of compensation that may be awarded in relation to the reasonable costs of advertising, the ACAT must have regard to when, apart from the vacation of the premises—</w:t>
      </w:r>
    </w:p>
    <w:p w:rsidR="00BD3FB2" w:rsidRDefault="00BD3FB2" w:rsidP="00BD3FB2">
      <w:pPr>
        <w:pStyle w:val="Apara"/>
      </w:pPr>
      <w:r>
        <w:tab/>
        <w:t>(a)</w:t>
      </w:r>
      <w:r>
        <w:tab/>
        <w:t>the agreement would have ended; and</w:t>
      </w:r>
    </w:p>
    <w:p w:rsidR="00BD3FB2" w:rsidRDefault="00BD3FB2" w:rsidP="00BD3FB2">
      <w:pPr>
        <w:pStyle w:val="Apara"/>
      </w:pPr>
      <w:r>
        <w:tab/>
        <w:t>(b)</w:t>
      </w:r>
      <w:r>
        <w:tab/>
        <w:t>the lessor would have incurred the costs.</w:t>
      </w:r>
    </w:p>
    <w:p w:rsidR="004A5BC3" w:rsidRPr="00E56DA5" w:rsidRDefault="004A5BC3" w:rsidP="004A5BC3">
      <w:pPr>
        <w:pStyle w:val="Amain"/>
      </w:pPr>
      <w:r w:rsidRPr="00E56DA5">
        <w:tab/>
        <w:t>(5)</w:t>
      </w:r>
      <w:r w:rsidRPr="00E56DA5">
        <w:tab/>
        <w:t>In this section:</w:t>
      </w:r>
    </w:p>
    <w:p w:rsidR="004A5BC3" w:rsidRDefault="004A5BC3" w:rsidP="004A5BC3">
      <w:pPr>
        <w:pStyle w:val="aDef"/>
      </w:pPr>
      <w:r w:rsidRPr="00E56DA5">
        <w:rPr>
          <w:rStyle w:val="charBoldItals"/>
        </w:rPr>
        <w:t>break lease clause</w:t>
      </w:r>
      <w:r w:rsidR="000F05C1">
        <w:t>—see section 8 (2).</w:t>
      </w:r>
    </w:p>
    <w:p w:rsidR="004A5BC3" w:rsidRPr="001403E0" w:rsidRDefault="004A5BC3" w:rsidP="004A5BC3">
      <w:pPr>
        <w:pStyle w:val="AH3Div"/>
      </w:pPr>
      <w:bookmarkStart w:id="162" w:name="_Toc23417969"/>
      <w:r w:rsidRPr="001403E0">
        <w:rPr>
          <w:rStyle w:val="CharDivNo"/>
        </w:rPr>
        <w:t>Division 6.5A</w:t>
      </w:r>
      <w:r w:rsidRPr="00E56DA5">
        <w:tab/>
      </w:r>
      <w:r w:rsidRPr="001403E0">
        <w:rPr>
          <w:rStyle w:val="CharDivText"/>
        </w:rPr>
        <w:t>Powers and decisions of ACAT—protection orders</w:t>
      </w:r>
      <w:bookmarkEnd w:id="162"/>
    </w:p>
    <w:p w:rsidR="004A5BC3" w:rsidRPr="00E56DA5" w:rsidRDefault="004A5BC3" w:rsidP="000F05C1">
      <w:pPr>
        <w:pStyle w:val="AH5Sec"/>
      </w:pPr>
      <w:bookmarkStart w:id="163" w:name="_Toc23417970"/>
      <w:r w:rsidRPr="001403E0">
        <w:rPr>
          <w:rStyle w:val="CharSectNo"/>
        </w:rPr>
        <w:t>85</w:t>
      </w:r>
      <w:r w:rsidRPr="00E56DA5">
        <w:tab/>
        <w:t>Definitions—div 6.5A</w:t>
      </w:r>
      <w:bookmarkEnd w:id="163"/>
    </w:p>
    <w:p w:rsidR="004A5BC3" w:rsidRPr="00E56DA5" w:rsidRDefault="004A5BC3" w:rsidP="000F05C1">
      <w:pPr>
        <w:pStyle w:val="Amain"/>
        <w:keepNext/>
      </w:pPr>
      <w:r w:rsidRPr="00E56DA5">
        <w:tab/>
        <w:t>(1)</w:t>
      </w:r>
      <w:r w:rsidRPr="00E56DA5">
        <w:tab/>
        <w:t>In this division:</w:t>
      </w:r>
    </w:p>
    <w:p w:rsidR="004A5BC3" w:rsidRPr="00E56DA5" w:rsidRDefault="004A5BC3" w:rsidP="000F05C1">
      <w:pPr>
        <w:pStyle w:val="aDef"/>
        <w:keepNext/>
      </w:pPr>
      <w:r w:rsidRPr="00E56DA5">
        <w:rPr>
          <w:rStyle w:val="charBoldItals"/>
        </w:rPr>
        <w:t xml:space="preserve">FV Act </w:t>
      </w:r>
      <w:r w:rsidRPr="00E56DA5">
        <w:t xml:space="preserve">means the </w:t>
      </w:r>
      <w:hyperlink r:id="rId78" w:tooltip="A2016-42" w:history="1">
        <w:r w:rsidR="000F05C1" w:rsidRPr="000F05C1">
          <w:rPr>
            <w:rStyle w:val="charCitHyperlinkItal"/>
          </w:rPr>
          <w:t>Family Violence Act 2016</w:t>
        </w:r>
      </w:hyperlink>
      <w:r w:rsidRPr="00E56DA5">
        <w:rPr>
          <w:rStyle w:val="charItals"/>
        </w:rPr>
        <w:t>.</w:t>
      </w:r>
    </w:p>
    <w:p w:rsidR="004A5BC3" w:rsidRPr="00E56DA5" w:rsidRDefault="004A5BC3" w:rsidP="000F05C1">
      <w:pPr>
        <w:pStyle w:val="aDef"/>
        <w:keepNext/>
      </w:pPr>
      <w:r w:rsidRPr="00E56DA5">
        <w:rPr>
          <w:rStyle w:val="charBoldItals"/>
        </w:rPr>
        <w:t>protected person</w:t>
      </w:r>
      <w:r w:rsidRPr="00E56DA5">
        <w:t>—</w:t>
      </w:r>
    </w:p>
    <w:p w:rsidR="004A5BC3" w:rsidRPr="00E56DA5" w:rsidRDefault="004A5BC3" w:rsidP="004A5BC3">
      <w:pPr>
        <w:pStyle w:val="aDefpara"/>
      </w:pPr>
      <w:r w:rsidRPr="00E56DA5">
        <w:tab/>
        <w:t>(a)</w:t>
      </w:r>
      <w:r w:rsidRPr="00E56DA5">
        <w:tab/>
        <w:t xml:space="preserve">in relation to a protection order under the FV Act—see the </w:t>
      </w:r>
      <w:hyperlink r:id="rId79" w:tooltip="Family Violence Act 2016" w:history="1">
        <w:r w:rsidR="000F05C1" w:rsidRPr="000F05C1">
          <w:rPr>
            <w:rStyle w:val="charCitHyperlinkAbbrev"/>
          </w:rPr>
          <w:t>FV Act</w:t>
        </w:r>
      </w:hyperlink>
      <w:r w:rsidRPr="00E56DA5">
        <w:t>, dictionary; or</w:t>
      </w:r>
    </w:p>
    <w:p w:rsidR="004A5BC3" w:rsidRPr="00E56DA5" w:rsidRDefault="004A5BC3" w:rsidP="004A5BC3">
      <w:pPr>
        <w:pStyle w:val="aDefpara"/>
      </w:pPr>
      <w:r w:rsidRPr="00E56DA5">
        <w:lastRenderedPageBreak/>
        <w:tab/>
        <w:t>(b)</w:t>
      </w:r>
      <w:r w:rsidRPr="00E56DA5">
        <w:tab/>
        <w:t xml:space="preserve">in relation to a protection order under the PV Act—see the </w:t>
      </w:r>
      <w:hyperlink r:id="rId80" w:tooltip="Personal Violence Act 2016" w:history="1">
        <w:r w:rsidR="000F05C1" w:rsidRPr="000F05C1">
          <w:rPr>
            <w:rStyle w:val="charCitHyperlinkAbbrev"/>
          </w:rPr>
          <w:t>PV Act</w:t>
        </w:r>
      </w:hyperlink>
      <w:r w:rsidRPr="00E56DA5">
        <w:t>, dictionary.</w:t>
      </w:r>
    </w:p>
    <w:p w:rsidR="004A5BC3" w:rsidRPr="00E56DA5" w:rsidRDefault="004A5BC3" w:rsidP="004A5BC3">
      <w:pPr>
        <w:pStyle w:val="aDef"/>
      </w:pPr>
      <w:r w:rsidRPr="00E56DA5">
        <w:rPr>
          <w:rStyle w:val="charBoldItals"/>
        </w:rPr>
        <w:t>protection order</w:t>
      </w:r>
      <w:r w:rsidRPr="00E56DA5">
        <w:t xml:space="preserve"> means—</w:t>
      </w:r>
    </w:p>
    <w:p w:rsidR="004A5BC3" w:rsidRPr="00E56DA5" w:rsidRDefault="004A5BC3" w:rsidP="004A5BC3">
      <w:pPr>
        <w:pStyle w:val="aDefpara"/>
      </w:pPr>
      <w:r w:rsidRPr="00E56DA5">
        <w:tab/>
        <w:t>(a)</w:t>
      </w:r>
      <w:r w:rsidRPr="00E56DA5">
        <w:tab/>
        <w:t>a protection order under the FV Act; or</w:t>
      </w:r>
    </w:p>
    <w:p w:rsidR="004A5BC3" w:rsidRPr="00E56DA5" w:rsidRDefault="004A5BC3" w:rsidP="004A5BC3">
      <w:pPr>
        <w:pStyle w:val="aDefpara"/>
      </w:pPr>
      <w:r w:rsidRPr="00E56DA5">
        <w:tab/>
        <w:t>(b)</w:t>
      </w:r>
      <w:r w:rsidRPr="00E56DA5">
        <w:tab/>
        <w:t>an interim or final personal protection order under the PV Act.</w:t>
      </w:r>
    </w:p>
    <w:p w:rsidR="004A5BC3" w:rsidRPr="00E56DA5" w:rsidRDefault="004A5BC3" w:rsidP="004A5BC3">
      <w:pPr>
        <w:pStyle w:val="aDef"/>
      </w:pPr>
      <w:r w:rsidRPr="00E56DA5">
        <w:rPr>
          <w:rStyle w:val="charBoldItals"/>
        </w:rPr>
        <w:t xml:space="preserve">PV Act </w:t>
      </w:r>
      <w:r w:rsidRPr="00E56DA5">
        <w:t xml:space="preserve">means the </w:t>
      </w:r>
      <w:hyperlink r:id="rId81" w:tooltip="A2016-43" w:history="1">
        <w:r w:rsidR="000F05C1" w:rsidRPr="000F05C1">
          <w:rPr>
            <w:rStyle w:val="charCitHyperlinkItal"/>
          </w:rPr>
          <w:t>Personal Violence Act 2016</w:t>
        </w:r>
      </w:hyperlink>
      <w:r w:rsidRPr="00E56DA5">
        <w:rPr>
          <w:rStyle w:val="charItals"/>
        </w:rPr>
        <w:t>.</w:t>
      </w:r>
    </w:p>
    <w:p w:rsidR="004A5BC3" w:rsidRPr="00E56DA5" w:rsidRDefault="004A5BC3" w:rsidP="004A5BC3">
      <w:pPr>
        <w:pStyle w:val="aDef"/>
        <w:keepNext/>
      </w:pPr>
      <w:r w:rsidRPr="00E56DA5">
        <w:rPr>
          <w:rStyle w:val="charBoldItals"/>
        </w:rPr>
        <w:t>respondent</w:t>
      </w:r>
      <w:r w:rsidRPr="00E56DA5">
        <w:t>—</w:t>
      </w:r>
    </w:p>
    <w:p w:rsidR="004A5BC3" w:rsidRPr="00E56DA5" w:rsidRDefault="004A5BC3" w:rsidP="004A5BC3">
      <w:pPr>
        <w:pStyle w:val="aDefpara"/>
      </w:pPr>
      <w:r w:rsidRPr="00E56DA5">
        <w:tab/>
        <w:t>(a)</w:t>
      </w:r>
      <w:r w:rsidRPr="00E56DA5">
        <w:tab/>
        <w:t xml:space="preserve">in relation to a protection order under the FV Act—see the </w:t>
      </w:r>
      <w:hyperlink r:id="rId82" w:tooltip="Family Violence Act 2016" w:history="1">
        <w:r w:rsidR="00AD4BF4" w:rsidRPr="000F05C1">
          <w:rPr>
            <w:rStyle w:val="charCitHyperlinkAbbrev"/>
          </w:rPr>
          <w:t>FV Act</w:t>
        </w:r>
      </w:hyperlink>
      <w:r w:rsidRPr="00E56DA5">
        <w:t>, dictionary; or</w:t>
      </w:r>
    </w:p>
    <w:p w:rsidR="004A5BC3" w:rsidRPr="00E56DA5" w:rsidRDefault="004A5BC3" w:rsidP="004A5BC3">
      <w:pPr>
        <w:pStyle w:val="aDefpara"/>
      </w:pPr>
      <w:r w:rsidRPr="00E56DA5">
        <w:tab/>
        <w:t>(b)</w:t>
      </w:r>
      <w:r w:rsidRPr="00E56DA5">
        <w:tab/>
        <w:t xml:space="preserve">in relation to a protection order under the PV Act—see the </w:t>
      </w:r>
      <w:hyperlink r:id="rId83" w:tooltip="Personal Violence Act 2016" w:history="1">
        <w:r w:rsidR="00AD4BF4" w:rsidRPr="000F05C1">
          <w:rPr>
            <w:rStyle w:val="charCitHyperlinkAbbrev"/>
          </w:rPr>
          <w:t>PV Act</w:t>
        </w:r>
      </w:hyperlink>
      <w:r w:rsidRPr="00E56DA5">
        <w:t>, dictionary.</w:t>
      </w:r>
    </w:p>
    <w:p w:rsidR="004A5BC3" w:rsidRPr="00E56DA5" w:rsidRDefault="004A5BC3" w:rsidP="004A5BC3">
      <w:pPr>
        <w:pStyle w:val="Amain"/>
      </w:pPr>
      <w:r w:rsidRPr="00E56DA5">
        <w:tab/>
        <w:t>(2)</w:t>
      </w:r>
      <w:r w:rsidRPr="00E56DA5">
        <w:tab/>
        <w:t>In this section:</w:t>
      </w:r>
    </w:p>
    <w:p w:rsidR="004A5BC3" w:rsidRPr="00E56DA5" w:rsidRDefault="004A5BC3" w:rsidP="004A5BC3">
      <w:pPr>
        <w:pStyle w:val="aDef"/>
      </w:pPr>
      <w:r w:rsidRPr="00E56DA5">
        <w:rPr>
          <w:rStyle w:val="charBoldItals"/>
        </w:rPr>
        <w:t xml:space="preserve">personal protection order </w:t>
      </w:r>
      <w:r w:rsidRPr="00E56DA5">
        <w:t xml:space="preserve">means a protection order applied for under the </w:t>
      </w:r>
      <w:hyperlink r:id="rId84" w:tooltip="Personal Violence Act 2016" w:history="1">
        <w:r w:rsidR="00AD4BF4" w:rsidRPr="000F05C1">
          <w:rPr>
            <w:rStyle w:val="charCitHyperlinkAbbrev"/>
          </w:rPr>
          <w:t>PV Act</w:t>
        </w:r>
      </w:hyperlink>
      <w:r w:rsidRPr="00E56DA5">
        <w:t>, section 12.</w:t>
      </w:r>
    </w:p>
    <w:p w:rsidR="004A5BC3" w:rsidRPr="00E56DA5" w:rsidRDefault="004A5BC3" w:rsidP="004A5BC3">
      <w:pPr>
        <w:pStyle w:val="AH5Sec"/>
      </w:pPr>
      <w:bookmarkStart w:id="164" w:name="_Toc23417971"/>
      <w:r w:rsidRPr="001403E0">
        <w:rPr>
          <w:rStyle w:val="CharSectNo"/>
        </w:rPr>
        <w:t>85A</w:t>
      </w:r>
      <w:r w:rsidRPr="00E56DA5">
        <w:tab/>
        <w:t>New tenancy agreement—family violence and protection orders</w:t>
      </w:r>
      <w:bookmarkEnd w:id="164"/>
    </w:p>
    <w:p w:rsidR="004A5BC3" w:rsidRPr="00E56DA5" w:rsidRDefault="004A5BC3" w:rsidP="00AD4BF4">
      <w:pPr>
        <w:pStyle w:val="Amain"/>
        <w:keepNext/>
      </w:pPr>
      <w:r w:rsidRPr="00E56DA5">
        <w:tab/>
        <w:t>(1)</w:t>
      </w:r>
      <w:r w:rsidRPr="00E56DA5">
        <w:tab/>
        <w:t>This section applies if—</w:t>
      </w:r>
    </w:p>
    <w:p w:rsidR="004A5BC3" w:rsidRPr="00E56DA5" w:rsidRDefault="004A5BC3" w:rsidP="004A5BC3">
      <w:pPr>
        <w:pStyle w:val="Apara"/>
      </w:pPr>
      <w:r w:rsidRPr="00E56DA5">
        <w:tab/>
        <w:t>(a)</w:t>
      </w:r>
      <w:r w:rsidRPr="00E56DA5">
        <w:tab/>
        <w:t>the Magistrates Court has made a protection order; and</w:t>
      </w:r>
    </w:p>
    <w:p w:rsidR="004A5BC3" w:rsidRPr="00E56DA5" w:rsidRDefault="004A5BC3" w:rsidP="004A5BC3">
      <w:pPr>
        <w:pStyle w:val="Apara"/>
      </w:pPr>
      <w:r w:rsidRPr="00E56DA5">
        <w:tab/>
        <w:t>(b)</w:t>
      </w:r>
      <w:r w:rsidRPr="00E56DA5">
        <w:tab/>
        <w:t>the respondent is a party to a residential tenancy agreement in relation to premises; and</w:t>
      </w:r>
    </w:p>
    <w:p w:rsidR="004A5BC3" w:rsidRPr="00E56DA5" w:rsidRDefault="004A5BC3" w:rsidP="004A5BC3">
      <w:pPr>
        <w:pStyle w:val="Apara"/>
      </w:pPr>
      <w:r w:rsidRPr="00E56DA5">
        <w:tab/>
        <w:t>(c)</w:t>
      </w:r>
      <w:r w:rsidRPr="00E56DA5">
        <w:tab/>
        <w:t>the protected person under the order—</w:t>
      </w:r>
    </w:p>
    <w:p w:rsidR="004A5BC3" w:rsidRPr="00E56DA5" w:rsidRDefault="004A5BC3" w:rsidP="004A5BC3">
      <w:pPr>
        <w:pStyle w:val="Asubpara"/>
      </w:pPr>
      <w:r w:rsidRPr="00E56DA5">
        <w:tab/>
        <w:t>(i)</w:t>
      </w:r>
      <w:r w:rsidRPr="00E56DA5">
        <w:tab/>
        <w:t>is also a party to the residential tenancy agreement; or</w:t>
      </w:r>
    </w:p>
    <w:p w:rsidR="004A5BC3" w:rsidRPr="00E56DA5" w:rsidRDefault="004A5BC3" w:rsidP="004A5BC3">
      <w:pPr>
        <w:pStyle w:val="Asubpara"/>
      </w:pPr>
      <w:r w:rsidRPr="00E56DA5">
        <w:tab/>
        <w:t>(ii)</w:t>
      </w:r>
      <w:r w:rsidRPr="00E56DA5">
        <w:tab/>
        <w:t>has been living in the premises as the protected person’s home but is not a party to the agreement; and</w:t>
      </w:r>
    </w:p>
    <w:p w:rsidR="004A5BC3" w:rsidRPr="00E56DA5" w:rsidRDefault="004A5BC3" w:rsidP="002C00B0">
      <w:pPr>
        <w:pStyle w:val="Apara"/>
        <w:keepNext/>
      </w:pPr>
      <w:r w:rsidRPr="00E56DA5">
        <w:lastRenderedPageBreak/>
        <w:tab/>
        <w:t>(d)</w:t>
      </w:r>
      <w:r w:rsidRPr="00E56DA5">
        <w:tab/>
        <w:t>either—</w:t>
      </w:r>
    </w:p>
    <w:p w:rsidR="004A5BC3" w:rsidRPr="00E56DA5" w:rsidRDefault="004A5BC3" w:rsidP="004A5BC3">
      <w:pPr>
        <w:pStyle w:val="Asubpara"/>
      </w:pPr>
      <w:r w:rsidRPr="00E56DA5">
        <w:tab/>
        <w:t>(i)</w:t>
      </w:r>
      <w:r w:rsidRPr="00E56DA5">
        <w:tab/>
        <w:t>the order includes an exclusion condition or a condition prohibiting the respondent from being within a particular distance from the protected person; or</w:t>
      </w:r>
    </w:p>
    <w:p w:rsidR="004A5BC3" w:rsidRPr="00E56DA5" w:rsidRDefault="004A5BC3" w:rsidP="004A5BC3">
      <w:pPr>
        <w:pStyle w:val="Asubpara"/>
      </w:pPr>
      <w:r w:rsidRPr="00E56DA5">
        <w:tab/>
        <w:t>(ii)</w:t>
      </w:r>
      <w:r w:rsidRPr="00E56DA5">
        <w:tab/>
        <w:t>the respondent has given an undertaking to the court to leave the premises.</w:t>
      </w:r>
    </w:p>
    <w:p w:rsidR="004A5BC3" w:rsidRPr="00E56DA5" w:rsidRDefault="004A5BC3" w:rsidP="004A5BC3">
      <w:pPr>
        <w:pStyle w:val="Amain"/>
      </w:pPr>
      <w:r w:rsidRPr="00E56DA5">
        <w:tab/>
        <w:t>(2)</w:t>
      </w:r>
      <w:r w:rsidRPr="00E56DA5">
        <w:tab/>
        <w:t xml:space="preserve">The protected person may apply to the ACAT for </w:t>
      </w:r>
      <w:r w:rsidR="00CE1D64">
        <w:t>any</w:t>
      </w:r>
      <w:r w:rsidRPr="00E56DA5">
        <w:t xml:space="preserve"> of the following orders:</w:t>
      </w:r>
    </w:p>
    <w:p w:rsidR="004A5BC3" w:rsidRPr="00E56DA5" w:rsidRDefault="004A5BC3" w:rsidP="004A5BC3">
      <w:pPr>
        <w:pStyle w:val="Apara"/>
      </w:pPr>
      <w:r w:rsidRPr="00E56DA5">
        <w:tab/>
        <w:t>(a)</w:t>
      </w:r>
      <w:r w:rsidRPr="00E56DA5">
        <w:tab/>
        <w:t xml:space="preserve">an order terminating the existing residential tenancy agreement; </w:t>
      </w:r>
    </w:p>
    <w:p w:rsidR="004A5BC3" w:rsidRPr="00E56DA5" w:rsidRDefault="004A5BC3" w:rsidP="004A5BC3">
      <w:pPr>
        <w:pStyle w:val="Apara"/>
      </w:pPr>
      <w:r w:rsidRPr="00E56DA5">
        <w:tab/>
        <w:t>(b)</w:t>
      </w:r>
      <w:r w:rsidRPr="00E56DA5">
        <w:tab/>
        <w:t>an order—</w:t>
      </w:r>
    </w:p>
    <w:p w:rsidR="004A5BC3" w:rsidRPr="00E56DA5" w:rsidRDefault="004A5BC3" w:rsidP="004A5BC3">
      <w:pPr>
        <w:pStyle w:val="Asubpara"/>
      </w:pPr>
      <w:r w:rsidRPr="00E56DA5">
        <w:tab/>
        <w:t>(i)</w:t>
      </w:r>
      <w:r w:rsidRPr="00E56DA5">
        <w:tab/>
        <w:t>terminating the existing residential tenancy agreement; and</w:t>
      </w:r>
    </w:p>
    <w:p w:rsidR="004A5BC3" w:rsidRDefault="004A5BC3" w:rsidP="004A5BC3">
      <w:pPr>
        <w:pStyle w:val="Asubpara"/>
      </w:pPr>
      <w:r w:rsidRPr="00E56DA5">
        <w:tab/>
        <w:t>(ii)</w:t>
      </w:r>
      <w:r w:rsidRPr="00E56DA5">
        <w:tab/>
        <w:t>requiring the lessor of the premises to enter into a residential tenancy agreement with the protected person and any other person mentioned in the application</w:t>
      </w:r>
      <w:r w:rsidR="00863162">
        <w:t>;</w:t>
      </w:r>
    </w:p>
    <w:p w:rsidR="00CE1D64" w:rsidRPr="00604238" w:rsidRDefault="00CE1D64" w:rsidP="00CE1D64">
      <w:pPr>
        <w:pStyle w:val="Apara"/>
      </w:pPr>
      <w:r w:rsidRPr="00604238">
        <w:tab/>
        <w:t>(c)</w:t>
      </w:r>
      <w:r w:rsidRPr="00604238">
        <w:tab/>
        <w:t>an order terminating a residential tenancy agreement or occupancy agreement and granting vacant possession of the relevant premises to the lessor.</w:t>
      </w:r>
    </w:p>
    <w:p w:rsidR="004A5BC3" w:rsidRPr="00E56DA5" w:rsidRDefault="004A5BC3" w:rsidP="00696331">
      <w:pPr>
        <w:pStyle w:val="Amain"/>
        <w:keepNext/>
      </w:pPr>
      <w:r w:rsidRPr="00E56DA5">
        <w:tab/>
        <w:t>(3)</w:t>
      </w:r>
      <w:r w:rsidRPr="00E56DA5">
        <w:tab/>
        <w:t>Each of the following is a party to a proceeding on the application:</w:t>
      </w:r>
    </w:p>
    <w:p w:rsidR="004A5BC3" w:rsidRPr="00E56DA5" w:rsidRDefault="004A5BC3" w:rsidP="004A5BC3">
      <w:pPr>
        <w:pStyle w:val="Apara"/>
      </w:pPr>
      <w:r w:rsidRPr="00E56DA5">
        <w:tab/>
        <w:t>(a)</w:t>
      </w:r>
      <w:r w:rsidRPr="00E56DA5">
        <w:tab/>
        <w:t>the protected person;</w:t>
      </w:r>
    </w:p>
    <w:p w:rsidR="004A5BC3" w:rsidRPr="00E56DA5" w:rsidRDefault="004A5BC3" w:rsidP="004A5BC3">
      <w:pPr>
        <w:pStyle w:val="Apara"/>
      </w:pPr>
      <w:r w:rsidRPr="00E56DA5">
        <w:tab/>
        <w:t>(b)</w:t>
      </w:r>
      <w:r w:rsidRPr="00E56DA5">
        <w:tab/>
        <w:t>the lessor;</w:t>
      </w:r>
    </w:p>
    <w:p w:rsidR="004A5BC3" w:rsidRPr="00E56DA5" w:rsidRDefault="004A5BC3" w:rsidP="004A5BC3">
      <w:pPr>
        <w:pStyle w:val="Apara"/>
      </w:pPr>
      <w:r w:rsidRPr="00E56DA5">
        <w:tab/>
        <w:t>(c)</w:t>
      </w:r>
      <w:r w:rsidRPr="00E56DA5">
        <w:tab/>
        <w:t>the respondent;</w:t>
      </w:r>
    </w:p>
    <w:p w:rsidR="004A5BC3" w:rsidRPr="00E56DA5" w:rsidRDefault="004A5BC3" w:rsidP="004A5BC3">
      <w:pPr>
        <w:pStyle w:val="Apara"/>
      </w:pPr>
      <w:r w:rsidRPr="00E56DA5">
        <w:tab/>
        <w:t>(d)</w:t>
      </w:r>
      <w:r w:rsidRPr="00E56DA5">
        <w:tab/>
        <w:t>any other existing tenants.</w:t>
      </w:r>
    </w:p>
    <w:p w:rsidR="004A5BC3" w:rsidRPr="00E56DA5" w:rsidRDefault="004A5BC3" w:rsidP="004A5BC3">
      <w:pPr>
        <w:pStyle w:val="Amain"/>
      </w:pPr>
      <w:r w:rsidRPr="00E56DA5">
        <w:tab/>
        <w:t>(4)</w:t>
      </w:r>
      <w:r w:rsidRPr="00E56DA5">
        <w:tab/>
        <w:t>In this section:</w:t>
      </w:r>
    </w:p>
    <w:p w:rsidR="004A5BC3" w:rsidRPr="00E56DA5" w:rsidRDefault="004A5BC3" w:rsidP="004A5BC3">
      <w:pPr>
        <w:pStyle w:val="aDef"/>
      </w:pPr>
      <w:r w:rsidRPr="00E56DA5">
        <w:rPr>
          <w:rStyle w:val="charBoldItals"/>
        </w:rPr>
        <w:t>exclusion condition</w:t>
      </w:r>
      <w:r w:rsidRPr="00E56DA5">
        <w:t>—</w:t>
      </w:r>
    </w:p>
    <w:p w:rsidR="004A5BC3" w:rsidRPr="00E56DA5" w:rsidRDefault="004A5BC3" w:rsidP="004A5BC3">
      <w:pPr>
        <w:pStyle w:val="aDefpara"/>
      </w:pPr>
      <w:r w:rsidRPr="00E56DA5">
        <w:tab/>
        <w:t>(a)</w:t>
      </w:r>
      <w:r w:rsidRPr="00E56DA5">
        <w:tab/>
        <w:t xml:space="preserve">of a protection order under the FV Act—see the </w:t>
      </w:r>
      <w:hyperlink r:id="rId85" w:tooltip="Family Violence Act 2016" w:history="1">
        <w:r w:rsidR="00696331" w:rsidRPr="000F05C1">
          <w:rPr>
            <w:rStyle w:val="charCitHyperlinkAbbrev"/>
          </w:rPr>
          <w:t>FV Act</w:t>
        </w:r>
      </w:hyperlink>
      <w:r w:rsidR="002C00B0">
        <w:t>, section </w:t>
      </w:r>
      <w:r w:rsidRPr="00E56DA5">
        <w:t>39 (4); or</w:t>
      </w:r>
    </w:p>
    <w:p w:rsidR="004A5BC3" w:rsidRPr="00E56DA5" w:rsidRDefault="004A5BC3" w:rsidP="004A5BC3">
      <w:pPr>
        <w:pStyle w:val="aDefpara"/>
      </w:pPr>
      <w:r w:rsidRPr="00E56DA5">
        <w:lastRenderedPageBreak/>
        <w:tab/>
        <w:t>(b)</w:t>
      </w:r>
      <w:r w:rsidRPr="00E56DA5">
        <w:tab/>
        <w:t xml:space="preserve">of a protection order under the PV Act—see the </w:t>
      </w:r>
      <w:hyperlink r:id="rId86" w:tooltip="Personal Violence Act 2016" w:history="1">
        <w:r w:rsidR="00696331" w:rsidRPr="000F05C1">
          <w:rPr>
            <w:rStyle w:val="charCitHyperlinkAbbrev"/>
          </w:rPr>
          <w:t>PV Act</w:t>
        </w:r>
      </w:hyperlink>
      <w:r w:rsidR="002C00B0">
        <w:t>, section </w:t>
      </w:r>
      <w:r w:rsidRPr="00E56DA5">
        <w:t>31 (4).</w:t>
      </w:r>
    </w:p>
    <w:p w:rsidR="004A5BC3" w:rsidRPr="00E56DA5" w:rsidRDefault="004A5BC3" w:rsidP="004A5BC3">
      <w:pPr>
        <w:pStyle w:val="AH5Sec"/>
      </w:pPr>
      <w:bookmarkStart w:id="165" w:name="_Toc23417972"/>
      <w:r w:rsidRPr="001403E0">
        <w:rPr>
          <w:rStyle w:val="CharSectNo"/>
        </w:rPr>
        <w:t>85B</w:t>
      </w:r>
      <w:r w:rsidRPr="00E56DA5">
        <w:tab/>
        <w:t>Applications under s 85A—ACAT orders</w:t>
      </w:r>
      <w:bookmarkEnd w:id="165"/>
    </w:p>
    <w:p w:rsidR="004A5BC3" w:rsidRPr="00E56DA5" w:rsidRDefault="004A5BC3" w:rsidP="004A5BC3">
      <w:pPr>
        <w:pStyle w:val="Amain"/>
      </w:pPr>
      <w:r w:rsidRPr="00E56DA5">
        <w:tab/>
        <w:t>(1)</w:t>
      </w:r>
      <w:r w:rsidRPr="00E56DA5">
        <w:tab/>
        <w:t>This section applies if the ACAT receives an application under section 85A from a protected person under a protection order.</w:t>
      </w:r>
    </w:p>
    <w:p w:rsidR="004A5BC3" w:rsidRPr="00E56DA5" w:rsidRDefault="004A5BC3" w:rsidP="004A5BC3">
      <w:pPr>
        <w:pStyle w:val="Amain"/>
      </w:pPr>
      <w:r w:rsidRPr="00E56DA5">
        <w:tab/>
        <w:t>(2)</w:t>
      </w:r>
      <w:r w:rsidRPr="00E56DA5">
        <w:tab/>
        <w:t>The ACAT may make the order applied for if satisfied that—</w:t>
      </w:r>
    </w:p>
    <w:p w:rsidR="004A5BC3" w:rsidRPr="00E56DA5" w:rsidRDefault="004A5BC3" w:rsidP="004A5BC3">
      <w:pPr>
        <w:pStyle w:val="Apara"/>
      </w:pPr>
      <w:r w:rsidRPr="00E56DA5">
        <w:tab/>
        <w:t>(a)</w:t>
      </w:r>
      <w:r w:rsidRPr="00E56DA5">
        <w:tab/>
        <w:t>it is reasonable to make the order, taking into consideration the length of the protection order and the length of time remaining on the term of the existing residential tenancy agreement; and</w:t>
      </w:r>
    </w:p>
    <w:p w:rsidR="004A5BC3" w:rsidRPr="00E56DA5" w:rsidRDefault="004A5BC3" w:rsidP="004A5BC3">
      <w:pPr>
        <w:pStyle w:val="Apara"/>
      </w:pPr>
      <w:r w:rsidRPr="00E56DA5">
        <w:tab/>
        <w:t>(b)</w:t>
      </w:r>
      <w:r w:rsidRPr="00E56DA5">
        <w:tab/>
        <w:t>it is reasonable to make the order, taking into consideration the interests of any other tenants (other than the respondent) under the existing residential tenancy agreement and, in particular, whether the other tenants support the protected person’s application; and</w:t>
      </w:r>
    </w:p>
    <w:p w:rsidR="004A5BC3" w:rsidRPr="00E56DA5" w:rsidRDefault="004A5BC3" w:rsidP="00A01CE9">
      <w:pPr>
        <w:pStyle w:val="Apara"/>
        <w:keepNext/>
      </w:pPr>
      <w:r w:rsidRPr="00E56DA5">
        <w:tab/>
        <w:t>(c)</w:t>
      </w:r>
      <w:r w:rsidRPr="00E56DA5">
        <w:tab/>
        <w:t>for an order mentioned in section 85A (2) (b)—</w:t>
      </w:r>
    </w:p>
    <w:p w:rsidR="004A5BC3" w:rsidRPr="00E56DA5" w:rsidRDefault="004A5BC3" w:rsidP="00A01CE9">
      <w:pPr>
        <w:pStyle w:val="Asubpara"/>
        <w:keepNext/>
        <w:keepLines/>
      </w:pPr>
      <w:r w:rsidRPr="00E56DA5">
        <w:tab/>
        <w:t>(i)</w:t>
      </w:r>
      <w:r w:rsidRPr="00E56DA5">
        <w:tab/>
        <w:t>the protected person or the protected person’s dependent children would be likely to suffer significant hardship if the protected person were compelled to leave the premises; and</w:t>
      </w:r>
    </w:p>
    <w:p w:rsidR="004A5BC3" w:rsidRPr="00E56DA5" w:rsidRDefault="004A5BC3" w:rsidP="004A5BC3">
      <w:pPr>
        <w:pStyle w:val="Asubpara"/>
      </w:pPr>
      <w:r w:rsidRPr="00E56DA5">
        <w:tab/>
        <w:t>(ii)</w:t>
      </w:r>
      <w:r w:rsidRPr="00E56DA5">
        <w:tab/>
        <w:t>that hardship would be greater than the hardship the lessor would suffer if the order were made; and</w:t>
      </w:r>
    </w:p>
    <w:p w:rsidR="004A5BC3" w:rsidRPr="00E56DA5" w:rsidRDefault="004A5BC3" w:rsidP="004A5BC3">
      <w:pPr>
        <w:pStyle w:val="Asubpara"/>
      </w:pPr>
      <w:r w:rsidRPr="00E56DA5">
        <w:tab/>
        <w:t>(iii)</w:t>
      </w:r>
      <w:r w:rsidRPr="00E56DA5">
        <w:tab/>
        <w:t>the protected person and any other person mentioned in the application could reasonably be expected to comply with the terms of a residential tenancy agreement; and</w:t>
      </w:r>
    </w:p>
    <w:p w:rsidR="004A5BC3" w:rsidRPr="00E56DA5" w:rsidRDefault="004A5BC3" w:rsidP="004A5BC3">
      <w:pPr>
        <w:pStyle w:val="Asubpara"/>
      </w:pPr>
      <w:r w:rsidRPr="00E56DA5">
        <w:tab/>
        <w:t>(iv)</w:t>
      </w:r>
      <w:r w:rsidRPr="00E56DA5">
        <w:tab/>
        <w:t>if another person is mentioned in the application—the lessor has been given an opportunity to consider the person’s suitability as a tenant.</w:t>
      </w:r>
    </w:p>
    <w:p w:rsidR="004A5BC3" w:rsidRPr="00E56DA5" w:rsidRDefault="004A5BC3" w:rsidP="008B3699">
      <w:pPr>
        <w:pStyle w:val="Amain"/>
        <w:keepNext/>
      </w:pPr>
      <w:r w:rsidRPr="00E56DA5">
        <w:lastRenderedPageBreak/>
        <w:tab/>
        <w:t>(3)</w:t>
      </w:r>
      <w:r w:rsidRPr="00E56DA5">
        <w:tab/>
        <w:t>If the ACAT makes an order mentioned in section 85A (2) (b), the new residential tenancy agreement must—</w:t>
      </w:r>
    </w:p>
    <w:p w:rsidR="004A5BC3" w:rsidRPr="00E56DA5" w:rsidRDefault="004A5BC3" w:rsidP="004A5BC3">
      <w:pPr>
        <w:pStyle w:val="Apara"/>
      </w:pPr>
      <w:r w:rsidRPr="00E56DA5">
        <w:tab/>
        <w:t>(a)</w:t>
      </w:r>
      <w:r w:rsidRPr="00E56DA5">
        <w:tab/>
        <w:t>be subject to the same rent and frequency of rent payments as the existing residential tenancy agreement; and</w:t>
      </w:r>
    </w:p>
    <w:p w:rsidR="004A5BC3" w:rsidRPr="00E56DA5" w:rsidRDefault="004A5BC3" w:rsidP="004A5BC3">
      <w:pPr>
        <w:pStyle w:val="Apara"/>
      </w:pPr>
      <w:r w:rsidRPr="00E56DA5">
        <w:tab/>
        <w:t>(b)</w:t>
      </w:r>
      <w:r w:rsidRPr="00E56DA5">
        <w:tab/>
        <w:t>if the existing residential tenancy agreement is a fixed term agreement—run for a term not longer than the remainder of the fixed term; and</w:t>
      </w:r>
    </w:p>
    <w:p w:rsidR="004A5BC3" w:rsidRPr="00E56DA5" w:rsidRDefault="004A5BC3" w:rsidP="004A5BC3">
      <w:pPr>
        <w:pStyle w:val="Apara"/>
      </w:pPr>
      <w:r w:rsidRPr="00E56DA5">
        <w:tab/>
        <w:t>(c)</w:t>
      </w:r>
      <w:r w:rsidRPr="00E56DA5">
        <w:tab/>
        <w:t>otherwise be on the same terms as the existing residential tenancy agreement, subject to any changes the ACAT decides.</w:t>
      </w:r>
    </w:p>
    <w:p w:rsidR="004A5BC3" w:rsidRPr="00E56DA5" w:rsidRDefault="004A5BC3" w:rsidP="004A5BC3">
      <w:pPr>
        <w:pStyle w:val="Amain"/>
      </w:pPr>
      <w:r w:rsidRPr="00E56DA5">
        <w:tab/>
        <w:t>(4)</w:t>
      </w:r>
      <w:r w:rsidRPr="00E56DA5">
        <w:tab/>
        <w:t>If the ACAT makes an order mentioned in section 85A (2) (b), the existing residential tenancy agreement is terminated when the new residential tenancy agreement is signed by the parties to the agreement.</w:t>
      </w:r>
    </w:p>
    <w:p w:rsidR="004A5BC3" w:rsidRPr="00E56DA5" w:rsidRDefault="004A5BC3" w:rsidP="004A5BC3">
      <w:pPr>
        <w:pStyle w:val="Amain"/>
      </w:pPr>
      <w:r w:rsidRPr="00E56DA5">
        <w:tab/>
        <w:t>(5)</w:t>
      </w:r>
      <w:r w:rsidRPr="00E56DA5">
        <w:tab/>
        <w:t>The ACAT may determine the liabilities of the respondent, the protected person or any other tenants under the existing residential tenancy agreement in relation to the bond paid under the agreement.</w:t>
      </w:r>
    </w:p>
    <w:p w:rsidR="00BD3FB2" w:rsidRPr="001403E0" w:rsidRDefault="00BD3FB2" w:rsidP="00BD3FB2">
      <w:pPr>
        <w:pStyle w:val="AH3Div"/>
      </w:pPr>
      <w:bookmarkStart w:id="166" w:name="_Toc23417973"/>
      <w:r w:rsidRPr="001403E0">
        <w:rPr>
          <w:rStyle w:val="CharDivNo"/>
        </w:rPr>
        <w:t>Division 6.6</w:t>
      </w:r>
      <w:r>
        <w:tab/>
      </w:r>
      <w:r w:rsidRPr="001403E0">
        <w:rPr>
          <w:rStyle w:val="CharDivText"/>
        </w:rPr>
        <w:t>Enforcement of ACAT orders</w:t>
      </w:r>
      <w:bookmarkEnd w:id="166"/>
    </w:p>
    <w:p w:rsidR="00BD3FB2" w:rsidRDefault="00BD3FB2" w:rsidP="00BD3FB2">
      <w:pPr>
        <w:pStyle w:val="AH5Sec"/>
      </w:pPr>
      <w:bookmarkStart w:id="167" w:name="_Toc23417974"/>
      <w:r w:rsidRPr="001403E0">
        <w:rPr>
          <w:rStyle w:val="CharSectNo"/>
        </w:rPr>
        <w:t>86</w:t>
      </w:r>
      <w:r>
        <w:tab/>
        <w:t>Failure to comply with ACAT orders</w:t>
      </w:r>
      <w:bookmarkEnd w:id="167"/>
    </w:p>
    <w:p w:rsidR="00BD3FB2" w:rsidRDefault="00BD3FB2" w:rsidP="00BD3FB2">
      <w:pPr>
        <w:pStyle w:val="Amain"/>
      </w:pPr>
      <w:r>
        <w:tab/>
        <w:t>(1)</w:t>
      </w:r>
      <w:r>
        <w:tab/>
        <w:t>A party to a hearing must not fail to comply with an order of the ACAT.</w:t>
      </w:r>
    </w:p>
    <w:p w:rsidR="00BD3FB2" w:rsidRDefault="00BD3FB2" w:rsidP="00BD3FB2">
      <w:pPr>
        <w:pStyle w:val="Amain"/>
      </w:pPr>
      <w:r>
        <w:tab/>
        <w:t>(2)</w:t>
      </w:r>
      <w:r>
        <w:tab/>
        <w:t>If a person contravenes subsection (1), the ACAT may order the person to pay a stated amount (not more than $5 000) to the Territory.</w:t>
      </w:r>
    </w:p>
    <w:p w:rsidR="00BD3FB2" w:rsidRDefault="00BD3FB2" w:rsidP="00BD3FB2">
      <w:pPr>
        <w:pStyle w:val="Amain"/>
      </w:pPr>
      <w:r>
        <w:tab/>
        <w:t>(3)</w:t>
      </w:r>
      <w:r>
        <w:tab/>
        <w:t>A person commits an offence if—</w:t>
      </w:r>
    </w:p>
    <w:p w:rsidR="00BD3FB2" w:rsidRDefault="00BD3FB2" w:rsidP="00BD3FB2">
      <w:pPr>
        <w:pStyle w:val="Apara"/>
      </w:pPr>
      <w:r>
        <w:tab/>
        <w:t>(a)</w:t>
      </w:r>
      <w:r>
        <w:tab/>
        <w:t xml:space="preserve">the person contravenes subsection (1) (the </w:t>
      </w:r>
      <w:r>
        <w:rPr>
          <w:rStyle w:val="charBoldItals"/>
        </w:rPr>
        <w:t>first contravention</w:t>
      </w:r>
      <w:r>
        <w:t>); and</w:t>
      </w:r>
    </w:p>
    <w:p w:rsidR="00BD3FB2" w:rsidRDefault="00BD3FB2" w:rsidP="00BD3FB2">
      <w:pPr>
        <w:pStyle w:val="Apara"/>
      </w:pPr>
      <w:r>
        <w:tab/>
        <w:t>(b)</w:t>
      </w:r>
      <w:r>
        <w:tab/>
        <w:t>the ACAT makes an order under subsection (2) in relation to the first contravention; and</w:t>
      </w:r>
    </w:p>
    <w:p w:rsidR="00BD3FB2" w:rsidRDefault="00BD3FB2" w:rsidP="00BD3FB2">
      <w:pPr>
        <w:pStyle w:val="Apara"/>
      </w:pPr>
      <w:r>
        <w:lastRenderedPageBreak/>
        <w:tab/>
        <w:t>(c)</w:t>
      </w:r>
      <w:r>
        <w:tab/>
        <w:t xml:space="preserve">within 1 year immediately after the day the first contravention happens, the person again contravenes subsection (1) (the </w:t>
      </w:r>
      <w:r>
        <w:rPr>
          <w:rStyle w:val="charBoldItals"/>
        </w:rPr>
        <w:t>subsequent contravention</w:t>
      </w:r>
      <w:r>
        <w:t>); and</w:t>
      </w:r>
    </w:p>
    <w:p w:rsidR="00BD3FB2" w:rsidRDefault="00BD3FB2" w:rsidP="00DE2C3A">
      <w:pPr>
        <w:pStyle w:val="Apara"/>
        <w:keepNext/>
      </w:pPr>
      <w:r>
        <w:tab/>
        <w:t>(d)</w:t>
      </w:r>
      <w:r>
        <w:tab/>
        <w:t>the first and subsequent contraventions are not against orders arising from the same proceeding.</w:t>
      </w:r>
    </w:p>
    <w:p w:rsidR="00BD3FB2" w:rsidRDefault="00BD3FB2" w:rsidP="00DE2C3A">
      <w:pPr>
        <w:pStyle w:val="Penalty"/>
      </w:pPr>
      <w:r>
        <w:t>Maximum penalty:  50 penalty units, imprisonment for 6</w:t>
      </w:r>
      <w:r w:rsidR="00E122A5">
        <w:t> </w:t>
      </w:r>
      <w:r>
        <w:t>months or both.</w:t>
      </w:r>
    </w:p>
    <w:p w:rsidR="00BD3FB2" w:rsidRDefault="00BD3FB2" w:rsidP="00BD3FB2">
      <w:pPr>
        <w:pStyle w:val="Amain"/>
      </w:pPr>
      <w:r>
        <w:tab/>
        <w:t>(4)</w:t>
      </w:r>
      <w:r>
        <w:tab/>
        <w:t>Subsection (3) does not apply if the person has a reasonable excuse for the first or subsequent contravention.</w:t>
      </w:r>
    </w:p>
    <w:p w:rsidR="00914BD6" w:rsidRPr="00914BD6" w:rsidRDefault="00914BD6" w:rsidP="00914BD6">
      <w:pPr>
        <w:pStyle w:val="PageBreak"/>
      </w:pPr>
      <w:r w:rsidRPr="00914BD6">
        <w:br w:type="page"/>
      </w:r>
    </w:p>
    <w:p w:rsidR="00914BD6" w:rsidRPr="001403E0" w:rsidRDefault="00914BD6" w:rsidP="00914BD6">
      <w:pPr>
        <w:pStyle w:val="AH2Part"/>
      </w:pPr>
      <w:bookmarkStart w:id="168" w:name="_Toc23417975"/>
      <w:r w:rsidRPr="001403E0">
        <w:rPr>
          <w:rStyle w:val="CharPartNo"/>
        </w:rPr>
        <w:lastRenderedPageBreak/>
        <w:t>Part 7</w:t>
      </w:r>
      <w:r w:rsidRPr="00A32059">
        <w:tab/>
      </w:r>
      <w:r w:rsidRPr="001403E0">
        <w:rPr>
          <w:rStyle w:val="CharPartText"/>
        </w:rPr>
        <w:t>Residential tenancy databases</w:t>
      </w:r>
      <w:bookmarkEnd w:id="168"/>
    </w:p>
    <w:p w:rsidR="00C6408C" w:rsidRDefault="00C6408C" w:rsidP="00C6408C">
      <w:pPr>
        <w:pStyle w:val="Placeholder"/>
        <w:suppressLineNumbers/>
      </w:pPr>
      <w:r>
        <w:rPr>
          <w:rStyle w:val="CharDivNo"/>
        </w:rPr>
        <w:t xml:space="preserve">  </w:t>
      </w:r>
      <w:r>
        <w:rPr>
          <w:rStyle w:val="CharDivText"/>
        </w:rPr>
        <w:t xml:space="preserve">  </w:t>
      </w:r>
    </w:p>
    <w:p w:rsidR="00914BD6" w:rsidRPr="00A32059" w:rsidRDefault="00914BD6" w:rsidP="00914BD6">
      <w:pPr>
        <w:pStyle w:val="AH5Sec"/>
        <w:rPr>
          <w:lang w:eastAsia="en-AU"/>
        </w:rPr>
      </w:pPr>
      <w:bookmarkStart w:id="169" w:name="_Toc23417976"/>
      <w:r w:rsidRPr="001403E0">
        <w:rPr>
          <w:rStyle w:val="CharSectNo"/>
        </w:rPr>
        <w:t>87</w:t>
      </w:r>
      <w:r w:rsidRPr="00A32059">
        <w:rPr>
          <w:lang w:eastAsia="en-AU"/>
        </w:rPr>
        <w:tab/>
        <w:t>Definitions—pt 7</w:t>
      </w:r>
      <w:bookmarkEnd w:id="169"/>
    </w:p>
    <w:p w:rsidR="00914BD6" w:rsidRPr="00A32059" w:rsidRDefault="00914BD6" w:rsidP="00914BD6">
      <w:pPr>
        <w:pStyle w:val="Amainreturn"/>
        <w:keepNext/>
        <w:rPr>
          <w:lang w:eastAsia="en-AU"/>
        </w:rPr>
      </w:pPr>
      <w:r w:rsidRPr="00A32059">
        <w:rPr>
          <w:lang w:eastAsia="en-AU"/>
        </w:rPr>
        <w:t>In this part:</w:t>
      </w:r>
    </w:p>
    <w:p w:rsidR="00914BD6" w:rsidRPr="00A32059" w:rsidRDefault="00914BD6" w:rsidP="00914BD6">
      <w:pPr>
        <w:pStyle w:val="aDef"/>
        <w:rPr>
          <w:lang w:eastAsia="en-AU"/>
        </w:rPr>
      </w:pPr>
      <w:r w:rsidRPr="009D74E7">
        <w:rPr>
          <w:rStyle w:val="charBoldItals"/>
        </w:rPr>
        <w:t>agent</w:t>
      </w:r>
      <w:r w:rsidRPr="00A32059">
        <w:rPr>
          <w:lang w:eastAsia="en-AU"/>
        </w:rPr>
        <w:t>, of a lessor, means a person employed, or otherwise authorised, by the lessor to act as the lessor’s agent.</w:t>
      </w:r>
    </w:p>
    <w:p w:rsidR="00914BD6" w:rsidRPr="00A32059" w:rsidRDefault="00914BD6" w:rsidP="00914BD6">
      <w:pPr>
        <w:pStyle w:val="aDef"/>
        <w:rPr>
          <w:lang w:eastAsia="en-AU"/>
        </w:rPr>
      </w:pPr>
      <w:r w:rsidRPr="009D74E7">
        <w:rPr>
          <w:rStyle w:val="charBoldItals"/>
        </w:rPr>
        <w:t xml:space="preserve">database </w:t>
      </w:r>
      <w:r w:rsidRPr="00A32059">
        <w:rPr>
          <w:lang w:eastAsia="en-AU"/>
        </w:rPr>
        <w:t>means a system, device or other thing used for storing information, whether electronically or in some other form.</w:t>
      </w:r>
    </w:p>
    <w:p w:rsidR="00914BD6" w:rsidRPr="009D74E7" w:rsidRDefault="00914BD6" w:rsidP="00914BD6">
      <w:pPr>
        <w:pStyle w:val="aDef"/>
      </w:pPr>
      <w:r w:rsidRPr="009D74E7">
        <w:rPr>
          <w:rStyle w:val="charBoldItals"/>
        </w:rPr>
        <w:t xml:space="preserve">database operator </w:t>
      </w:r>
      <w:r w:rsidRPr="00A32059">
        <w:rPr>
          <w:lang w:eastAsia="en-AU"/>
        </w:rPr>
        <w:t>means an entity that operates a residential tenancy database.</w:t>
      </w:r>
    </w:p>
    <w:p w:rsidR="00914BD6" w:rsidRPr="00A32059" w:rsidRDefault="00914BD6" w:rsidP="00914BD6">
      <w:pPr>
        <w:pStyle w:val="aDef"/>
        <w:rPr>
          <w:lang w:eastAsia="en-AU"/>
        </w:rPr>
      </w:pPr>
      <w:r w:rsidRPr="009D74E7">
        <w:rPr>
          <w:rStyle w:val="charBoldItals"/>
        </w:rPr>
        <w:t>inaccurate</w:t>
      </w:r>
      <w:r w:rsidRPr="00A32059">
        <w:rPr>
          <w:lang w:eastAsia="en-AU"/>
        </w:rPr>
        <w:t>, in relation to personal information in a residential tenancy database, includes information that is inaccurate because—</w:t>
      </w:r>
    </w:p>
    <w:p w:rsidR="00914BD6" w:rsidRPr="00A32059" w:rsidRDefault="00914BD6" w:rsidP="00914BD6">
      <w:pPr>
        <w:pStyle w:val="aDefpara"/>
        <w:rPr>
          <w:lang w:eastAsia="en-AU"/>
        </w:rPr>
      </w:pPr>
      <w:r w:rsidRPr="00A32059">
        <w:rPr>
          <w:lang w:eastAsia="en-AU"/>
        </w:rPr>
        <w:tab/>
        <w:t>(a)</w:t>
      </w:r>
      <w:r w:rsidRPr="00A32059">
        <w:rPr>
          <w:lang w:eastAsia="en-AU"/>
        </w:rPr>
        <w:tab/>
        <w:t>the information shows that the person owes a lessor an amount that is more than the rental bond; and</w:t>
      </w:r>
    </w:p>
    <w:p w:rsidR="00914BD6" w:rsidRPr="00A32059" w:rsidRDefault="00914BD6" w:rsidP="00914BD6">
      <w:pPr>
        <w:pStyle w:val="aDefpara"/>
        <w:rPr>
          <w:lang w:eastAsia="en-AU"/>
        </w:rPr>
      </w:pPr>
      <w:r w:rsidRPr="00A32059">
        <w:rPr>
          <w:lang w:eastAsia="en-AU"/>
        </w:rPr>
        <w:tab/>
        <w:t>(b)</w:t>
      </w:r>
      <w:r w:rsidRPr="00A32059">
        <w:rPr>
          <w:lang w:eastAsia="en-AU"/>
        </w:rPr>
        <w:tab/>
        <w:t>the amount owed was paid to the lessor more than 3 months after the amount became due.</w:t>
      </w:r>
    </w:p>
    <w:p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amount is paid to the lessor within 3 months of the amount becoming due, the information would be out of date.</w:t>
      </w:r>
    </w:p>
    <w:p w:rsidR="00914BD6" w:rsidRPr="00A32059" w:rsidRDefault="00914BD6" w:rsidP="00914BD6">
      <w:pPr>
        <w:pStyle w:val="aDef"/>
        <w:rPr>
          <w:lang w:eastAsia="en-AU"/>
        </w:rPr>
      </w:pPr>
      <w:r w:rsidRPr="009D74E7">
        <w:rPr>
          <w:rStyle w:val="charBoldItals"/>
        </w:rPr>
        <w:t>list</w:t>
      </w:r>
      <w:r w:rsidRPr="00A32059">
        <w:rPr>
          <w:lang w:eastAsia="en-AU"/>
        </w:rPr>
        <w:t>, in relation to personal information in a residential tenancy database—</w:t>
      </w:r>
    </w:p>
    <w:p w:rsidR="00914BD6" w:rsidRPr="00A32059" w:rsidRDefault="00914BD6" w:rsidP="00914BD6">
      <w:pPr>
        <w:pStyle w:val="aDefpara"/>
        <w:rPr>
          <w:lang w:eastAsia="en-AU"/>
        </w:rPr>
      </w:pPr>
      <w:r w:rsidRPr="00A32059">
        <w:rPr>
          <w:lang w:eastAsia="en-AU"/>
        </w:rPr>
        <w:tab/>
        <w:t>(a)</w:t>
      </w:r>
      <w:r w:rsidRPr="00A32059">
        <w:rPr>
          <w:lang w:eastAsia="en-AU"/>
        </w:rPr>
        <w:tab/>
        <w:t>means—</w:t>
      </w:r>
    </w:p>
    <w:p w:rsidR="00914BD6" w:rsidRPr="00A32059" w:rsidRDefault="00914BD6" w:rsidP="00914BD6">
      <w:pPr>
        <w:pStyle w:val="aDefsubpara"/>
        <w:rPr>
          <w:lang w:eastAsia="en-AU"/>
        </w:rPr>
      </w:pPr>
      <w:r w:rsidRPr="00A32059">
        <w:rPr>
          <w:lang w:eastAsia="en-AU"/>
        </w:rPr>
        <w:tab/>
        <w:t>(i)</w:t>
      </w:r>
      <w:r w:rsidRPr="00A32059">
        <w:rPr>
          <w:lang w:eastAsia="en-AU"/>
        </w:rPr>
        <w:tab/>
        <w:t>enter the personal information into the database; or</w:t>
      </w:r>
    </w:p>
    <w:p w:rsidR="00914BD6" w:rsidRPr="00A32059" w:rsidRDefault="00914BD6" w:rsidP="00914BD6">
      <w:pPr>
        <w:pStyle w:val="aDefsubpara"/>
        <w:rPr>
          <w:lang w:eastAsia="en-AU"/>
        </w:rPr>
      </w:pPr>
      <w:r w:rsidRPr="00A32059">
        <w:rPr>
          <w:lang w:eastAsia="en-AU"/>
        </w:rPr>
        <w:tab/>
        <w:t>(ii)</w:t>
      </w:r>
      <w:r w:rsidRPr="00A32059">
        <w:rPr>
          <w:lang w:eastAsia="en-AU"/>
        </w:rPr>
        <w:tab/>
        <w:t>give the personal information to the database operator or someone else for entry into a database; and</w:t>
      </w:r>
    </w:p>
    <w:p w:rsidR="00914BD6" w:rsidRPr="00A32059" w:rsidRDefault="00914BD6" w:rsidP="00914BD6">
      <w:pPr>
        <w:pStyle w:val="aDefpara"/>
        <w:rPr>
          <w:lang w:eastAsia="en-AU"/>
        </w:rPr>
      </w:pPr>
      <w:r w:rsidRPr="00A32059">
        <w:rPr>
          <w:lang w:eastAsia="en-AU"/>
        </w:rPr>
        <w:tab/>
        <w:t>(b)</w:t>
      </w:r>
      <w:r w:rsidRPr="00A32059">
        <w:rPr>
          <w:lang w:eastAsia="en-AU"/>
        </w:rPr>
        <w:tab/>
        <w:t>includes amend personal information in the database to include additional personal information about a person.</w:t>
      </w:r>
    </w:p>
    <w:p w:rsidR="00914BD6" w:rsidRPr="00A32059" w:rsidRDefault="00914BD6" w:rsidP="006E3B49">
      <w:pPr>
        <w:pStyle w:val="aDef"/>
        <w:keepNext/>
        <w:rPr>
          <w:lang w:eastAsia="en-AU"/>
        </w:rPr>
      </w:pPr>
      <w:r w:rsidRPr="009D74E7">
        <w:rPr>
          <w:rStyle w:val="charBoldItals"/>
        </w:rPr>
        <w:lastRenderedPageBreak/>
        <w:t>out of date</w:t>
      </w:r>
      <w:r w:rsidRPr="00A32059">
        <w:rPr>
          <w:lang w:eastAsia="en-AU"/>
        </w:rPr>
        <w:t>, in relation to personal information in a residential tenancy database, means the information is no longer accurate because—</w:t>
      </w:r>
    </w:p>
    <w:p w:rsidR="00914BD6" w:rsidRPr="00A32059" w:rsidRDefault="00914BD6" w:rsidP="00914BD6">
      <w:pPr>
        <w:pStyle w:val="aDefpara"/>
        <w:rPr>
          <w:lang w:eastAsia="en-AU"/>
        </w:rPr>
      </w:pPr>
      <w:r w:rsidRPr="00A32059">
        <w:rPr>
          <w:lang w:eastAsia="en-AU"/>
        </w:rPr>
        <w:tab/>
        <w:t>(a)</w:t>
      </w:r>
      <w:r w:rsidRPr="00A32059">
        <w:rPr>
          <w:lang w:eastAsia="en-AU"/>
        </w:rPr>
        <w:tab/>
        <w:t>for a listing made on the basis that a person owes a lessor an amount that is more than the rental bond—the amount owed was paid to the lessor within 3 months after the amount became due; or</w:t>
      </w:r>
    </w:p>
    <w:p w:rsidR="00914BD6" w:rsidRPr="00A32059" w:rsidRDefault="00914BD6" w:rsidP="00914BD6">
      <w:pPr>
        <w:pStyle w:val="aDefpara"/>
        <w:rPr>
          <w:lang w:eastAsia="en-AU"/>
        </w:rPr>
      </w:pPr>
      <w:r w:rsidRPr="00A32059">
        <w:rPr>
          <w:lang w:eastAsia="en-AU"/>
        </w:rPr>
        <w:tab/>
        <w:t>(b)</w:t>
      </w:r>
      <w:r w:rsidRPr="00A32059">
        <w:rPr>
          <w:lang w:eastAsia="en-AU"/>
        </w:rPr>
        <w:tab/>
        <w:t>for a listing made on the basis that a court or the ACAT has made an order terminating the residential tenancy agreement—the order has been set aside or revoked by a court or the ACAT.</w:t>
      </w:r>
    </w:p>
    <w:p w:rsidR="00914BD6" w:rsidRPr="00A32059" w:rsidRDefault="00914BD6" w:rsidP="00914BD6">
      <w:pPr>
        <w:pStyle w:val="aDef"/>
        <w:rPr>
          <w:lang w:eastAsia="en-AU"/>
        </w:rPr>
      </w:pPr>
      <w:r w:rsidRPr="009D74E7">
        <w:rPr>
          <w:rStyle w:val="charBoldItals"/>
        </w:rPr>
        <w:t>personal information</w:t>
      </w:r>
      <w:r w:rsidRPr="00A32059">
        <w:rPr>
          <w:lang w:eastAsia="en-AU"/>
        </w:rPr>
        <w:t>—</w:t>
      </w:r>
    </w:p>
    <w:p w:rsidR="00914BD6" w:rsidRPr="00A32059" w:rsidRDefault="00914BD6" w:rsidP="00914BD6">
      <w:pPr>
        <w:pStyle w:val="aDefpara"/>
        <w:rPr>
          <w:lang w:eastAsia="en-AU"/>
        </w:rPr>
      </w:pPr>
      <w:r w:rsidRPr="00A32059">
        <w:rPr>
          <w:lang w:eastAsia="en-AU"/>
        </w:rPr>
        <w:tab/>
        <w:t>(a)</w:t>
      </w:r>
      <w:r w:rsidRPr="00A32059">
        <w:rPr>
          <w:lang w:eastAsia="en-AU"/>
        </w:rPr>
        <w:tab/>
        <w:t>means information or an opinion, whether true or not, about—</w:t>
      </w:r>
    </w:p>
    <w:p w:rsidR="00914BD6" w:rsidRPr="00A32059" w:rsidRDefault="00914BD6" w:rsidP="00914BD6">
      <w:pPr>
        <w:pStyle w:val="aDefsubpara"/>
        <w:rPr>
          <w:lang w:eastAsia="en-AU"/>
        </w:rPr>
      </w:pPr>
      <w:r w:rsidRPr="00A32059">
        <w:rPr>
          <w:lang w:eastAsia="en-AU"/>
        </w:rPr>
        <w:tab/>
        <w:t>(i)</w:t>
      </w:r>
      <w:r w:rsidRPr="00A32059">
        <w:rPr>
          <w:lang w:eastAsia="en-AU"/>
        </w:rPr>
        <w:tab/>
        <w:t>an identified individual; or</w:t>
      </w:r>
    </w:p>
    <w:p w:rsidR="00914BD6" w:rsidRPr="00A32059" w:rsidRDefault="00914BD6" w:rsidP="00914BD6">
      <w:pPr>
        <w:pStyle w:val="aDefsubpara"/>
        <w:rPr>
          <w:lang w:eastAsia="en-AU"/>
        </w:rPr>
      </w:pPr>
      <w:r w:rsidRPr="00A32059">
        <w:rPr>
          <w:lang w:eastAsia="en-AU"/>
        </w:rPr>
        <w:tab/>
        <w:t>(ii)</w:t>
      </w:r>
      <w:r w:rsidRPr="00A32059">
        <w:rPr>
          <w:lang w:eastAsia="en-AU"/>
        </w:rPr>
        <w:tab/>
        <w:t>an individual whose identity can reasonably be worked out from the information or opinion; and</w:t>
      </w:r>
    </w:p>
    <w:p w:rsidR="00914BD6" w:rsidRPr="00A32059" w:rsidRDefault="00914BD6" w:rsidP="00914BD6">
      <w:pPr>
        <w:pStyle w:val="aDefpara"/>
        <w:rPr>
          <w:lang w:eastAsia="en-AU"/>
        </w:rPr>
      </w:pPr>
      <w:r w:rsidRPr="00A32059">
        <w:rPr>
          <w:lang w:eastAsia="en-AU"/>
        </w:rPr>
        <w:tab/>
        <w:t>(b)</w:t>
      </w:r>
      <w:r w:rsidRPr="00A32059">
        <w:rPr>
          <w:lang w:eastAsia="en-AU"/>
        </w:rPr>
        <w:tab/>
        <w:t>includes an individual’s name.</w:t>
      </w:r>
    </w:p>
    <w:p w:rsidR="00914BD6" w:rsidRPr="00A32059" w:rsidRDefault="00914BD6" w:rsidP="00914BD6">
      <w:pPr>
        <w:pStyle w:val="aDef"/>
        <w:rPr>
          <w:lang w:eastAsia="en-AU"/>
        </w:rPr>
      </w:pPr>
      <w:r w:rsidRPr="009D74E7">
        <w:rPr>
          <w:rStyle w:val="charBoldItals"/>
        </w:rPr>
        <w:t>rental bond</w:t>
      </w:r>
      <w:r w:rsidRPr="00A32059">
        <w:rPr>
          <w:lang w:eastAsia="en-AU"/>
        </w:rPr>
        <w:t>, for a residential tenancy agreement—</w:t>
      </w:r>
    </w:p>
    <w:p w:rsidR="00914BD6" w:rsidRPr="00A32059" w:rsidRDefault="00914BD6" w:rsidP="00914BD6">
      <w:pPr>
        <w:pStyle w:val="aDefpara"/>
        <w:rPr>
          <w:lang w:eastAsia="en-AU"/>
        </w:rPr>
      </w:pPr>
      <w:r w:rsidRPr="00A32059">
        <w:rPr>
          <w:lang w:eastAsia="en-AU"/>
        </w:rPr>
        <w:tab/>
        <w:t>(a)</w:t>
      </w:r>
      <w:r w:rsidRPr="00A32059">
        <w:rPr>
          <w:lang w:eastAsia="en-AU"/>
        </w:rPr>
        <w:tab/>
        <w:t>means the amount (however described)—</w:t>
      </w:r>
    </w:p>
    <w:p w:rsidR="00914BD6" w:rsidRPr="00A32059" w:rsidRDefault="00914BD6" w:rsidP="00914BD6">
      <w:pPr>
        <w:pStyle w:val="aDefsubpara"/>
        <w:rPr>
          <w:lang w:eastAsia="en-AU"/>
        </w:rPr>
      </w:pPr>
      <w:r w:rsidRPr="00A32059">
        <w:rPr>
          <w:lang w:eastAsia="en-AU"/>
        </w:rPr>
        <w:tab/>
        <w:t>(i)</w:t>
      </w:r>
      <w:r w:rsidRPr="00A32059">
        <w:rPr>
          <w:lang w:eastAsia="en-AU"/>
        </w:rPr>
        <w:tab/>
        <w:t>paid by or for the tenant under the agreement to the lessor under the agreement, the Territory or another entity at the direction of the lessor; and</w:t>
      </w:r>
    </w:p>
    <w:p w:rsidR="00914BD6" w:rsidRPr="00A32059" w:rsidRDefault="00914BD6" w:rsidP="00914BD6">
      <w:pPr>
        <w:pStyle w:val="aDefsubpara"/>
        <w:rPr>
          <w:lang w:eastAsia="en-AU"/>
        </w:rPr>
      </w:pPr>
      <w:r w:rsidRPr="00A32059">
        <w:rPr>
          <w:lang w:eastAsia="en-AU"/>
        </w:rPr>
        <w:tab/>
        <w:t>(ii)</w:t>
      </w:r>
      <w:r w:rsidRPr="00A32059">
        <w:rPr>
          <w:lang w:eastAsia="en-AU"/>
        </w:rPr>
        <w:tab/>
        <w:t>intended to be available for the financial protection of the lessor against the tenant breaching the agreement; and</w:t>
      </w:r>
    </w:p>
    <w:p w:rsidR="00914BD6" w:rsidRPr="00A32059" w:rsidRDefault="00914BD6" w:rsidP="00914BD6">
      <w:pPr>
        <w:pStyle w:val="aDefpara"/>
        <w:rPr>
          <w:lang w:eastAsia="en-AU"/>
        </w:rPr>
      </w:pPr>
      <w:r w:rsidRPr="00A32059">
        <w:rPr>
          <w:lang w:eastAsia="en-AU"/>
        </w:rPr>
        <w:tab/>
        <w:t>(b)</w:t>
      </w:r>
      <w:r w:rsidRPr="00A32059">
        <w:rPr>
          <w:lang w:eastAsia="en-AU"/>
        </w:rPr>
        <w:tab/>
        <w:t>does not include rent paid in advance.</w:t>
      </w:r>
    </w:p>
    <w:p w:rsidR="00914BD6" w:rsidRPr="00A32059" w:rsidRDefault="00914BD6" w:rsidP="00914BD6">
      <w:pPr>
        <w:pStyle w:val="aDef"/>
        <w:keepNext/>
        <w:rPr>
          <w:szCs w:val="24"/>
          <w:lang w:eastAsia="en-AU"/>
        </w:rPr>
      </w:pPr>
      <w:r w:rsidRPr="009D74E7">
        <w:rPr>
          <w:rStyle w:val="charBoldItals"/>
        </w:rPr>
        <w:t xml:space="preserve">residential tenancy database </w:t>
      </w:r>
      <w:r w:rsidRPr="00A32059">
        <w:rPr>
          <w:lang w:eastAsia="en-AU"/>
        </w:rPr>
        <w:t>means a database—</w:t>
      </w:r>
    </w:p>
    <w:p w:rsidR="00914BD6" w:rsidRPr="00A32059" w:rsidRDefault="00914BD6" w:rsidP="00A60C8B">
      <w:pPr>
        <w:pStyle w:val="aDefpara"/>
        <w:keepNext/>
        <w:rPr>
          <w:lang w:eastAsia="en-AU"/>
        </w:rPr>
      </w:pPr>
      <w:r w:rsidRPr="00A32059">
        <w:rPr>
          <w:lang w:eastAsia="en-AU"/>
        </w:rPr>
        <w:tab/>
        <w:t>(a)</w:t>
      </w:r>
      <w:r w:rsidRPr="00A32059">
        <w:rPr>
          <w:lang w:eastAsia="en-AU"/>
        </w:rPr>
        <w:tab/>
        <w:t>containing personal information—</w:t>
      </w:r>
    </w:p>
    <w:p w:rsidR="00914BD6" w:rsidRPr="00A32059" w:rsidRDefault="00914BD6" w:rsidP="00914BD6">
      <w:pPr>
        <w:pStyle w:val="aDefsubpara"/>
        <w:rPr>
          <w:lang w:eastAsia="en-AU"/>
        </w:rPr>
      </w:pPr>
      <w:r w:rsidRPr="00A32059">
        <w:rPr>
          <w:lang w:eastAsia="en-AU"/>
        </w:rPr>
        <w:tab/>
        <w:t>(i)</w:t>
      </w:r>
      <w:r w:rsidRPr="00A32059">
        <w:rPr>
          <w:lang w:eastAsia="en-AU"/>
        </w:rPr>
        <w:tab/>
        <w:t xml:space="preserve">relating to, or arising from, the occupation of </w:t>
      </w:r>
      <w:r w:rsidRPr="00A32059">
        <w:rPr>
          <w:szCs w:val="24"/>
          <w:lang w:eastAsia="en-AU"/>
        </w:rPr>
        <w:t>premises under a residential tenancy agreement; or</w:t>
      </w:r>
    </w:p>
    <w:p w:rsidR="00914BD6" w:rsidRPr="00A32059" w:rsidRDefault="00914BD6" w:rsidP="00914BD6">
      <w:pPr>
        <w:pStyle w:val="aDefsubpara"/>
        <w:rPr>
          <w:lang w:eastAsia="en-AU"/>
        </w:rPr>
      </w:pPr>
      <w:r w:rsidRPr="00A32059">
        <w:rPr>
          <w:lang w:eastAsia="en-AU"/>
        </w:rPr>
        <w:lastRenderedPageBreak/>
        <w:tab/>
        <w:t>(ii)</w:t>
      </w:r>
      <w:r w:rsidRPr="00A32059">
        <w:rPr>
          <w:lang w:eastAsia="en-AU"/>
        </w:rPr>
        <w:tab/>
        <w:t>entered into the database for reasons relating to, or arising from, the occupation of premises under a residential tenancy agreement; and</w:t>
      </w:r>
    </w:p>
    <w:p w:rsidR="00914BD6" w:rsidRPr="00A32059" w:rsidRDefault="00914BD6" w:rsidP="00914BD6">
      <w:pPr>
        <w:pStyle w:val="aDefpara"/>
        <w:rPr>
          <w:lang w:eastAsia="en-AU"/>
        </w:rPr>
      </w:pPr>
      <w:r w:rsidRPr="00A32059">
        <w:rPr>
          <w:lang w:eastAsia="en-AU"/>
        </w:rPr>
        <w:tab/>
        <w:t>(b)</w:t>
      </w:r>
      <w:r w:rsidRPr="00A32059">
        <w:rPr>
          <w:lang w:eastAsia="en-AU"/>
        </w:rPr>
        <w:tab/>
        <w:t>with an intended purpose of use by a lessor or lessor’s agent for checking a person’s tenancy history for deciding whether a residential tenancy agreement should be entered into with the person.</w:t>
      </w:r>
    </w:p>
    <w:p w:rsidR="00914BD6" w:rsidRPr="00A32059" w:rsidRDefault="00914BD6" w:rsidP="00914BD6">
      <w:pPr>
        <w:pStyle w:val="AH5Sec"/>
        <w:rPr>
          <w:lang w:eastAsia="en-AU"/>
        </w:rPr>
      </w:pPr>
      <w:bookmarkStart w:id="170" w:name="_Toc23417977"/>
      <w:r w:rsidRPr="001403E0">
        <w:rPr>
          <w:rStyle w:val="CharSectNo"/>
        </w:rPr>
        <w:t>88</w:t>
      </w:r>
      <w:r w:rsidRPr="00A32059">
        <w:rPr>
          <w:lang w:eastAsia="en-AU"/>
        </w:rPr>
        <w:tab/>
        <w:t>Application—pt 7</w:t>
      </w:r>
      <w:bookmarkEnd w:id="170"/>
    </w:p>
    <w:p w:rsidR="00914BD6" w:rsidRPr="00A32059" w:rsidRDefault="00914BD6" w:rsidP="00914BD6">
      <w:pPr>
        <w:pStyle w:val="Amain"/>
        <w:rPr>
          <w:lang w:eastAsia="en-AU"/>
        </w:rPr>
      </w:pPr>
      <w:r w:rsidRPr="00A32059">
        <w:rPr>
          <w:lang w:eastAsia="en-AU"/>
        </w:rPr>
        <w:tab/>
        <w:t>(1)</w:t>
      </w:r>
      <w:r w:rsidRPr="00A32059">
        <w:rPr>
          <w:lang w:eastAsia="en-AU"/>
        </w:rPr>
        <w:tab/>
        <w:t xml:space="preserve">This part does not apply to a residential tenancy database kept by an entity for </w:t>
      </w:r>
      <w:r w:rsidRPr="00A32059">
        <w:rPr>
          <w:szCs w:val="24"/>
          <w:lang w:eastAsia="en-AU"/>
        </w:rPr>
        <w:t>use only by the entity or its officers, employees or agents.</w:t>
      </w:r>
    </w:p>
    <w:p w:rsidR="00914BD6" w:rsidRPr="00A32059" w:rsidRDefault="00914BD6" w:rsidP="00914BD6">
      <w:pPr>
        <w:pStyle w:val="Amain"/>
        <w:rPr>
          <w:lang w:eastAsia="en-AU"/>
        </w:rPr>
      </w:pPr>
      <w:r w:rsidRPr="00A32059">
        <w:rPr>
          <w:lang w:eastAsia="en-AU"/>
        </w:rPr>
        <w:tab/>
        <w:t>(2)</w:t>
      </w:r>
      <w:r w:rsidRPr="00A32059">
        <w:rPr>
          <w:lang w:eastAsia="en-AU"/>
        </w:rPr>
        <w:tab/>
        <w:t>In this section:</w:t>
      </w:r>
    </w:p>
    <w:p w:rsidR="00914BD6" w:rsidRPr="00A32059" w:rsidRDefault="00914BD6" w:rsidP="00914BD6">
      <w:pPr>
        <w:pStyle w:val="aDef"/>
      </w:pPr>
      <w:r w:rsidRPr="009D74E7">
        <w:rPr>
          <w:rStyle w:val="charBoldItals"/>
        </w:rPr>
        <w:t xml:space="preserve">entity </w:t>
      </w:r>
      <w:r w:rsidRPr="00A32059">
        <w:rPr>
          <w:lang w:eastAsia="en-AU"/>
        </w:rPr>
        <w:t>includes the housing commissioner.</w:t>
      </w:r>
    </w:p>
    <w:p w:rsidR="00914BD6" w:rsidRPr="00A32059" w:rsidRDefault="00914BD6" w:rsidP="00914BD6">
      <w:pPr>
        <w:pStyle w:val="AH5Sec"/>
      </w:pPr>
      <w:bookmarkStart w:id="171" w:name="_Toc23417978"/>
      <w:r w:rsidRPr="001403E0">
        <w:rPr>
          <w:rStyle w:val="CharSectNo"/>
        </w:rPr>
        <w:t>89</w:t>
      </w:r>
      <w:r w:rsidRPr="00A32059">
        <w:tab/>
        <w:t>Notice of usual use of database</w:t>
      </w:r>
      <w:bookmarkEnd w:id="171"/>
    </w:p>
    <w:p w:rsidR="00914BD6" w:rsidRPr="00A32059" w:rsidRDefault="00914BD6" w:rsidP="00914BD6">
      <w:pPr>
        <w:pStyle w:val="Amain"/>
      </w:pPr>
      <w:r w:rsidRPr="00A32059">
        <w:tab/>
        <w:t>(1)</w:t>
      </w:r>
      <w:r w:rsidRPr="00A32059">
        <w:tab/>
        <w:t>This section applies if—</w:t>
      </w:r>
    </w:p>
    <w:p w:rsidR="00914BD6" w:rsidRPr="00A32059" w:rsidRDefault="00914BD6" w:rsidP="00914BD6">
      <w:pPr>
        <w:pStyle w:val="Apara"/>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rsidR="00914BD6" w:rsidRPr="00A32059" w:rsidRDefault="00914BD6" w:rsidP="00914BD6">
      <w:pPr>
        <w:pStyle w:val="Apara"/>
      </w:pPr>
      <w:r w:rsidRPr="00A32059">
        <w:tab/>
        <w:t>(b)</w:t>
      </w:r>
      <w:r w:rsidRPr="00A32059">
        <w:tab/>
        <w:t>the lessor, or the lessor’s agent, usually uses 1 or more residential tenancy databases for deciding whether to enter into a residential tenancy agreement with a person.</w:t>
      </w:r>
    </w:p>
    <w:p w:rsidR="00914BD6" w:rsidRPr="00A32059" w:rsidRDefault="00914BD6" w:rsidP="00A60C8B">
      <w:pPr>
        <w:pStyle w:val="Amain"/>
        <w:keepNext/>
      </w:pPr>
      <w:r w:rsidRPr="00A32059">
        <w:tab/>
        <w:t>(2)</w:t>
      </w:r>
      <w:r w:rsidRPr="00A32059">
        <w:tab/>
        <w:t>The lessor, or the lessor’s agent must, when the application is made, give the applicant written notice of the following:</w:t>
      </w:r>
    </w:p>
    <w:p w:rsidR="00914BD6" w:rsidRPr="00A32059" w:rsidRDefault="00914BD6" w:rsidP="00914BD6">
      <w:pPr>
        <w:pStyle w:val="Apara"/>
      </w:pPr>
      <w:r w:rsidRPr="00A32059">
        <w:tab/>
        <w:t>(a)</w:t>
      </w:r>
      <w:r w:rsidRPr="00A32059">
        <w:tab/>
        <w:t>the name of each residential tenancy database the lessor or agent usually uses, or may use, for deciding whether to enter into a residential tenancy agreement with a person;</w:t>
      </w:r>
    </w:p>
    <w:p w:rsidR="00914BD6" w:rsidRPr="00A32059" w:rsidRDefault="00914BD6" w:rsidP="00914BD6">
      <w:pPr>
        <w:pStyle w:val="Apara"/>
      </w:pPr>
      <w:r w:rsidRPr="00A32059">
        <w:tab/>
        <w:t>(b)</w:t>
      </w:r>
      <w:r w:rsidRPr="00A32059">
        <w:tab/>
        <w:t>that the reason the lessor or agent uses a residential tenancy database is for checking the applicant’s tenancy history;</w:t>
      </w:r>
    </w:p>
    <w:p w:rsidR="00914BD6" w:rsidRPr="00A32059" w:rsidRDefault="00914BD6" w:rsidP="00914BD6">
      <w:pPr>
        <w:pStyle w:val="Apara"/>
      </w:pPr>
      <w:r w:rsidRPr="00A32059">
        <w:lastRenderedPageBreak/>
        <w:tab/>
        <w:t>(c)</w:t>
      </w:r>
      <w:r w:rsidRPr="00A32059">
        <w:tab/>
        <w:t>for each residential tenancy database mentioned in paragraph (a)—how the applicant may contact and obtain information from the database operator.</w:t>
      </w:r>
    </w:p>
    <w:p w:rsidR="00914BD6" w:rsidRPr="00A32059" w:rsidRDefault="00914BD6" w:rsidP="00914BD6">
      <w:pPr>
        <w:pStyle w:val="Amain"/>
      </w:pPr>
      <w:r w:rsidRPr="00A32059">
        <w:tab/>
        <w:t>(3)</w:t>
      </w:r>
      <w:r w:rsidRPr="00A32059">
        <w:tab/>
        <w:t>Subsection (2) applies whether or not the lessor, or the lessor’s agent, intends to use a residential tenancy database for deciding whether to enter into a residential tenancy agreement with the applicant.</w:t>
      </w:r>
    </w:p>
    <w:p w:rsidR="00914BD6" w:rsidRPr="00A32059" w:rsidRDefault="00914BD6" w:rsidP="00914BD6">
      <w:pPr>
        <w:pStyle w:val="Amain"/>
      </w:pPr>
      <w:r w:rsidRPr="00A32059">
        <w:tab/>
        <w:t>(4)</w:t>
      </w:r>
      <w:r w:rsidRPr="00A32059">
        <w:tab/>
        <w:t>However, the lessor, or the lessor’s agent, is not required to give notice under subsection (2) if written notice of the matters mentioned in that subsection was given to the applicant not more than 7 days before the application is made.</w:t>
      </w:r>
    </w:p>
    <w:p w:rsidR="00914BD6" w:rsidRPr="00A32059" w:rsidRDefault="00914BD6" w:rsidP="00914BD6">
      <w:pPr>
        <w:pStyle w:val="aExamHdgss"/>
      </w:pPr>
      <w:r w:rsidRPr="00A32059">
        <w:t>Example—s (4)</w:t>
      </w:r>
    </w:p>
    <w:p w:rsidR="00914BD6" w:rsidRPr="00A32059" w:rsidRDefault="00914BD6" w:rsidP="00914BD6">
      <w:pPr>
        <w:pStyle w:val="aExamss"/>
        <w:keepNext/>
      </w:pPr>
      <w:r w:rsidRPr="00A32059">
        <w:t xml:space="preserve">Serena is a lessor’s agent.  When Sam collects an application form for tenancy of a residential property, Serena gives Sam the written notice required under s (2).  If Sam lodges the completed form 5 days later, Serena does not need to provide notice under s (2) again. </w:t>
      </w:r>
    </w:p>
    <w:p w:rsidR="00914BD6" w:rsidRPr="00A32059" w:rsidRDefault="00914BD6" w:rsidP="00914BD6">
      <w:pPr>
        <w:pStyle w:val="AH5Sec"/>
      </w:pPr>
      <w:bookmarkStart w:id="172" w:name="_Toc23417979"/>
      <w:r w:rsidRPr="001403E0">
        <w:rPr>
          <w:rStyle w:val="CharSectNo"/>
        </w:rPr>
        <w:t>90</w:t>
      </w:r>
      <w:r w:rsidRPr="00A32059">
        <w:tab/>
        <w:t>Notice of listing if database used</w:t>
      </w:r>
      <w:bookmarkEnd w:id="172"/>
    </w:p>
    <w:p w:rsidR="00914BD6" w:rsidRPr="00A32059" w:rsidRDefault="00914BD6" w:rsidP="00A2638D">
      <w:pPr>
        <w:pStyle w:val="Amain"/>
        <w:keepNext/>
      </w:pPr>
      <w:r w:rsidRPr="00A32059">
        <w:tab/>
        <w:t>(1)</w:t>
      </w:r>
      <w:r w:rsidRPr="00A32059">
        <w:tab/>
        <w:t>This section applies if—</w:t>
      </w:r>
    </w:p>
    <w:p w:rsidR="00914BD6" w:rsidRPr="00A32059" w:rsidRDefault="00914BD6" w:rsidP="00A2638D">
      <w:pPr>
        <w:pStyle w:val="Apara"/>
        <w:keepNext/>
      </w:pPr>
      <w:r w:rsidRPr="00A32059">
        <w:tab/>
        <w:t>(a)</w:t>
      </w:r>
      <w:r w:rsidRPr="00A32059">
        <w:tab/>
        <w:t xml:space="preserve">a person (the </w:t>
      </w:r>
      <w:r w:rsidRPr="009D74E7">
        <w:rPr>
          <w:rStyle w:val="charBoldItals"/>
        </w:rPr>
        <w:t>applicant</w:t>
      </w:r>
      <w:r w:rsidRPr="00A32059">
        <w:t>) applies to a lessor, or a lessor’s agent, to enter into a residential tenancy agreement; and</w:t>
      </w:r>
    </w:p>
    <w:p w:rsidR="00914BD6" w:rsidRPr="00A32059" w:rsidRDefault="00914BD6" w:rsidP="00914BD6">
      <w:pPr>
        <w:pStyle w:val="Apara"/>
      </w:pPr>
      <w:r w:rsidRPr="00A32059">
        <w:tab/>
        <w:t>(b)</w:t>
      </w:r>
      <w:r w:rsidRPr="00A32059">
        <w:tab/>
        <w:t>the lessor, or the lessor’s agent, uses a residential tenancy database to check whether personal information about the applicant is in the database; and</w:t>
      </w:r>
    </w:p>
    <w:p w:rsidR="00914BD6" w:rsidRPr="00A32059" w:rsidRDefault="00914BD6" w:rsidP="00914BD6">
      <w:pPr>
        <w:pStyle w:val="Apara"/>
      </w:pPr>
      <w:r w:rsidRPr="00A32059">
        <w:tab/>
        <w:t>(c)</w:t>
      </w:r>
      <w:r w:rsidRPr="00A32059">
        <w:tab/>
        <w:t>personal information about the applicant is in the database.</w:t>
      </w:r>
    </w:p>
    <w:p w:rsidR="00914BD6" w:rsidRPr="00A32059" w:rsidRDefault="00914BD6" w:rsidP="00914BD6">
      <w:pPr>
        <w:pStyle w:val="Amain"/>
      </w:pPr>
      <w:r w:rsidRPr="00A32059">
        <w:tab/>
        <w:t>(2)</w:t>
      </w:r>
      <w:r w:rsidRPr="00A32059">
        <w:tab/>
        <w:t>The lessor, or the lessor’s agent, must, as soon as possible but within 7 days after using the residential tenancy database, give the applicant written notice of the following:</w:t>
      </w:r>
    </w:p>
    <w:p w:rsidR="00914BD6" w:rsidRPr="00A32059" w:rsidRDefault="00914BD6" w:rsidP="00914BD6">
      <w:pPr>
        <w:pStyle w:val="Apara"/>
      </w:pPr>
      <w:r w:rsidRPr="00A32059">
        <w:tab/>
        <w:t>(a)</w:t>
      </w:r>
      <w:r w:rsidRPr="00A32059">
        <w:tab/>
        <w:t>the name of the residential tenancy database;</w:t>
      </w:r>
    </w:p>
    <w:p w:rsidR="00914BD6" w:rsidRPr="00A32059" w:rsidRDefault="00914BD6" w:rsidP="00914BD6">
      <w:pPr>
        <w:pStyle w:val="Apara"/>
      </w:pPr>
      <w:r w:rsidRPr="00A32059">
        <w:tab/>
        <w:t>(b)</w:t>
      </w:r>
      <w:r w:rsidRPr="00A32059">
        <w:tab/>
        <w:t xml:space="preserve">that personal information about the applicant is in the database; </w:t>
      </w:r>
    </w:p>
    <w:p w:rsidR="00914BD6" w:rsidRPr="00A32059" w:rsidRDefault="00914BD6" w:rsidP="00914BD6">
      <w:pPr>
        <w:pStyle w:val="Apara"/>
      </w:pPr>
      <w:r w:rsidRPr="00A32059">
        <w:lastRenderedPageBreak/>
        <w:tab/>
        <w:t>(c)</w:t>
      </w:r>
      <w:r w:rsidRPr="00A32059">
        <w:tab/>
        <w:t xml:space="preserve">the name of each person who listed personal information in the database and is identified in the database; </w:t>
      </w:r>
    </w:p>
    <w:p w:rsidR="00914BD6" w:rsidRPr="00A32059" w:rsidRDefault="00914BD6" w:rsidP="00914BD6">
      <w:pPr>
        <w:pStyle w:val="Apara"/>
      </w:pPr>
      <w:r w:rsidRPr="00A32059">
        <w:tab/>
        <w:t>(d)</w:t>
      </w:r>
      <w:r w:rsidRPr="00A32059">
        <w:tab/>
        <w:t>how and in what circumstances the applicant can have the personal information removed or amended under this part.</w:t>
      </w:r>
    </w:p>
    <w:p w:rsidR="00914BD6" w:rsidRPr="00A32059" w:rsidRDefault="00914BD6" w:rsidP="00914BD6">
      <w:pPr>
        <w:pStyle w:val="AH5Sec"/>
      </w:pPr>
      <w:bookmarkStart w:id="173" w:name="_Toc23417980"/>
      <w:r w:rsidRPr="001403E0">
        <w:rPr>
          <w:rStyle w:val="CharSectNo"/>
        </w:rPr>
        <w:t>91</w:t>
      </w:r>
      <w:r w:rsidRPr="00A32059">
        <w:tab/>
        <w:t>Listing can be made only for certain breaches by certain people</w:t>
      </w:r>
      <w:bookmarkEnd w:id="173"/>
    </w:p>
    <w:p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w:t>
      </w:r>
    </w:p>
    <w:p w:rsidR="00914BD6" w:rsidRPr="00A32059" w:rsidRDefault="00914BD6" w:rsidP="00914BD6">
      <w:pPr>
        <w:pStyle w:val="Apara"/>
      </w:pPr>
      <w:r w:rsidRPr="00A32059">
        <w:tab/>
        <w:t>(a)</w:t>
      </w:r>
      <w:r w:rsidRPr="00A32059">
        <w:tab/>
        <w:t>the person was named as a tenant in a residential tenancy agreement that has ended; and</w:t>
      </w:r>
    </w:p>
    <w:p w:rsidR="00914BD6" w:rsidRPr="00A32059" w:rsidRDefault="00914BD6" w:rsidP="00914BD6">
      <w:pPr>
        <w:pStyle w:val="Apara"/>
      </w:pPr>
      <w:r w:rsidRPr="00A32059">
        <w:tab/>
        <w:t>(b)</w:t>
      </w:r>
      <w:r w:rsidRPr="00A32059">
        <w:tab/>
        <w:t>the person has breached the agreement; and</w:t>
      </w:r>
    </w:p>
    <w:p w:rsidR="00914BD6" w:rsidRPr="00A32059" w:rsidRDefault="00914BD6" w:rsidP="00A2638D">
      <w:pPr>
        <w:pStyle w:val="Apara"/>
        <w:keepNext/>
      </w:pPr>
      <w:r w:rsidRPr="00A32059">
        <w:tab/>
        <w:t>(c)</w:t>
      </w:r>
      <w:r w:rsidRPr="00A32059">
        <w:tab/>
        <w:t xml:space="preserve">because of the breach, either— </w:t>
      </w:r>
    </w:p>
    <w:p w:rsidR="00914BD6" w:rsidRPr="00A32059" w:rsidRDefault="00914BD6" w:rsidP="00914BD6">
      <w:pPr>
        <w:pStyle w:val="Asubpara"/>
      </w:pPr>
      <w:r w:rsidRPr="00A32059">
        <w:tab/>
        <w:t>(i)</w:t>
      </w:r>
      <w:r w:rsidRPr="00A32059">
        <w:tab/>
        <w:t>the person owes the lessor an amount that is more than the rental bond for the agreement; or</w:t>
      </w:r>
    </w:p>
    <w:p w:rsidR="00914BD6" w:rsidRPr="00A32059" w:rsidRDefault="00914BD6" w:rsidP="00914BD6">
      <w:pPr>
        <w:pStyle w:val="Asubpara"/>
      </w:pPr>
      <w:r w:rsidRPr="00A32059">
        <w:tab/>
        <w:t>(ii)</w:t>
      </w:r>
      <w:r w:rsidRPr="00A32059">
        <w:tab/>
        <w:t>a court or the ACAT has made an order terminating the residential tenancy agreement; and</w:t>
      </w:r>
    </w:p>
    <w:p w:rsidR="00914BD6" w:rsidRPr="00A32059" w:rsidRDefault="00914BD6" w:rsidP="00A2638D">
      <w:pPr>
        <w:pStyle w:val="Apara"/>
        <w:keepNext/>
      </w:pPr>
      <w:r w:rsidRPr="00A32059">
        <w:tab/>
        <w:t>(d)</w:t>
      </w:r>
      <w:r w:rsidRPr="00A32059">
        <w:tab/>
        <w:t>the personal information—</w:t>
      </w:r>
    </w:p>
    <w:p w:rsidR="00914BD6" w:rsidRPr="00A32059" w:rsidRDefault="00914BD6" w:rsidP="00914BD6">
      <w:pPr>
        <w:pStyle w:val="Asubpara"/>
      </w:pPr>
      <w:r w:rsidRPr="00A32059">
        <w:tab/>
        <w:t>(i)</w:t>
      </w:r>
      <w:r w:rsidRPr="00A32059">
        <w:tab/>
        <w:t>relates only to the breach; and</w:t>
      </w:r>
    </w:p>
    <w:p w:rsidR="00914BD6" w:rsidRPr="00A32059" w:rsidRDefault="00914BD6" w:rsidP="00914BD6">
      <w:pPr>
        <w:pStyle w:val="Asubpara"/>
      </w:pPr>
      <w:r w:rsidRPr="00A32059">
        <w:tab/>
        <w:t>(ii)</w:t>
      </w:r>
      <w:r w:rsidRPr="00A32059">
        <w:tab/>
        <w:t>is accurate, complete and unambiguous.</w:t>
      </w:r>
    </w:p>
    <w:p w:rsidR="00914BD6" w:rsidRPr="00A32059" w:rsidRDefault="00914BD6" w:rsidP="006E3B49">
      <w:pPr>
        <w:pStyle w:val="Amain"/>
        <w:keepNext/>
      </w:pPr>
      <w:r w:rsidRPr="00A32059">
        <w:tab/>
        <w:t>(2)</w:t>
      </w:r>
      <w:r w:rsidRPr="00A32059">
        <w:tab/>
        <w:t>Without limiting subsection (1) (d) (ii), the personal information must indicate the nature of the breach.</w:t>
      </w:r>
    </w:p>
    <w:p w:rsidR="00914BD6" w:rsidRPr="00A32059" w:rsidRDefault="00914BD6" w:rsidP="00914BD6">
      <w:pPr>
        <w:pStyle w:val="aExamHdgss"/>
      </w:pPr>
      <w:r w:rsidRPr="00A32059">
        <w:t>Example—indication of nature of breach</w:t>
      </w:r>
    </w:p>
    <w:p w:rsidR="00914BD6" w:rsidRPr="00A32059" w:rsidRDefault="00914BD6" w:rsidP="006E3B49">
      <w:pPr>
        <w:pStyle w:val="aExamss"/>
        <w:keepNext/>
      </w:pPr>
      <w:r w:rsidRPr="00A32059">
        <w:t>Personal information in a residential tenancy database indicates the nature of the breach if it includes a reference to the following:</w:t>
      </w:r>
    </w:p>
    <w:p w:rsidR="00914BD6" w:rsidRPr="00A32059" w:rsidRDefault="00914BD6" w:rsidP="006E3B49">
      <w:pPr>
        <w:pStyle w:val="aExamBulletss"/>
        <w:keepNext/>
        <w:tabs>
          <w:tab w:val="left" w:pos="1500"/>
        </w:tabs>
      </w:pPr>
      <w:r w:rsidRPr="00A32059">
        <w:rPr>
          <w:rFonts w:ascii="Symbol" w:hAnsi="Symbol"/>
        </w:rPr>
        <w:t></w:t>
      </w:r>
      <w:r w:rsidRPr="00A32059">
        <w:rPr>
          <w:rFonts w:ascii="Symbol" w:hAnsi="Symbol"/>
        </w:rPr>
        <w:tab/>
      </w:r>
      <w:r w:rsidRPr="00A32059">
        <w:t>‘rent arrears’—for a person who has breached a residential tenancy agreement by failing to pay rent; or</w:t>
      </w:r>
    </w:p>
    <w:p w:rsidR="00914BD6" w:rsidRPr="00A32059" w:rsidRDefault="00914BD6" w:rsidP="00A4243A">
      <w:pPr>
        <w:pStyle w:val="aExamBulletss"/>
        <w:tabs>
          <w:tab w:val="left" w:pos="1500"/>
        </w:tabs>
      </w:pPr>
      <w:r w:rsidRPr="00A32059">
        <w:rPr>
          <w:rFonts w:ascii="Symbol" w:hAnsi="Symbol"/>
        </w:rPr>
        <w:t></w:t>
      </w:r>
      <w:r w:rsidRPr="00A32059">
        <w:rPr>
          <w:rFonts w:ascii="Symbol" w:hAnsi="Symbol"/>
        </w:rPr>
        <w:tab/>
      </w:r>
      <w:r w:rsidRPr="00A32059">
        <w:t>‘damage to premises’—for a person who has breached a residential tenancy agreement by damaging the premises.</w:t>
      </w:r>
    </w:p>
    <w:p w:rsidR="00914BD6" w:rsidRPr="00A32059" w:rsidRDefault="00914BD6" w:rsidP="00914BD6">
      <w:pPr>
        <w:pStyle w:val="AH5Sec"/>
        <w:rPr>
          <w:lang w:eastAsia="en-AU"/>
        </w:rPr>
      </w:pPr>
      <w:bookmarkStart w:id="174" w:name="_Toc23417981"/>
      <w:r w:rsidRPr="001403E0">
        <w:rPr>
          <w:rStyle w:val="CharSectNo"/>
        </w:rPr>
        <w:lastRenderedPageBreak/>
        <w:t>92</w:t>
      </w:r>
      <w:r w:rsidRPr="00A32059">
        <w:rPr>
          <w:lang w:eastAsia="en-AU"/>
        </w:rPr>
        <w:tab/>
        <w:t>Further restriction on listing</w:t>
      </w:r>
      <w:bookmarkEnd w:id="174"/>
    </w:p>
    <w:p w:rsidR="00914BD6" w:rsidRPr="00A32059" w:rsidRDefault="00914BD6" w:rsidP="00914BD6">
      <w:pPr>
        <w:pStyle w:val="Amain"/>
      </w:pPr>
      <w:r w:rsidRPr="00A32059">
        <w:tab/>
        <w:t>(1)</w:t>
      </w:r>
      <w:r w:rsidRPr="00A32059">
        <w:tab/>
        <w:t>A lessor, lessor’s agent or database operator must not list personal information about a person in a residential tenancy database unless the lessor, agent or operator—</w:t>
      </w:r>
    </w:p>
    <w:p w:rsidR="00914BD6" w:rsidRPr="00A32059" w:rsidRDefault="00914BD6" w:rsidP="00914BD6">
      <w:pPr>
        <w:pStyle w:val="Apara"/>
        <w:rPr>
          <w:lang w:eastAsia="en-AU"/>
        </w:rPr>
      </w:pPr>
      <w:r w:rsidRPr="00A32059">
        <w:rPr>
          <w:lang w:eastAsia="en-AU"/>
        </w:rPr>
        <w:tab/>
        <w:t>(a)</w:t>
      </w:r>
      <w:r w:rsidRPr="00A32059">
        <w:rPr>
          <w:lang w:eastAsia="en-AU"/>
        </w:rPr>
        <w:tab/>
        <w:t>has, without charging a fee—</w:t>
      </w:r>
    </w:p>
    <w:p w:rsidR="00914BD6" w:rsidRPr="00A32059" w:rsidRDefault="00914BD6" w:rsidP="00914BD6">
      <w:pPr>
        <w:pStyle w:val="Asubpara"/>
        <w:rPr>
          <w:lang w:eastAsia="en-AU"/>
        </w:rPr>
      </w:pPr>
      <w:r w:rsidRPr="00A32059">
        <w:rPr>
          <w:lang w:eastAsia="en-AU"/>
        </w:rPr>
        <w:tab/>
        <w:t>(i)</w:t>
      </w:r>
      <w:r w:rsidRPr="00A32059">
        <w:rPr>
          <w:lang w:eastAsia="en-AU"/>
        </w:rPr>
        <w:tab/>
        <w:t>given the person a copy of the personal information; or</w:t>
      </w:r>
    </w:p>
    <w:p w:rsidR="00914BD6" w:rsidRPr="00A32059" w:rsidRDefault="00914BD6" w:rsidP="00914BD6">
      <w:pPr>
        <w:pStyle w:val="Asubpara"/>
        <w:rPr>
          <w:lang w:eastAsia="en-AU"/>
        </w:rPr>
      </w:pPr>
      <w:r w:rsidRPr="00A32059">
        <w:rPr>
          <w:lang w:eastAsia="en-AU"/>
        </w:rPr>
        <w:tab/>
        <w:t>(ii)</w:t>
      </w:r>
      <w:r w:rsidRPr="00A32059">
        <w:rPr>
          <w:lang w:eastAsia="en-AU"/>
        </w:rPr>
        <w:tab/>
        <w:t>taken other reasonable steps to disclose the personal information to the person; and</w:t>
      </w:r>
    </w:p>
    <w:p w:rsidR="00914BD6" w:rsidRPr="00A32059" w:rsidRDefault="00914BD6" w:rsidP="00914BD6">
      <w:pPr>
        <w:pStyle w:val="Apara"/>
        <w:rPr>
          <w:lang w:eastAsia="en-AU"/>
        </w:rPr>
      </w:pPr>
      <w:r w:rsidRPr="00A32059">
        <w:rPr>
          <w:lang w:eastAsia="en-AU"/>
        </w:rPr>
        <w:tab/>
        <w:t>(b)</w:t>
      </w:r>
      <w:r w:rsidRPr="00A32059">
        <w:rPr>
          <w:lang w:eastAsia="en-AU"/>
        </w:rPr>
        <w:tab/>
        <w:t>has given the person at least 14 days to review the personal information and make submissions—</w:t>
      </w:r>
    </w:p>
    <w:p w:rsidR="00914BD6" w:rsidRPr="00A32059" w:rsidRDefault="00914BD6" w:rsidP="00914BD6">
      <w:pPr>
        <w:pStyle w:val="Asubpara"/>
        <w:rPr>
          <w:lang w:eastAsia="en-AU"/>
        </w:rPr>
      </w:pPr>
      <w:r w:rsidRPr="00A32059">
        <w:rPr>
          <w:lang w:eastAsia="en-AU"/>
        </w:rPr>
        <w:tab/>
        <w:t>(i)</w:t>
      </w:r>
      <w:r w:rsidRPr="00A32059">
        <w:rPr>
          <w:lang w:eastAsia="en-AU"/>
        </w:rPr>
        <w:tab/>
        <w:t>objecting to its entry into the database; or</w:t>
      </w:r>
    </w:p>
    <w:p w:rsidR="00914BD6" w:rsidRPr="00A32059" w:rsidRDefault="00914BD6" w:rsidP="00914BD6">
      <w:pPr>
        <w:pStyle w:val="Asubpara"/>
        <w:rPr>
          <w:lang w:eastAsia="en-AU"/>
        </w:rPr>
      </w:pPr>
      <w:r w:rsidRPr="00A32059">
        <w:rPr>
          <w:lang w:eastAsia="en-AU"/>
        </w:rPr>
        <w:tab/>
        <w:t>(ii)</w:t>
      </w:r>
      <w:r w:rsidRPr="00A32059">
        <w:rPr>
          <w:lang w:eastAsia="en-AU"/>
        </w:rPr>
        <w:tab/>
        <w:t>about its accuracy, completeness and clarity; and</w:t>
      </w:r>
    </w:p>
    <w:p w:rsidR="00914BD6" w:rsidRPr="00A32059" w:rsidRDefault="00914BD6" w:rsidP="00914BD6">
      <w:pPr>
        <w:pStyle w:val="Apara"/>
        <w:rPr>
          <w:lang w:eastAsia="en-AU"/>
        </w:rPr>
      </w:pPr>
      <w:r w:rsidRPr="00A32059">
        <w:rPr>
          <w:lang w:eastAsia="en-AU"/>
        </w:rPr>
        <w:tab/>
        <w:t>(c)</w:t>
      </w:r>
      <w:r w:rsidRPr="00A32059">
        <w:rPr>
          <w:lang w:eastAsia="en-AU"/>
        </w:rPr>
        <w:tab/>
        <w:t>has considered any submissions made.</w:t>
      </w:r>
    </w:p>
    <w:p w:rsidR="00914BD6" w:rsidRPr="00A32059" w:rsidRDefault="00914BD6" w:rsidP="00914BD6">
      <w:pPr>
        <w:pStyle w:val="Amain"/>
      </w:pPr>
      <w:r w:rsidRPr="00A32059">
        <w:rPr>
          <w:lang w:eastAsia="en-AU"/>
        </w:rPr>
        <w:tab/>
        <w:t>(2)</w:t>
      </w:r>
      <w:r w:rsidRPr="00A32059">
        <w:rPr>
          <w:lang w:eastAsia="en-AU"/>
        </w:rPr>
        <w:tab/>
        <w:t xml:space="preserve">Subsection (1) does not apply if the </w:t>
      </w:r>
      <w:r w:rsidRPr="00A32059">
        <w:t>lessor, lessor’s agent or database operator cannot locate the person after making reasonable enquiries.</w:t>
      </w:r>
    </w:p>
    <w:p w:rsidR="00914BD6" w:rsidRPr="00A32059" w:rsidRDefault="00914BD6" w:rsidP="006E3B49">
      <w:pPr>
        <w:pStyle w:val="Amain"/>
        <w:keepNext/>
        <w:rPr>
          <w:lang w:eastAsia="en-AU"/>
        </w:rPr>
      </w:pPr>
      <w:r w:rsidRPr="00A32059">
        <w:rPr>
          <w:lang w:eastAsia="en-AU"/>
        </w:rPr>
        <w:tab/>
        <w:t>(3)</w:t>
      </w:r>
      <w:r w:rsidRPr="00A32059">
        <w:rPr>
          <w:lang w:eastAsia="en-AU"/>
        </w:rPr>
        <w:tab/>
        <w:t>Subsection (1) (b) and (c) do not apply—</w:t>
      </w:r>
    </w:p>
    <w:p w:rsidR="00914BD6" w:rsidRPr="00A32059" w:rsidRDefault="00914BD6" w:rsidP="00914BD6">
      <w:pPr>
        <w:pStyle w:val="Apara"/>
        <w:rPr>
          <w:lang w:eastAsia="en-AU"/>
        </w:rPr>
      </w:pPr>
      <w:r w:rsidRPr="00A32059">
        <w:rPr>
          <w:lang w:eastAsia="en-AU"/>
        </w:rPr>
        <w:tab/>
        <w:t>(a)</w:t>
      </w:r>
      <w:r w:rsidRPr="00A32059">
        <w:rPr>
          <w:lang w:eastAsia="en-AU"/>
        </w:rPr>
        <w:tab/>
        <w:t>to information that, at the time of listing, is contained in publicly available court or tribunal records; or</w:t>
      </w:r>
    </w:p>
    <w:p w:rsidR="00914BD6" w:rsidRPr="00A32059" w:rsidRDefault="00914BD6" w:rsidP="00914BD6">
      <w:pPr>
        <w:pStyle w:val="Apara"/>
        <w:rPr>
          <w:lang w:eastAsia="en-AU"/>
        </w:rPr>
      </w:pPr>
      <w:r w:rsidRPr="00A32059">
        <w:rPr>
          <w:lang w:eastAsia="en-AU"/>
        </w:rPr>
        <w:tab/>
        <w:t>(b)</w:t>
      </w:r>
      <w:r w:rsidRPr="00A32059">
        <w:rPr>
          <w:lang w:eastAsia="en-AU"/>
        </w:rPr>
        <w:tab/>
        <w:t>to a listing involving only an amendment of personal information under section 93.</w:t>
      </w:r>
    </w:p>
    <w:p w:rsidR="00914BD6" w:rsidRPr="00A32059" w:rsidRDefault="00914BD6" w:rsidP="00914BD6">
      <w:pPr>
        <w:pStyle w:val="AH5Sec"/>
        <w:rPr>
          <w:lang w:eastAsia="en-AU"/>
        </w:rPr>
      </w:pPr>
      <w:bookmarkStart w:id="175" w:name="_Toc23417982"/>
      <w:r w:rsidRPr="001403E0">
        <w:rPr>
          <w:rStyle w:val="CharSectNo"/>
        </w:rPr>
        <w:t>93</w:t>
      </w:r>
      <w:r w:rsidRPr="00A32059">
        <w:rPr>
          <w:lang w:eastAsia="en-AU"/>
        </w:rPr>
        <w:tab/>
        <w:t>Ensuring quality of listing—lessor’s or agent’s obligation</w:t>
      </w:r>
      <w:bookmarkEnd w:id="175"/>
    </w:p>
    <w:p w:rsidR="00914BD6" w:rsidRPr="00A32059" w:rsidRDefault="00914BD6" w:rsidP="00914BD6">
      <w:pPr>
        <w:pStyle w:val="Amain"/>
      </w:pPr>
      <w:r w:rsidRPr="00A32059">
        <w:rPr>
          <w:lang w:eastAsia="en-AU"/>
        </w:rPr>
        <w:tab/>
        <w:t>(1</w:t>
      </w:r>
      <w:r w:rsidRPr="00A32059">
        <w:t>)</w:t>
      </w:r>
      <w:r w:rsidRPr="00A32059">
        <w:tab/>
        <w:t>This section applies if a lessor, or lessor’s agent, who lists personal information in a residential tenancy database becomes aware that the information is inaccurate, incomplete, ambiguous or out of date.</w:t>
      </w:r>
    </w:p>
    <w:p w:rsidR="00914BD6" w:rsidRPr="00A32059" w:rsidRDefault="00914BD6" w:rsidP="00A4243A">
      <w:pPr>
        <w:pStyle w:val="Amain"/>
        <w:keepNext/>
        <w:rPr>
          <w:lang w:eastAsia="en-AU"/>
        </w:rPr>
      </w:pPr>
      <w:r w:rsidRPr="00A32059">
        <w:rPr>
          <w:lang w:eastAsia="en-AU"/>
        </w:rPr>
        <w:lastRenderedPageBreak/>
        <w:tab/>
        <w:t>(2)</w:t>
      </w:r>
      <w:r w:rsidRPr="00A32059">
        <w:rPr>
          <w:lang w:eastAsia="en-AU"/>
        </w:rPr>
        <w:tab/>
        <w:t xml:space="preserve">The lessor, or </w:t>
      </w:r>
      <w:r w:rsidRPr="00A32059">
        <w:t>lessor’s agent,</w:t>
      </w:r>
      <w:r w:rsidRPr="00A32059">
        <w:rPr>
          <w:lang w:eastAsia="en-AU"/>
        </w:rPr>
        <w:t xml:space="preserve"> must, within 7 days, give written notice of the following to the database operator: </w:t>
      </w:r>
    </w:p>
    <w:p w:rsidR="00914BD6" w:rsidRPr="00A32059" w:rsidRDefault="00914BD6" w:rsidP="00A4243A">
      <w:pPr>
        <w:pStyle w:val="Apara"/>
        <w:keepNext/>
      </w:pPr>
      <w:r w:rsidRPr="00A32059">
        <w:rPr>
          <w:lang w:eastAsia="en-AU"/>
        </w:rPr>
        <w:tab/>
        <w:t>(a)</w:t>
      </w:r>
      <w:r w:rsidRPr="00A32059">
        <w:rPr>
          <w:lang w:eastAsia="en-AU"/>
        </w:rPr>
        <w:tab/>
        <w:t xml:space="preserve">if the information is </w:t>
      </w:r>
      <w:r w:rsidRPr="00A32059">
        <w:t>inaccurate, incomplete, or ambiguous—</w:t>
      </w:r>
    </w:p>
    <w:p w:rsidR="00914BD6" w:rsidRPr="00A32059" w:rsidRDefault="00914BD6" w:rsidP="00914BD6">
      <w:pPr>
        <w:pStyle w:val="Asubpara"/>
      </w:pPr>
      <w:r w:rsidRPr="00A32059">
        <w:rPr>
          <w:lang w:eastAsia="en-AU"/>
        </w:rPr>
        <w:tab/>
        <w:t>(i)</w:t>
      </w:r>
      <w:r w:rsidRPr="00A32059">
        <w:rPr>
          <w:lang w:eastAsia="en-AU"/>
        </w:rPr>
        <w:tab/>
        <w:t xml:space="preserve">that the information is </w:t>
      </w:r>
      <w:r w:rsidRPr="00A32059">
        <w:t>inaccurate, incomplete, or ambiguous; and</w:t>
      </w:r>
    </w:p>
    <w:p w:rsidR="00914BD6" w:rsidRPr="00A32059" w:rsidRDefault="00914BD6" w:rsidP="00914BD6">
      <w:pPr>
        <w:pStyle w:val="Asubpara"/>
      </w:pPr>
      <w:r w:rsidRPr="00A32059">
        <w:rPr>
          <w:lang w:eastAsia="en-AU"/>
        </w:rPr>
        <w:tab/>
        <w:t>(ii)</w:t>
      </w:r>
      <w:r w:rsidRPr="00A32059">
        <w:rPr>
          <w:lang w:eastAsia="en-AU"/>
        </w:rPr>
        <w:tab/>
        <w:t xml:space="preserve">how the information must be amended so that it is no longer </w:t>
      </w:r>
      <w:r w:rsidRPr="00A32059">
        <w:t>inaccurate, incomplete, or ambiguous;</w:t>
      </w:r>
    </w:p>
    <w:p w:rsidR="00914BD6" w:rsidRPr="00A32059" w:rsidRDefault="00914BD6" w:rsidP="001848C9">
      <w:pPr>
        <w:pStyle w:val="Apara"/>
        <w:keepNext/>
      </w:pPr>
      <w:r w:rsidRPr="00A32059">
        <w:rPr>
          <w:lang w:eastAsia="en-AU"/>
        </w:rPr>
        <w:tab/>
        <w:t>(b)</w:t>
      </w:r>
      <w:r w:rsidRPr="00A32059">
        <w:rPr>
          <w:lang w:eastAsia="en-AU"/>
        </w:rPr>
        <w:tab/>
        <w:t>if the information is out of date—that the information is out of date and must be removed.</w:t>
      </w:r>
    </w:p>
    <w:p w:rsidR="00914BD6" w:rsidRPr="00A32059" w:rsidRDefault="00914BD6" w:rsidP="00914BD6">
      <w:pPr>
        <w:pStyle w:val="aExamHdgpar"/>
        <w:rPr>
          <w:lang w:eastAsia="en-AU"/>
        </w:rPr>
      </w:pPr>
      <w:r w:rsidRPr="00A32059">
        <w:rPr>
          <w:lang w:eastAsia="en-AU"/>
        </w:rPr>
        <w:t>Example—par (a)</w:t>
      </w:r>
    </w:p>
    <w:p w:rsidR="00914BD6" w:rsidRPr="00A32059" w:rsidRDefault="00914BD6" w:rsidP="00914BD6">
      <w:pPr>
        <w:pStyle w:val="aExampar"/>
      </w:pPr>
      <w:r w:rsidRPr="00A32059">
        <w:t>Darren owes his landlord Tabitha an amount that is more than the rental bond paid under the residential tenancy agreement.  Tabitha lists the unpaid amount in a residential tenancy database.  Darren pays Tabitha  the amount owed more than 3 months after it was due to be paid.  Within 7 days of becoming aware of the payment, Tabitha must give the database operator written notice of—</w:t>
      </w:r>
    </w:p>
    <w:p w:rsidR="00914BD6" w:rsidRPr="00A32059" w:rsidRDefault="00914BD6" w:rsidP="00914BD6">
      <w:pPr>
        <w:pStyle w:val="aExamBulletpar"/>
        <w:tabs>
          <w:tab w:val="left" w:pos="2000"/>
        </w:tabs>
      </w:pPr>
      <w:r w:rsidRPr="00A32059">
        <w:rPr>
          <w:rFonts w:ascii="Symbol" w:hAnsi="Symbol"/>
        </w:rPr>
        <w:t></w:t>
      </w:r>
      <w:r w:rsidRPr="00A32059">
        <w:rPr>
          <w:rFonts w:ascii="Symbol" w:hAnsi="Symbol"/>
        </w:rPr>
        <w:tab/>
      </w:r>
      <w:r w:rsidRPr="00A32059">
        <w:t>the personal information being inaccurate; and</w:t>
      </w:r>
    </w:p>
    <w:p w:rsidR="00914BD6" w:rsidRPr="00A32059" w:rsidRDefault="00914BD6" w:rsidP="00914BD6">
      <w:pPr>
        <w:pStyle w:val="aExamBulletpar"/>
        <w:keepNext/>
        <w:tabs>
          <w:tab w:val="left" w:pos="2000"/>
        </w:tabs>
      </w:pPr>
      <w:r w:rsidRPr="00A32059">
        <w:rPr>
          <w:rFonts w:ascii="Symbol" w:hAnsi="Symbol"/>
        </w:rPr>
        <w:t></w:t>
      </w:r>
      <w:r w:rsidRPr="00A32059">
        <w:rPr>
          <w:rFonts w:ascii="Symbol" w:hAnsi="Symbol"/>
        </w:rPr>
        <w:tab/>
      </w:r>
      <w:r w:rsidRPr="00A32059">
        <w:t>the details of the payment to be included in the personal information so that it is no longer inaccurate.</w:t>
      </w:r>
    </w:p>
    <w:p w:rsidR="00914BD6" w:rsidRPr="00A32059" w:rsidRDefault="00914BD6" w:rsidP="00914BD6">
      <w:pPr>
        <w:pStyle w:val="Amain"/>
        <w:rPr>
          <w:lang w:eastAsia="en-AU"/>
        </w:rPr>
      </w:pPr>
      <w:r w:rsidRPr="00A32059">
        <w:rPr>
          <w:lang w:eastAsia="en-AU"/>
        </w:rPr>
        <w:tab/>
        <w:t>(3)</w:t>
      </w:r>
      <w:r w:rsidRPr="00A32059">
        <w:rPr>
          <w:lang w:eastAsia="en-AU"/>
        </w:rPr>
        <w:tab/>
        <w:t xml:space="preserve">The lessor, or </w:t>
      </w:r>
      <w:r w:rsidRPr="00A32059">
        <w:t>lessor’s agent,</w:t>
      </w:r>
      <w:r w:rsidRPr="00A32059">
        <w:rPr>
          <w:lang w:eastAsia="en-AU"/>
        </w:rPr>
        <w:t xml:space="preserve"> must keep a copy of the notice for 1 year after it is given.</w:t>
      </w:r>
    </w:p>
    <w:p w:rsidR="00914BD6" w:rsidRPr="00A32059" w:rsidRDefault="00914BD6" w:rsidP="00914BD6">
      <w:pPr>
        <w:pStyle w:val="AH5Sec"/>
        <w:rPr>
          <w:lang w:eastAsia="en-AU"/>
        </w:rPr>
      </w:pPr>
      <w:bookmarkStart w:id="176" w:name="_Toc23417983"/>
      <w:r w:rsidRPr="001403E0">
        <w:rPr>
          <w:rStyle w:val="CharSectNo"/>
        </w:rPr>
        <w:t>94</w:t>
      </w:r>
      <w:r w:rsidRPr="00A32059">
        <w:rPr>
          <w:lang w:eastAsia="en-AU"/>
        </w:rPr>
        <w:tab/>
        <w:t>Ensuring quality of listing—database operator’s obligation</w:t>
      </w:r>
      <w:bookmarkEnd w:id="176"/>
    </w:p>
    <w:p w:rsidR="00914BD6" w:rsidRPr="00A32059" w:rsidRDefault="00914BD6" w:rsidP="00914BD6">
      <w:pPr>
        <w:pStyle w:val="Amain"/>
      </w:pPr>
      <w:r w:rsidRPr="00A32059">
        <w:rPr>
          <w:lang w:eastAsia="en-AU"/>
        </w:rPr>
        <w:tab/>
        <w:t>(1)</w:t>
      </w:r>
      <w:r w:rsidRPr="00A32059">
        <w:rPr>
          <w:lang w:eastAsia="en-AU"/>
        </w:rPr>
        <w:tab/>
      </w:r>
      <w:r w:rsidRPr="00A32059">
        <w:t>This section applies if a lessor, or lessor’s agent, who has listed personal information in a residential tenancy database gives the database operator a written notice stating that the personal information must be—</w:t>
      </w:r>
    </w:p>
    <w:p w:rsidR="00914BD6" w:rsidRPr="00A32059" w:rsidRDefault="00914BD6" w:rsidP="00914BD6">
      <w:pPr>
        <w:pStyle w:val="Apara"/>
      </w:pPr>
      <w:r w:rsidRPr="00A32059">
        <w:tab/>
        <w:t>(a)</w:t>
      </w:r>
      <w:r w:rsidRPr="00A32059">
        <w:tab/>
        <w:t>amended in a stated way to make it accurate, complete and unambiguous; or</w:t>
      </w:r>
    </w:p>
    <w:p w:rsidR="00914BD6" w:rsidRPr="00A32059" w:rsidRDefault="00914BD6" w:rsidP="00914BD6">
      <w:pPr>
        <w:pStyle w:val="Apara"/>
        <w:rPr>
          <w:lang w:eastAsia="en-AU"/>
        </w:rPr>
      </w:pPr>
      <w:r w:rsidRPr="00A32059">
        <w:rPr>
          <w:lang w:eastAsia="en-AU"/>
        </w:rPr>
        <w:tab/>
        <w:t>(b)</w:t>
      </w:r>
      <w:r w:rsidRPr="00A32059">
        <w:rPr>
          <w:lang w:eastAsia="en-AU"/>
        </w:rPr>
        <w:tab/>
        <w:t>removed.</w:t>
      </w:r>
    </w:p>
    <w:p w:rsidR="00914BD6" w:rsidRPr="00A32059" w:rsidRDefault="00914BD6" w:rsidP="00914BD6">
      <w:pPr>
        <w:pStyle w:val="Amain"/>
        <w:rPr>
          <w:lang w:eastAsia="en-AU"/>
        </w:rPr>
      </w:pPr>
      <w:r w:rsidRPr="00A32059">
        <w:rPr>
          <w:lang w:eastAsia="en-AU"/>
        </w:rPr>
        <w:lastRenderedPageBreak/>
        <w:tab/>
        <w:t>(2)</w:t>
      </w:r>
      <w:r w:rsidRPr="00A32059">
        <w:rPr>
          <w:lang w:eastAsia="en-AU"/>
        </w:rPr>
        <w:tab/>
        <w:t>The database operator must amend the personal information in the stated way, or remove the personal information, within 14 days after the operator is given the notice.</w:t>
      </w:r>
    </w:p>
    <w:p w:rsidR="00914BD6" w:rsidRPr="00A32059" w:rsidRDefault="00914BD6" w:rsidP="00914BD6">
      <w:pPr>
        <w:pStyle w:val="AH5Sec"/>
        <w:rPr>
          <w:lang w:eastAsia="en-AU"/>
        </w:rPr>
      </w:pPr>
      <w:bookmarkStart w:id="177" w:name="_Toc23417984"/>
      <w:r w:rsidRPr="001403E0">
        <w:rPr>
          <w:rStyle w:val="CharSectNo"/>
        </w:rPr>
        <w:t>95</w:t>
      </w:r>
      <w:r w:rsidRPr="00A32059">
        <w:rPr>
          <w:lang w:eastAsia="en-AU"/>
        </w:rPr>
        <w:tab/>
        <w:t>Providing copy of personal information listed</w:t>
      </w:r>
      <w:bookmarkEnd w:id="177"/>
    </w:p>
    <w:p w:rsidR="00914BD6" w:rsidRPr="00A32059" w:rsidRDefault="00914BD6" w:rsidP="00914BD6">
      <w:pPr>
        <w:pStyle w:val="Amain"/>
      </w:pPr>
      <w:r w:rsidRPr="00A32059">
        <w:rPr>
          <w:lang w:eastAsia="en-AU"/>
        </w:rPr>
        <w:tab/>
        <w:t>(1)</w:t>
      </w:r>
      <w:r w:rsidRPr="00A32059">
        <w:rPr>
          <w:lang w:eastAsia="en-AU"/>
        </w:rPr>
        <w:tab/>
        <w:t>A</w:t>
      </w:r>
      <w:r w:rsidRPr="00A32059">
        <w:t xml:space="preserve"> lessor, or lessor’s agent, who lists personal information about a person in a residential tenancy database must give the person a copy of the information if—</w:t>
      </w:r>
    </w:p>
    <w:p w:rsidR="00914BD6" w:rsidRPr="00A32059" w:rsidRDefault="00914BD6" w:rsidP="00914BD6">
      <w:pPr>
        <w:pStyle w:val="Apara"/>
      </w:pPr>
      <w:r w:rsidRPr="00A32059">
        <w:tab/>
        <w:t>(a)</w:t>
      </w:r>
      <w:r w:rsidRPr="00A32059">
        <w:tab/>
        <w:t>the person asks for the information in writing; and</w:t>
      </w:r>
    </w:p>
    <w:p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lessor, or lessor’s agent, charges a fee for giving the information—the fee has been paid.</w:t>
      </w:r>
    </w:p>
    <w:p w:rsidR="00914BD6" w:rsidRPr="00A32059" w:rsidRDefault="00914BD6" w:rsidP="00914BD6">
      <w:pPr>
        <w:pStyle w:val="Amain"/>
      </w:pPr>
      <w:r w:rsidRPr="00A32059">
        <w:rPr>
          <w:lang w:eastAsia="en-AU"/>
        </w:rPr>
        <w:tab/>
        <w:t>(2)</w:t>
      </w:r>
      <w:r w:rsidRPr="00A32059">
        <w:rPr>
          <w:lang w:eastAsia="en-AU"/>
        </w:rPr>
        <w:tab/>
        <w:t xml:space="preserve">A database operator who keeps personal information about a person in a residential tenancy database must </w:t>
      </w:r>
      <w:r w:rsidRPr="00A32059">
        <w:t>give the person a copy of the information if—</w:t>
      </w:r>
    </w:p>
    <w:p w:rsidR="00914BD6" w:rsidRPr="00A32059" w:rsidRDefault="00914BD6" w:rsidP="00914BD6">
      <w:pPr>
        <w:pStyle w:val="Apara"/>
      </w:pPr>
      <w:r w:rsidRPr="00A32059">
        <w:tab/>
        <w:t>(a)</w:t>
      </w:r>
      <w:r w:rsidRPr="00A32059">
        <w:tab/>
        <w:t>the person asks for the information in writing; and</w:t>
      </w:r>
    </w:p>
    <w:p w:rsidR="00914BD6" w:rsidRPr="00A32059" w:rsidRDefault="00914BD6" w:rsidP="00914BD6">
      <w:pPr>
        <w:pStyle w:val="Apara"/>
      </w:pPr>
      <w:r w:rsidRPr="00A32059">
        <w:tab/>
        <w:t>(b)</w:t>
      </w:r>
      <w:r w:rsidRPr="00A32059">
        <w:tab/>
        <w:t xml:space="preserve">if </w:t>
      </w:r>
      <w:r w:rsidRPr="00A32059">
        <w:rPr>
          <w:lang w:eastAsia="en-AU"/>
        </w:rPr>
        <w:t xml:space="preserve">the </w:t>
      </w:r>
      <w:r w:rsidRPr="00A32059">
        <w:t>operator charges a fee for giving the information—the fee has been paid.</w:t>
      </w:r>
    </w:p>
    <w:p w:rsidR="00914BD6" w:rsidRPr="00A32059" w:rsidRDefault="00914BD6" w:rsidP="00914BD6">
      <w:pPr>
        <w:pStyle w:val="Amain"/>
      </w:pPr>
      <w:r w:rsidRPr="00A32059">
        <w:tab/>
        <w:t>(3)</w:t>
      </w:r>
      <w:r w:rsidRPr="00A32059">
        <w:tab/>
      </w:r>
      <w:r w:rsidRPr="00A32059">
        <w:rPr>
          <w:lang w:eastAsia="en-AU"/>
        </w:rPr>
        <w:t>A</w:t>
      </w:r>
      <w:r w:rsidRPr="00A32059">
        <w:t xml:space="preserve"> lessor, lessor’s agent or database operator who is required to give personal information under this section must give the information to the person within 14 days after the later of—</w:t>
      </w:r>
    </w:p>
    <w:p w:rsidR="00914BD6" w:rsidRPr="00A32059" w:rsidRDefault="00914BD6" w:rsidP="00914BD6">
      <w:pPr>
        <w:pStyle w:val="Apara"/>
      </w:pPr>
      <w:r w:rsidRPr="00A32059">
        <w:tab/>
        <w:t>(a)</w:t>
      </w:r>
      <w:r w:rsidRPr="00A32059">
        <w:tab/>
        <w:t>the day the person asks for the information in writing; and</w:t>
      </w:r>
    </w:p>
    <w:p w:rsidR="00914BD6" w:rsidRPr="00A32059" w:rsidRDefault="00914BD6" w:rsidP="00914BD6">
      <w:pPr>
        <w:pStyle w:val="Apara"/>
      </w:pPr>
      <w:r w:rsidRPr="00A32059">
        <w:tab/>
        <w:t>(b)</w:t>
      </w:r>
      <w:r w:rsidRPr="00A32059">
        <w:tab/>
        <w:t>if a fee is charged for giving the information—the day the fee is paid.</w:t>
      </w:r>
    </w:p>
    <w:p w:rsidR="00914BD6" w:rsidRPr="00A32059" w:rsidRDefault="00914BD6" w:rsidP="00914BD6">
      <w:pPr>
        <w:pStyle w:val="Amain"/>
      </w:pPr>
      <w:r w:rsidRPr="00A32059">
        <w:rPr>
          <w:lang w:eastAsia="en-AU"/>
        </w:rPr>
        <w:tab/>
      </w:r>
      <w:r w:rsidRPr="00A32059">
        <w:t>(4)</w:t>
      </w:r>
      <w:r w:rsidRPr="00A32059">
        <w:tab/>
        <w:t xml:space="preserve">A fee charged by a lessor, lessor’s agent or </w:t>
      </w:r>
      <w:r w:rsidRPr="00A32059">
        <w:rPr>
          <w:lang w:eastAsia="en-AU"/>
        </w:rPr>
        <w:t>database operator</w:t>
      </w:r>
      <w:r w:rsidRPr="00A32059">
        <w:t xml:space="preserve"> for giving personal information under this section—</w:t>
      </w:r>
    </w:p>
    <w:p w:rsidR="00914BD6" w:rsidRPr="00A32059" w:rsidRDefault="00914BD6" w:rsidP="00914BD6">
      <w:pPr>
        <w:pStyle w:val="Apara"/>
      </w:pPr>
      <w:r w:rsidRPr="00A32059">
        <w:tab/>
        <w:t>(a)</w:t>
      </w:r>
      <w:r w:rsidRPr="00A32059">
        <w:tab/>
        <w:t>must not be excessive; and</w:t>
      </w:r>
    </w:p>
    <w:p w:rsidR="00914BD6" w:rsidRPr="00A32059" w:rsidRDefault="00914BD6" w:rsidP="00914BD6">
      <w:pPr>
        <w:pStyle w:val="Apara"/>
      </w:pPr>
      <w:r w:rsidRPr="00A32059">
        <w:tab/>
        <w:t>(b)</w:t>
      </w:r>
      <w:r w:rsidRPr="00A32059">
        <w:tab/>
        <w:t>must not apply to lodging a request for the information.</w:t>
      </w:r>
    </w:p>
    <w:p w:rsidR="00914BD6" w:rsidRPr="00A32059" w:rsidRDefault="00914BD6" w:rsidP="00914BD6">
      <w:pPr>
        <w:pStyle w:val="AH5Sec"/>
        <w:rPr>
          <w:lang w:eastAsia="en-AU"/>
        </w:rPr>
      </w:pPr>
      <w:bookmarkStart w:id="178" w:name="_Toc23417985"/>
      <w:r w:rsidRPr="001403E0">
        <w:rPr>
          <w:rStyle w:val="CharSectNo"/>
        </w:rPr>
        <w:lastRenderedPageBreak/>
        <w:t>96</w:t>
      </w:r>
      <w:r w:rsidRPr="00A32059">
        <w:rPr>
          <w:lang w:eastAsia="en-AU"/>
        </w:rPr>
        <w:tab/>
        <w:t>Notifying relevant non-parties of tribunal order about listing</w:t>
      </w:r>
      <w:bookmarkEnd w:id="178"/>
    </w:p>
    <w:p w:rsidR="00914BD6" w:rsidRPr="00A32059" w:rsidRDefault="00914BD6" w:rsidP="001848C9">
      <w:pPr>
        <w:pStyle w:val="Amain"/>
        <w:keepNext/>
        <w:rPr>
          <w:lang w:eastAsia="en-AU"/>
        </w:rPr>
      </w:pPr>
      <w:r w:rsidRPr="00A32059">
        <w:rPr>
          <w:lang w:eastAsia="en-AU"/>
        </w:rPr>
        <w:tab/>
        <w:t>(1)</w:t>
      </w:r>
      <w:r w:rsidRPr="00A32059">
        <w:rPr>
          <w:lang w:eastAsia="en-AU"/>
        </w:rPr>
        <w:tab/>
        <w:t>This section applies if—</w:t>
      </w:r>
    </w:p>
    <w:p w:rsidR="00914BD6" w:rsidRPr="00A32059" w:rsidRDefault="00914BD6" w:rsidP="00914BD6">
      <w:pPr>
        <w:pStyle w:val="Apara"/>
        <w:rPr>
          <w:lang w:eastAsia="en-AU"/>
        </w:rPr>
      </w:pPr>
      <w:r w:rsidRPr="00A32059">
        <w:rPr>
          <w:lang w:eastAsia="en-AU"/>
        </w:rPr>
        <w:tab/>
        <w:t>(a)</w:t>
      </w:r>
      <w:r w:rsidRPr="00A32059">
        <w:rPr>
          <w:lang w:eastAsia="en-AU"/>
        </w:rPr>
        <w:tab/>
        <w:t>the ACAT makes an order that a person must, in relation to a residential tenancy database—</w:t>
      </w:r>
    </w:p>
    <w:p w:rsidR="00914BD6" w:rsidRPr="00A32059" w:rsidRDefault="00914BD6" w:rsidP="00914BD6">
      <w:pPr>
        <w:pStyle w:val="Asubpara"/>
        <w:rPr>
          <w:lang w:eastAsia="en-AU"/>
        </w:rPr>
      </w:pPr>
      <w:r w:rsidRPr="00A32059">
        <w:rPr>
          <w:lang w:eastAsia="en-AU"/>
        </w:rPr>
        <w:tab/>
        <w:t>(i)</w:t>
      </w:r>
      <w:r w:rsidRPr="00A32059">
        <w:rPr>
          <w:lang w:eastAsia="en-AU"/>
        </w:rPr>
        <w:tab/>
        <w:t>amend personal information in a stated way; or</w:t>
      </w:r>
    </w:p>
    <w:p w:rsidR="00914BD6" w:rsidRPr="00A32059" w:rsidRDefault="00914BD6" w:rsidP="00914BD6">
      <w:pPr>
        <w:pStyle w:val="Asubpara"/>
        <w:rPr>
          <w:lang w:eastAsia="en-AU"/>
        </w:rPr>
      </w:pPr>
      <w:r w:rsidRPr="00A32059">
        <w:rPr>
          <w:lang w:eastAsia="en-AU"/>
        </w:rPr>
        <w:tab/>
        <w:t>(ii)</w:t>
      </w:r>
      <w:r w:rsidRPr="00A32059">
        <w:rPr>
          <w:lang w:eastAsia="en-AU"/>
        </w:rPr>
        <w:tab/>
        <w:t>remove all or some personal information about a person; and</w:t>
      </w:r>
    </w:p>
    <w:p w:rsidR="00914BD6" w:rsidRPr="00A32059" w:rsidRDefault="00914BD6" w:rsidP="00914BD6">
      <w:pPr>
        <w:pStyle w:val="Apara"/>
        <w:rPr>
          <w:lang w:eastAsia="en-AU"/>
        </w:rPr>
      </w:pPr>
      <w:r w:rsidRPr="00A32059">
        <w:rPr>
          <w:lang w:eastAsia="en-AU"/>
        </w:rPr>
        <w:tab/>
        <w:t>(b)</w:t>
      </w:r>
      <w:r w:rsidRPr="00A32059">
        <w:rPr>
          <w:lang w:eastAsia="en-AU"/>
        </w:rPr>
        <w:tab/>
        <w:t xml:space="preserve">the person against whom that order is made (the </w:t>
      </w:r>
      <w:r w:rsidRPr="009D74E7">
        <w:rPr>
          <w:rStyle w:val="charBoldItals"/>
        </w:rPr>
        <w:t>relevant person</w:t>
      </w:r>
      <w:r w:rsidRPr="00A32059">
        <w:rPr>
          <w:lang w:eastAsia="en-AU"/>
        </w:rPr>
        <w:t>) is not a party to the proceeding.</w:t>
      </w:r>
    </w:p>
    <w:p w:rsidR="00914BD6" w:rsidRPr="00A32059" w:rsidRDefault="00914BD6" w:rsidP="00914BD6">
      <w:pPr>
        <w:pStyle w:val="Amain"/>
        <w:rPr>
          <w:lang w:eastAsia="en-AU"/>
        </w:rPr>
      </w:pPr>
      <w:r w:rsidRPr="00A32059">
        <w:rPr>
          <w:lang w:eastAsia="en-AU"/>
        </w:rPr>
        <w:tab/>
        <w:t>(2)</w:t>
      </w:r>
      <w:r w:rsidRPr="00A32059">
        <w:rPr>
          <w:lang w:eastAsia="en-AU"/>
        </w:rPr>
        <w:tab/>
        <w:t>The ACAT must give a copy of the order to the relevant person, within 14 days after the day the order is made.</w:t>
      </w:r>
    </w:p>
    <w:p w:rsidR="00914BD6" w:rsidRPr="00A32059" w:rsidRDefault="00914BD6" w:rsidP="00914BD6">
      <w:pPr>
        <w:pStyle w:val="AH5Sec"/>
        <w:rPr>
          <w:lang w:eastAsia="en-AU"/>
        </w:rPr>
      </w:pPr>
      <w:bookmarkStart w:id="179" w:name="_Toc23417986"/>
      <w:r w:rsidRPr="001403E0">
        <w:rPr>
          <w:rStyle w:val="CharSectNo"/>
        </w:rPr>
        <w:t>97</w:t>
      </w:r>
      <w:r w:rsidRPr="00A32059">
        <w:rPr>
          <w:lang w:eastAsia="en-AU"/>
        </w:rPr>
        <w:tab/>
        <w:t>Keeping personal information listed</w:t>
      </w:r>
      <w:bookmarkEnd w:id="179"/>
    </w:p>
    <w:p w:rsidR="00914BD6" w:rsidRPr="00A32059" w:rsidRDefault="00914BD6" w:rsidP="00914BD6">
      <w:pPr>
        <w:pStyle w:val="Amain"/>
        <w:rPr>
          <w:lang w:eastAsia="en-AU"/>
        </w:rPr>
      </w:pPr>
      <w:r w:rsidRPr="00A32059">
        <w:rPr>
          <w:lang w:eastAsia="en-AU"/>
        </w:rPr>
        <w:tab/>
        <w:t>(1)</w:t>
      </w:r>
      <w:r w:rsidRPr="00A32059">
        <w:rPr>
          <w:lang w:eastAsia="en-AU"/>
        </w:rPr>
        <w:tab/>
        <w:t>A database operator must not keep personal information about a person in the operator’s residential tenancy database for longer than—</w:t>
      </w:r>
    </w:p>
    <w:p w:rsidR="00914BD6" w:rsidRPr="00A32059" w:rsidRDefault="00914BD6" w:rsidP="00914BD6">
      <w:pPr>
        <w:pStyle w:val="Apara"/>
        <w:rPr>
          <w:lang w:eastAsia="en-AU"/>
        </w:rPr>
      </w:pPr>
      <w:r w:rsidRPr="00A32059">
        <w:rPr>
          <w:lang w:eastAsia="en-AU"/>
        </w:rPr>
        <w:tab/>
        <w:t>(a)</w:t>
      </w:r>
      <w:r w:rsidRPr="00A32059">
        <w:rPr>
          <w:lang w:eastAsia="en-AU"/>
        </w:rPr>
        <w:tab/>
        <w:t>3 years; or</w:t>
      </w:r>
    </w:p>
    <w:p w:rsidR="00914BD6" w:rsidRPr="00A32059" w:rsidRDefault="00914BD6" w:rsidP="00914BD6">
      <w:pPr>
        <w:pStyle w:val="Apara"/>
        <w:rPr>
          <w:lang w:eastAsia="en-AU"/>
        </w:rPr>
      </w:pPr>
      <w:r w:rsidRPr="00A32059">
        <w:rPr>
          <w:lang w:eastAsia="en-AU"/>
        </w:rPr>
        <w:tab/>
        <w:t>(b)</w:t>
      </w:r>
      <w:r w:rsidRPr="00A32059">
        <w:rPr>
          <w:lang w:eastAsia="en-AU"/>
        </w:rPr>
        <w:tab/>
        <w:t xml:space="preserve">if, under the </w:t>
      </w:r>
      <w:r w:rsidR="00302D32" w:rsidRPr="009D7A32">
        <w:t>Territory privacy principles or Australian Privacy Principles</w:t>
      </w:r>
      <w:r w:rsidRPr="00A32059">
        <w:rPr>
          <w:lang w:eastAsia="en-AU"/>
        </w:rPr>
        <w:t>, the database operator is required to remove the information before the end of the 3</w:t>
      </w:r>
      <w:r w:rsidRPr="00A32059">
        <w:rPr>
          <w:lang w:eastAsia="en-AU"/>
        </w:rPr>
        <w:noBreakHyphen/>
        <w:t xml:space="preserve">year period mentioned in paragraph (a)—the period ending when the information must be removed under the </w:t>
      </w:r>
      <w:r w:rsidR="00302D32" w:rsidRPr="009D7A32">
        <w:t>Territory privacy principles or Australian Privacy Principles</w:t>
      </w:r>
      <w:r w:rsidRPr="00A32059">
        <w:rPr>
          <w:lang w:eastAsia="en-AU"/>
        </w:rPr>
        <w:t>.</w:t>
      </w:r>
    </w:p>
    <w:p w:rsidR="00914BD6" w:rsidRPr="00A32059" w:rsidRDefault="00914BD6" w:rsidP="00914BD6">
      <w:pPr>
        <w:pStyle w:val="Amain"/>
        <w:rPr>
          <w:lang w:eastAsia="en-AU"/>
        </w:rPr>
      </w:pPr>
      <w:r w:rsidRPr="00A32059">
        <w:rPr>
          <w:lang w:eastAsia="en-AU"/>
        </w:rPr>
        <w:tab/>
        <w:t>(2)</w:t>
      </w:r>
      <w:r w:rsidRPr="00A32059">
        <w:rPr>
          <w:lang w:eastAsia="en-AU"/>
        </w:rPr>
        <w:tab/>
        <w:t>However, a database operator may keep a person’s name in the operator’s residential tenancy database for longer than the periods stated in subsection (1) if—</w:t>
      </w:r>
    </w:p>
    <w:p w:rsidR="00914BD6" w:rsidRPr="00A32059" w:rsidRDefault="00914BD6" w:rsidP="00914BD6">
      <w:pPr>
        <w:pStyle w:val="Apara"/>
        <w:rPr>
          <w:lang w:eastAsia="en-AU"/>
        </w:rPr>
      </w:pPr>
      <w:r w:rsidRPr="00A32059">
        <w:rPr>
          <w:lang w:eastAsia="en-AU"/>
        </w:rPr>
        <w:tab/>
        <w:t>(a)</w:t>
      </w:r>
      <w:r w:rsidRPr="00A32059">
        <w:rPr>
          <w:lang w:eastAsia="en-AU"/>
        </w:rPr>
        <w:tab/>
        <w:t>other personal information about the person in the database is attached to the person’s name; and</w:t>
      </w:r>
    </w:p>
    <w:p w:rsidR="00914BD6" w:rsidRPr="00A32059" w:rsidRDefault="00914BD6" w:rsidP="00914BD6">
      <w:pPr>
        <w:pStyle w:val="Apara"/>
        <w:rPr>
          <w:lang w:eastAsia="en-AU"/>
        </w:rPr>
      </w:pPr>
      <w:r w:rsidRPr="00A32059">
        <w:rPr>
          <w:lang w:eastAsia="en-AU"/>
        </w:rPr>
        <w:lastRenderedPageBreak/>
        <w:tab/>
        <w:t>(b)</w:t>
      </w:r>
      <w:r w:rsidRPr="00A32059">
        <w:rPr>
          <w:lang w:eastAsia="en-AU"/>
        </w:rPr>
        <w:tab/>
        <w:t>the other personal information is not required to be removed under subsection (1) or another law.</w:t>
      </w:r>
    </w:p>
    <w:p w:rsidR="00914BD6" w:rsidRDefault="00914BD6" w:rsidP="00914BD6">
      <w:pPr>
        <w:pStyle w:val="aExamHdgss"/>
      </w:pPr>
      <w:r>
        <w:t>Example</w:t>
      </w:r>
    </w:p>
    <w:p w:rsidR="00914BD6" w:rsidRDefault="00914BD6" w:rsidP="00914BD6">
      <w:pPr>
        <w:pStyle w:val="aExamss"/>
      </w:pPr>
      <w:r>
        <w:t>Larry Tate is listed in a residential tenancy database in relation to two breaches of residential tenancy agreements.  The first breach occurred 3 years ago.  The second breach occurred 2 years ago.  The database operator is required under s 97 (1) to remove the reference to the first breach from the database.  Larry may still be listed in the database because the second breach occurred 2 years ago.</w:t>
      </w:r>
    </w:p>
    <w:p w:rsidR="00914BD6" w:rsidRPr="00A32059" w:rsidRDefault="00914BD6" w:rsidP="00914BD6">
      <w:pPr>
        <w:pStyle w:val="Amain"/>
        <w:rPr>
          <w:lang w:eastAsia="en-AU"/>
        </w:rPr>
      </w:pPr>
      <w:r w:rsidRPr="00A32059">
        <w:rPr>
          <w:lang w:eastAsia="en-AU"/>
        </w:rPr>
        <w:tab/>
        <w:t>(3)</w:t>
      </w:r>
      <w:r w:rsidRPr="00A32059">
        <w:rPr>
          <w:lang w:eastAsia="en-AU"/>
        </w:rPr>
        <w:tab/>
        <w:t>This section does not limit the operation of another provision in this part or another law that requires the removal of personal information.</w:t>
      </w:r>
    </w:p>
    <w:p w:rsidR="00302D32" w:rsidRPr="009D7A32" w:rsidRDefault="00302D32" w:rsidP="00302D32">
      <w:pPr>
        <w:pStyle w:val="Amain"/>
      </w:pPr>
      <w:r w:rsidRPr="009D7A32">
        <w:tab/>
        <w:t>(4)</w:t>
      </w:r>
      <w:r w:rsidRPr="009D7A32">
        <w:tab/>
        <w:t>In this section:</w:t>
      </w:r>
    </w:p>
    <w:p w:rsidR="00302D32" w:rsidRPr="009D7A32" w:rsidRDefault="00302D32" w:rsidP="00302D32">
      <w:pPr>
        <w:pStyle w:val="aDef"/>
      </w:pPr>
      <w:r w:rsidRPr="009D7A32">
        <w:rPr>
          <w:rStyle w:val="charBoldItals"/>
        </w:rPr>
        <w:t>Australian Privacy Principles</w:t>
      </w:r>
      <w:r w:rsidRPr="009D7A32">
        <w:t xml:space="preserve"> means the principles stated in the </w:t>
      </w:r>
      <w:hyperlink r:id="rId87" w:tooltip="Act 1988 No 119 (Cwlth)" w:history="1">
        <w:r w:rsidRPr="009D7A32">
          <w:rPr>
            <w:rStyle w:val="charCitHyperlinkItal"/>
          </w:rPr>
          <w:t>Privacy Act 1988</w:t>
        </w:r>
      </w:hyperlink>
      <w:r w:rsidRPr="009D7A32">
        <w:t xml:space="preserve"> (Cwlth), schedule 1.</w:t>
      </w:r>
    </w:p>
    <w:p w:rsidR="00302D32" w:rsidRPr="009D7A32" w:rsidRDefault="00302D32" w:rsidP="00302D32">
      <w:pPr>
        <w:pStyle w:val="aDef"/>
      </w:pPr>
      <w:r w:rsidRPr="009D7A32">
        <w:rPr>
          <w:rStyle w:val="charBoldItals"/>
        </w:rPr>
        <w:t>Territory privacy principles</w:t>
      </w:r>
      <w:r w:rsidRPr="009D7A32">
        <w:t xml:space="preserve"> means the principles stated in the </w:t>
      </w:r>
      <w:hyperlink r:id="rId88" w:tooltip="A2014-24" w:history="1">
        <w:r w:rsidRPr="009D7A32">
          <w:rPr>
            <w:rStyle w:val="charCitHyperlinkItal"/>
          </w:rPr>
          <w:t>Information Privacy Act 2014</w:t>
        </w:r>
      </w:hyperlink>
      <w:r w:rsidRPr="009D7A32">
        <w:t>, schedule 1.</w:t>
      </w:r>
    </w:p>
    <w:p w:rsidR="00914BD6" w:rsidRPr="00A32059" w:rsidRDefault="00914BD6" w:rsidP="00914BD6">
      <w:pPr>
        <w:pStyle w:val="AH5Sec"/>
        <w:rPr>
          <w:lang w:eastAsia="en-AU"/>
        </w:rPr>
      </w:pPr>
      <w:bookmarkStart w:id="180" w:name="_Toc23417987"/>
      <w:r w:rsidRPr="001403E0">
        <w:rPr>
          <w:rStyle w:val="CharSectNo"/>
        </w:rPr>
        <w:t>98</w:t>
      </w:r>
      <w:r w:rsidRPr="00A32059">
        <w:rPr>
          <w:lang w:eastAsia="en-AU"/>
        </w:rPr>
        <w:tab/>
        <w:t>Application to ACAT about contravention</w:t>
      </w:r>
      <w:bookmarkEnd w:id="180"/>
    </w:p>
    <w:p w:rsidR="00914BD6" w:rsidRPr="00A32059" w:rsidRDefault="00914BD6" w:rsidP="00914BD6">
      <w:pPr>
        <w:pStyle w:val="Amain"/>
        <w:rPr>
          <w:lang w:eastAsia="en-AU"/>
        </w:rPr>
      </w:pPr>
      <w:r w:rsidRPr="00A32059">
        <w:rPr>
          <w:lang w:eastAsia="en-AU"/>
        </w:rPr>
        <w:tab/>
        <w:t>(1)</w:t>
      </w:r>
      <w:r w:rsidRPr="00A32059">
        <w:rPr>
          <w:lang w:eastAsia="en-AU"/>
        </w:rPr>
        <w:tab/>
        <w:t xml:space="preserve">A person who claims that personal information about the person has been </w:t>
      </w:r>
      <w:r w:rsidRPr="00A32059">
        <w:rPr>
          <w:szCs w:val="24"/>
          <w:lang w:eastAsia="en-AU"/>
        </w:rPr>
        <w:t>listed in a residential tenancy database in contravention of this part may apply to the ACAT about the listing of the information.</w:t>
      </w:r>
    </w:p>
    <w:p w:rsidR="00914BD6" w:rsidRPr="00A32059" w:rsidRDefault="00914BD6" w:rsidP="00914BD6">
      <w:pPr>
        <w:pStyle w:val="Amain"/>
        <w:rPr>
          <w:lang w:eastAsia="en-AU"/>
        </w:rPr>
      </w:pPr>
      <w:r w:rsidRPr="00A32059">
        <w:rPr>
          <w:lang w:eastAsia="en-AU"/>
        </w:rPr>
        <w:tab/>
        <w:t>(2)</w:t>
      </w:r>
      <w:r w:rsidRPr="00A32059">
        <w:rPr>
          <w:lang w:eastAsia="en-AU"/>
        </w:rPr>
        <w:tab/>
        <w:t>The application must be made within 6 months after the day the person becomes aware of the listing of the personal information in the residential tenancy database.</w:t>
      </w:r>
    </w:p>
    <w:p w:rsidR="00914BD6" w:rsidRPr="00A32059" w:rsidRDefault="00914BD6" w:rsidP="00914BD6">
      <w:pPr>
        <w:pStyle w:val="Amain"/>
        <w:rPr>
          <w:lang w:eastAsia="en-AU"/>
        </w:rPr>
      </w:pPr>
      <w:r w:rsidRPr="00A32059">
        <w:rPr>
          <w:lang w:eastAsia="en-AU"/>
        </w:rPr>
        <w:tab/>
        <w:t>(3)</w:t>
      </w:r>
      <w:r w:rsidRPr="00A32059">
        <w:rPr>
          <w:lang w:eastAsia="en-AU"/>
        </w:rPr>
        <w:tab/>
        <w:t>If the ACAT decides there has been a contravention of a provision of this part, it may—</w:t>
      </w:r>
    </w:p>
    <w:p w:rsidR="00914BD6" w:rsidRPr="00A32059" w:rsidRDefault="00914BD6" w:rsidP="00914BD6">
      <w:pPr>
        <w:pStyle w:val="Apara"/>
        <w:rPr>
          <w:lang w:eastAsia="en-AU"/>
        </w:rPr>
      </w:pPr>
      <w:r w:rsidRPr="00A32059">
        <w:rPr>
          <w:lang w:eastAsia="en-AU"/>
        </w:rPr>
        <w:tab/>
        <w:t>(a)</w:t>
      </w:r>
      <w:r w:rsidRPr="00A32059">
        <w:rPr>
          <w:lang w:eastAsia="en-AU"/>
        </w:rPr>
        <w:tab/>
        <w:t xml:space="preserve">order a person to take stated steps to remedy the contravention; </w:t>
      </w:r>
      <w:r w:rsidRPr="00A32059">
        <w:rPr>
          <w:szCs w:val="24"/>
          <w:lang w:eastAsia="en-AU"/>
        </w:rPr>
        <w:t>or</w:t>
      </w:r>
    </w:p>
    <w:p w:rsidR="00914BD6" w:rsidRPr="00A32059" w:rsidRDefault="00914BD6" w:rsidP="001848C9">
      <w:pPr>
        <w:pStyle w:val="Apara"/>
        <w:keepNext/>
        <w:rPr>
          <w:lang w:eastAsia="en-AU"/>
        </w:rPr>
      </w:pPr>
      <w:r w:rsidRPr="00A32059">
        <w:rPr>
          <w:lang w:eastAsia="en-AU"/>
        </w:rPr>
        <w:tab/>
        <w:t>(b)</w:t>
      </w:r>
      <w:r w:rsidRPr="00A32059">
        <w:rPr>
          <w:lang w:eastAsia="en-AU"/>
        </w:rPr>
        <w:tab/>
        <w:t>make any other order it considers appropriate.</w:t>
      </w:r>
    </w:p>
    <w:p w:rsidR="00914BD6" w:rsidRPr="00A32059" w:rsidRDefault="00914BD6" w:rsidP="00914BD6">
      <w:pPr>
        <w:pStyle w:val="aNote"/>
        <w:rPr>
          <w:lang w:eastAsia="en-AU"/>
        </w:rPr>
      </w:pPr>
      <w:r w:rsidRPr="009D74E7">
        <w:rPr>
          <w:rStyle w:val="charItals"/>
        </w:rPr>
        <w:t>Note</w:t>
      </w:r>
      <w:r w:rsidRPr="009D74E7">
        <w:rPr>
          <w:rStyle w:val="charItals"/>
        </w:rPr>
        <w:tab/>
      </w:r>
      <w:r w:rsidRPr="00A32059">
        <w:rPr>
          <w:lang w:eastAsia="en-AU"/>
        </w:rPr>
        <w:t>If the ACAT makes an order under this part, it may also order compensation under s 101.</w:t>
      </w:r>
    </w:p>
    <w:p w:rsidR="00914BD6" w:rsidRPr="00A32059" w:rsidRDefault="00914BD6" w:rsidP="00914BD6">
      <w:pPr>
        <w:pStyle w:val="AH5Sec"/>
        <w:rPr>
          <w:lang w:eastAsia="en-AU"/>
        </w:rPr>
      </w:pPr>
      <w:bookmarkStart w:id="181" w:name="_Toc23417988"/>
      <w:r w:rsidRPr="001403E0">
        <w:rPr>
          <w:rStyle w:val="CharSectNo"/>
        </w:rPr>
        <w:lastRenderedPageBreak/>
        <w:t>99</w:t>
      </w:r>
      <w:r w:rsidRPr="00A32059">
        <w:rPr>
          <w:lang w:eastAsia="en-AU"/>
        </w:rPr>
        <w:tab/>
        <w:t xml:space="preserve">Application to ACAT about certain personal information listed in residential tenancy </w:t>
      </w:r>
      <w:r w:rsidRPr="00A32059">
        <w:rPr>
          <w:rFonts w:cs="Arial"/>
          <w:bCs/>
          <w:szCs w:val="24"/>
          <w:lang w:eastAsia="en-AU"/>
        </w:rPr>
        <w:t>database</w:t>
      </w:r>
      <w:bookmarkEnd w:id="181"/>
    </w:p>
    <w:p w:rsidR="00914BD6" w:rsidRPr="00A32059" w:rsidRDefault="00914BD6" w:rsidP="00914BD6">
      <w:pPr>
        <w:pStyle w:val="Amain"/>
        <w:rPr>
          <w:lang w:eastAsia="en-AU"/>
        </w:rPr>
      </w:pPr>
      <w:r w:rsidRPr="00A32059">
        <w:rPr>
          <w:lang w:eastAsia="en-AU"/>
        </w:rPr>
        <w:tab/>
        <w:t>(1)</w:t>
      </w:r>
      <w:r w:rsidRPr="00A32059">
        <w:rPr>
          <w:lang w:eastAsia="en-AU"/>
        </w:rPr>
        <w:tab/>
        <w:t xml:space="preserve">If personal information about a person is </w:t>
      </w:r>
      <w:r w:rsidRPr="00A32059">
        <w:rPr>
          <w:szCs w:val="24"/>
          <w:lang w:eastAsia="en-AU"/>
        </w:rPr>
        <w:t>listed</w:t>
      </w:r>
      <w:r w:rsidRPr="00A32059">
        <w:rPr>
          <w:lang w:eastAsia="en-AU"/>
        </w:rPr>
        <w:t xml:space="preserve"> in a residential tenancy database, the person may apply to the ACAT for an order under this section.</w:t>
      </w:r>
    </w:p>
    <w:p w:rsidR="00914BD6" w:rsidRPr="00A32059" w:rsidRDefault="00914BD6" w:rsidP="00914BD6">
      <w:pPr>
        <w:pStyle w:val="Amain"/>
        <w:rPr>
          <w:lang w:eastAsia="en-AU"/>
        </w:rPr>
      </w:pPr>
      <w:r w:rsidRPr="00A32059">
        <w:rPr>
          <w:lang w:eastAsia="en-AU"/>
        </w:rPr>
        <w:tab/>
        <w:t>(2)</w:t>
      </w:r>
      <w:r w:rsidRPr="00A32059">
        <w:rPr>
          <w:lang w:eastAsia="en-AU"/>
        </w:rPr>
        <w:tab/>
        <w:t>The ACAT may order a listing person to—</w:t>
      </w:r>
    </w:p>
    <w:p w:rsidR="00914BD6" w:rsidRPr="00A32059" w:rsidRDefault="00914BD6" w:rsidP="00914BD6">
      <w:pPr>
        <w:pStyle w:val="Apara"/>
        <w:rPr>
          <w:lang w:eastAsia="en-AU"/>
        </w:rPr>
      </w:pPr>
      <w:r w:rsidRPr="00A32059">
        <w:rPr>
          <w:lang w:eastAsia="en-AU"/>
        </w:rPr>
        <w:tab/>
        <w:t>(a)</w:t>
      </w:r>
      <w:r w:rsidRPr="00A32059">
        <w:rPr>
          <w:lang w:eastAsia="en-AU"/>
        </w:rPr>
        <w:tab/>
        <w:t>remove stated personal information</w:t>
      </w:r>
      <w:r w:rsidRPr="00A32059">
        <w:rPr>
          <w:szCs w:val="24"/>
          <w:lang w:eastAsia="en-AU"/>
        </w:rPr>
        <w:t xml:space="preserve"> from the database; or</w:t>
      </w:r>
    </w:p>
    <w:p w:rsidR="00914BD6" w:rsidRPr="00A32059" w:rsidRDefault="00914BD6" w:rsidP="00914BD6">
      <w:pPr>
        <w:pStyle w:val="Apara"/>
        <w:rPr>
          <w:lang w:eastAsia="en-AU"/>
        </w:rPr>
      </w:pPr>
      <w:r w:rsidRPr="00A32059">
        <w:rPr>
          <w:lang w:eastAsia="en-AU"/>
        </w:rPr>
        <w:tab/>
        <w:t>(b)</w:t>
      </w:r>
      <w:r w:rsidRPr="00A32059">
        <w:rPr>
          <w:lang w:eastAsia="en-AU"/>
        </w:rPr>
        <w:tab/>
        <w:t>amend the personal information in the database.</w:t>
      </w:r>
    </w:p>
    <w:p w:rsidR="00914BD6" w:rsidRPr="00A32059" w:rsidRDefault="00914BD6" w:rsidP="00914BD6">
      <w:pPr>
        <w:pStyle w:val="Amain"/>
        <w:rPr>
          <w:lang w:eastAsia="en-AU"/>
        </w:rPr>
      </w:pPr>
      <w:r w:rsidRPr="00A32059">
        <w:rPr>
          <w:lang w:eastAsia="en-AU"/>
        </w:rPr>
        <w:tab/>
        <w:t>(3)</w:t>
      </w:r>
      <w:r w:rsidRPr="00A32059">
        <w:rPr>
          <w:lang w:eastAsia="en-AU"/>
        </w:rPr>
        <w:tab/>
        <w:t>The ACAT may make the order only if satisfied—</w:t>
      </w:r>
    </w:p>
    <w:p w:rsidR="00914BD6" w:rsidRPr="00A32059" w:rsidRDefault="00914BD6" w:rsidP="00914BD6">
      <w:pPr>
        <w:pStyle w:val="Apara"/>
        <w:rPr>
          <w:lang w:eastAsia="en-AU"/>
        </w:rPr>
      </w:pPr>
      <w:r w:rsidRPr="00A32059">
        <w:rPr>
          <w:lang w:eastAsia="en-AU"/>
        </w:rPr>
        <w:tab/>
        <w:t>(a)</w:t>
      </w:r>
      <w:r w:rsidRPr="00A32059">
        <w:rPr>
          <w:lang w:eastAsia="en-AU"/>
        </w:rPr>
        <w:tab/>
        <w:t xml:space="preserve">the personal information </w:t>
      </w:r>
      <w:r w:rsidRPr="00A32059">
        <w:rPr>
          <w:szCs w:val="24"/>
          <w:lang w:eastAsia="en-AU"/>
        </w:rPr>
        <w:t>is inaccurate, incomplete, ambiguous or out-of-date; or</w:t>
      </w:r>
    </w:p>
    <w:p w:rsidR="00914BD6" w:rsidRPr="00A32059" w:rsidRDefault="00914BD6" w:rsidP="006E3B49">
      <w:pPr>
        <w:pStyle w:val="Apara"/>
        <w:keepNext/>
        <w:rPr>
          <w:lang w:eastAsia="en-AU"/>
        </w:rPr>
      </w:pPr>
      <w:r w:rsidRPr="00A32059">
        <w:rPr>
          <w:lang w:eastAsia="en-AU"/>
        </w:rPr>
        <w:tab/>
        <w:t>(b)</w:t>
      </w:r>
      <w:r w:rsidRPr="00A32059">
        <w:rPr>
          <w:lang w:eastAsia="en-AU"/>
        </w:rPr>
        <w:tab/>
        <w:t>the listing of the personal information is unjust in the circumstances, having regard to—</w:t>
      </w:r>
    </w:p>
    <w:p w:rsidR="00914BD6" w:rsidRPr="00A32059" w:rsidRDefault="00914BD6" w:rsidP="00914BD6">
      <w:pPr>
        <w:pStyle w:val="Asubpara"/>
        <w:rPr>
          <w:lang w:eastAsia="en-AU"/>
        </w:rPr>
      </w:pPr>
      <w:r w:rsidRPr="00A32059">
        <w:rPr>
          <w:lang w:eastAsia="en-AU"/>
        </w:rPr>
        <w:tab/>
        <w:t>(i)</w:t>
      </w:r>
      <w:r w:rsidRPr="00A32059">
        <w:rPr>
          <w:lang w:eastAsia="en-AU"/>
        </w:rPr>
        <w:tab/>
        <w:t xml:space="preserve">the reason for the listing of the person’s personal information; </w:t>
      </w:r>
      <w:r w:rsidRPr="00A32059">
        <w:rPr>
          <w:szCs w:val="24"/>
          <w:lang w:eastAsia="en-AU"/>
        </w:rPr>
        <w:t>and</w:t>
      </w:r>
    </w:p>
    <w:p w:rsidR="00914BD6" w:rsidRPr="00A32059" w:rsidRDefault="00914BD6" w:rsidP="00914BD6">
      <w:pPr>
        <w:pStyle w:val="Asubpara"/>
        <w:rPr>
          <w:lang w:eastAsia="en-AU"/>
        </w:rPr>
      </w:pPr>
      <w:r w:rsidRPr="00A32059">
        <w:rPr>
          <w:lang w:eastAsia="en-AU"/>
        </w:rPr>
        <w:tab/>
        <w:t>(ii)</w:t>
      </w:r>
      <w:r w:rsidRPr="00A32059">
        <w:rPr>
          <w:lang w:eastAsia="en-AU"/>
        </w:rPr>
        <w:tab/>
        <w:t>the person’s involvement in the acts or omissions giving rise to the listing of the personal information; and</w:t>
      </w:r>
    </w:p>
    <w:p w:rsidR="00914BD6" w:rsidRPr="00A32059" w:rsidRDefault="00914BD6" w:rsidP="00914BD6">
      <w:pPr>
        <w:pStyle w:val="Asubpara"/>
        <w:rPr>
          <w:lang w:eastAsia="en-AU"/>
        </w:rPr>
      </w:pPr>
      <w:r w:rsidRPr="00A32059">
        <w:rPr>
          <w:lang w:eastAsia="en-AU"/>
        </w:rPr>
        <w:tab/>
        <w:t>(iii)</w:t>
      </w:r>
      <w:r w:rsidRPr="00A32059">
        <w:rPr>
          <w:lang w:eastAsia="en-AU"/>
        </w:rPr>
        <w:tab/>
        <w:t>the adverse consequences suffered, or likely to be suffered, by the person because of the listing of the personal information; and</w:t>
      </w:r>
    </w:p>
    <w:p w:rsidR="00914BD6" w:rsidRPr="00A32059" w:rsidRDefault="00914BD6" w:rsidP="003E1525">
      <w:pPr>
        <w:pStyle w:val="Asubpara"/>
        <w:keepNext/>
        <w:keepLines/>
        <w:rPr>
          <w:lang w:eastAsia="en-AU"/>
        </w:rPr>
      </w:pPr>
      <w:r w:rsidRPr="00A32059">
        <w:rPr>
          <w:lang w:eastAsia="en-AU"/>
        </w:rPr>
        <w:lastRenderedPageBreak/>
        <w:tab/>
        <w:t>(iv)</w:t>
      </w:r>
      <w:r w:rsidRPr="00A32059">
        <w:rPr>
          <w:lang w:eastAsia="en-AU"/>
        </w:rPr>
        <w:tab/>
        <w:t>any other relevant matter.</w:t>
      </w:r>
    </w:p>
    <w:p w:rsidR="00914BD6" w:rsidRPr="00A32059" w:rsidRDefault="00914BD6" w:rsidP="003E1525">
      <w:pPr>
        <w:pStyle w:val="aExamHdgss"/>
        <w:keepLines/>
        <w:rPr>
          <w:lang w:eastAsia="en-AU"/>
        </w:rPr>
      </w:pPr>
      <w:r w:rsidRPr="00A32059">
        <w:rPr>
          <w:lang w:eastAsia="en-AU"/>
        </w:rPr>
        <w:t>Examples—par (b)</w:t>
      </w:r>
    </w:p>
    <w:p w:rsidR="00914BD6" w:rsidRPr="00A32059" w:rsidRDefault="00914BD6" w:rsidP="003E1525">
      <w:pPr>
        <w:pStyle w:val="aExamINumss"/>
        <w:keepNext/>
        <w:keepLines/>
        <w:rPr>
          <w:lang w:eastAsia="en-AU"/>
        </w:rPr>
      </w:pPr>
      <w:r w:rsidRPr="00A32059">
        <w:rPr>
          <w:lang w:eastAsia="en-AU"/>
        </w:rPr>
        <w:t>1</w:t>
      </w:r>
      <w:r w:rsidRPr="00A32059">
        <w:rPr>
          <w:lang w:eastAsia="en-AU"/>
        </w:rPr>
        <w:tab/>
        <w:t xml:space="preserve">Information about Endora is listed in a residential tenancy database because of damage caused to premises by Endora’s domestic partner during a </w:t>
      </w:r>
      <w:r w:rsidR="00E13DFF" w:rsidRPr="004573C3">
        <w:t>family violence</w:t>
      </w:r>
      <w:r w:rsidRPr="00A32059">
        <w:rPr>
          <w:lang w:eastAsia="en-AU"/>
        </w:rPr>
        <w:t xml:space="preserve"> incident. Because of the listing of the information, Endora cannot obtain appropriate and affordable accommodation.</w:t>
      </w:r>
    </w:p>
    <w:p w:rsidR="00914BD6" w:rsidRPr="00A32059" w:rsidRDefault="00914BD6" w:rsidP="00DC3650">
      <w:pPr>
        <w:pStyle w:val="aExamINumss"/>
        <w:keepNext/>
        <w:keepLines/>
        <w:rPr>
          <w:lang w:eastAsia="en-AU"/>
        </w:rPr>
      </w:pPr>
      <w:r w:rsidRPr="00A32059">
        <w:rPr>
          <w:lang w:eastAsia="en-AU"/>
        </w:rPr>
        <w:t>2</w:t>
      </w:r>
      <w:r w:rsidRPr="00A32059">
        <w:rPr>
          <w:lang w:eastAsia="en-AU"/>
        </w:rPr>
        <w:tab/>
        <w:t xml:space="preserve">Information about Maurice is listed in a residential tenancy database because rent remained unpaid by Maurice for 4 months after it was payable. During that period, Maurice was in hospital recovering from a serious accident and unable to make arrangements for payment. </w:t>
      </w:r>
    </w:p>
    <w:p w:rsidR="00914BD6" w:rsidRPr="00A32059" w:rsidRDefault="00914BD6" w:rsidP="00914BD6">
      <w:pPr>
        <w:pStyle w:val="Amain"/>
        <w:rPr>
          <w:lang w:eastAsia="en-AU"/>
        </w:rPr>
      </w:pPr>
      <w:r w:rsidRPr="00A32059">
        <w:rPr>
          <w:lang w:eastAsia="en-AU"/>
        </w:rPr>
        <w:tab/>
        <w:t>(4)</w:t>
      </w:r>
      <w:r w:rsidRPr="00A32059">
        <w:rPr>
          <w:lang w:eastAsia="en-AU"/>
        </w:rPr>
        <w:tab/>
        <w:t>In this section:</w:t>
      </w:r>
    </w:p>
    <w:p w:rsidR="00914BD6" w:rsidRPr="00A32059" w:rsidRDefault="00914BD6" w:rsidP="00914BD6">
      <w:pPr>
        <w:pStyle w:val="aDef"/>
        <w:rPr>
          <w:lang w:eastAsia="en-AU"/>
        </w:rPr>
      </w:pPr>
      <w:r w:rsidRPr="009D74E7">
        <w:rPr>
          <w:rStyle w:val="charBoldItals"/>
        </w:rPr>
        <w:t>listing person</w:t>
      </w:r>
      <w:r w:rsidRPr="00A32059">
        <w:rPr>
          <w:lang w:eastAsia="en-AU"/>
        </w:rPr>
        <w:t xml:space="preserve"> means a lessor, lessor’s agent, database operator or someone else.</w:t>
      </w:r>
    </w:p>
    <w:p w:rsidR="00914BD6" w:rsidRPr="00A32059" w:rsidRDefault="00914BD6" w:rsidP="00914BD6">
      <w:pPr>
        <w:pStyle w:val="AH5Sec"/>
        <w:rPr>
          <w:lang w:eastAsia="en-AU"/>
        </w:rPr>
      </w:pPr>
      <w:bookmarkStart w:id="182" w:name="_Toc23417989"/>
      <w:r w:rsidRPr="001403E0">
        <w:rPr>
          <w:rStyle w:val="CharSectNo"/>
        </w:rPr>
        <w:t>100</w:t>
      </w:r>
      <w:r w:rsidRPr="00A32059">
        <w:rPr>
          <w:lang w:eastAsia="en-AU"/>
        </w:rPr>
        <w:tab/>
        <w:t xml:space="preserve">Application to ACAT about proposed listing of </w:t>
      </w:r>
      <w:r w:rsidRPr="00A32059">
        <w:rPr>
          <w:rFonts w:cs="Arial"/>
          <w:bCs/>
          <w:szCs w:val="24"/>
          <w:lang w:eastAsia="en-AU"/>
        </w:rPr>
        <w:t>personal information</w:t>
      </w:r>
      <w:bookmarkEnd w:id="182"/>
    </w:p>
    <w:p w:rsidR="00914BD6" w:rsidRPr="00A32059" w:rsidRDefault="00914BD6" w:rsidP="00914BD6">
      <w:pPr>
        <w:pStyle w:val="Amain"/>
        <w:rPr>
          <w:lang w:eastAsia="en-AU"/>
        </w:rPr>
      </w:pPr>
      <w:r w:rsidRPr="00A32059">
        <w:rPr>
          <w:lang w:eastAsia="en-AU"/>
        </w:rPr>
        <w:tab/>
        <w:t>(1)</w:t>
      </w:r>
      <w:r w:rsidRPr="00A32059">
        <w:rPr>
          <w:lang w:eastAsia="en-AU"/>
        </w:rPr>
        <w:tab/>
        <w:t xml:space="preserve">A person who is aware that a </w:t>
      </w:r>
      <w:r w:rsidRPr="00A32059">
        <w:rPr>
          <w:bCs/>
          <w:iCs/>
          <w:lang w:eastAsia="en-AU"/>
        </w:rPr>
        <w:t>listing person</w:t>
      </w:r>
      <w:r w:rsidRPr="00A32059">
        <w:rPr>
          <w:lang w:eastAsia="en-AU"/>
        </w:rPr>
        <w:t xml:space="preserve"> </w:t>
      </w:r>
      <w:r w:rsidRPr="00A32059">
        <w:rPr>
          <w:szCs w:val="24"/>
          <w:lang w:eastAsia="en-AU"/>
        </w:rPr>
        <w:t>intends to list personal information about the person in a residential tenancy database may apply to the ACAT for an order under this section.</w:t>
      </w:r>
    </w:p>
    <w:p w:rsidR="00914BD6" w:rsidRPr="00A32059" w:rsidRDefault="00914BD6" w:rsidP="006E3B49">
      <w:pPr>
        <w:pStyle w:val="Amain"/>
        <w:keepNext/>
        <w:rPr>
          <w:lang w:eastAsia="en-AU"/>
        </w:rPr>
      </w:pPr>
      <w:r w:rsidRPr="00A32059">
        <w:rPr>
          <w:lang w:eastAsia="en-AU"/>
        </w:rPr>
        <w:tab/>
        <w:t>(2)</w:t>
      </w:r>
      <w:r w:rsidRPr="00A32059">
        <w:rPr>
          <w:lang w:eastAsia="en-AU"/>
        </w:rPr>
        <w:tab/>
        <w:t>The ACAT may—</w:t>
      </w:r>
    </w:p>
    <w:p w:rsidR="00914BD6" w:rsidRPr="00A32059" w:rsidRDefault="00914BD6" w:rsidP="00914BD6">
      <w:pPr>
        <w:pStyle w:val="Apara"/>
        <w:rPr>
          <w:lang w:eastAsia="en-AU"/>
        </w:rPr>
      </w:pPr>
      <w:r w:rsidRPr="00A32059">
        <w:rPr>
          <w:lang w:eastAsia="en-AU"/>
        </w:rPr>
        <w:tab/>
        <w:t>(a)</w:t>
      </w:r>
      <w:r w:rsidRPr="00A32059">
        <w:rPr>
          <w:lang w:eastAsia="en-AU"/>
        </w:rPr>
        <w:tab/>
        <w:t>order the listing person not to list the person’s personal information in the residential tenancy database; or</w:t>
      </w:r>
    </w:p>
    <w:p w:rsidR="00914BD6" w:rsidRPr="00A32059" w:rsidRDefault="00914BD6" w:rsidP="00914BD6">
      <w:pPr>
        <w:pStyle w:val="Apara"/>
        <w:rPr>
          <w:lang w:eastAsia="en-AU"/>
        </w:rPr>
      </w:pPr>
      <w:r w:rsidRPr="00A32059">
        <w:rPr>
          <w:lang w:eastAsia="en-AU"/>
        </w:rPr>
        <w:tab/>
        <w:t>(b)</w:t>
      </w:r>
      <w:r w:rsidRPr="00A32059">
        <w:rPr>
          <w:lang w:eastAsia="en-AU"/>
        </w:rPr>
        <w:tab/>
        <w:t>order the listing person not to list the person’s personal information except with stated changes or on stated conditions; or</w:t>
      </w:r>
    </w:p>
    <w:p w:rsidR="00914BD6" w:rsidRPr="00A32059" w:rsidRDefault="00914BD6" w:rsidP="00914BD6">
      <w:pPr>
        <w:pStyle w:val="Apara"/>
        <w:rPr>
          <w:lang w:eastAsia="en-AU"/>
        </w:rPr>
      </w:pPr>
      <w:r w:rsidRPr="00A32059">
        <w:rPr>
          <w:lang w:eastAsia="en-AU"/>
        </w:rPr>
        <w:tab/>
        <w:t>(c)</w:t>
      </w:r>
      <w:r w:rsidRPr="00A32059">
        <w:rPr>
          <w:lang w:eastAsia="en-AU"/>
        </w:rPr>
        <w:tab/>
        <w:t>make any other order it considers appropriate.</w:t>
      </w:r>
    </w:p>
    <w:p w:rsidR="00914BD6" w:rsidRPr="00A32059" w:rsidRDefault="00914BD6" w:rsidP="00C6408C">
      <w:pPr>
        <w:pStyle w:val="Amain"/>
        <w:keepLines/>
        <w:rPr>
          <w:lang w:eastAsia="en-AU"/>
        </w:rPr>
      </w:pPr>
      <w:r w:rsidRPr="00A32059">
        <w:rPr>
          <w:lang w:eastAsia="en-AU"/>
        </w:rPr>
        <w:tab/>
        <w:t>(3)</w:t>
      </w:r>
      <w:r w:rsidRPr="00A32059">
        <w:rPr>
          <w:lang w:eastAsia="en-AU"/>
        </w:rPr>
        <w:tab/>
        <w:t xml:space="preserve">The ACAT may make the order only if satisfied that, if the personal </w:t>
      </w:r>
      <w:r w:rsidRPr="00A32059">
        <w:rPr>
          <w:szCs w:val="24"/>
          <w:lang w:eastAsia="en-AU"/>
        </w:rPr>
        <w:t>information were listed as proposed, the ACAT could make an order in relation to the personal information under section 98 or section 99.</w:t>
      </w:r>
    </w:p>
    <w:p w:rsidR="00914BD6" w:rsidRPr="00A32059" w:rsidRDefault="00914BD6" w:rsidP="00914BD6">
      <w:pPr>
        <w:pStyle w:val="Amain"/>
        <w:rPr>
          <w:lang w:eastAsia="en-AU"/>
        </w:rPr>
      </w:pPr>
      <w:r w:rsidRPr="00A32059">
        <w:rPr>
          <w:lang w:eastAsia="en-AU"/>
        </w:rPr>
        <w:tab/>
        <w:t>(4)</w:t>
      </w:r>
      <w:r w:rsidRPr="00A32059">
        <w:rPr>
          <w:lang w:eastAsia="en-AU"/>
        </w:rPr>
        <w:tab/>
        <w:t>In this section:</w:t>
      </w:r>
    </w:p>
    <w:p w:rsidR="00914BD6" w:rsidRPr="00A32059" w:rsidRDefault="00914BD6" w:rsidP="00914BD6">
      <w:pPr>
        <w:pStyle w:val="aDef"/>
        <w:rPr>
          <w:lang w:eastAsia="en-AU"/>
        </w:rPr>
      </w:pPr>
      <w:r w:rsidRPr="009D74E7">
        <w:rPr>
          <w:rStyle w:val="charBoldItals"/>
        </w:rPr>
        <w:t>listing person</w:t>
      </w:r>
      <w:r w:rsidRPr="00A32059">
        <w:rPr>
          <w:lang w:eastAsia="en-AU"/>
        </w:rPr>
        <w:t>—see section 99.</w:t>
      </w:r>
    </w:p>
    <w:p w:rsidR="00914BD6" w:rsidRPr="00A32059" w:rsidRDefault="00914BD6" w:rsidP="00914BD6">
      <w:pPr>
        <w:pStyle w:val="AH5Sec"/>
        <w:rPr>
          <w:lang w:eastAsia="en-AU"/>
        </w:rPr>
      </w:pPr>
      <w:bookmarkStart w:id="183" w:name="_Toc23417990"/>
      <w:r w:rsidRPr="001403E0">
        <w:rPr>
          <w:rStyle w:val="CharSectNo"/>
        </w:rPr>
        <w:lastRenderedPageBreak/>
        <w:t>101</w:t>
      </w:r>
      <w:r w:rsidRPr="00A32059">
        <w:rPr>
          <w:lang w:eastAsia="en-AU"/>
        </w:rPr>
        <w:tab/>
        <w:t>Order for compensation</w:t>
      </w:r>
      <w:bookmarkEnd w:id="183"/>
    </w:p>
    <w:p w:rsidR="00914BD6" w:rsidRPr="00A32059" w:rsidRDefault="00914BD6" w:rsidP="00914BD6">
      <w:pPr>
        <w:pStyle w:val="Amain"/>
        <w:rPr>
          <w:lang w:eastAsia="en-AU"/>
        </w:rPr>
      </w:pPr>
      <w:r w:rsidRPr="00A32059">
        <w:rPr>
          <w:lang w:eastAsia="en-AU"/>
        </w:rPr>
        <w:tab/>
        <w:t>(1)</w:t>
      </w:r>
      <w:r w:rsidRPr="00A32059">
        <w:rPr>
          <w:lang w:eastAsia="en-AU"/>
        </w:rPr>
        <w:tab/>
        <w:t xml:space="preserve">This section applies if the ACAT makes an order against a person </w:t>
      </w:r>
      <w:r w:rsidRPr="00A32059">
        <w:rPr>
          <w:szCs w:val="24"/>
          <w:lang w:eastAsia="en-AU"/>
        </w:rPr>
        <w:t>under this part.</w:t>
      </w:r>
    </w:p>
    <w:p w:rsidR="00914BD6" w:rsidRPr="00A32059" w:rsidRDefault="00914BD6" w:rsidP="00914BD6">
      <w:pPr>
        <w:pStyle w:val="Amain"/>
        <w:rPr>
          <w:lang w:eastAsia="en-AU"/>
        </w:rPr>
      </w:pPr>
      <w:r w:rsidRPr="00A32059">
        <w:rPr>
          <w:lang w:eastAsia="en-AU"/>
        </w:rPr>
        <w:tab/>
        <w:t>(2)</w:t>
      </w:r>
      <w:r w:rsidRPr="00A32059">
        <w:rPr>
          <w:lang w:eastAsia="en-AU"/>
        </w:rPr>
        <w:tab/>
        <w:t>The ACAT may also make an order requiring the person to pay to a stated person, within a stated period, an amount the ACAT considers appropriate as compensation for the loss or damage caused by listing personal information in a residential tenancy database.</w:t>
      </w:r>
    </w:p>
    <w:p w:rsidR="00914BD6" w:rsidRPr="00A32059" w:rsidRDefault="00914BD6" w:rsidP="00914BD6">
      <w:pPr>
        <w:pStyle w:val="Amain"/>
        <w:rPr>
          <w:lang w:eastAsia="en-AU"/>
        </w:rPr>
      </w:pPr>
      <w:r w:rsidRPr="00A32059">
        <w:rPr>
          <w:lang w:eastAsia="en-AU"/>
        </w:rPr>
        <w:tab/>
        <w:t>(3)</w:t>
      </w:r>
      <w:r w:rsidRPr="00A32059">
        <w:rPr>
          <w:lang w:eastAsia="en-AU"/>
        </w:rPr>
        <w:tab/>
        <w:t>The amount of compensation must not be more than—</w:t>
      </w:r>
    </w:p>
    <w:p w:rsidR="00914BD6" w:rsidRPr="00A32059" w:rsidRDefault="00914BD6" w:rsidP="00914BD6">
      <w:pPr>
        <w:pStyle w:val="Apara"/>
        <w:rPr>
          <w:lang w:eastAsia="en-AU"/>
        </w:rPr>
      </w:pPr>
      <w:r w:rsidRPr="00A32059">
        <w:rPr>
          <w:lang w:eastAsia="en-AU"/>
        </w:rPr>
        <w:tab/>
        <w:t>(a)</w:t>
      </w:r>
      <w:r w:rsidRPr="00A32059">
        <w:rPr>
          <w:lang w:eastAsia="en-AU"/>
        </w:rPr>
        <w:tab/>
        <w:t>$5 000; or</w:t>
      </w:r>
    </w:p>
    <w:p w:rsidR="00914BD6" w:rsidRDefault="00914BD6" w:rsidP="00914BD6">
      <w:pPr>
        <w:pStyle w:val="Apara"/>
        <w:rPr>
          <w:lang w:eastAsia="en-AU"/>
        </w:rPr>
      </w:pPr>
      <w:r w:rsidRPr="00A32059">
        <w:rPr>
          <w:lang w:eastAsia="en-AU"/>
        </w:rPr>
        <w:tab/>
        <w:t>(b)</w:t>
      </w:r>
      <w:r w:rsidRPr="00A32059">
        <w:rPr>
          <w:lang w:eastAsia="en-AU"/>
        </w:rPr>
        <w:tab/>
        <w:t>if another amount is prescribed by regulation—that amount.</w:t>
      </w:r>
    </w:p>
    <w:p w:rsidR="002154C4" w:rsidRPr="002154C4" w:rsidRDefault="002154C4" w:rsidP="002154C4">
      <w:pPr>
        <w:pStyle w:val="PageBreak"/>
      </w:pPr>
      <w:r w:rsidRPr="002154C4">
        <w:br w:type="page"/>
      </w:r>
    </w:p>
    <w:p w:rsidR="002154C4" w:rsidRPr="001403E0" w:rsidRDefault="002154C4" w:rsidP="002154C4">
      <w:pPr>
        <w:pStyle w:val="AH2Part"/>
      </w:pPr>
      <w:bookmarkStart w:id="184" w:name="_Toc23417991"/>
      <w:r w:rsidRPr="001403E0">
        <w:rPr>
          <w:rStyle w:val="CharPartNo"/>
        </w:rPr>
        <w:lastRenderedPageBreak/>
        <w:t>Part 8</w:t>
      </w:r>
      <w:r w:rsidRPr="00582D10">
        <w:tab/>
      </w:r>
      <w:r w:rsidRPr="001403E0">
        <w:rPr>
          <w:rStyle w:val="CharPartText"/>
        </w:rPr>
        <w:t>Registration of standard guarantee contract for commercial guarantee</w:t>
      </w:r>
      <w:bookmarkEnd w:id="184"/>
    </w:p>
    <w:p w:rsidR="002154C4" w:rsidRPr="00582D10" w:rsidRDefault="002154C4" w:rsidP="002154C4">
      <w:pPr>
        <w:pStyle w:val="AH5Sec"/>
      </w:pPr>
      <w:bookmarkStart w:id="185" w:name="_Toc23417992"/>
      <w:r w:rsidRPr="001403E0">
        <w:rPr>
          <w:rStyle w:val="CharSectNo"/>
        </w:rPr>
        <w:t>102</w:t>
      </w:r>
      <w:r w:rsidRPr="00582D10">
        <w:tab/>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bookmarkEnd w:id="185"/>
    </w:p>
    <w:p w:rsidR="002154C4" w:rsidRPr="00582D10" w:rsidRDefault="002154C4" w:rsidP="002154C4">
      <w:pPr>
        <w:pStyle w:val="Amainreturn"/>
      </w:pPr>
      <w:r w:rsidRPr="00582D10">
        <w:t>In this Act:</w:t>
      </w:r>
    </w:p>
    <w:p w:rsidR="002154C4" w:rsidRPr="00582D10" w:rsidRDefault="002154C4" w:rsidP="002154C4">
      <w:pPr>
        <w:pStyle w:val="aDef"/>
      </w:pPr>
      <w:r w:rsidRPr="00582D10">
        <w:rPr>
          <w:rStyle w:val="charBoldItals"/>
        </w:rPr>
        <w:t>commercial guarantee</w:t>
      </w:r>
      <w:r w:rsidRPr="00582D10">
        <w:t>, in relation to a residential tenancy agreement, means a contract or arrangement between the lessor, the tenant and a third party—</w:t>
      </w:r>
    </w:p>
    <w:p w:rsidR="002154C4" w:rsidRPr="00582D10" w:rsidRDefault="002154C4" w:rsidP="002154C4">
      <w:pPr>
        <w:pStyle w:val="aDefpara"/>
      </w:pPr>
      <w:r w:rsidRPr="00582D10">
        <w:tab/>
        <w:t>(a)</w:t>
      </w:r>
      <w:r w:rsidRPr="00582D10">
        <w:tab/>
        <w:t>that is in addition to or in place of a bond; and</w:t>
      </w:r>
    </w:p>
    <w:p w:rsidR="002154C4" w:rsidRPr="00582D10" w:rsidRDefault="002154C4" w:rsidP="002154C4">
      <w:pPr>
        <w:pStyle w:val="aDefpara"/>
      </w:pPr>
      <w:r w:rsidRPr="00582D10">
        <w:tab/>
        <w:t>(b)</w:t>
      </w:r>
      <w:r w:rsidRPr="00582D10">
        <w:tab/>
        <w:t>under which the third party, for a fee, benefit or reward, gives a guarantee or indemnity to the lessor for the performance of the tenant’s obligations under the residential tenancy agreement.</w:t>
      </w:r>
    </w:p>
    <w:p w:rsidR="002154C4" w:rsidRPr="00582D10" w:rsidRDefault="002154C4" w:rsidP="002154C4">
      <w:pPr>
        <w:pStyle w:val="aDef"/>
      </w:pPr>
      <w:r w:rsidRPr="00582D10">
        <w:rPr>
          <w:rStyle w:val="charBoldItals"/>
        </w:rPr>
        <w:t>standard guarantee</w:t>
      </w:r>
      <w:r w:rsidRPr="00582D10">
        <w:t xml:space="preserve"> </w:t>
      </w:r>
      <w:r w:rsidRPr="00582D10">
        <w:rPr>
          <w:rStyle w:val="charBoldItals"/>
        </w:rPr>
        <w:t>contract</w:t>
      </w:r>
      <w:r w:rsidRPr="00582D10">
        <w:t xml:space="preserve"> means a form of contract for a commercial guarantee.</w:t>
      </w:r>
    </w:p>
    <w:p w:rsidR="002154C4" w:rsidRPr="00582D10" w:rsidRDefault="002154C4" w:rsidP="002154C4">
      <w:pPr>
        <w:pStyle w:val="AH5Sec"/>
      </w:pPr>
      <w:bookmarkStart w:id="186" w:name="_Toc23417993"/>
      <w:r w:rsidRPr="001403E0">
        <w:rPr>
          <w:rStyle w:val="CharSectNo"/>
        </w:rPr>
        <w:t>103</w:t>
      </w:r>
      <w:r w:rsidRPr="00582D10">
        <w:tab/>
        <w:t>Application for registration of standard guarantee contract</w:t>
      </w:r>
      <w:bookmarkEnd w:id="186"/>
    </w:p>
    <w:p w:rsidR="002154C4" w:rsidRPr="00582D10" w:rsidRDefault="002154C4" w:rsidP="002154C4">
      <w:pPr>
        <w:pStyle w:val="Amain"/>
      </w:pPr>
      <w:r w:rsidRPr="00582D10">
        <w:tab/>
        <w:t>(1)</w:t>
      </w:r>
      <w:r w:rsidRPr="00582D10">
        <w:tab/>
        <w:t>A person may apply to the commissioner for fair trading</w:t>
      </w:r>
      <w:r w:rsidR="003668DF" w:rsidRPr="00483A42">
        <w:t>, on or after a day declared by the Minister,</w:t>
      </w:r>
      <w:r w:rsidRPr="00582D10">
        <w:t xml:space="preserve"> to register a standard guarantee contract for a commercial guarantee.</w:t>
      </w:r>
    </w:p>
    <w:p w:rsidR="002154C4" w:rsidRPr="00582D10" w:rsidRDefault="002154C4" w:rsidP="002154C4">
      <w:pPr>
        <w:pStyle w:val="Amain"/>
      </w:pPr>
      <w:r w:rsidRPr="00582D10">
        <w:tab/>
        <w:t>(2)</w:t>
      </w:r>
      <w:r w:rsidRPr="00582D10">
        <w:tab/>
        <w:t>The application must—</w:t>
      </w:r>
    </w:p>
    <w:p w:rsidR="002154C4" w:rsidRPr="00582D10" w:rsidRDefault="002154C4" w:rsidP="002154C4">
      <w:pPr>
        <w:pStyle w:val="Apara"/>
      </w:pPr>
      <w:r w:rsidRPr="00582D10">
        <w:tab/>
        <w:t>(a)</w:t>
      </w:r>
      <w:r w:rsidRPr="00582D10">
        <w:tab/>
        <w:t xml:space="preserve">be in writing; and </w:t>
      </w:r>
    </w:p>
    <w:p w:rsidR="002154C4" w:rsidRPr="00582D10" w:rsidRDefault="002154C4" w:rsidP="002154C4">
      <w:pPr>
        <w:pStyle w:val="Apara"/>
      </w:pPr>
      <w:r w:rsidRPr="00582D10">
        <w:tab/>
        <w:t>(b)</w:t>
      </w:r>
      <w:r w:rsidRPr="00582D10">
        <w:tab/>
        <w:t>include the applicant’s name, address, email address and phone number; and</w:t>
      </w:r>
    </w:p>
    <w:p w:rsidR="002154C4" w:rsidRPr="00582D10" w:rsidRDefault="002154C4" w:rsidP="005B0D03">
      <w:pPr>
        <w:pStyle w:val="Apara"/>
        <w:keepNext/>
      </w:pPr>
      <w:r w:rsidRPr="00582D10">
        <w:lastRenderedPageBreak/>
        <w:tab/>
        <w:t>(c)</w:t>
      </w:r>
      <w:r w:rsidRPr="00582D10">
        <w:tab/>
        <w:t>include any information prescribed by regulation.</w:t>
      </w:r>
    </w:p>
    <w:p w:rsidR="002154C4" w:rsidRPr="00582D10" w:rsidRDefault="002154C4" w:rsidP="002154C4">
      <w:pPr>
        <w:pStyle w:val="aNote"/>
        <w:keepNext/>
      </w:pPr>
      <w:r w:rsidRPr="00582D10">
        <w:rPr>
          <w:rStyle w:val="charItals"/>
        </w:rPr>
        <w:t>Note 1</w:t>
      </w:r>
      <w:r w:rsidRPr="00582D10">
        <w:tab/>
        <w:t xml:space="preserve">It is an offence to make a false or misleading statement, give false or misleading information or produce a false or misleading document (see </w:t>
      </w:r>
      <w:hyperlink r:id="rId89" w:tooltip="A2002-51" w:history="1">
        <w:r w:rsidRPr="00582D10">
          <w:rPr>
            <w:rStyle w:val="charCitHyperlinkAbbrev"/>
          </w:rPr>
          <w:t>Criminal Code</w:t>
        </w:r>
      </w:hyperlink>
      <w:r w:rsidRPr="00582D10">
        <w:t>, pt 3.4).</w:t>
      </w:r>
    </w:p>
    <w:p w:rsidR="002154C4" w:rsidRDefault="002154C4" w:rsidP="002154C4">
      <w:pPr>
        <w:pStyle w:val="aNote"/>
      </w:pPr>
      <w:r w:rsidRPr="00582D10">
        <w:rPr>
          <w:rStyle w:val="charItals"/>
        </w:rPr>
        <w:t>Note 2</w:t>
      </w:r>
      <w:r w:rsidRPr="00582D10">
        <w:tab/>
        <w:t>A fee may be determined under s 134 for this provision.</w:t>
      </w:r>
    </w:p>
    <w:p w:rsidR="00E0083A" w:rsidRPr="00483A42" w:rsidRDefault="00E0083A" w:rsidP="00E0083A">
      <w:pPr>
        <w:pStyle w:val="Amain"/>
      </w:pPr>
      <w:r w:rsidRPr="00483A42">
        <w:tab/>
        <w:t>(3)</w:t>
      </w:r>
      <w:r w:rsidRPr="00483A42">
        <w:tab/>
        <w:t>A declaration under subsection (1) is a notifiable instrument.</w:t>
      </w:r>
    </w:p>
    <w:p w:rsidR="00E0083A" w:rsidRPr="00483A42" w:rsidRDefault="00E0083A" w:rsidP="00E0083A">
      <w:pPr>
        <w:pStyle w:val="aNote"/>
      </w:pPr>
      <w:r w:rsidRPr="00483A42">
        <w:rPr>
          <w:rStyle w:val="charItals"/>
        </w:rPr>
        <w:t>Note</w:t>
      </w:r>
      <w:r w:rsidRPr="00483A42">
        <w:rPr>
          <w:rStyle w:val="charItals"/>
        </w:rPr>
        <w:tab/>
      </w:r>
      <w:r w:rsidRPr="00483A42">
        <w:t xml:space="preserve">A notifiable instrument must be notified under the </w:t>
      </w:r>
      <w:hyperlink r:id="rId90" w:tooltip="A2001-14" w:history="1">
        <w:r w:rsidRPr="00483A42">
          <w:rPr>
            <w:rStyle w:val="charCitHyperlinkAbbrev"/>
          </w:rPr>
          <w:t>Legislation Act</w:t>
        </w:r>
      </w:hyperlink>
      <w:r w:rsidRPr="00483A42">
        <w:t>.</w:t>
      </w:r>
    </w:p>
    <w:p w:rsidR="002154C4" w:rsidRPr="00582D10" w:rsidRDefault="002154C4" w:rsidP="002154C4">
      <w:pPr>
        <w:pStyle w:val="AH5Sec"/>
      </w:pPr>
      <w:bookmarkStart w:id="187" w:name="_Toc23417994"/>
      <w:r w:rsidRPr="001403E0">
        <w:rPr>
          <w:rStyle w:val="CharSectNo"/>
        </w:rPr>
        <w:t>104</w:t>
      </w:r>
      <w:r w:rsidRPr="00582D10">
        <w:tab/>
        <w:t>Commissioner must decide application</w:t>
      </w:r>
      <w:bookmarkEnd w:id="187"/>
    </w:p>
    <w:p w:rsidR="002154C4" w:rsidRPr="00582D10" w:rsidRDefault="002154C4" w:rsidP="002154C4">
      <w:pPr>
        <w:pStyle w:val="Amain"/>
      </w:pPr>
      <w:r w:rsidRPr="00582D10">
        <w:tab/>
        <w:t>(1)</w:t>
      </w:r>
      <w:r w:rsidRPr="00582D10">
        <w:tab/>
        <w:t>Within 30 days after the day the application is received, the commissioner for fair trading must—</w:t>
      </w:r>
    </w:p>
    <w:p w:rsidR="002154C4" w:rsidRPr="00582D10" w:rsidRDefault="002154C4" w:rsidP="002154C4">
      <w:pPr>
        <w:pStyle w:val="Apara"/>
      </w:pPr>
      <w:r w:rsidRPr="00582D10">
        <w:tab/>
        <w:t>(a)</w:t>
      </w:r>
      <w:r w:rsidRPr="00582D10">
        <w:tab/>
        <w:t>register the standard guarantee contract; or</w:t>
      </w:r>
    </w:p>
    <w:p w:rsidR="002154C4" w:rsidRPr="00582D10" w:rsidRDefault="002154C4" w:rsidP="002154C4">
      <w:pPr>
        <w:pStyle w:val="Apara"/>
      </w:pPr>
      <w:r w:rsidRPr="00582D10">
        <w:tab/>
        <w:t>(b)</w:t>
      </w:r>
      <w:r w:rsidRPr="00582D10">
        <w:tab/>
        <w:t>register the standard guarantee contract subject to conditions; or</w:t>
      </w:r>
    </w:p>
    <w:p w:rsidR="002154C4" w:rsidRPr="00582D10" w:rsidRDefault="002154C4" w:rsidP="002154C4">
      <w:pPr>
        <w:pStyle w:val="Apara"/>
      </w:pPr>
      <w:r w:rsidRPr="00582D10">
        <w:tab/>
        <w:t>(c)</w:t>
      </w:r>
      <w:r w:rsidRPr="00582D10">
        <w:tab/>
        <w:t>refuse to register the standard guarantee contract.</w:t>
      </w:r>
    </w:p>
    <w:p w:rsidR="002154C4" w:rsidRPr="00582D10" w:rsidRDefault="002154C4" w:rsidP="002154C4">
      <w:pPr>
        <w:pStyle w:val="aNote"/>
      </w:pPr>
      <w:r w:rsidRPr="00582D10">
        <w:rPr>
          <w:rStyle w:val="charItals"/>
        </w:rPr>
        <w:t>Note</w:t>
      </w:r>
      <w:r w:rsidRPr="00582D10">
        <w:rPr>
          <w:rStyle w:val="charItals"/>
        </w:rPr>
        <w:tab/>
      </w:r>
      <w:r w:rsidRPr="00582D10">
        <w:rPr>
          <w:lang w:eastAsia="en-AU"/>
        </w:rPr>
        <w:t xml:space="preserve">Failure to decide the application within the required time is taken to be a decision not to register the applicant (see </w:t>
      </w:r>
      <w:hyperlink r:id="rId91" w:tooltip="A2008-35" w:history="1">
        <w:r w:rsidRPr="00582D10">
          <w:rPr>
            <w:rStyle w:val="charCitHyperlinkItal"/>
          </w:rPr>
          <w:t>ACT Civil and Administrative Tribunal Act 2008</w:t>
        </w:r>
      </w:hyperlink>
      <w:r w:rsidRPr="00582D10">
        <w:rPr>
          <w:lang w:eastAsia="en-AU"/>
        </w:rPr>
        <w:t>, s 12).</w:t>
      </w:r>
    </w:p>
    <w:p w:rsidR="002154C4" w:rsidRPr="00582D10" w:rsidRDefault="002154C4" w:rsidP="002154C4">
      <w:pPr>
        <w:pStyle w:val="Amain"/>
        <w:rPr>
          <w:lang w:eastAsia="en-AU"/>
        </w:rPr>
      </w:pPr>
      <w:r w:rsidRPr="00582D10">
        <w:tab/>
        <w:t>(2)</w:t>
      </w:r>
      <w:r w:rsidRPr="00582D10">
        <w:tab/>
        <w:t xml:space="preserve">Before making a decision under subsection (1), the commissioner may </w:t>
      </w:r>
      <w:r w:rsidRPr="00582D10">
        <w:rPr>
          <w:szCs w:val="24"/>
          <w:lang w:eastAsia="en-AU"/>
        </w:rPr>
        <w:t xml:space="preserve">ask an applicant to give the commissioner, within a stated time, information about the applicant or about the </w:t>
      </w:r>
      <w:r w:rsidRPr="00582D10">
        <w:t>standard guarantee contract</w:t>
      </w:r>
      <w:r w:rsidRPr="00582D10">
        <w:rPr>
          <w:szCs w:val="24"/>
          <w:lang w:eastAsia="en-AU"/>
        </w:rPr>
        <w:t>, that the commissioner reasonably needs to decide the application.</w:t>
      </w:r>
    </w:p>
    <w:p w:rsidR="002154C4" w:rsidRPr="00582D10" w:rsidRDefault="002154C4" w:rsidP="002154C4">
      <w:pPr>
        <w:pStyle w:val="Amain"/>
      </w:pPr>
      <w:r w:rsidRPr="00582D10">
        <w:rPr>
          <w:lang w:eastAsia="en-AU"/>
        </w:rPr>
        <w:tab/>
        <w:t>(3)</w:t>
      </w:r>
      <w:r w:rsidRPr="00582D10">
        <w:rPr>
          <w:lang w:eastAsia="en-AU"/>
        </w:rPr>
        <w:tab/>
        <w:t xml:space="preserve">If the applicant does not give the commissioner the information requested under subsection (2), the commissioner may </w:t>
      </w:r>
      <w:r w:rsidRPr="00582D10">
        <w:t>refuse to register the standard guarantee contract</w:t>
      </w:r>
      <w:r w:rsidRPr="00582D10">
        <w:rPr>
          <w:lang w:eastAsia="en-AU"/>
        </w:rPr>
        <w:t>.</w:t>
      </w:r>
    </w:p>
    <w:p w:rsidR="002154C4" w:rsidRPr="00582D10" w:rsidRDefault="002154C4" w:rsidP="006E3B49">
      <w:pPr>
        <w:pStyle w:val="Amain"/>
        <w:keepNext/>
        <w:keepLines/>
      </w:pPr>
      <w:r w:rsidRPr="00582D10">
        <w:lastRenderedPageBreak/>
        <w:tab/>
        <w:t>(4)</w:t>
      </w:r>
      <w:r w:rsidRPr="00582D10">
        <w:tab/>
        <w:t>If the commissioner refuses to register the standard guarantee contract, or registers the standard guarantee contract subject to conditions, the applicant may apply to the ACAT for a review of the decision.</w:t>
      </w:r>
    </w:p>
    <w:p w:rsidR="002154C4" w:rsidRPr="00582D10" w:rsidRDefault="002154C4" w:rsidP="00F842CC">
      <w:pPr>
        <w:pStyle w:val="aNote"/>
        <w:keepNext/>
      </w:pPr>
      <w:r w:rsidRPr="00582D10">
        <w:rPr>
          <w:rStyle w:val="charItals"/>
        </w:rPr>
        <w:t>Note 1</w:t>
      </w:r>
      <w:r w:rsidRPr="00582D10">
        <w:rPr>
          <w:rStyle w:val="charItals"/>
        </w:rPr>
        <w:tab/>
      </w:r>
      <w:r w:rsidRPr="00582D10">
        <w:t xml:space="preserve">The commissioner for fair trading must take reasonable steps to give a reviewable decision notice to any person whose interests are affected by the decision (see </w:t>
      </w:r>
      <w:hyperlink r:id="rId92" w:tooltip="A2008-35" w:history="1">
        <w:r w:rsidRPr="00582D10">
          <w:rPr>
            <w:rStyle w:val="charCitHyperlinkItal"/>
          </w:rPr>
          <w:t>ACT Civil and Administrative Tribunal Act 2008</w:t>
        </w:r>
      </w:hyperlink>
      <w:r w:rsidRPr="00582D10">
        <w:t>, s 67A).</w:t>
      </w:r>
    </w:p>
    <w:p w:rsidR="002154C4" w:rsidRPr="00582D10" w:rsidRDefault="002154C4" w:rsidP="002154C4">
      <w:pPr>
        <w:pStyle w:val="aNote"/>
        <w:rPr>
          <w:lang w:eastAsia="en-AU"/>
        </w:rPr>
      </w:pPr>
      <w:r w:rsidRPr="00582D10">
        <w:rPr>
          <w:rStyle w:val="charItals"/>
        </w:rPr>
        <w:t>Note 2</w:t>
      </w:r>
      <w:r w:rsidRPr="00582D10">
        <w:rPr>
          <w:rStyle w:val="charItals"/>
        </w:rPr>
        <w:tab/>
      </w:r>
      <w:r w:rsidRPr="00582D10">
        <w:t xml:space="preserve">The requirements for reviewable decision notices are prescribed under the </w:t>
      </w:r>
      <w:hyperlink r:id="rId93" w:tooltip="A2008-35" w:history="1">
        <w:r w:rsidRPr="00582D10">
          <w:rPr>
            <w:rStyle w:val="charCitHyperlinkItal"/>
          </w:rPr>
          <w:t>ACT Civil and Administrative Tribunal Act 2008</w:t>
        </w:r>
      </w:hyperlink>
      <w:r w:rsidRPr="00582D10">
        <w:t>.</w:t>
      </w:r>
    </w:p>
    <w:p w:rsidR="002154C4" w:rsidRPr="00582D10" w:rsidRDefault="002154C4" w:rsidP="002154C4">
      <w:pPr>
        <w:pStyle w:val="AH5Sec"/>
      </w:pPr>
      <w:bookmarkStart w:id="188" w:name="_Toc23417995"/>
      <w:r w:rsidRPr="001403E0">
        <w:rPr>
          <w:rStyle w:val="CharSectNo"/>
        </w:rPr>
        <w:t>105</w:t>
      </w:r>
      <w:r w:rsidRPr="00582D10">
        <w:tab/>
        <w:t>Register of standard guarantee contracts</w:t>
      </w:r>
      <w:bookmarkEnd w:id="188"/>
    </w:p>
    <w:p w:rsidR="002154C4" w:rsidRPr="00582D10" w:rsidRDefault="002154C4" w:rsidP="002154C4">
      <w:pPr>
        <w:pStyle w:val="Amain"/>
      </w:pPr>
      <w:r w:rsidRPr="00582D10">
        <w:tab/>
        <w:t>(1)</w:t>
      </w:r>
      <w:r w:rsidRPr="00582D10">
        <w:tab/>
        <w:t>The commissioner for fair trading must keep a register of standard guarantee contracts.</w:t>
      </w:r>
    </w:p>
    <w:p w:rsidR="002154C4" w:rsidRPr="00582D10" w:rsidRDefault="002154C4" w:rsidP="002154C4">
      <w:pPr>
        <w:pStyle w:val="Amain"/>
      </w:pPr>
      <w:r w:rsidRPr="00582D10">
        <w:tab/>
        <w:t>(2)</w:t>
      </w:r>
      <w:r w:rsidRPr="00582D10">
        <w:tab/>
        <w:t>The register must include—</w:t>
      </w:r>
    </w:p>
    <w:p w:rsidR="002154C4" w:rsidRPr="00582D10" w:rsidRDefault="002154C4" w:rsidP="002154C4">
      <w:pPr>
        <w:pStyle w:val="Apara"/>
      </w:pPr>
      <w:r w:rsidRPr="00582D10">
        <w:tab/>
        <w:t>(a)</w:t>
      </w:r>
      <w:r w:rsidRPr="00582D10">
        <w:tab/>
        <w:t>the business name and the trading name of the person who has registered a standard guarantee contract; and</w:t>
      </w:r>
    </w:p>
    <w:p w:rsidR="002154C4" w:rsidRPr="00582D10" w:rsidRDefault="002154C4" w:rsidP="002154C4">
      <w:pPr>
        <w:pStyle w:val="Apara"/>
      </w:pPr>
      <w:r w:rsidRPr="00582D10">
        <w:tab/>
        <w:t>(b)</w:t>
      </w:r>
      <w:r w:rsidRPr="00582D10">
        <w:tab/>
        <w:t>any information prescribed by regulation.</w:t>
      </w:r>
    </w:p>
    <w:p w:rsidR="002154C4" w:rsidRPr="00582D10" w:rsidRDefault="002154C4" w:rsidP="002154C4">
      <w:pPr>
        <w:pStyle w:val="Amain"/>
      </w:pPr>
      <w:r w:rsidRPr="00582D10">
        <w:tab/>
        <w:t>(3)</w:t>
      </w:r>
      <w:r w:rsidRPr="00582D10">
        <w:tab/>
        <w:t>The register may include any other information the commissioner for fair trading believes will improve consumer protection.</w:t>
      </w:r>
    </w:p>
    <w:p w:rsidR="002154C4" w:rsidRPr="00582D10" w:rsidRDefault="002154C4" w:rsidP="002154C4">
      <w:pPr>
        <w:pStyle w:val="Amain"/>
      </w:pPr>
      <w:r w:rsidRPr="00582D10">
        <w:tab/>
        <w:t>(4)</w:t>
      </w:r>
      <w:r w:rsidRPr="00582D10">
        <w:tab/>
        <w:t>The register may be kept in any form, including electronically, that the commissioner decides.</w:t>
      </w:r>
    </w:p>
    <w:p w:rsidR="002154C4" w:rsidRPr="00582D10" w:rsidRDefault="002154C4" w:rsidP="002154C4">
      <w:pPr>
        <w:pStyle w:val="Amain"/>
      </w:pPr>
      <w:r w:rsidRPr="00582D10">
        <w:rPr>
          <w:lang w:eastAsia="en-AU"/>
        </w:rPr>
        <w:tab/>
        <w:t>(5)</w:t>
      </w:r>
      <w:r w:rsidRPr="00582D10">
        <w:rPr>
          <w:lang w:eastAsia="en-AU"/>
        </w:rPr>
        <w:tab/>
      </w:r>
      <w:r w:rsidRPr="00582D10">
        <w:t>The commissioner must make the register available to the public.</w:t>
      </w:r>
    </w:p>
    <w:p w:rsidR="002154C4" w:rsidRPr="00582D10" w:rsidRDefault="002154C4" w:rsidP="002154C4">
      <w:pPr>
        <w:pStyle w:val="aNote"/>
        <w:keepNext/>
      </w:pPr>
      <w:r w:rsidRPr="00582D10">
        <w:rPr>
          <w:rStyle w:val="charItals"/>
        </w:rPr>
        <w:t xml:space="preserve">Note </w:t>
      </w:r>
      <w:r w:rsidRPr="00582D10">
        <w:rPr>
          <w:rStyle w:val="charItals"/>
        </w:rPr>
        <w:tab/>
      </w:r>
      <w:r w:rsidRPr="00582D10">
        <w:t xml:space="preserve">The Territory privacy principles (the </w:t>
      </w:r>
      <w:r w:rsidRPr="00582D10">
        <w:rPr>
          <w:rStyle w:val="charBoldItals"/>
        </w:rPr>
        <w:t>TPPs</w:t>
      </w:r>
      <w:r w:rsidRPr="00582D10">
        <w:t xml:space="preserve">) apply to the commissioner for fair trading (see </w:t>
      </w:r>
      <w:hyperlink r:id="rId94" w:tooltip="A2014-24" w:history="1">
        <w:r w:rsidRPr="00582D10">
          <w:rPr>
            <w:rStyle w:val="charCitHyperlinkItal"/>
          </w:rPr>
          <w:t>Information Privacy Act 2014</w:t>
        </w:r>
      </w:hyperlink>
      <w:r w:rsidRPr="00582D10">
        <w:t>, sch 1).  The TPPs deal with the collection, storage and exchange of personal information.</w:t>
      </w:r>
    </w:p>
    <w:p w:rsidR="002154C4" w:rsidRPr="00582D10" w:rsidRDefault="002154C4" w:rsidP="002154C4">
      <w:pPr>
        <w:pStyle w:val="AH5Sec"/>
      </w:pPr>
      <w:bookmarkStart w:id="189" w:name="_Toc23417996"/>
      <w:r w:rsidRPr="001403E0">
        <w:rPr>
          <w:rStyle w:val="CharSectNo"/>
        </w:rPr>
        <w:t>106</w:t>
      </w:r>
      <w:r w:rsidRPr="00582D10">
        <w:tab/>
        <w:t>Relationship to Australian Consumer Law (ACT)</w:t>
      </w:r>
      <w:bookmarkEnd w:id="189"/>
    </w:p>
    <w:p w:rsidR="002154C4" w:rsidRPr="00A32059" w:rsidRDefault="002154C4" w:rsidP="002154C4">
      <w:pPr>
        <w:pStyle w:val="Amainreturn"/>
      </w:pPr>
      <w:r w:rsidRPr="00582D10">
        <w:t>This part and section 16 (3) do not affect the operation of the Australian Consumer Law (ACT).</w:t>
      </w:r>
    </w:p>
    <w:p w:rsidR="00450C28" w:rsidRDefault="00450C28">
      <w:pPr>
        <w:pStyle w:val="PageBreak"/>
      </w:pPr>
      <w:r>
        <w:br w:type="page"/>
      </w:r>
    </w:p>
    <w:p w:rsidR="00450C28" w:rsidRPr="001403E0" w:rsidRDefault="00450C28">
      <w:pPr>
        <w:pStyle w:val="AH2Part"/>
      </w:pPr>
      <w:bookmarkStart w:id="190" w:name="_Toc23417997"/>
      <w:r w:rsidRPr="001403E0">
        <w:rPr>
          <w:rStyle w:val="CharPartNo"/>
        </w:rPr>
        <w:lastRenderedPageBreak/>
        <w:t>Part 9</w:t>
      </w:r>
      <w:r>
        <w:tab/>
      </w:r>
      <w:r w:rsidRPr="001403E0">
        <w:rPr>
          <w:rStyle w:val="CharPartText"/>
        </w:rPr>
        <w:t>Miscellaneous</w:t>
      </w:r>
      <w:bookmarkEnd w:id="190"/>
    </w:p>
    <w:p w:rsidR="00450C28" w:rsidRDefault="00450C28">
      <w:pPr>
        <w:pStyle w:val="Placeholder"/>
      </w:pPr>
      <w:r>
        <w:rPr>
          <w:rStyle w:val="CharDivNo"/>
        </w:rPr>
        <w:t xml:space="preserve">  </w:t>
      </w:r>
      <w:r>
        <w:rPr>
          <w:rStyle w:val="CharDivText"/>
        </w:rPr>
        <w:t xml:space="preserve">  </w:t>
      </w:r>
    </w:p>
    <w:p w:rsidR="00450C28" w:rsidRDefault="00450C28">
      <w:pPr>
        <w:pStyle w:val="AH5Sec"/>
      </w:pPr>
      <w:bookmarkStart w:id="191" w:name="_Toc23417998"/>
      <w:r w:rsidRPr="001403E0">
        <w:rPr>
          <w:rStyle w:val="CharSectNo"/>
        </w:rPr>
        <w:t>126</w:t>
      </w:r>
      <w:r>
        <w:tab/>
        <w:t>Declared crisis accommodation provider</w:t>
      </w:r>
      <w:bookmarkEnd w:id="191"/>
    </w:p>
    <w:p w:rsidR="00450C28" w:rsidRDefault="00450C28">
      <w:pPr>
        <w:pStyle w:val="Amain"/>
      </w:pPr>
      <w:r>
        <w:tab/>
        <w:t>(</w:t>
      </w:r>
      <w:r w:rsidR="009B222A">
        <w:t>1)</w:t>
      </w:r>
      <w:r w:rsidR="009B222A">
        <w:tab/>
        <w:t>The Minister may</w:t>
      </w:r>
      <w:r>
        <w:t xml:space="preserve"> declare an entity to be a crisis accommodation provider in relation to stated accommodation (</w:t>
      </w:r>
      <w:r>
        <w:rPr>
          <w:rStyle w:val="charBoldItals"/>
        </w:rPr>
        <w:t>crisis accommodation</w:t>
      </w:r>
      <w:r>
        <w:t>).</w:t>
      </w:r>
    </w:p>
    <w:p w:rsidR="00450C28" w:rsidRDefault="00450C28">
      <w:pPr>
        <w:pStyle w:val="Amain"/>
      </w:pPr>
      <w:r>
        <w:tab/>
        <w:t>(2)</w:t>
      </w:r>
      <w:r>
        <w:tab/>
        <w:t>However, the Minister must not make the declaration in relation to accommodation unless satisfied that the entity—</w:t>
      </w:r>
    </w:p>
    <w:p w:rsidR="00450C28" w:rsidRDefault="00450C28">
      <w:pPr>
        <w:pStyle w:val="Apara"/>
      </w:pPr>
      <w:r>
        <w:tab/>
        <w:t>(a)</w:t>
      </w:r>
      <w:r>
        <w:tab/>
        <w:t>provides, or intends to provide, the accommodation as emergency accommodation for people in crisis; and</w:t>
      </w:r>
    </w:p>
    <w:p w:rsidR="00450C28" w:rsidRDefault="00450C28">
      <w:pPr>
        <w:pStyle w:val="Apara"/>
      </w:pPr>
      <w:r>
        <w:tab/>
        <w:t>(b)</w:t>
      </w:r>
      <w:r>
        <w:tab/>
        <w:t>provides, or intends to provide, information to people accommodated in the accommodation, whether on or before termination, about alternative accommodation and, if appropriate, other services.</w:t>
      </w:r>
    </w:p>
    <w:p w:rsidR="00450C28" w:rsidRDefault="00450C28">
      <w:pPr>
        <w:pStyle w:val="Amain"/>
        <w:keepNext/>
      </w:pPr>
      <w:r>
        <w:tab/>
        <w:t>(3)</w:t>
      </w:r>
      <w:r>
        <w:tab/>
        <w:t>A declaration is a notifiable instrument.</w:t>
      </w:r>
    </w:p>
    <w:p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95" w:tooltip="A2001-14" w:history="1">
        <w:r w:rsidR="009D74E7" w:rsidRPr="009D74E7">
          <w:rPr>
            <w:rStyle w:val="charCitHyperlinkAbbrev"/>
          </w:rPr>
          <w:t>Legislation Act</w:t>
        </w:r>
      </w:hyperlink>
      <w:r>
        <w:t>.</w:t>
      </w:r>
    </w:p>
    <w:p w:rsidR="00450C28" w:rsidRDefault="00450C28">
      <w:pPr>
        <w:pStyle w:val="AH5Sec"/>
      </w:pPr>
      <w:bookmarkStart w:id="192" w:name="_Toc23417999"/>
      <w:r w:rsidRPr="001403E0">
        <w:rPr>
          <w:rStyle w:val="CharSectNo"/>
        </w:rPr>
        <w:t>127</w:t>
      </w:r>
      <w:r>
        <w:tab/>
        <w:t>Death of 1 of more than 2 tenants</w:t>
      </w:r>
      <w:bookmarkEnd w:id="192"/>
    </w:p>
    <w:p w:rsidR="00450C28" w:rsidRDefault="00450C28">
      <w:pPr>
        <w:pStyle w:val="Amainreturn"/>
      </w:pPr>
      <w:r>
        <w:t>If 1 of 2 or more tenants who are parties to a residential tenancy agreement dies, the tenancy and the tenancy agreement continue to operate—</w:t>
      </w:r>
    </w:p>
    <w:p w:rsidR="00450C28" w:rsidRDefault="00450C28">
      <w:pPr>
        <w:pStyle w:val="Apara"/>
      </w:pPr>
      <w:r>
        <w:tab/>
        <w:t>(a)</w:t>
      </w:r>
      <w:r>
        <w:tab/>
        <w:t>with the remaining tenant as the sole tenant; or</w:t>
      </w:r>
    </w:p>
    <w:p w:rsidR="00450C28" w:rsidRDefault="00450C28">
      <w:pPr>
        <w:pStyle w:val="Apara"/>
      </w:pPr>
      <w:r>
        <w:tab/>
        <w:t>(b)</w:t>
      </w:r>
      <w:r>
        <w:tab/>
        <w:t>if there are 2 or more remaining tenants—with the tenants as joint tenants or tenants in common.</w:t>
      </w:r>
    </w:p>
    <w:p w:rsidR="00450C28" w:rsidRDefault="00450C28">
      <w:pPr>
        <w:pStyle w:val="AH5Sec"/>
      </w:pPr>
      <w:bookmarkStart w:id="193" w:name="_Toc23418000"/>
      <w:r w:rsidRPr="001403E0">
        <w:rPr>
          <w:rStyle w:val="CharSectNo"/>
        </w:rPr>
        <w:t>127A</w:t>
      </w:r>
      <w:r>
        <w:tab/>
        <w:t>Transfer of public housing under will</w:t>
      </w:r>
      <w:bookmarkEnd w:id="193"/>
    </w:p>
    <w:p w:rsidR="00450C28" w:rsidRDefault="00450C28">
      <w:pPr>
        <w:pStyle w:val="Amain"/>
      </w:pPr>
      <w:r>
        <w:tab/>
        <w:t>(1)</w:t>
      </w:r>
      <w:r>
        <w:tab/>
        <w:t>A public housing tenancy agreement may provide that the tenant must not give the tenant’s rights under the agreement by will to another person who is not an occupant of the premises.</w:t>
      </w:r>
    </w:p>
    <w:p w:rsidR="00450C28" w:rsidRDefault="00450C28">
      <w:pPr>
        <w:pStyle w:val="Amain"/>
      </w:pPr>
      <w:r>
        <w:lastRenderedPageBreak/>
        <w:tab/>
        <w:t>(2)</w:t>
      </w:r>
      <w:r>
        <w:tab/>
        <w:t xml:space="preserve">If a person takes possession of public housing premises under a will, the housing commissioner may apply to the </w:t>
      </w:r>
      <w:r w:rsidR="000E3630">
        <w:t>ACAT</w:t>
      </w:r>
      <w:r>
        <w:t xml:space="preserve"> to adjust the rent, or terminate the agreement.</w:t>
      </w:r>
    </w:p>
    <w:p w:rsidR="00450C28" w:rsidRDefault="00450C28">
      <w:pPr>
        <w:pStyle w:val="Amain"/>
      </w:pPr>
      <w:r>
        <w:tab/>
        <w:t>(3)</w:t>
      </w:r>
      <w:r>
        <w:tab/>
        <w:t xml:space="preserve">In considering an application under subsection (2), the </w:t>
      </w:r>
      <w:r w:rsidR="000E3630">
        <w:t>ACAT</w:t>
      </w:r>
      <w:r>
        <w:t xml:space="preserve"> must have regard to the eligibility criteria under relevant approved housing assistance programs under the </w:t>
      </w:r>
      <w:hyperlink r:id="rId96" w:tooltip="A2007-8" w:history="1">
        <w:r w:rsidR="009D74E7" w:rsidRPr="009D74E7">
          <w:rPr>
            <w:rStyle w:val="charCitHyperlinkItal"/>
          </w:rPr>
          <w:t>Housing Assistance Act</w:t>
        </w:r>
        <w:r w:rsidR="008B10ED">
          <w:rPr>
            <w:rStyle w:val="charCitHyperlinkItal"/>
          </w:rPr>
          <w:t> </w:t>
        </w:r>
        <w:r w:rsidR="009D74E7" w:rsidRPr="009D74E7">
          <w:rPr>
            <w:rStyle w:val="charCitHyperlinkItal"/>
          </w:rPr>
          <w:t>2007</w:t>
        </w:r>
      </w:hyperlink>
      <w:r>
        <w:t>.</w:t>
      </w:r>
    </w:p>
    <w:p w:rsidR="00450C28" w:rsidRDefault="00450C28">
      <w:pPr>
        <w:pStyle w:val="AH5Sec"/>
      </w:pPr>
      <w:bookmarkStart w:id="194" w:name="_Toc23418001"/>
      <w:r w:rsidRPr="001403E0">
        <w:rPr>
          <w:rStyle w:val="CharSectNo"/>
        </w:rPr>
        <w:t>128</w:t>
      </w:r>
      <w:r>
        <w:tab/>
        <w:t>Purported assignment or subletting</w:t>
      </w:r>
      <w:bookmarkEnd w:id="194"/>
    </w:p>
    <w:p w:rsidR="00450C28" w:rsidRDefault="00450C28">
      <w:pPr>
        <w:pStyle w:val="Amain"/>
      </w:pPr>
      <w:r>
        <w:tab/>
        <w:t>(1)</w:t>
      </w:r>
      <w:r>
        <w:tab/>
        <w:t>The purported assignment or subletting of premises in contravention of the standard residential tenancy terms is unenforceable and a person to whom premises are so assigned or sublet resides in the premises as a licensee only.</w:t>
      </w:r>
    </w:p>
    <w:p w:rsidR="00450C28" w:rsidRDefault="00450C28">
      <w:pPr>
        <w:pStyle w:val="Amain"/>
      </w:pPr>
      <w:r>
        <w:tab/>
        <w:t>(2)</w:t>
      </w:r>
      <w:r>
        <w:tab/>
        <w:t xml:space="preserve">Subsection (1) does not apply to the assignment or subletting of premises in accordance with a term of the residential tenancy agreement endorsed by the </w:t>
      </w:r>
      <w:r w:rsidR="000E3630">
        <w:t>ACAT</w:t>
      </w:r>
      <w:r>
        <w:t>.</w:t>
      </w:r>
    </w:p>
    <w:p w:rsidR="00450C28" w:rsidRDefault="00450C28">
      <w:pPr>
        <w:pStyle w:val="AH5Sec"/>
      </w:pPr>
      <w:bookmarkStart w:id="195" w:name="_Toc23418002"/>
      <w:r w:rsidRPr="001403E0">
        <w:rPr>
          <w:rStyle w:val="CharSectNo"/>
        </w:rPr>
        <w:t>131</w:t>
      </w:r>
      <w:r>
        <w:tab/>
        <w:t>Proceedings by children</w:t>
      </w:r>
      <w:bookmarkEnd w:id="195"/>
    </w:p>
    <w:p w:rsidR="00450C28" w:rsidRDefault="00450C28">
      <w:pPr>
        <w:pStyle w:val="Amain"/>
      </w:pPr>
      <w:r>
        <w:tab/>
        <w:t>(1)</w:t>
      </w:r>
      <w:r>
        <w:tab/>
        <w:t>A proceeding under this Act may be started by a child as if the child were an adult.</w:t>
      </w:r>
    </w:p>
    <w:p w:rsidR="00450C28" w:rsidRDefault="00450C28">
      <w:pPr>
        <w:pStyle w:val="Amain"/>
      </w:pPr>
      <w:r>
        <w:tab/>
        <w:t>(2)</w:t>
      </w:r>
      <w:r>
        <w:tab/>
        <w:t xml:space="preserve">The rules in force under the </w:t>
      </w:r>
      <w:hyperlink r:id="rId97" w:tooltip="A2004-59" w:history="1">
        <w:r w:rsidR="009D74E7" w:rsidRPr="009D74E7">
          <w:rPr>
            <w:rStyle w:val="charCitHyperlinkItal"/>
          </w:rPr>
          <w:t>Court Procedures Act 2004</w:t>
        </w:r>
      </w:hyperlink>
      <w:r>
        <w:t xml:space="preserve"> that apply in relation to the approval of settlements and compromises, and amounts ordered or agreed to be paid, in a civil proceeding brought in the Magistrates Court by a child apply in relation to a proceeding brought under this Act by a child.</w:t>
      </w:r>
    </w:p>
    <w:p w:rsidR="00450C28" w:rsidRDefault="00450C28">
      <w:pPr>
        <w:pStyle w:val="Amain"/>
      </w:pPr>
      <w:r>
        <w:tab/>
        <w:t>(3)</w:t>
      </w:r>
      <w:r>
        <w:tab/>
        <w:t>The rules mentioned in subsection (2) apply as if all necessary changes, and any changes prescribed by regulation, were made.</w:t>
      </w:r>
    </w:p>
    <w:p w:rsidR="00450C28" w:rsidRDefault="00450C28">
      <w:pPr>
        <w:pStyle w:val="AH5Sec"/>
      </w:pPr>
      <w:bookmarkStart w:id="196" w:name="_Toc23418003"/>
      <w:r w:rsidRPr="001403E0">
        <w:rPr>
          <w:rStyle w:val="CharSectNo"/>
        </w:rPr>
        <w:t>132</w:t>
      </w:r>
      <w:r>
        <w:tab/>
        <w:t>Enforcing agreements by or against children</w:t>
      </w:r>
      <w:bookmarkEnd w:id="196"/>
    </w:p>
    <w:p w:rsidR="00450C28" w:rsidRDefault="00450C28">
      <w:pPr>
        <w:pStyle w:val="Amainreturn"/>
      </w:pPr>
      <w:r>
        <w:t>A party to a residential tenancy agreement is not prevented from enforcing the agreement against another party only because either party is a child.</w:t>
      </w:r>
    </w:p>
    <w:p w:rsidR="00450C28" w:rsidRDefault="00450C28">
      <w:pPr>
        <w:pStyle w:val="AH5Sec"/>
      </w:pPr>
      <w:bookmarkStart w:id="197" w:name="_Toc23418004"/>
      <w:r w:rsidRPr="001403E0">
        <w:rPr>
          <w:rStyle w:val="CharSectNo"/>
        </w:rPr>
        <w:lastRenderedPageBreak/>
        <w:t>133</w:t>
      </w:r>
      <w:r>
        <w:tab/>
        <w:t>Approved forms—Minister</w:t>
      </w:r>
      <w:bookmarkEnd w:id="197"/>
    </w:p>
    <w:p w:rsidR="00450C28" w:rsidRDefault="00450C28">
      <w:pPr>
        <w:pStyle w:val="Amain"/>
        <w:keepNext/>
      </w:pPr>
      <w:r>
        <w:rPr>
          <w:b/>
        </w:rPr>
        <w:tab/>
      </w:r>
      <w:r w:rsidR="009B222A">
        <w:t>(1)</w:t>
      </w:r>
      <w:r w:rsidR="009B222A">
        <w:tab/>
        <w:t>The Minister may</w:t>
      </w:r>
      <w:r>
        <w:t xml:space="preserve"> approve forms for this Act (other than in relation to proceedings before the </w:t>
      </w:r>
      <w:r w:rsidR="000E3630">
        <w:t>ACAT</w:t>
      </w:r>
      <w:r>
        <w:t>).</w:t>
      </w:r>
    </w:p>
    <w:p w:rsidR="00450C28" w:rsidRDefault="00450C28">
      <w:pPr>
        <w:pStyle w:val="Amain"/>
      </w:pPr>
      <w:r>
        <w:rPr>
          <w:b/>
        </w:rPr>
        <w:tab/>
      </w:r>
      <w:r>
        <w:t>(2)</w:t>
      </w:r>
      <w:r>
        <w:tab/>
        <w:t>If the Minister approves a form for a particular purpose, the approved form must be used for that purpose.</w:t>
      </w:r>
    </w:p>
    <w:p w:rsidR="00450C28" w:rsidRDefault="00450C28">
      <w:pPr>
        <w:pStyle w:val="Amain"/>
        <w:keepNext/>
      </w:pPr>
      <w:r>
        <w:rPr>
          <w:b/>
        </w:rPr>
        <w:tab/>
      </w:r>
      <w:r>
        <w:t>(3)</w:t>
      </w:r>
      <w:r>
        <w:tab/>
        <w:t>An approved form is a notifiable instrument.</w:t>
      </w:r>
    </w:p>
    <w:p w:rsidR="00450C28" w:rsidRDefault="00450C28">
      <w:pPr>
        <w:pStyle w:val="aNote"/>
      </w:pPr>
      <w:r w:rsidRPr="009D74E7">
        <w:rPr>
          <w:rStyle w:val="charItals"/>
        </w:rPr>
        <w:t>Note</w:t>
      </w:r>
      <w:r w:rsidRPr="009D74E7">
        <w:rPr>
          <w:rStyle w:val="charItals"/>
        </w:rPr>
        <w:tab/>
      </w:r>
      <w:r>
        <w:t xml:space="preserve">A notifiable instrument must be notified under the </w:t>
      </w:r>
      <w:hyperlink r:id="rId98" w:tooltip="A2001-14" w:history="1">
        <w:r w:rsidR="009D74E7" w:rsidRPr="009D74E7">
          <w:rPr>
            <w:rStyle w:val="charCitHyperlinkAbbrev"/>
          </w:rPr>
          <w:t>Legislation Act</w:t>
        </w:r>
      </w:hyperlink>
      <w:r>
        <w:t>.</w:t>
      </w:r>
    </w:p>
    <w:p w:rsidR="001C50C1" w:rsidRPr="00582D10" w:rsidRDefault="001C50C1" w:rsidP="001C50C1">
      <w:pPr>
        <w:pStyle w:val="AH5Sec"/>
      </w:pPr>
      <w:bookmarkStart w:id="198" w:name="_Toc23418005"/>
      <w:r w:rsidRPr="001403E0">
        <w:rPr>
          <w:rStyle w:val="CharSectNo"/>
        </w:rPr>
        <w:t>134</w:t>
      </w:r>
      <w:r w:rsidRPr="00582D10">
        <w:tab/>
        <w:t>Determination of fees</w:t>
      </w:r>
      <w:bookmarkEnd w:id="198"/>
    </w:p>
    <w:p w:rsidR="001C50C1" w:rsidRPr="00582D10" w:rsidRDefault="001C50C1" w:rsidP="001C50C1">
      <w:pPr>
        <w:pStyle w:val="Amain"/>
        <w:rPr>
          <w:lang w:eastAsia="en-AU"/>
        </w:rPr>
      </w:pPr>
      <w:r w:rsidRPr="00582D10">
        <w:rPr>
          <w:lang w:eastAsia="en-AU"/>
        </w:rPr>
        <w:tab/>
        <w:t>(1)</w:t>
      </w:r>
      <w:r w:rsidRPr="00582D10">
        <w:rPr>
          <w:lang w:eastAsia="en-AU"/>
        </w:rPr>
        <w:tab/>
        <w:t>The Minister may determine fees for this Act.</w:t>
      </w:r>
    </w:p>
    <w:p w:rsidR="001C50C1" w:rsidRPr="00582D10" w:rsidRDefault="001C50C1" w:rsidP="001C50C1">
      <w:pPr>
        <w:pStyle w:val="aNote"/>
      </w:pPr>
      <w:r w:rsidRPr="00582D10">
        <w:rPr>
          <w:rStyle w:val="charItals"/>
        </w:rPr>
        <w:t>Note</w:t>
      </w:r>
      <w:r w:rsidRPr="00582D10">
        <w:tab/>
        <w:t xml:space="preserve">The </w:t>
      </w:r>
      <w:hyperlink r:id="rId99" w:tooltip="A2001-14" w:history="1">
        <w:r w:rsidRPr="00582D10">
          <w:rPr>
            <w:rStyle w:val="charCitHyperlinkAbbrev"/>
          </w:rPr>
          <w:t>Legislation Act</w:t>
        </w:r>
      </w:hyperlink>
      <w:r w:rsidRPr="00582D10">
        <w:t xml:space="preserve"> contains provisions about the making of determinations and regulations relating to fees (see pt 6.3).</w:t>
      </w:r>
    </w:p>
    <w:p w:rsidR="001C50C1" w:rsidRPr="00582D10" w:rsidRDefault="001C50C1" w:rsidP="001C50C1">
      <w:pPr>
        <w:pStyle w:val="Amain"/>
        <w:rPr>
          <w:lang w:eastAsia="en-AU"/>
        </w:rPr>
      </w:pPr>
      <w:r w:rsidRPr="00582D10">
        <w:rPr>
          <w:lang w:eastAsia="en-AU"/>
        </w:rPr>
        <w:tab/>
        <w:t>(2)</w:t>
      </w:r>
      <w:r w:rsidRPr="00582D10">
        <w:rPr>
          <w:lang w:eastAsia="en-AU"/>
        </w:rPr>
        <w:tab/>
        <w:t>A determination is a disallowable instrument.</w:t>
      </w:r>
    </w:p>
    <w:p w:rsidR="001C50C1" w:rsidRPr="00582D10" w:rsidRDefault="001C50C1" w:rsidP="001C50C1">
      <w:pPr>
        <w:pStyle w:val="aNote"/>
      </w:pPr>
      <w:r w:rsidRPr="00582D10">
        <w:rPr>
          <w:rStyle w:val="charItals"/>
        </w:rPr>
        <w:t>Note</w:t>
      </w:r>
      <w:r w:rsidRPr="00582D10">
        <w:rPr>
          <w:rStyle w:val="charItals"/>
        </w:rPr>
        <w:tab/>
      </w:r>
      <w:r w:rsidRPr="00582D10">
        <w:t xml:space="preserve">A disallowable instrument must be notified, and presented to the Legislative Assembly, under the </w:t>
      </w:r>
      <w:hyperlink r:id="rId100" w:tooltip="A2001-14" w:history="1">
        <w:r w:rsidRPr="00582D10">
          <w:rPr>
            <w:rStyle w:val="charCitHyperlinkAbbrev"/>
          </w:rPr>
          <w:t>Legislation Act</w:t>
        </w:r>
      </w:hyperlink>
      <w:r w:rsidRPr="00582D10">
        <w:t>.</w:t>
      </w:r>
    </w:p>
    <w:p w:rsidR="00450C28" w:rsidRDefault="00450C28">
      <w:pPr>
        <w:pStyle w:val="AH5Sec"/>
      </w:pPr>
      <w:bookmarkStart w:id="199" w:name="_Toc23418006"/>
      <w:r w:rsidRPr="001403E0">
        <w:rPr>
          <w:rStyle w:val="CharSectNo"/>
        </w:rPr>
        <w:t>136</w:t>
      </w:r>
      <w:r>
        <w:tab/>
        <w:t>Regulation-making power</w:t>
      </w:r>
      <w:bookmarkEnd w:id="199"/>
    </w:p>
    <w:p w:rsidR="00450C28" w:rsidRDefault="00450C28">
      <w:pPr>
        <w:pStyle w:val="Amain"/>
        <w:keepNext/>
      </w:pPr>
      <w:r>
        <w:tab/>
        <w:t>(1)</w:t>
      </w:r>
      <w:r>
        <w:tab/>
        <w:t>The Executive may make regulations for this Act.</w:t>
      </w:r>
    </w:p>
    <w:p w:rsidR="00450C28" w:rsidRDefault="00450C28">
      <w:pPr>
        <w:pStyle w:val="aNote"/>
      </w:pPr>
      <w:r w:rsidRPr="009D74E7">
        <w:rPr>
          <w:rStyle w:val="charItals"/>
        </w:rPr>
        <w:t>Note</w:t>
      </w:r>
      <w:r w:rsidRPr="009D74E7">
        <w:rPr>
          <w:rStyle w:val="charItals"/>
        </w:rPr>
        <w:tab/>
      </w:r>
      <w:r>
        <w:t xml:space="preserve">A regulation must be notified, and presented to the Legislative Assembly, under the </w:t>
      </w:r>
      <w:hyperlink r:id="rId101" w:tooltip="A2001-14" w:history="1">
        <w:r w:rsidR="009D74E7" w:rsidRPr="009D74E7">
          <w:rPr>
            <w:rStyle w:val="charCitHyperlinkAbbrev"/>
          </w:rPr>
          <w:t>Legislation Act</w:t>
        </w:r>
      </w:hyperlink>
      <w:r>
        <w:t>.</w:t>
      </w:r>
    </w:p>
    <w:p w:rsidR="00BD0133" w:rsidRDefault="00BD0133" w:rsidP="00BD0133">
      <w:pPr>
        <w:pStyle w:val="Amain"/>
      </w:pPr>
      <w:r>
        <w:rPr>
          <w:b/>
          <w:bCs/>
        </w:rPr>
        <w:tab/>
      </w:r>
      <w:r>
        <w:t>(2)</w:t>
      </w:r>
      <w:r>
        <w:tab/>
        <w:t>A regulation may make provision in relation to the following:</w:t>
      </w:r>
    </w:p>
    <w:p w:rsidR="00BD0133" w:rsidRDefault="00BD0133" w:rsidP="00BD0133">
      <w:pPr>
        <w:pStyle w:val="Apara"/>
      </w:pPr>
      <w:r>
        <w:tab/>
        <w:t>(a)</w:t>
      </w:r>
      <w:r>
        <w:tab/>
        <w:t>the keeping of records;</w:t>
      </w:r>
    </w:p>
    <w:p w:rsidR="004A5BC3" w:rsidRDefault="00BC2787" w:rsidP="00BD0133">
      <w:pPr>
        <w:pStyle w:val="Apara"/>
      </w:pPr>
      <w:r>
        <w:tab/>
        <w:t>(b)</w:t>
      </w:r>
      <w:r>
        <w:tab/>
        <w:t>tenancy databases;</w:t>
      </w:r>
    </w:p>
    <w:p w:rsidR="001C50C1" w:rsidRPr="00582D10" w:rsidRDefault="001C50C1" w:rsidP="001C50C1">
      <w:pPr>
        <w:pStyle w:val="Apara"/>
      </w:pPr>
      <w:r w:rsidRPr="00582D10">
        <w:tab/>
        <w:t>(c)</w:t>
      </w:r>
      <w:r w:rsidRPr="00582D10">
        <w:tab/>
        <w:t>commercial guarantees, including the following:</w:t>
      </w:r>
    </w:p>
    <w:p w:rsidR="001C50C1" w:rsidRPr="00582D10" w:rsidRDefault="001C50C1" w:rsidP="001C50C1">
      <w:pPr>
        <w:pStyle w:val="Asubpara"/>
      </w:pPr>
      <w:r w:rsidRPr="00582D10">
        <w:tab/>
        <w:t>(i)</w:t>
      </w:r>
      <w:r w:rsidRPr="00582D10">
        <w:tab/>
        <w:t>grounds for registering, applying a condition to, or refusing to register a standard guarantee contract;</w:t>
      </w:r>
    </w:p>
    <w:p w:rsidR="001C50C1" w:rsidRPr="00582D10" w:rsidRDefault="001C50C1" w:rsidP="001C50C1">
      <w:pPr>
        <w:pStyle w:val="Asubpara"/>
      </w:pPr>
      <w:r w:rsidRPr="00582D10">
        <w:tab/>
        <w:t>(ii)</w:t>
      </w:r>
      <w:r w:rsidRPr="00582D10">
        <w:tab/>
        <w:t>a matter that must be included in, or excluded from, a commercial guarantee;</w:t>
      </w:r>
    </w:p>
    <w:p w:rsidR="001C50C1" w:rsidRPr="00582D10" w:rsidRDefault="001C50C1" w:rsidP="001C50C1">
      <w:pPr>
        <w:pStyle w:val="Asubpara"/>
      </w:pPr>
      <w:r w:rsidRPr="00582D10">
        <w:lastRenderedPageBreak/>
        <w:tab/>
        <w:t>(iii)</w:t>
      </w:r>
      <w:r w:rsidRPr="00582D10">
        <w:tab/>
        <w:t>requirements in relation to reporting on, record keeping for and the administration of commercial guarantees;</w:t>
      </w:r>
    </w:p>
    <w:p w:rsidR="001C50C1" w:rsidRPr="00582D10" w:rsidRDefault="001C50C1" w:rsidP="001C50C1">
      <w:pPr>
        <w:pStyle w:val="Asubpara"/>
      </w:pPr>
      <w:r w:rsidRPr="00582D10">
        <w:tab/>
        <w:t>(iv)</w:t>
      </w:r>
      <w:r w:rsidRPr="00582D10">
        <w:tab/>
        <w:t>if a person has registered a standard guarantee contract—information that the person must give to another person before entering into a commercial guarantee with the other person;</w:t>
      </w:r>
    </w:p>
    <w:p w:rsidR="001C50C1" w:rsidRPr="00582D10" w:rsidRDefault="001C50C1" w:rsidP="001C50C1">
      <w:pPr>
        <w:pStyle w:val="Asubpara"/>
      </w:pPr>
      <w:r w:rsidRPr="00582D10">
        <w:tab/>
        <w:t>(v)</w:t>
      </w:r>
      <w:r w:rsidRPr="00582D10">
        <w:tab/>
        <w:t>amending, renewing, ending or suspending the registration of a standard guarantee contract.</w:t>
      </w:r>
    </w:p>
    <w:p w:rsidR="005440B2" w:rsidRPr="005440B2" w:rsidRDefault="005440B2" w:rsidP="005440B2">
      <w:pPr>
        <w:pStyle w:val="PageBreak"/>
      </w:pPr>
      <w:r w:rsidRPr="005440B2">
        <w:br w:type="page"/>
      </w:r>
    </w:p>
    <w:p w:rsidR="005440B2" w:rsidRPr="001403E0" w:rsidRDefault="005440B2" w:rsidP="005440B2">
      <w:pPr>
        <w:pStyle w:val="AH2Part"/>
      </w:pPr>
      <w:bookmarkStart w:id="200" w:name="_Toc23418007"/>
      <w:r w:rsidRPr="001403E0">
        <w:rPr>
          <w:rStyle w:val="CharPartNo"/>
        </w:rPr>
        <w:lastRenderedPageBreak/>
        <w:t>Part 15</w:t>
      </w:r>
      <w:r w:rsidRPr="00483A42">
        <w:tab/>
      </w:r>
      <w:r w:rsidRPr="001403E0">
        <w:rPr>
          <w:rStyle w:val="CharPartText"/>
        </w:rPr>
        <w:t>Transitional—Residential Tenancies Amendment Act 2018</w:t>
      </w:r>
      <w:bookmarkEnd w:id="200"/>
    </w:p>
    <w:p w:rsidR="004F1336" w:rsidRPr="00483A42" w:rsidRDefault="004F1336" w:rsidP="004F1336">
      <w:pPr>
        <w:pStyle w:val="AH5Sec"/>
      </w:pPr>
      <w:bookmarkStart w:id="201" w:name="_Toc23418008"/>
      <w:r w:rsidRPr="001403E0">
        <w:rPr>
          <w:rStyle w:val="CharSectNo"/>
        </w:rPr>
        <w:t>151</w:t>
      </w:r>
      <w:r w:rsidRPr="00483A42">
        <w:tab/>
        <w:t xml:space="preserve">Meaning of </w:t>
      </w:r>
      <w:r w:rsidRPr="00483A42">
        <w:rPr>
          <w:rStyle w:val="charItals"/>
        </w:rPr>
        <w:t>commencement day</w:t>
      </w:r>
      <w:r w:rsidRPr="00483A42">
        <w:t>—pt 15</w:t>
      </w:r>
      <w:bookmarkEnd w:id="201"/>
    </w:p>
    <w:p w:rsidR="004F1336" w:rsidRPr="00483A42" w:rsidRDefault="004F1336" w:rsidP="004F1336">
      <w:pPr>
        <w:pStyle w:val="Amainreturn"/>
        <w:keepNext/>
      </w:pPr>
      <w:r w:rsidRPr="00483A42">
        <w:t>In this part:</w:t>
      </w:r>
    </w:p>
    <w:p w:rsidR="004F1336" w:rsidRPr="00483A42" w:rsidRDefault="004F1336" w:rsidP="004F1336">
      <w:pPr>
        <w:pStyle w:val="Amainreturn"/>
        <w:keepNext/>
      </w:pPr>
      <w:r w:rsidRPr="00483A42">
        <w:rPr>
          <w:rStyle w:val="charBoldItals"/>
        </w:rPr>
        <w:t>commencement day</w:t>
      </w:r>
      <w:r w:rsidRPr="00483A42">
        <w:t xml:space="preserve"> means—</w:t>
      </w:r>
    </w:p>
    <w:p w:rsidR="004F1336" w:rsidRPr="00483A42" w:rsidRDefault="004F1336" w:rsidP="004F1336">
      <w:pPr>
        <w:pStyle w:val="Apara"/>
      </w:pPr>
      <w:r w:rsidRPr="00483A42">
        <w:tab/>
        <w:t>(a)</w:t>
      </w:r>
      <w:r w:rsidRPr="00483A42">
        <w:tab/>
        <w:t xml:space="preserve">for sections 152 and 153—the day the </w:t>
      </w:r>
      <w:hyperlink r:id="rId102" w:tooltip="A2018-20" w:history="1">
        <w:r w:rsidRPr="004F1336">
          <w:rPr>
            <w:rStyle w:val="charCitHyperlinkItal"/>
          </w:rPr>
          <w:t>Residential Tenancies Amendment Act 2018</w:t>
        </w:r>
      </w:hyperlink>
      <w:r w:rsidRPr="00483A42">
        <w:t>, section 6 commences; and</w:t>
      </w:r>
    </w:p>
    <w:p w:rsidR="004F1336" w:rsidRPr="00483A42" w:rsidRDefault="004F1336" w:rsidP="004F1336">
      <w:pPr>
        <w:pStyle w:val="Apara"/>
      </w:pPr>
      <w:r w:rsidRPr="00483A42">
        <w:tab/>
        <w:t>(b)</w:t>
      </w:r>
      <w:r w:rsidRPr="00483A42">
        <w:tab/>
        <w:t xml:space="preserve">for section 154—the day the </w:t>
      </w:r>
      <w:hyperlink r:id="rId103" w:tooltip="A2018-20" w:history="1">
        <w:r w:rsidRPr="004F1336">
          <w:rPr>
            <w:rStyle w:val="charCitHyperlinkItal"/>
          </w:rPr>
          <w:t>Residential Tenancies Amendment Act 2018</w:t>
        </w:r>
      </w:hyperlink>
      <w:r w:rsidRPr="00483A42">
        <w:t>, section 4 commences.</w:t>
      </w:r>
    </w:p>
    <w:p w:rsidR="005440B2" w:rsidRPr="00483A42" w:rsidRDefault="005440B2" w:rsidP="005440B2">
      <w:pPr>
        <w:pStyle w:val="AH5Sec"/>
      </w:pPr>
      <w:bookmarkStart w:id="202" w:name="_Toc23418009"/>
      <w:r w:rsidRPr="001403E0">
        <w:rPr>
          <w:rStyle w:val="CharSectNo"/>
        </w:rPr>
        <w:t>152</w:t>
      </w:r>
      <w:r w:rsidRPr="00483A42">
        <w:tab/>
        <w:t>Applications for registration of standard guarantee contract</w:t>
      </w:r>
      <w:bookmarkEnd w:id="202"/>
    </w:p>
    <w:p w:rsidR="005440B2" w:rsidRPr="00483A42" w:rsidRDefault="005440B2" w:rsidP="005440B2">
      <w:pPr>
        <w:pStyle w:val="Amain"/>
      </w:pPr>
      <w:r w:rsidRPr="00483A42">
        <w:tab/>
        <w:t>(1)</w:t>
      </w:r>
      <w:r w:rsidRPr="00483A42">
        <w:tab/>
        <w:t>This section applies if—</w:t>
      </w:r>
    </w:p>
    <w:p w:rsidR="005440B2" w:rsidRPr="00483A42" w:rsidRDefault="005440B2" w:rsidP="005440B2">
      <w:pPr>
        <w:pStyle w:val="Apara"/>
      </w:pPr>
      <w:r w:rsidRPr="00483A42">
        <w:tab/>
        <w:t>(a)</w:t>
      </w:r>
      <w:r w:rsidRPr="00483A42">
        <w:tab/>
        <w:t>an application for registration of a standard guarantee contract is made under section 103 before the commencement day; and</w:t>
      </w:r>
    </w:p>
    <w:p w:rsidR="005440B2" w:rsidRPr="00483A42" w:rsidRDefault="005440B2" w:rsidP="005440B2">
      <w:pPr>
        <w:pStyle w:val="Apara"/>
      </w:pPr>
      <w:r w:rsidRPr="00483A42">
        <w:tab/>
        <w:t>(b)</w:t>
      </w:r>
      <w:r w:rsidRPr="00483A42">
        <w:tab/>
        <w:t>the application—</w:t>
      </w:r>
    </w:p>
    <w:p w:rsidR="005440B2" w:rsidRPr="00483A42" w:rsidRDefault="005440B2" w:rsidP="005440B2">
      <w:pPr>
        <w:pStyle w:val="Asubpara"/>
      </w:pPr>
      <w:r w:rsidRPr="00483A42">
        <w:tab/>
        <w:t>(i)</w:t>
      </w:r>
      <w:r w:rsidRPr="00483A42">
        <w:tab/>
        <w:t>is not decided by the commissioner before the commencement day; or</w:t>
      </w:r>
    </w:p>
    <w:p w:rsidR="005440B2" w:rsidRPr="00483A42" w:rsidRDefault="005440B2" w:rsidP="005440B2">
      <w:pPr>
        <w:pStyle w:val="Asubpara"/>
      </w:pPr>
      <w:r w:rsidRPr="00483A42">
        <w:tab/>
        <w:t>(ii)</w:t>
      </w:r>
      <w:r w:rsidRPr="00483A42">
        <w:tab/>
        <w:t>is refused by the commissioner.</w:t>
      </w:r>
    </w:p>
    <w:p w:rsidR="005440B2" w:rsidRPr="00483A42" w:rsidRDefault="005440B2" w:rsidP="005440B2">
      <w:pPr>
        <w:pStyle w:val="Amain"/>
      </w:pPr>
      <w:r w:rsidRPr="00483A42">
        <w:tab/>
        <w:t>(2)</w:t>
      </w:r>
      <w:r w:rsidRPr="00483A42">
        <w:tab/>
        <w:t>The application is taken not to have been made.</w:t>
      </w:r>
    </w:p>
    <w:p w:rsidR="005440B2" w:rsidRPr="00483A42" w:rsidRDefault="005440B2" w:rsidP="005440B2">
      <w:pPr>
        <w:pStyle w:val="AH5Sec"/>
      </w:pPr>
      <w:bookmarkStart w:id="203" w:name="_Toc23418010"/>
      <w:r w:rsidRPr="001403E0">
        <w:rPr>
          <w:rStyle w:val="CharSectNo"/>
        </w:rPr>
        <w:t>153</w:t>
      </w:r>
      <w:r w:rsidRPr="00483A42">
        <w:tab/>
        <w:t>Registered standard guarantee contracts</w:t>
      </w:r>
      <w:bookmarkEnd w:id="203"/>
    </w:p>
    <w:p w:rsidR="005440B2" w:rsidRPr="00483A42" w:rsidRDefault="005440B2" w:rsidP="005440B2">
      <w:pPr>
        <w:pStyle w:val="Amain"/>
      </w:pPr>
      <w:r w:rsidRPr="00483A42">
        <w:tab/>
        <w:t>(1)</w:t>
      </w:r>
      <w:r w:rsidRPr="00483A42">
        <w:tab/>
        <w:t>This section applies if a standard guarantee contract is registered under section 104 before the commencement day.</w:t>
      </w:r>
    </w:p>
    <w:p w:rsidR="005440B2" w:rsidRPr="00483A42" w:rsidRDefault="005440B2" w:rsidP="005440B2">
      <w:pPr>
        <w:pStyle w:val="Amain"/>
      </w:pPr>
      <w:r w:rsidRPr="00483A42">
        <w:tab/>
        <w:t>(2)</w:t>
      </w:r>
      <w:r w:rsidRPr="00483A42">
        <w:tab/>
        <w:t>On the commencement day, the registration of the standard guarantee contract is taken to have ended.</w:t>
      </w:r>
    </w:p>
    <w:p w:rsidR="005440B2" w:rsidRPr="00483A42" w:rsidRDefault="005440B2" w:rsidP="005440B2">
      <w:pPr>
        <w:pStyle w:val="aNote"/>
      </w:pPr>
      <w:r w:rsidRPr="00483A42">
        <w:rPr>
          <w:rStyle w:val="charItals"/>
        </w:rPr>
        <w:t>Note</w:t>
      </w:r>
      <w:r w:rsidRPr="00483A42">
        <w:rPr>
          <w:rStyle w:val="charItals"/>
        </w:rPr>
        <w:tab/>
      </w:r>
      <w:r w:rsidRPr="00483A42">
        <w:t xml:space="preserve">A term of a commercial guarantee that is inconsistent with, or is in addition to, a registered standard </w:t>
      </w:r>
      <w:r>
        <w:t>guarantee contract is void (see</w:t>
      </w:r>
      <w:r w:rsidRPr="00483A42">
        <w:t xml:space="preserve"> s </w:t>
      </w:r>
      <w:r>
        <w:t>16 </w:t>
      </w:r>
      <w:r w:rsidRPr="00483A42">
        <w:t>(3)</w:t>
      </w:r>
      <w:r>
        <w:t>)</w:t>
      </w:r>
      <w:r w:rsidRPr="00483A42">
        <w:t>.</w:t>
      </w:r>
    </w:p>
    <w:p w:rsidR="005440B2" w:rsidRPr="00483A42" w:rsidRDefault="005440B2" w:rsidP="005440B2">
      <w:pPr>
        <w:pStyle w:val="Amain"/>
      </w:pPr>
      <w:r w:rsidRPr="00483A42">
        <w:lastRenderedPageBreak/>
        <w:tab/>
        <w:t>(3)</w:t>
      </w:r>
      <w:r w:rsidRPr="00483A42">
        <w:tab/>
        <w:t>To avoid any doubt, any commercial guarantee entered into before the commencement day that is consistent with the registered standard guarantee contract is not affected by subsection (2).</w:t>
      </w:r>
    </w:p>
    <w:p w:rsidR="004F1336" w:rsidRPr="00483A42" w:rsidRDefault="004F1336" w:rsidP="004F1336">
      <w:pPr>
        <w:pStyle w:val="AH5Sec"/>
      </w:pPr>
      <w:bookmarkStart w:id="204" w:name="_Toc23418011"/>
      <w:r w:rsidRPr="001403E0">
        <w:rPr>
          <w:rStyle w:val="CharSectNo"/>
        </w:rPr>
        <w:t>154</w:t>
      </w:r>
      <w:r w:rsidRPr="00483A42">
        <w:tab/>
        <w:t>Conditional termination and possession orders in force immediately before commencement day</w:t>
      </w:r>
      <w:bookmarkEnd w:id="204"/>
    </w:p>
    <w:p w:rsidR="004F1336" w:rsidRPr="00483A42" w:rsidRDefault="004F1336" w:rsidP="004F1336">
      <w:pPr>
        <w:pStyle w:val="Amain"/>
      </w:pPr>
      <w:r w:rsidRPr="00483A42">
        <w:tab/>
        <w:t>(1)</w:t>
      </w:r>
      <w:r w:rsidRPr="00483A42">
        <w:tab/>
        <w:t xml:space="preserve">This section applies to a conditional termination and possession order made under the </w:t>
      </w:r>
      <w:r w:rsidRPr="0024052E">
        <w:t>pre-amendment Act</w:t>
      </w:r>
      <w:r w:rsidRPr="00483A42">
        <w:t>, section 49 (4) and in force immediately before the commencement day.</w:t>
      </w:r>
    </w:p>
    <w:p w:rsidR="004F1336" w:rsidRPr="00483A42" w:rsidRDefault="004F1336" w:rsidP="004F1336">
      <w:pPr>
        <w:pStyle w:val="Amain"/>
      </w:pPr>
      <w:r w:rsidRPr="00483A42">
        <w:tab/>
        <w:t>(2)</w:t>
      </w:r>
      <w:r w:rsidRPr="00483A42">
        <w:tab/>
        <w:t xml:space="preserve">The order is taken to be a payment order made under this </w:t>
      </w:r>
      <w:r w:rsidRPr="0024052E">
        <w:t>Act</w:t>
      </w:r>
      <w:r w:rsidRPr="00483A42">
        <w:t>, section 49A.</w:t>
      </w:r>
    </w:p>
    <w:p w:rsidR="004F1336" w:rsidRPr="00483A42" w:rsidRDefault="004F1336" w:rsidP="004F1336">
      <w:pPr>
        <w:pStyle w:val="Amain"/>
      </w:pPr>
      <w:r w:rsidRPr="00483A42">
        <w:tab/>
        <w:t>(3)</w:t>
      </w:r>
      <w:r w:rsidRPr="00483A42">
        <w:tab/>
        <w:t>The order expires on the date stated in it, unless sooner ended under this Act.</w:t>
      </w:r>
    </w:p>
    <w:p w:rsidR="004F1336" w:rsidRPr="00483A42" w:rsidRDefault="004F1336" w:rsidP="004F1336">
      <w:pPr>
        <w:pStyle w:val="Amain"/>
      </w:pPr>
      <w:r w:rsidRPr="00483A42">
        <w:tab/>
        <w:t>(4)</w:t>
      </w:r>
      <w:r w:rsidRPr="00483A42">
        <w:tab/>
        <w:t>In this section:</w:t>
      </w:r>
    </w:p>
    <w:p w:rsidR="004F1336" w:rsidRPr="00483A42" w:rsidRDefault="004F1336" w:rsidP="004F1336">
      <w:pPr>
        <w:pStyle w:val="aDef"/>
      </w:pPr>
      <w:r w:rsidRPr="00483A42">
        <w:rPr>
          <w:rStyle w:val="charBoldItals"/>
        </w:rPr>
        <w:t>pre-amendment</w:t>
      </w:r>
      <w:r w:rsidRPr="00483A42">
        <w:t xml:space="preserve"> </w:t>
      </w:r>
      <w:r w:rsidRPr="00483A42">
        <w:rPr>
          <w:rStyle w:val="charBoldItals"/>
        </w:rPr>
        <w:t>Act</w:t>
      </w:r>
      <w:r w:rsidRPr="00483A42">
        <w:t xml:space="preserve"> means this Act as in force immediately before the commencement day.</w:t>
      </w:r>
    </w:p>
    <w:p w:rsidR="004F1336" w:rsidRPr="00483A42" w:rsidRDefault="004F1336" w:rsidP="004F1336">
      <w:pPr>
        <w:pStyle w:val="AH5Sec"/>
      </w:pPr>
      <w:bookmarkStart w:id="205" w:name="_Toc23418012"/>
      <w:r w:rsidRPr="001403E0">
        <w:rPr>
          <w:rStyle w:val="CharSectNo"/>
        </w:rPr>
        <w:t>155</w:t>
      </w:r>
      <w:r w:rsidRPr="00483A42">
        <w:tab/>
        <w:t>Expiry—pt 15</w:t>
      </w:r>
      <w:bookmarkEnd w:id="205"/>
    </w:p>
    <w:p w:rsidR="004F1336" w:rsidRPr="00483A42" w:rsidRDefault="004F1336" w:rsidP="004F1336">
      <w:pPr>
        <w:pStyle w:val="Amainreturn"/>
        <w:keepNext/>
      </w:pPr>
      <w:r w:rsidRPr="00483A42">
        <w:t xml:space="preserve">This part expires 12 months after the day the </w:t>
      </w:r>
      <w:hyperlink r:id="rId104" w:tooltip="A2018-20" w:history="1">
        <w:r w:rsidR="00987580" w:rsidRPr="00987580">
          <w:rPr>
            <w:rStyle w:val="charCitHyperlinkItal"/>
          </w:rPr>
          <w:t>Residential Tenancies Amendment Act 2018</w:t>
        </w:r>
      </w:hyperlink>
      <w:r w:rsidRPr="00483A42">
        <w:t>, section 4 commences.</w:t>
      </w:r>
    </w:p>
    <w:p w:rsidR="004F1336" w:rsidRPr="00483A42" w:rsidRDefault="004F1336" w:rsidP="004F1336">
      <w:pPr>
        <w:pStyle w:val="aNote"/>
      </w:pPr>
      <w:r w:rsidRPr="00483A42">
        <w:rPr>
          <w:rStyle w:val="charItals"/>
        </w:rPr>
        <w:t>Note</w:t>
      </w:r>
      <w:r w:rsidRPr="00483A42">
        <w:tab/>
        <w:t xml:space="preserve">Transitional provisions are kept in the Act for a limited time.  A transitional provision is repealed on its expiry but continues to have effect after its repeal (see </w:t>
      </w:r>
      <w:hyperlink r:id="rId105" w:tooltip="A2001-14" w:history="1">
        <w:r w:rsidRPr="00483A42">
          <w:rPr>
            <w:rStyle w:val="charCitHyperlinkAbbrev"/>
          </w:rPr>
          <w:t>Legislation Act</w:t>
        </w:r>
      </w:hyperlink>
      <w:r w:rsidRPr="00483A42">
        <w:t>, s 88).</w:t>
      </w:r>
    </w:p>
    <w:p w:rsidR="00450C28" w:rsidRDefault="00450C28">
      <w:pPr>
        <w:pStyle w:val="02Text"/>
        <w:sectPr w:rsidR="00450C28" w:rsidSect="00F42AEF">
          <w:headerReference w:type="even" r:id="rId106"/>
          <w:headerReference w:type="default" r:id="rId107"/>
          <w:footerReference w:type="even" r:id="rId108"/>
          <w:footerReference w:type="default" r:id="rId109"/>
          <w:footerReference w:type="first" r:id="rId110"/>
          <w:pgSz w:w="11907" w:h="16839" w:code="9"/>
          <w:pgMar w:top="3880" w:right="1900" w:bottom="3100" w:left="2300" w:header="2280" w:footer="1760" w:gutter="0"/>
          <w:cols w:space="720"/>
          <w:docGrid w:linePitch="254"/>
        </w:sectPr>
      </w:pPr>
    </w:p>
    <w:p w:rsidR="00450C28" w:rsidRDefault="00450C28">
      <w:pPr>
        <w:pStyle w:val="PageBreak"/>
      </w:pPr>
      <w:r>
        <w:br w:type="page"/>
      </w:r>
    </w:p>
    <w:p w:rsidR="00450C28" w:rsidRPr="001403E0" w:rsidRDefault="00450C28">
      <w:pPr>
        <w:pStyle w:val="Sched-heading"/>
      </w:pPr>
      <w:bookmarkStart w:id="206" w:name="_Toc23418013"/>
      <w:r w:rsidRPr="001403E0">
        <w:rPr>
          <w:rStyle w:val="CharChapNo"/>
        </w:rPr>
        <w:lastRenderedPageBreak/>
        <w:t>Schedule 1</w:t>
      </w:r>
      <w:r>
        <w:tab/>
      </w:r>
      <w:r w:rsidRPr="001403E0">
        <w:rPr>
          <w:rStyle w:val="CharChapText"/>
        </w:rPr>
        <w:t>Standard residential tenancy terms</w:t>
      </w:r>
      <w:bookmarkEnd w:id="206"/>
    </w:p>
    <w:p w:rsidR="00450C28" w:rsidRDefault="00450C28">
      <w:pPr>
        <w:pStyle w:val="Placeholder"/>
      </w:pPr>
      <w:r>
        <w:rPr>
          <w:rStyle w:val="CharPartNo"/>
        </w:rPr>
        <w:t xml:space="preserve">  </w:t>
      </w:r>
      <w:r>
        <w:rPr>
          <w:rStyle w:val="CharPartText"/>
        </w:rPr>
        <w:t xml:space="preserve">  </w:t>
      </w:r>
    </w:p>
    <w:p w:rsidR="00450C28" w:rsidRDefault="00450C28">
      <w:pPr>
        <w:pStyle w:val="ref"/>
      </w:pPr>
      <w:r>
        <w:t>(see s 8)</w:t>
      </w:r>
    </w:p>
    <w:p w:rsidR="00450C28" w:rsidRDefault="00450C28" w:rsidP="0027007A">
      <w:pPr>
        <w:keepNext/>
        <w:spacing w:before="180"/>
        <w:rPr>
          <w:rFonts w:ascii="Arial" w:hAnsi="Arial"/>
          <w:b/>
        </w:rPr>
      </w:pPr>
      <w:r>
        <w:rPr>
          <w:rFonts w:ascii="Arial" w:hAnsi="Arial"/>
          <w:b/>
        </w:rPr>
        <w:t>Lessor and tenant must comply with terms of tenancy agreement</w:t>
      </w:r>
    </w:p>
    <w:p w:rsidR="00450C28" w:rsidRPr="00A44D52" w:rsidRDefault="00450C28" w:rsidP="00775F61">
      <w:pPr>
        <w:tabs>
          <w:tab w:val="right" w:pos="1372"/>
          <w:tab w:val="left" w:pos="1568"/>
        </w:tabs>
        <w:spacing w:before="140"/>
        <w:ind w:left="1588" w:hanging="1588"/>
        <w:jc w:val="both"/>
      </w:pPr>
      <w:r w:rsidRPr="00A44D52">
        <w:t>1</w:t>
      </w:r>
      <w:r w:rsidRPr="00A44D52">
        <w:tab/>
        <w:t>(1)</w:t>
      </w:r>
      <w:r w:rsidRPr="00A44D52">
        <w:tab/>
        <w:t xml:space="preserve">This tenancy agreement is made under the </w:t>
      </w:r>
      <w:r w:rsidRPr="00A44D52">
        <w:rPr>
          <w:i/>
        </w:rPr>
        <w:t>Residential Tenancies Act 1997</w:t>
      </w:r>
      <w:r w:rsidRPr="00A44D52">
        <w:t xml:space="preserve"> (the Residential Tenancies Act).</w:t>
      </w:r>
    </w:p>
    <w:p w:rsidR="00450C28" w:rsidRPr="00A44D52" w:rsidRDefault="00450C28" w:rsidP="00775F61">
      <w:pPr>
        <w:tabs>
          <w:tab w:val="right" w:pos="1372"/>
          <w:tab w:val="left" w:pos="1568"/>
        </w:tabs>
        <w:spacing w:before="140"/>
        <w:ind w:left="1588" w:hanging="1588"/>
        <w:jc w:val="both"/>
      </w:pPr>
      <w:r w:rsidRPr="00A44D52">
        <w:tab/>
        <w:t>(2)</w:t>
      </w:r>
      <w:r w:rsidRPr="00A44D52">
        <w:tab/>
        <w:t>The lessor and the tenant may agree to add additional clauses to the tenancy agreement but they must not be inconsistent with, or modify, existing clauses (except if permitted by the Act).</w:t>
      </w:r>
    </w:p>
    <w:p w:rsidR="00450C28" w:rsidRPr="00A44D52" w:rsidRDefault="00450C28" w:rsidP="00775F61">
      <w:pPr>
        <w:tabs>
          <w:tab w:val="right" w:pos="1372"/>
          <w:tab w:val="left" w:pos="1568"/>
        </w:tabs>
        <w:spacing w:before="140"/>
        <w:ind w:left="1588" w:hanging="1588"/>
        <w:jc w:val="both"/>
      </w:pPr>
      <w:r w:rsidRPr="00A44D52">
        <w:t>2</w:t>
      </w:r>
      <w:r w:rsidRPr="00A44D52">
        <w:tab/>
      </w:r>
      <w:r w:rsidRPr="00A44D52">
        <w:tab/>
        <w:t>By signing this tenancy agreement, the lessor and the tenant agree to be bound by its terms during the period of the tenancy it creates.</w:t>
      </w:r>
    </w:p>
    <w:p w:rsidR="00450C28" w:rsidRPr="00A44D52" w:rsidRDefault="00450C28" w:rsidP="00775F61">
      <w:pPr>
        <w:tabs>
          <w:tab w:val="right" w:pos="1372"/>
          <w:tab w:val="left" w:pos="1568"/>
        </w:tabs>
        <w:spacing w:before="140"/>
        <w:ind w:left="1588" w:hanging="1588"/>
        <w:jc w:val="both"/>
      </w:pPr>
      <w:r w:rsidRPr="00A44D52">
        <w:t>3</w:t>
      </w:r>
      <w:r w:rsidRPr="00A44D52">
        <w:tab/>
      </w:r>
      <w:r w:rsidRPr="00A44D52">
        <w:tab/>
        <w:t>A party to this tenancy agreement cannot contract out of it or out of the provisions of the Residential Tenancies Act, except as provided in that Act.</w:t>
      </w:r>
    </w:p>
    <w:p w:rsidR="00450C28" w:rsidRPr="00A44D52" w:rsidRDefault="00450C28" w:rsidP="00775F61">
      <w:pPr>
        <w:tabs>
          <w:tab w:val="right" w:pos="1372"/>
          <w:tab w:val="left" w:pos="1568"/>
        </w:tabs>
        <w:spacing w:before="140"/>
        <w:ind w:left="1588" w:hanging="1588"/>
        <w:jc w:val="both"/>
      </w:pPr>
      <w:r w:rsidRPr="00A44D52">
        <w:t>4</w:t>
      </w:r>
      <w:r w:rsidRPr="00A44D52">
        <w:tab/>
      </w:r>
      <w:r w:rsidRPr="00A44D52">
        <w:tab/>
        <w:t>A fixed term tenancy must be for the single period specified in the tenancy agreement.</w:t>
      </w:r>
    </w:p>
    <w:p w:rsidR="00450C28" w:rsidRPr="00A44D52" w:rsidRDefault="00450C28" w:rsidP="00775F61">
      <w:pPr>
        <w:tabs>
          <w:tab w:val="right" w:pos="1372"/>
          <w:tab w:val="left" w:pos="1568"/>
        </w:tabs>
        <w:spacing w:before="140"/>
        <w:ind w:left="1588" w:hanging="1588"/>
        <w:jc w:val="both"/>
      </w:pPr>
      <w:r w:rsidRPr="00A44D52">
        <w:t>5</w:t>
      </w:r>
      <w:r w:rsidRPr="00A44D52">
        <w:tab/>
      </w:r>
      <w:r w:rsidRPr="00A44D52">
        <w:tab/>
        <w:t>A periodic tenancy includes a tenancy that is not specified to be for a fixed term, including such a tenancy which commences on the expiration of a fixed term tenancy.</w:t>
      </w:r>
    </w:p>
    <w:p w:rsidR="00450C28" w:rsidRPr="00A44D52" w:rsidRDefault="00450C28" w:rsidP="00775F61">
      <w:pPr>
        <w:tabs>
          <w:tab w:val="right" w:pos="1372"/>
          <w:tab w:val="left" w:pos="1568"/>
        </w:tabs>
        <w:spacing w:before="140"/>
        <w:ind w:left="1588" w:hanging="1588"/>
        <w:jc w:val="both"/>
      </w:pPr>
      <w:r w:rsidRPr="00A44D52">
        <w:t>6</w:t>
      </w:r>
      <w:r w:rsidRPr="00A44D52">
        <w:tab/>
      </w:r>
      <w:r w:rsidRPr="00A44D52">
        <w:tab/>
        <w:t>A reference in this tenancy agreement to a notice to vacate and a notice of intention to vacate is taken to be a reference to a termination notice under the Residential Tenancies Act.</w:t>
      </w:r>
    </w:p>
    <w:p w:rsidR="00450C28" w:rsidRDefault="00450C28" w:rsidP="00775F61">
      <w:pPr>
        <w:keepNext/>
        <w:spacing w:before="180"/>
        <w:rPr>
          <w:rFonts w:ascii="Arial" w:hAnsi="Arial"/>
          <w:b/>
        </w:rPr>
      </w:pPr>
      <w:r>
        <w:rPr>
          <w:rFonts w:ascii="Arial" w:hAnsi="Arial"/>
          <w:b/>
        </w:rPr>
        <w:t>Costs and procedures for establishing tenancy agreement</w:t>
      </w:r>
    </w:p>
    <w:p w:rsidR="00450C28" w:rsidRPr="00A44D52" w:rsidRDefault="00450C28" w:rsidP="00775F61">
      <w:pPr>
        <w:tabs>
          <w:tab w:val="right" w:pos="1372"/>
          <w:tab w:val="left" w:pos="1568"/>
        </w:tabs>
        <w:spacing w:before="140"/>
        <w:ind w:left="1588" w:hanging="1588"/>
        <w:jc w:val="both"/>
      </w:pPr>
      <w:r w:rsidRPr="00A44D52">
        <w:t>7</w:t>
      </w:r>
      <w:r w:rsidRPr="00A44D52">
        <w:tab/>
      </w:r>
      <w:r w:rsidRPr="00A44D52">
        <w:tab/>
        <w:t>The lessor bears the cost of preparation and execution of this tenancy agreement.</w:t>
      </w:r>
    </w:p>
    <w:p w:rsidR="00450C28" w:rsidRPr="00A44D52" w:rsidRDefault="00450C28" w:rsidP="00775F61">
      <w:pPr>
        <w:tabs>
          <w:tab w:val="right" w:pos="1372"/>
          <w:tab w:val="left" w:pos="1568"/>
        </w:tabs>
        <w:spacing w:before="140"/>
        <w:ind w:left="1588" w:hanging="1588"/>
        <w:jc w:val="both"/>
      </w:pPr>
      <w:r w:rsidRPr="00A44D52">
        <w:lastRenderedPageBreak/>
        <w:t>8</w:t>
      </w:r>
      <w:r w:rsidRPr="00A44D52">
        <w:tab/>
      </w:r>
      <w:r w:rsidRPr="00A44D52">
        <w:tab/>
        <w:t>The tenant is responsible for any legal costs that the tenant incurs in relation to preparation and execution of this tenancy agreement.</w:t>
      </w:r>
    </w:p>
    <w:p w:rsidR="00450C28" w:rsidRPr="00A44D52" w:rsidRDefault="00450C28" w:rsidP="00775F61">
      <w:pPr>
        <w:tabs>
          <w:tab w:val="right" w:pos="1372"/>
          <w:tab w:val="left" w:pos="1568"/>
        </w:tabs>
        <w:spacing w:before="140"/>
        <w:ind w:left="1588" w:hanging="1588"/>
        <w:jc w:val="both"/>
      </w:pPr>
      <w:r w:rsidRPr="00A44D52">
        <w:t>9</w:t>
      </w:r>
      <w:r w:rsidRPr="00A44D52">
        <w:tab/>
      </w:r>
      <w:r w:rsidRPr="00A44D52">
        <w:tab/>
        <w:t>The lessor must give a copy of the proposed tenancy agreement to the tenant before the commencement of the tenancy.</w:t>
      </w:r>
    </w:p>
    <w:p w:rsidR="00450C28" w:rsidRPr="00A44D52" w:rsidRDefault="00450C28" w:rsidP="00775F61">
      <w:pPr>
        <w:tabs>
          <w:tab w:val="right" w:pos="1372"/>
          <w:tab w:val="left" w:pos="1568"/>
        </w:tabs>
        <w:spacing w:before="140"/>
        <w:ind w:left="1588" w:hanging="1588"/>
        <w:jc w:val="both"/>
      </w:pPr>
      <w:r w:rsidRPr="00A44D52">
        <w:t>10</w:t>
      </w:r>
      <w:r w:rsidRPr="00A44D52">
        <w:tab/>
      </w:r>
      <w:r w:rsidRPr="00A44D52">
        <w:tab/>
        <w:t>The tenancy agreement must be signed by the tenant and by the lessor (or by their authorised agents).</w:t>
      </w:r>
    </w:p>
    <w:p w:rsidR="00450C28" w:rsidRPr="00A44D52" w:rsidRDefault="00450C28" w:rsidP="00775F61">
      <w:pPr>
        <w:tabs>
          <w:tab w:val="right" w:pos="1372"/>
          <w:tab w:val="left" w:pos="1568"/>
        </w:tabs>
        <w:spacing w:before="140"/>
        <w:ind w:left="1588" w:hanging="1588"/>
        <w:jc w:val="both"/>
      </w:pPr>
      <w:r w:rsidRPr="00A44D52">
        <w:t>11</w:t>
      </w:r>
      <w:r w:rsidRPr="00A44D52">
        <w:tab/>
      </w:r>
      <w:r w:rsidRPr="00A44D52">
        <w:tab/>
        <w:t>The lessor must give a copy of the tenancy agreement, signed by each party, to the tenant as soon as possible after it has been signed by each party, but no later than 3 weeks after the tenant has returned a signed copy.</w:t>
      </w:r>
    </w:p>
    <w:p w:rsidR="00450C28" w:rsidRPr="00A44D52" w:rsidRDefault="00450C28" w:rsidP="00775F61">
      <w:pPr>
        <w:tabs>
          <w:tab w:val="right" w:pos="1372"/>
          <w:tab w:val="left" w:pos="1568"/>
        </w:tabs>
        <w:spacing w:before="140"/>
        <w:ind w:left="1588" w:hanging="1588"/>
        <w:jc w:val="both"/>
      </w:pPr>
      <w:r w:rsidRPr="00A44D52">
        <w:t>12</w:t>
      </w:r>
      <w:r w:rsidRPr="00A44D52">
        <w:tab/>
      </w:r>
      <w:r w:rsidRPr="00A44D52">
        <w:tab/>
        <w:t>If the lessor does not return the tenancy agreement to the tenant, as provided by clause 11, the tenancy agreement has full effect in the terms signed by the tenant on occupation of the premises or acceptance of rent.</w:t>
      </w:r>
    </w:p>
    <w:p w:rsidR="00450C28" w:rsidRPr="001E518F" w:rsidRDefault="00450C28" w:rsidP="00775F61">
      <w:pPr>
        <w:keepNext/>
        <w:spacing w:before="180"/>
        <w:rPr>
          <w:rFonts w:ascii="Arial" w:hAnsi="Arial"/>
          <w:b/>
        </w:rPr>
      </w:pPr>
      <w:r w:rsidRPr="001E518F">
        <w:rPr>
          <w:rFonts w:ascii="Arial" w:hAnsi="Arial"/>
          <w:b/>
        </w:rPr>
        <w:t>Information</w:t>
      </w:r>
    </w:p>
    <w:p w:rsidR="00450C28" w:rsidRPr="00A44D52" w:rsidRDefault="00450C28" w:rsidP="00775F61">
      <w:pPr>
        <w:tabs>
          <w:tab w:val="right" w:pos="1372"/>
          <w:tab w:val="left" w:pos="1568"/>
        </w:tabs>
        <w:spacing w:before="140"/>
        <w:ind w:left="1588" w:hanging="1588"/>
        <w:jc w:val="both"/>
      </w:pPr>
      <w:r w:rsidRPr="00A44D52">
        <w:t>13</w:t>
      </w:r>
      <w:r w:rsidRPr="00A44D52">
        <w:tab/>
        <w:t>(1)</w:t>
      </w:r>
      <w:r w:rsidRPr="00A44D52">
        <w:tab/>
        <w:t xml:space="preserve">The lessor must provide to the tenant a copy of an information booklet about residential tenancies authorised by the </w:t>
      </w:r>
      <w:r w:rsidR="00340A17" w:rsidRPr="00A44D52">
        <w:t>commissioner for fair trading</w:t>
      </w:r>
      <w:r w:rsidRPr="00A44D52">
        <w:t xml:space="preserve"> before the commencement of this agreement. </w:t>
      </w:r>
    </w:p>
    <w:p w:rsidR="00450C28" w:rsidRPr="00A44D52" w:rsidRDefault="00450C28" w:rsidP="00775F61">
      <w:pPr>
        <w:tabs>
          <w:tab w:val="right" w:pos="1372"/>
          <w:tab w:val="left" w:pos="1568"/>
        </w:tabs>
        <w:spacing w:before="140"/>
        <w:ind w:left="1588" w:hanging="1588"/>
        <w:jc w:val="both"/>
      </w:pPr>
      <w:r w:rsidRPr="00A44D52">
        <w:tab/>
        <w:t>(2)</w:t>
      </w:r>
      <w:r w:rsidRPr="00A44D52">
        <w:tab/>
        <w:t>If it is not possible to provide the tenant with a booklet, the lessor must inform the tenant of the booklet and where it may be obtained.</w:t>
      </w:r>
    </w:p>
    <w:p w:rsidR="00450C28" w:rsidRPr="00A44D52" w:rsidRDefault="00450C28" w:rsidP="00775F61">
      <w:pPr>
        <w:tabs>
          <w:tab w:val="right" w:pos="1372"/>
          <w:tab w:val="left" w:pos="1568"/>
        </w:tabs>
        <w:spacing w:before="140"/>
        <w:ind w:left="1588" w:hanging="1588"/>
        <w:jc w:val="both"/>
      </w:pPr>
      <w:r w:rsidRPr="00A44D52">
        <w:tab/>
        <w:t>(3)</w:t>
      </w:r>
      <w:r w:rsidRPr="00A44D52">
        <w:tab/>
        <w:t xml:space="preserve">If the premises are a unit within the meaning of the </w:t>
      </w:r>
      <w:hyperlink r:id="rId111" w:tooltip="A2001-16" w:history="1">
        <w:r w:rsidR="00A44D52" w:rsidRPr="00A03BC8">
          <w:rPr>
            <w:rStyle w:val="charCitHyperlinkItal"/>
          </w:rPr>
          <w:t>Unit Titles Act 2001</w:t>
        </w:r>
      </w:hyperlink>
      <w:r w:rsidRPr="00A44D52">
        <w:t xml:space="preserve">, the lessor must give the tenant a copy of the </w:t>
      </w:r>
      <w:r w:rsidR="0070373A" w:rsidRPr="00A44D52">
        <w:t>owners corporation’s rules</w:t>
      </w:r>
      <w:r w:rsidRPr="00A44D52">
        <w:t xml:space="preserve"> before the commencement of this agreement.</w:t>
      </w:r>
    </w:p>
    <w:p w:rsidR="00450C28" w:rsidRDefault="00450C28" w:rsidP="00775F61">
      <w:pPr>
        <w:keepNext/>
        <w:spacing w:before="120" w:after="60"/>
        <w:rPr>
          <w:rFonts w:ascii="Arial" w:hAnsi="Arial"/>
          <w:b/>
          <w:sz w:val="28"/>
        </w:rPr>
      </w:pPr>
      <w:r>
        <w:rPr>
          <w:rFonts w:ascii="Arial" w:hAnsi="Arial"/>
          <w:b/>
          <w:sz w:val="28"/>
        </w:rPr>
        <w:t>Bond and condition report</w:t>
      </w:r>
    </w:p>
    <w:p w:rsidR="00450C28" w:rsidRPr="001E518F" w:rsidRDefault="00450C28" w:rsidP="00775F61">
      <w:pPr>
        <w:keepNext/>
        <w:spacing w:before="180"/>
        <w:rPr>
          <w:rFonts w:ascii="Arial" w:hAnsi="Arial"/>
          <w:b/>
        </w:rPr>
      </w:pPr>
      <w:r w:rsidRPr="001E518F">
        <w:rPr>
          <w:rFonts w:ascii="Arial" w:hAnsi="Arial"/>
          <w:b/>
        </w:rPr>
        <w:t>Maximum bond</w:t>
      </w:r>
    </w:p>
    <w:p w:rsidR="00450C28" w:rsidRPr="00A44D52" w:rsidRDefault="00450C28" w:rsidP="00775F61">
      <w:pPr>
        <w:tabs>
          <w:tab w:val="right" w:pos="1372"/>
          <w:tab w:val="left" w:pos="1568"/>
        </w:tabs>
        <w:spacing w:before="140"/>
        <w:ind w:left="1588" w:hanging="1588"/>
        <w:jc w:val="both"/>
      </w:pPr>
      <w:r w:rsidRPr="00A44D52">
        <w:t>14</w:t>
      </w:r>
      <w:r w:rsidRPr="00A44D52">
        <w:tab/>
      </w:r>
      <w:r w:rsidRPr="00A44D52">
        <w:tab/>
        <w:t>Payment of a bond is not necessary unless required by the lessor.</w:t>
      </w:r>
    </w:p>
    <w:p w:rsidR="00450C28" w:rsidRPr="00A44D52" w:rsidRDefault="00450C28" w:rsidP="00775F61">
      <w:pPr>
        <w:tabs>
          <w:tab w:val="right" w:pos="1372"/>
          <w:tab w:val="left" w:pos="1568"/>
        </w:tabs>
        <w:spacing w:before="140"/>
        <w:ind w:left="1588" w:hanging="1588"/>
        <w:jc w:val="both"/>
      </w:pPr>
      <w:r w:rsidRPr="00A44D52">
        <w:lastRenderedPageBreak/>
        <w:t>15</w:t>
      </w:r>
      <w:r w:rsidRPr="00A44D52">
        <w:tab/>
      </w:r>
      <w:r w:rsidRPr="00A44D52">
        <w:tab/>
        <w:t>Only 1 bond is payable for the tenancy created by this tenancy agreement.</w:t>
      </w:r>
    </w:p>
    <w:p w:rsidR="00450C28" w:rsidRPr="00A44D52" w:rsidRDefault="00450C28" w:rsidP="00775F61">
      <w:pPr>
        <w:tabs>
          <w:tab w:val="right" w:pos="1372"/>
          <w:tab w:val="left" w:pos="1568"/>
        </w:tabs>
        <w:spacing w:before="140"/>
        <w:ind w:left="1588" w:hanging="1588"/>
        <w:jc w:val="both"/>
      </w:pPr>
      <w:r w:rsidRPr="00A44D52">
        <w:t>16</w:t>
      </w:r>
      <w:r w:rsidRPr="00A44D52">
        <w:tab/>
      </w:r>
      <w:r w:rsidRPr="00A44D52">
        <w:tab/>
        <w:t>The amount of the bond must not exceed the amount of 4 weeks rent.</w:t>
      </w:r>
    </w:p>
    <w:p w:rsidR="00450C28" w:rsidRPr="001E518F" w:rsidRDefault="00450C28" w:rsidP="00775F61">
      <w:pPr>
        <w:keepNext/>
        <w:spacing w:before="180"/>
        <w:rPr>
          <w:rFonts w:ascii="Arial" w:hAnsi="Arial"/>
          <w:b/>
        </w:rPr>
      </w:pPr>
      <w:r w:rsidRPr="001E518F">
        <w:rPr>
          <w:rFonts w:ascii="Arial" w:hAnsi="Arial"/>
          <w:b/>
        </w:rPr>
        <w:t>Lodgment of the bond with the Office of Rental Bonds</w:t>
      </w:r>
    </w:p>
    <w:p w:rsidR="00450C28" w:rsidRPr="00A44D52" w:rsidRDefault="00450C28" w:rsidP="00775F61">
      <w:pPr>
        <w:tabs>
          <w:tab w:val="right" w:pos="1372"/>
          <w:tab w:val="left" w:pos="1568"/>
        </w:tabs>
        <w:spacing w:before="140"/>
        <w:ind w:left="1588" w:hanging="1588"/>
        <w:jc w:val="both"/>
      </w:pPr>
      <w:r w:rsidRPr="00A44D52">
        <w:t>17</w:t>
      </w:r>
      <w:r w:rsidRPr="00A44D52">
        <w:tab/>
      </w:r>
      <w:r w:rsidRPr="00A44D52">
        <w:tab/>
        <w:t>If the lessor requires a bond, the bond must be lodged with the Office of Rental Bonds.</w:t>
      </w:r>
    </w:p>
    <w:p w:rsidR="00450C28" w:rsidRPr="00A44D52" w:rsidRDefault="00450C28" w:rsidP="00775F61">
      <w:pPr>
        <w:tabs>
          <w:tab w:val="right" w:pos="1372"/>
          <w:tab w:val="left" w:pos="1568"/>
        </w:tabs>
        <w:spacing w:before="140"/>
        <w:ind w:left="1588" w:hanging="1588"/>
        <w:jc w:val="both"/>
      </w:pPr>
      <w:r w:rsidRPr="00A44D52">
        <w:t>18</w:t>
      </w:r>
      <w:r w:rsidRPr="00A44D52">
        <w:tab/>
      </w:r>
      <w:r w:rsidRPr="00A44D52">
        <w:tab/>
        <w:t>Either party may lodge the bond with the Office of Rental Bonds.</w:t>
      </w:r>
    </w:p>
    <w:p w:rsidR="00450C28" w:rsidRDefault="00450C28" w:rsidP="00775F61">
      <w:pPr>
        <w:keepNext/>
        <w:spacing w:before="180"/>
        <w:rPr>
          <w:rFonts w:ascii="Arial" w:hAnsi="Arial"/>
          <w:b/>
        </w:rPr>
      </w:pPr>
      <w:r>
        <w:rPr>
          <w:rFonts w:ascii="Arial" w:hAnsi="Arial"/>
          <w:b/>
        </w:rPr>
        <w:t>If the lessor and tenant agree that the tenant is to lodge the bond</w:t>
      </w:r>
    </w:p>
    <w:p w:rsidR="00450C28" w:rsidRPr="00A44D52" w:rsidRDefault="00450C28" w:rsidP="00775F61">
      <w:pPr>
        <w:tabs>
          <w:tab w:val="right" w:pos="1372"/>
          <w:tab w:val="left" w:pos="1568"/>
        </w:tabs>
        <w:spacing w:before="140"/>
        <w:ind w:left="1588" w:hanging="1588"/>
        <w:jc w:val="both"/>
      </w:pPr>
      <w:r w:rsidRPr="00A44D52">
        <w:t>19</w:t>
      </w:r>
      <w:r w:rsidRPr="00A44D52">
        <w:tab/>
      </w:r>
      <w:r w:rsidRPr="00A44D52">
        <w:tab/>
        <w:t>If the parties agree that the tenant is to lodge the bond, the following applies:</w:t>
      </w:r>
    </w:p>
    <w:p w:rsidR="004A0A7A" w:rsidRPr="00582D10" w:rsidRDefault="004A0A7A" w:rsidP="00775F61">
      <w:pPr>
        <w:keepLines/>
        <w:tabs>
          <w:tab w:val="right" w:pos="1843"/>
          <w:tab w:val="left" w:pos="2127"/>
        </w:tabs>
        <w:spacing w:before="140"/>
        <w:ind w:left="2098" w:hanging="2098"/>
        <w:jc w:val="both"/>
      </w:pPr>
      <w:r w:rsidRPr="00582D10">
        <w:tab/>
        <w:t>(a)</w:t>
      </w:r>
      <w:r w:rsidRPr="00582D10">
        <w:tab/>
        <w:t>the tenant, or the lessor on the tenant’s behalf, must complete the bond lodgment form provided by the Office of Rental Bonds and lodge the form with the Office;</w:t>
      </w:r>
    </w:p>
    <w:p w:rsidR="004A0A7A" w:rsidRPr="00582D10" w:rsidRDefault="004A0A7A" w:rsidP="00775F61">
      <w:pPr>
        <w:keepLines/>
        <w:tabs>
          <w:tab w:val="right" w:pos="1843"/>
          <w:tab w:val="left" w:pos="2127"/>
        </w:tabs>
        <w:spacing w:before="140"/>
        <w:ind w:left="2098" w:hanging="2098"/>
        <w:jc w:val="both"/>
      </w:pPr>
      <w:r w:rsidRPr="00582D10">
        <w:tab/>
        <w:t>(b)</w:t>
      </w:r>
      <w:r w:rsidRPr="00582D10">
        <w:tab/>
        <w:t>the tenant must lodge the bond with the Office of Rental Bonds in the way permitted by the Office;</w:t>
      </w:r>
    </w:p>
    <w:p w:rsidR="00450C28" w:rsidRDefault="00450C28" w:rsidP="00775F61">
      <w:pPr>
        <w:keepLines/>
        <w:tabs>
          <w:tab w:val="right" w:pos="1843"/>
          <w:tab w:val="left" w:pos="2127"/>
        </w:tabs>
        <w:spacing w:before="140"/>
        <w:ind w:left="2098" w:hanging="2098"/>
        <w:jc w:val="both"/>
      </w:pPr>
      <w:r>
        <w:tab/>
        <w:t>(c)</w:t>
      </w:r>
      <w:r>
        <w:tab/>
        <w:t xml:space="preserve">the lessor may require lodgment of the bond before the lessor gives possession of the premises to the tenant and if this is the case, the tenant must be able to take possession of the premises and receive the keys to the premises as soon as the tenant provides the lessor with evidence of lodgment of the bond </w:t>
      </w:r>
      <w:r w:rsidR="00A55734" w:rsidRPr="00582D10">
        <w:t>or the Office of Rental Bonds notifies the lessor that the bond was received by the Office</w:t>
      </w:r>
      <w:r>
        <w:t>.</w:t>
      </w:r>
    </w:p>
    <w:p w:rsidR="00450C28" w:rsidRPr="001E518F" w:rsidRDefault="00450C28" w:rsidP="00775F61">
      <w:pPr>
        <w:keepNext/>
        <w:spacing w:before="180"/>
        <w:rPr>
          <w:rFonts w:ascii="Arial" w:hAnsi="Arial"/>
          <w:b/>
        </w:rPr>
      </w:pPr>
      <w:r w:rsidRPr="001E518F">
        <w:rPr>
          <w:rFonts w:ascii="Arial" w:hAnsi="Arial"/>
          <w:b/>
        </w:rPr>
        <w:t>If the lessor is to lodge the bond</w:t>
      </w:r>
    </w:p>
    <w:p w:rsidR="00450C28" w:rsidRPr="00A44D52" w:rsidRDefault="00450C28" w:rsidP="00775F61">
      <w:pPr>
        <w:tabs>
          <w:tab w:val="right" w:pos="1372"/>
          <w:tab w:val="left" w:pos="1568"/>
        </w:tabs>
        <w:spacing w:before="140"/>
        <w:ind w:left="1588" w:hanging="1588"/>
        <w:jc w:val="both"/>
      </w:pPr>
      <w:r w:rsidRPr="00A44D52">
        <w:t>20</w:t>
      </w:r>
      <w:r w:rsidRPr="00A44D52">
        <w:tab/>
      </w:r>
      <w:r w:rsidRPr="00A44D52">
        <w:tab/>
        <w:t>If the lessor is to lodge the bond, the following applies:</w:t>
      </w:r>
    </w:p>
    <w:p w:rsidR="00450C28" w:rsidRDefault="00450C28" w:rsidP="00775F61">
      <w:pPr>
        <w:tabs>
          <w:tab w:val="right" w:pos="1843"/>
          <w:tab w:val="left" w:pos="2127"/>
        </w:tabs>
        <w:spacing w:before="140"/>
        <w:ind w:left="2098" w:hanging="2098"/>
        <w:jc w:val="both"/>
      </w:pPr>
      <w:r>
        <w:tab/>
        <w:t>(a)</w:t>
      </w:r>
      <w:r>
        <w:tab/>
        <w:t>on receiving the bond, the lessor must give the tenant a receipt for the bond;</w:t>
      </w:r>
    </w:p>
    <w:p w:rsidR="00DF2152" w:rsidRPr="00582D10" w:rsidRDefault="00DF2152" w:rsidP="00775F61">
      <w:pPr>
        <w:tabs>
          <w:tab w:val="right" w:pos="1843"/>
          <w:tab w:val="left" w:pos="2127"/>
        </w:tabs>
        <w:spacing w:before="140"/>
        <w:ind w:left="2098" w:hanging="2098"/>
        <w:jc w:val="both"/>
      </w:pPr>
      <w:r w:rsidRPr="00582D10">
        <w:lastRenderedPageBreak/>
        <w:tab/>
        <w:t>(b)</w:t>
      </w:r>
      <w:r w:rsidRPr="00582D10">
        <w:tab/>
        <w:t>the lessor must complete the bond lodgment form provided by the Office of Rental Bonds and lodge the form with the Office;</w:t>
      </w:r>
    </w:p>
    <w:p w:rsidR="00DF2152" w:rsidRPr="00582D10" w:rsidRDefault="00DF2152" w:rsidP="00775F61">
      <w:pPr>
        <w:pStyle w:val="aNotepar"/>
        <w:ind w:left="2940"/>
      </w:pPr>
      <w:r w:rsidRPr="00582D10">
        <w:rPr>
          <w:rStyle w:val="charItals"/>
        </w:rPr>
        <w:t>Note</w:t>
      </w:r>
      <w:r w:rsidRPr="00582D10">
        <w:rPr>
          <w:rStyle w:val="charItals"/>
        </w:rPr>
        <w:tab/>
      </w:r>
      <w:r w:rsidRPr="00582D10">
        <w:t xml:space="preserve">Under the </w:t>
      </w:r>
      <w:hyperlink r:id="rId112" w:tooltip="A2001-10" w:history="1">
        <w:r w:rsidRPr="00582D10">
          <w:rPr>
            <w:rStyle w:val="charCitHyperlinkItal"/>
          </w:rPr>
          <w:t>Electronic Transactions Act 2001</w:t>
        </w:r>
      </w:hyperlink>
      <w:r w:rsidRPr="00582D10">
        <w:t>, s 8 (1), information required to be in writing may be given electronically in certain circumstances.</w:t>
      </w:r>
    </w:p>
    <w:p w:rsidR="00DF2152" w:rsidRPr="00582D10" w:rsidRDefault="00DF2152" w:rsidP="00775F61">
      <w:pPr>
        <w:tabs>
          <w:tab w:val="right" w:pos="1843"/>
          <w:tab w:val="left" w:pos="2127"/>
        </w:tabs>
        <w:spacing w:before="140"/>
        <w:ind w:left="2098" w:hanging="2098"/>
        <w:jc w:val="both"/>
      </w:pPr>
      <w:r w:rsidRPr="00582D10">
        <w:tab/>
        <w:t>(c)</w:t>
      </w:r>
      <w:r w:rsidRPr="00582D10">
        <w:tab/>
        <w:t>the lessor must lodge the bond with the Office of Rental Bonds in the way permitted by the Office within—</w:t>
      </w:r>
    </w:p>
    <w:p w:rsidR="00DF2152" w:rsidRPr="00582D10" w:rsidRDefault="00DF2152" w:rsidP="00775F61">
      <w:pPr>
        <w:tabs>
          <w:tab w:val="right" w:pos="2410"/>
          <w:tab w:val="left" w:pos="2552"/>
        </w:tabs>
        <w:spacing w:before="140"/>
        <w:ind w:left="2552" w:hanging="2552"/>
        <w:jc w:val="both"/>
      </w:pPr>
      <w:r w:rsidRPr="00582D10">
        <w:tab/>
        <w:t>(i)</w:t>
      </w:r>
      <w:r w:rsidRPr="00582D10">
        <w:tab/>
        <w:t>the later of 2 weeks after receiving the bond and the commencement of the tenancy; or</w:t>
      </w:r>
    </w:p>
    <w:p w:rsidR="00DF2152" w:rsidRPr="00582D10" w:rsidRDefault="00DF2152" w:rsidP="00775F61">
      <w:pPr>
        <w:tabs>
          <w:tab w:val="right" w:pos="2410"/>
          <w:tab w:val="left" w:pos="2552"/>
        </w:tabs>
        <w:spacing w:before="140"/>
        <w:ind w:left="2552" w:hanging="2552"/>
        <w:jc w:val="both"/>
      </w:pPr>
      <w:r w:rsidRPr="00582D10">
        <w:tab/>
        <w:t>(ii)</w:t>
      </w:r>
      <w:r w:rsidRPr="00582D10">
        <w:tab/>
        <w:t>if the lessor’s real estate agent lodges the bond—the later of 4 weeks after receiving the bond and the commencement of the tenancy.</w:t>
      </w:r>
    </w:p>
    <w:p w:rsidR="00450C28" w:rsidRPr="001E518F" w:rsidRDefault="00450C28" w:rsidP="00775F61">
      <w:pPr>
        <w:keepNext/>
        <w:spacing w:before="180"/>
        <w:rPr>
          <w:rFonts w:ascii="Arial" w:hAnsi="Arial"/>
          <w:b/>
        </w:rPr>
      </w:pPr>
      <w:r w:rsidRPr="001E518F">
        <w:rPr>
          <w:rFonts w:ascii="Arial" w:hAnsi="Arial"/>
          <w:b/>
        </w:rPr>
        <w:t>Condition Report</w:t>
      </w:r>
    </w:p>
    <w:p w:rsidR="00450C28" w:rsidRPr="00A44D52" w:rsidRDefault="00450C28" w:rsidP="00775F61">
      <w:pPr>
        <w:tabs>
          <w:tab w:val="right" w:pos="1372"/>
          <w:tab w:val="left" w:pos="1568"/>
        </w:tabs>
        <w:spacing w:before="140"/>
        <w:ind w:left="1588" w:hanging="1588"/>
        <w:jc w:val="both"/>
      </w:pPr>
      <w:r w:rsidRPr="00A44D52">
        <w:t>21</w:t>
      </w:r>
      <w:r w:rsidRPr="00A44D52">
        <w:tab/>
        <w:t>(1)</w:t>
      </w:r>
      <w:r w:rsidRPr="00A44D52">
        <w:tab/>
        <w:t>Within 1 day of the tenant taking possession of the premises, the lessor must give 2 copies of a condition report completed by the lessor to the tenant.</w:t>
      </w:r>
    </w:p>
    <w:p w:rsidR="00450C28" w:rsidRPr="00A44D52" w:rsidRDefault="00450C28" w:rsidP="00775F61">
      <w:pPr>
        <w:tabs>
          <w:tab w:val="right" w:pos="1372"/>
          <w:tab w:val="left" w:pos="1568"/>
        </w:tabs>
        <w:spacing w:before="140"/>
        <w:ind w:left="1588" w:hanging="1588"/>
        <w:jc w:val="both"/>
      </w:pPr>
      <w:r w:rsidRPr="00A44D52">
        <w:tab/>
        <w:t>(2)</w:t>
      </w:r>
      <w:r w:rsidRPr="00A44D52">
        <w:tab/>
        <w:t>The condition report must be on, or to the effect of, the condition report form published by the Territory.</w:t>
      </w:r>
    </w:p>
    <w:p w:rsidR="00450C28" w:rsidRPr="00A44D52" w:rsidRDefault="00450C28" w:rsidP="00775F61">
      <w:pPr>
        <w:tabs>
          <w:tab w:val="right" w:pos="1372"/>
          <w:tab w:val="left" w:pos="1568"/>
        </w:tabs>
        <w:spacing w:before="140"/>
        <w:ind w:left="1588" w:hanging="1588"/>
        <w:jc w:val="both"/>
      </w:pPr>
      <w:r w:rsidRPr="00A44D52">
        <w:t>22</w:t>
      </w:r>
      <w:r w:rsidRPr="00A44D52">
        <w:tab/>
        <w:t>(1)</w:t>
      </w:r>
      <w:r w:rsidRPr="00A44D52">
        <w:tab/>
        <w:t>The tenant must examine the report and indicate on the report the tenant’s agreement or disagreement with the items.</w:t>
      </w:r>
    </w:p>
    <w:p w:rsidR="00450C28" w:rsidRPr="00A44D52" w:rsidRDefault="00450C28" w:rsidP="00775F61">
      <w:pPr>
        <w:tabs>
          <w:tab w:val="right" w:pos="1372"/>
          <w:tab w:val="left" w:pos="1568"/>
        </w:tabs>
        <w:spacing w:before="140"/>
        <w:ind w:left="1588" w:hanging="1588"/>
        <w:jc w:val="both"/>
      </w:pPr>
      <w:r w:rsidRPr="00A44D52">
        <w:tab/>
        <w:t>(2)</w:t>
      </w:r>
      <w:r w:rsidRPr="00A44D52">
        <w:tab/>
        <w:t>Within 2 weeks after the day the tenant receives the report, the tenant must return 1 copy of the report to the lessor, signed by the tenant and indicating the tenant’s agreement or disagreement with the report or parts of the report.</w:t>
      </w:r>
    </w:p>
    <w:p w:rsidR="00450C28" w:rsidRPr="00A44D52" w:rsidRDefault="00450C28" w:rsidP="00775F61">
      <w:pPr>
        <w:tabs>
          <w:tab w:val="right" w:pos="1372"/>
          <w:tab w:val="left" w:pos="1568"/>
        </w:tabs>
        <w:spacing w:before="140"/>
        <w:ind w:left="1588" w:hanging="1588"/>
        <w:jc w:val="both"/>
      </w:pPr>
      <w:r w:rsidRPr="00A44D52">
        <w:t>23</w:t>
      </w:r>
      <w:r w:rsidRPr="00A44D52">
        <w:tab/>
      </w:r>
      <w:r w:rsidRPr="00A44D52">
        <w:tab/>
        <w:t>The lessor must keep the condition report for a period of not less than 1 year after the end of the tenancy.</w:t>
      </w:r>
    </w:p>
    <w:p w:rsidR="004A5BC3" w:rsidRPr="001E518F" w:rsidRDefault="004A5BC3" w:rsidP="00775F61">
      <w:pPr>
        <w:keepNext/>
        <w:spacing w:before="180"/>
        <w:rPr>
          <w:rFonts w:ascii="Arial" w:hAnsi="Arial"/>
          <w:b/>
        </w:rPr>
      </w:pPr>
      <w:r w:rsidRPr="001E518F">
        <w:rPr>
          <w:rFonts w:ascii="Arial" w:hAnsi="Arial"/>
          <w:b/>
        </w:rPr>
        <w:lastRenderedPageBreak/>
        <w:t>End of tenancy—inspection and condition report</w:t>
      </w:r>
    </w:p>
    <w:p w:rsidR="004A5BC3" w:rsidRPr="00A44D52" w:rsidRDefault="004A5BC3" w:rsidP="00775F61">
      <w:pPr>
        <w:tabs>
          <w:tab w:val="right" w:pos="1372"/>
          <w:tab w:val="left" w:pos="1568"/>
        </w:tabs>
        <w:spacing w:before="140"/>
        <w:ind w:left="1588" w:hanging="1588"/>
        <w:jc w:val="both"/>
      </w:pPr>
      <w:r w:rsidRPr="00A44D52">
        <w:t>23A</w:t>
      </w:r>
      <w:r w:rsidRPr="00A44D52">
        <w:tab/>
        <w:t>(1)</w:t>
      </w:r>
      <w:r w:rsidRPr="00A44D52">
        <w:tab/>
        <w:t>At the end of the tenancy, an inspection of the premises must be carried out in the presence of the lessor and tenant.</w:t>
      </w:r>
    </w:p>
    <w:p w:rsidR="004A5BC3" w:rsidRPr="00A44D52" w:rsidRDefault="004A5BC3" w:rsidP="00775F61">
      <w:pPr>
        <w:tabs>
          <w:tab w:val="right" w:pos="1372"/>
          <w:tab w:val="left" w:pos="1568"/>
        </w:tabs>
        <w:spacing w:before="140"/>
        <w:ind w:left="1588" w:hanging="1588"/>
        <w:jc w:val="both"/>
      </w:pPr>
      <w:r w:rsidRPr="00A44D52">
        <w:tab/>
        <w:t>(2)</w:t>
      </w:r>
      <w:r w:rsidRPr="00A44D52">
        <w:tab/>
        <w:t>A condition report based on the inspection must be completed in the presence of, and signed by, the lessor and tenant.</w:t>
      </w:r>
    </w:p>
    <w:p w:rsidR="004A5BC3" w:rsidRPr="00A44D52" w:rsidRDefault="004A5BC3" w:rsidP="00775F61">
      <w:pPr>
        <w:tabs>
          <w:tab w:val="right" w:pos="1372"/>
          <w:tab w:val="left" w:pos="1568"/>
        </w:tabs>
        <w:spacing w:before="140"/>
        <w:ind w:left="1588" w:hanging="1588"/>
        <w:jc w:val="both"/>
      </w:pPr>
      <w:r w:rsidRPr="00A44D52">
        <w:tab/>
        <w:t>(3)</w:t>
      </w:r>
      <w:r w:rsidRPr="00A44D52">
        <w:tab/>
        <w:t>A party may complete and sign a condition report in the absence of the other party if the party has given the other party a reasonable opportunity to be present when the report is completed and signed.</w:t>
      </w:r>
    </w:p>
    <w:p w:rsidR="00450C28" w:rsidRDefault="00450C28" w:rsidP="00775F61">
      <w:pPr>
        <w:keepNext/>
        <w:spacing w:before="120" w:after="60"/>
        <w:rPr>
          <w:rFonts w:ascii="Arial" w:hAnsi="Arial"/>
          <w:b/>
          <w:sz w:val="28"/>
        </w:rPr>
      </w:pPr>
      <w:r>
        <w:rPr>
          <w:rFonts w:ascii="Arial" w:hAnsi="Arial"/>
          <w:b/>
          <w:sz w:val="28"/>
        </w:rPr>
        <w:t>Rent and other charges</w:t>
      </w:r>
    </w:p>
    <w:p w:rsidR="00450C28" w:rsidRPr="001E518F" w:rsidRDefault="00450C28" w:rsidP="00775F61">
      <w:pPr>
        <w:keepNext/>
        <w:spacing w:before="180"/>
        <w:rPr>
          <w:rFonts w:ascii="Arial" w:hAnsi="Arial"/>
          <w:b/>
        </w:rPr>
      </w:pPr>
      <w:r w:rsidRPr="001E518F">
        <w:rPr>
          <w:rFonts w:ascii="Arial" w:hAnsi="Arial"/>
          <w:b/>
        </w:rPr>
        <w:t>Rent and bond only as payment for the tenancy</w:t>
      </w:r>
    </w:p>
    <w:p w:rsidR="00450C28" w:rsidRPr="00A44D52" w:rsidRDefault="00450C28" w:rsidP="00775F61">
      <w:pPr>
        <w:tabs>
          <w:tab w:val="right" w:pos="1372"/>
          <w:tab w:val="left" w:pos="1568"/>
        </w:tabs>
        <w:spacing w:before="140"/>
        <w:ind w:left="1588" w:hanging="1588"/>
        <w:jc w:val="both"/>
      </w:pPr>
      <w:r w:rsidRPr="00A44D52">
        <w:t>24</w:t>
      </w:r>
      <w:r w:rsidRPr="00A44D52">
        <w:tab/>
      </w:r>
      <w:r w:rsidRPr="00A44D52">
        <w:tab/>
        <w:t xml:space="preserve">The lessor must not require any payment other than rent or bond for the following: </w:t>
      </w:r>
    </w:p>
    <w:p w:rsidR="00450C28" w:rsidRDefault="00450C28" w:rsidP="00775F61">
      <w:pPr>
        <w:tabs>
          <w:tab w:val="right" w:pos="1843"/>
          <w:tab w:val="left" w:pos="2127"/>
        </w:tabs>
        <w:spacing w:before="140"/>
        <w:ind w:left="2098" w:hanging="2098"/>
        <w:jc w:val="both"/>
      </w:pPr>
      <w:r>
        <w:tab/>
        <w:t>(a)</w:t>
      </w:r>
      <w:r>
        <w:tab/>
        <w:t>the granting, extension, transfer or renewal of a tenancy or subtenancy;</w:t>
      </w:r>
    </w:p>
    <w:p w:rsidR="00450C28" w:rsidRDefault="00450C28" w:rsidP="00775F61">
      <w:pPr>
        <w:tabs>
          <w:tab w:val="right" w:pos="1843"/>
          <w:tab w:val="left" w:pos="2127"/>
        </w:tabs>
        <w:spacing w:before="140"/>
        <w:ind w:left="2098" w:hanging="2098"/>
        <w:jc w:val="both"/>
      </w:pPr>
      <w:r>
        <w:tab/>
        <w:t>(b)</w:t>
      </w:r>
      <w:r>
        <w:tab/>
        <w:t>vacating of premises;</w:t>
      </w:r>
    </w:p>
    <w:p w:rsidR="00450C28" w:rsidRDefault="00450C28" w:rsidP="00775F61">
      <w:pPr>
        <w:tabs>
          <w:tab w:val="right" w:pos="1843"/>
          <w:tab w:val="left" w:pos="2127"/>
        </w:tabs>
        <w:spacing w:before="140"/>
        <w:ind w:left="2098" w:hanging="2098"/>
        <w:jc w:val="both"/>
      </w:pPr>
      <w:r>
        <w:tab/>
        <w:t>(c)</w:t>
      </w:r>
      <w:r>
        <w:tab/>
        <w:t>obtaining a key to the premises;</w:t>
      </w:r>
    </w:p>
    <w:p w:rsidR="00450C28" w:rsidRDefault="00450C28" w:rsidP="00775F61">
      <w:pPr>
        <w:tabs>
          <w:tab w:val="right" w:pos="1843"/>
          <w:tab w:val="left" w:pos="2127"/>
        </w:tabs>
        <w:spacing w:before="140"/>
        <w:ind w:left="2098" w:hanging="2098"/>
        <w:jc w:val="both"/>
      </w:pPr>
      <w:r>
        <w:tab/>
        <w:t>(d)</w:t>
      </w:r>
      <w:r>
        <w:tab/>
        <w:t>information on the availability of tenancies.</w:t>
      </w:r>
    </w:p>
    <w:p w:rsidR="00450C28" w:rsidRPr="001E518F" w:rsidRDefault="00450C28" w:rsidP="00775F61">
      <w:pPr>
        <w:keepNext/>
        <w:spacing w:before="180"/>
        <w:rPr>
          <w:rFonts w:ascii="Arial" w:hAnsi="Arial"/>
          <w:b/>
        </w:rPr>
      </w:pPr>
      <w:r w:rsidRPr="001E518F">
        <w:rPr>
          <w:rFonts w:ascii="Arial" w:hAnsi="Arial"/>
          <w:b/>
        </w:rPr>
        <w:t>Holding deposits</w:t>
      </w:r>
    </w:p>
    <w:p w:rsidR="00450C28" w:rsidRPr="00A44D52" w:rsidRDefault="00450C28" w:rsidP="00775F61">
      <w:pPr>
        <w:pStyle w:val="Apara"/>
        <w:outlineLvl w:val="9"/>
      </w:pPr>
      <w:r w:rsidRPr="00A44D52">
        <w:t>25</w:t>
      </w:r>
      <w:r w:rsidRPr="00A44D52">
        <w:tab/>
      </w:r>
      <w:r w:rsidRPr="00A44D52">
        <w:tab/>
        <w:t>The Residential Tenancies Act prohibits the taking of holding deposits.</w:t>
      </w:r>
    </w:p>
    <w:p w:rsidR="00450C28" w:rsidRPr="001E518F" w:rsidRDefault="00450C28" w:rsidP="00775F61">
      <w:pPr>
        <w:keepNext/>
        <w:spacing w:before="180"/>
        <w:rPr>
          <w:rFonts w:ascii="Arial" w:hAnsi="Arial"/>
          <w:b/>
        </w:rPr>
      </w:pPr>
      <w:r w:rsidRPr="001E518F">
        <w:rPr>
          <w:rFonts w:ascii="Arial" w:hAnsi="Arial"/>
          <w:b/>
        </w:rPr>
        <w:t>Payment of rent</w:t>
      </w:r>
    </w:p>
    <w:p w:rsidR="00450C28" w:rsidRPr="00A44D52" w:rsidRDefault="00450C28" w:rsidP="00775F61">
      <w:pPr>
        <w:tabs>
          <w:tab w:val="right" w:pos="1372"/>
          <w:tab w:val="left" w:pos="1568"/>
        </w:tabs>
        <w:spacing w:before="140"/>
        <w:ind w:left="1588" w:hanging="1588"/>
        <w:jc w:val="both"/>
      </w:pPr>
      <w:r w:rsidRPr="00A44D52">
        <w:t>26</w:t>
      </w:r>
      <w:r w:rsidRPr="00A44D52">
        <w:tab/>
        <w:t>(1)</w:t>
      </w:r>
      <w:r w:rsidRPr="00A44D52">
        <w:tab/>
        <w:t>The tenant must pay the rent on time.</w:t>
      </w:r>
    </w:p>
    <w:p w:rsidR="00450C28" w:rsidRPr="00A44D52" w:rsidRDefault="00450C28" w:rsidP="00775F61">
      <w:pPr>
        <w:tabs>
          <w:tab w:val="right" w:pos="1372"/>
          <w:tab w:val="left" w:pos="1568"/>
        </w:tabs>
        <w:spacing w:before="140"/>
        <w:ind w:left="1588" w:hanging="1588"/>
        <w:jc w:val="both"/>
      </w:pPr>
      <w:r w:rsidRPr="00A44D52">
        <w:tab/>
        <w:t>(2)</w:t>
      </w:r>
      <w:r w:rsidRPr="00A44D52">
        <w:tab/>
        <w:t>The tenant must not use the bond money to</w:t>
      </w:r>
      <w:r w:rsidR="006C52EE" w:rsidRPr="00A44D52">
        <w:t xml:space="preserve"> pay the rent for the last week</w:t>
      </w:r>
      <w:r w:rsidRPr="00A44D52">
        <w:t>s of the tenancy.</w:t>
      </w:r>
    </w:p>
    <w:p w:rsidR="00450C28" w:rsidRPr="00A44D52" w:rsidRDefault="00450C28" w:rsidP="00775F61">
      <w:pPr>
        <w:keepLines/>
        <w:tabs>
          <w:tab w:val="right" w:pos="1372"/>
          <w:tab w:val="left" w:pos="1568"/>
        </w:tabs>
        <w:spacing w:before="140"/>
        <w:ind w:left="1588" w:hanging="1588"/>
        <w:jc w:val="both"/>
      </w:pPr>
      <w:r w:rsidRPr="00A44D52">
        <w:lastRenderedPageBreak/>
        <w:tab/>
        <w:t>(3)</w:t>
      </w:r>
      <w:r w:rsidRPr="00A44D52">
        <w:tab/>
        <w:t>The tenant and the lessor may agree to change the way rent is paid (including, for example, where the rent is paid or whether it is to be paid into a nominated bank account or whether it is to be paid in person).</w:t>
      </w:r>
    </w:p>
    <w:p w:rsidR="00450C28" w:rsidRPr="00A44D52" w:rsidRDefault="00450C28" w:rsidP="00775F61">
      <w:pPr>
        <w:tabs>
          <w:tab w:val="right" w:pos="1372"/>
          <w:tab w:val="left" w:pos="1568"/>
        </w:tabs>
        <w:spacing w:before="140"/>
        <w:ind w:left="1588" w:hanging="1588"/>
        <w:jc w:val="both"/>
      </w:pPr>
      <w:r w:rsidRPr="00A44D52">
        <w:tab/>
        <w:t>(4)</w:t>
      </w:r>
      <w:r w:rsidRPr="00A44D52">
        <w:tab/>
        <w:t>The tenant and lessor may agree that rent is to be paid electronically.</w:t>
      </w:r>
    </w:p>
    <w:p w:rsidR="00450C28" w:rsidRPr="00A44D52" w:rsidRDefault="00450C28" w:rsidP="00775F61">
      <w:pPr>
        <w:tabs>
          <w:tab w:val="right" w:pos="1372"/>
          <w:tab w:val="left" w:pos="1568"/>
        </w:tabs>
        <w:spacing w:before="140"/>
        <w:ind w:left="1588" w:hanging="1588"/>
        <w:jc w:val="both"/>
      </w:pPr>
      <w:r w:rsidRPr="00A44D52">
        <w:t>27</w:t>
      </w:r>
      <w:r w:rsidRPr="00A44D52">
        <w:tab/>
      </w:r>
      <w:r w:rsidRPr="00A44D52">
        <w:tab/>
        <w:t>The lessor must not require the tenant to pay rent by postdated cheque.</w:t>
      </w:r>
    </w:p>
    <w:p w:rsidR="00450C28" w:rsidRPr="001E518F" w:rsidRDefault="00450C28" w:rsidP="00775F61">
      <w:pPr>
        <w:keepNext/>
        <w:spacing w:before="180"/>
        <w:rPr>
          <w:rFonts w:ascii="Arial" w:hAnsi="Arial"/>
          <w:b/>
        </w:rPr>
      </w:pPr>
      <w:r w:rsidRPr="001E518F">
        <w:rPr>
          <w:rFonts w:ascii="Arial" w:hAnsi="Arial"/>
          <w:b/>
        </w:rPr>
        <w:t>Maximum rent in advance</w:t>
      </w:r>
    </w:p>
    <w:p w:rsidR="00450C28" w:rsidRPr="00A44D52" w:rsidRDefault="00450C28" w:rsidP="00775F61">
      <w:pPr>
        <w:tabs>
          <w:tab w:val="right" w:pos="1372"/>
          <w:tab w:val="left" w:pos="1568"/>
        </w:tabs>
        <w:spacing w:before="140"/>
        <w:ind w:left="1588" w:hanging="1588"/>
        <w:jc w:val="both"/>
      </w:pPr>
      <w:r w:rsidRPr="00A44D52">
        <w:t>28</w:t>
      </w:r>
      <w:r w:rsidRPr="00A44D52">
        <w:tab/>
      </w:r>
      <w:r w:rsidRPr="00A44D52">
        <w:tab/>
        <w:t>The lessor must not require an amount of rent paid in advance greater than 1 calendar month.</w:t>
      </w:r>
    </w:p>
    <w:p w:rsidR="00450C28" w:rsidRPr="0027007A" w:rsidRDefault="00450C28" w:rsidP="00775F61">
      <w:pPr>
        <w:keepNext/>
        <w:spacing w:before="180"/>
        <w:rPr>
          <w:rFonts w:ascii="Arial" w:hAnsi="Arial"/>
          <w:b/>
        </w:rPr>
      </w:pPr>
      <w:r w:rsidRPr="0027007A">
        <w:rPr>
          <w:rFonts w:ascii="Arial" w:hAnsi="Arial"/>
          <w:b/>
        </w:rPr>
        <w:t>Rent receipts</w:t>
      </w:r>
    </w:p>
    <w:p w:rsidR="00450C28" w:rsidRPr="00A44D52" w:rsidRDefault="00450C28" w:rsidP="00775F61">
      <w:pPr>
        <w:tabs>
          <w:tab w:val="right" w:pos="1372"/>
          <w:tab w:val="left" w:pos="1568"/>
        </w:tabs>
        <w:spacing w:before="140"/>
        <w:ind w:left="1588" w:hanging="1588"/>
        <w:jc w:val="both"/>
      </w:pPr>
      <w:r w:rsidRPr="00A44D52">
        <w:t>29</w:t>
      </w:r>
      <w:r w:rsidRPr="00A44D52">
        <w:tab/>
      </w:r>
      <w:r w:rsidRPr="00A44D52">
        <w:tab/>
        <w:t>If rent is paid in person to the lessor or a real estate agent, a receipt must be given at that time.</w:t>
      </w:r>
    </w:p>
    <w:p w:rsidR="00450C28" w:rsidRPr="00A44D52" w:rsidRDefault="00450C28" w:rsidP="00775F61">
      <w:pPr>
        <w:tabs>
          <w:tab w:val="right" w:pos="1372"/>
          <w:tab w:val="left" w:pos="1568"/>
        </w:tabs>
        <w:spacing w:before="140"/>
        <w:ind w:left="1588" w:hanging="1588"/>
        <w:jc w:val="both"/>
      </w:pPr>
      <w:r w:rsidRPr="00A44D52">
        <w:t>30</w:t>
      </w:r>
      <w:r w:rsidRPr="00A44D52">
        <w:tab/>
      </w:r>
      <w:r w:rsidRPr="00A44D52">
        <w:tab/>
        <w:t xml:space="preserve">In other circumstances where rent is paid to the lessor, a receipt must be provided or sent by post within 1 week of its receipt. </w:t>
      </w:r>
    </w:p>
    <w:p w:rsidR="00450C28" w:rsidRPr="00A44D52" w:rsidRDefault="00450C28" w:rsidP="00775F61">
      <w:pPr>
        <w:tabs>
          <w:tab w:val="right" w:pos="1372"/>
          <w:tab w:val="left" w:pos="1568"/>
        </w:tabs>
        <w:spacing w:before="140"/>
        <w:ind w:left="1588" w:hanging="1588"/>
        <w:jc w:val="both"/>
      </w:pPr>
      <w:r w:rsidRPr="00A44D52">
        <w:t>31</w:t>
      </w:r>
      <w:r w:rsidRPr="00A44D52">
        <w:tab/>
        <w:t>(1)</w:t>
      </w:r>
      <w:r w:rsidRPr="00A44D52">
        <w:tab/>
        <w:t>A receipt for payment of rent must specify the amount paid.</w:t>
      </w:r>
    </w:p>
    <w:p w:rsidR="00450C28" w:rsidRPr="00A44D52" w:rsidRDefault="00450C28" w:rsidP="00775F61">
      <w:pPr>
        <w:tabs>
          <w:tab w:val="right" w:pos="1372"/>
          <w:tab w:val="left" w:pos="1568"/>
        </w:tabs>
        <w:spacing w:before="140"/>
        <w:ind w:left="1588" w:hanging="1588"/>
        <w:jc w:val="both"/>
      </w:pPr>
      <w:r w:rsidRPr="00A44D52">
        <w:tab/>
        <w:t>(2)</w:t>
      </w:r>
      <w:r w:rsidRPr="00A44D52">
        <w:tab/>
        <w:t>A receipt should specify the following:</w:t>
      </w:r>
    </w:p>
    <w:p w:rsidR="00450C28" w:rsidRDefault="00450C28" w:rsidP="00775F61">
      <w:pPr>
        <w:tabs>
          <w:tab w:val="right" w:pos="1843"/>
          <w:tab w:val="left" w:pos="2127"/>
        </w:tabs>
        <w:spacing w:before="140"/>
        <w:ind w:left="2098" w:hanging="2098"/>
        <w:jc w:val="both"/>
      </w:pPr>
      <w:r>
        <w:tab/>
        <w:t>(a)</w:t>
      </w:r>
      <w:r>
        <w:tab/>
        <w:t>the date of payment;</w:t>
      </w:r>
    </w:p>
    <w:p w:rsidR="00450C28" w:rsidRDefault="00450C28" w:rsidP="00775F61">
      <w:pPr>
        <w:tabs>
          <w:tab w:val="right" w:pos="1843"/>
          <w:tab w:val="left" w:pos="2127"/>
        </w:tabs>
        <w:spacing w:before="140"/>
        <w:ind w:left="2098" w:hanging="2098"/>
        <w:jc w:val="both"/>
      </w:pPr>
      <w:r>
        <w:tab/>
        <w:t>(b)</w:t>
      </w:r>
      <w:r>
        <w:tab/>
        <w:t>the period in relation to which the payment is made;</w:t>
      </w:r>
    </w:p>
    <w:p w:rsidR="00450C28" w:rsidRDefault="00450C28" w:rsidP="00775F61">
      <w:pPr>
        <w:tabs>
          <w:tab w:val="right" w:pos="1843"/>
          <w:tab w:val="left" w:pos="2127"/>
        </w:tabs>
        <w:spacing w:before="140"/>
        <w:ind w:left="2098" w:hanging="2098"/>
        <w:jc w:val="both"/>
      </w:pPr>
      <w:r>
        <w:tab/>
        <w:t>(c)</w:t>
      </w:r>
      <w:r>
        <w:tab/>
        <w:t>the premises in relation to which the payment is made;</w:t>
      </w:r>
    </w:p>
    <w:p w:rsidR="00450C28" w:rsidRDefault="00450C28" w:rsidP="00775F61">
      <w:pPr>
        <w:tabs>
          <w:tab w:val="right" w:pos="1843"/>
          <w:tab w:val="left" w:pos="2127"/>
        </w:tabs>
        <w:spacing w:before="140"/>
        <w:ind w:left="2098" w:hanging="2098"/>
        <w:jc w:val="both"/>
      </w:pPr>
      <w:r>
        <w:tab/>
        <w:t>(d)</w:t>
      </w:r>
      <w:r>
        <w:tab/>
        <w:t>whether the payment is for bond or rent.</w:t>
      </w:r>
    </w:p>
    <w:p w:rsidR="00450C28" w:rsidRPr="00A44D52" w:rsidRDefault="00450C28" w:rsidP="00775F61">
      <w:pPr>
        <w:tabs>
          <w:tab w:val="right" w:pos="1372"/>
          <w:tab w:val="left" w:pos="1568"/>
        </w:tabs>
        <w:spacing w:before="140"/>
        <w:ind w:left="1588" w:hanging="1588"/>
        <w:jc w:val="both"/>
      </w:pPr>
      <w:r w:rsidRPr="00A44D52">
        <w:tab/>
        <w:t>(3)</w:t>
      </w:r>
      <w:r w:rsidRPr="00A44D52">
        <w:tab/>
        <w:t>If these particulars are not included in the receipt, the lessor must provide this information to the tenant within 4 weeks of a request by the tenant.</w:t>
      </w:r>
    </w:p>
    <w:p w:rsidR="00450C28" w:rsidRPr="00A44D52" w:rsidRDefault="00450C28" w:rsidP="00775F61">
      <w:pPr>
        <w:tabs>
          <w:tab w:val="right" w:pos="1372"/>
          <w:tab w:val="left" w:pos="1568"/>
        </w:tabs>
        <w:spacing w:before="140"/>
        <w:ind w:left="1588" w:hanging="1588"/>
        <w:jc w:val="both"/>
      </w:pPr>
      <w:r w:rsidRPr="00A44D52">
        <w:t>32</w:t>
      </w:r>
      <w:r w:rsidRPr="00A44D52">
        <w:tab/>
      </w:r>
      <w:r w:rsidRPr="00A44D52">
        <w:tab/>
        <w:t>A receipt is not required if the rent is paid by the tenant directly into an account nominated by the lessor or real estate agent.</w:t>
      </w:r>
    </w:p>
    <w:p w:rsidR="00450C28" w:rsidRPr="0027007A" w:rsidRDefault="00450C28" w:rsidP="00775F61">
      <w:pPr>
        <w:keepNext/>
        <w:spacing w:before="180"/>
        <w:rPr>
          <w:rFonts w:ascii="Arial" w:hAnsi="Arial"/>
          <w:b/>
        </w:rPr>
      </w:pPr>
      <w:r w:rsidRPr="0027007A">
        <w:rPr>
          <w:rFonts w:ascii="Arial" w:hAnsi="Arial"/>
          <w:b/>
        </w:rPr>
        <w:lastRenderedPageBreak/>
        <w:t>Rent records</w:t>
      </w:r>
    </w:p>
    <w:p w:rsidR="00450C28" w:rsidRPr="00A44D52" w:rsidRDefault="00450C28" w:rsidP="00775F61">
      <w:pPr>
        <w:tabs>
          <w:tab w:val="right" w:pos="1372"/>
          <w:tab w:val="left" w:pos="1568"/>
        </w:tabs>
        <w:spacing w:before="140"/>
        <w:ind w:left="1588" w:hanging="1588"/>
        <w:jc w:val="both"/>
      </w:pPr>
      <w:r w:rsidRPr="00A44D52">
        <w:t>33</w:t>
      </w:r>
      <w:r w:rsidRPr="00A44D52">
        <w:tab/>
        <w:t>(1)</w:t>
      </w:r>
      <w:r w:rsidRPr="00A44D52">
        <w:tab/>
        <w:t>The lessor must keep, or cause to be kept, records of the payment of rent.</w:t>
      </w:r>
    </w:p>
    <w:p w:rsidR="00450C28" w:rsidRPr="00A44D52" w:rsidRDefault="00450C28" w:rsidP="00775F61">
      <w:pPr>
        <w:tabs>
          <w:tab w:val="right" w:pos="1372"/>
          <w:tab w:val="left" w:pos="1568"/>
        </w:tabs>
        <w:spacing w:before="140"/>
        <w:ind w:left="1588" w:hanging="1588"/>
        <w:jc w:val="both"/>
      </w:pPr>
      <w:r w:rsidRPr="00A44D52">
        <w:tab/>
        <w:t>(2)</w:t>
      </w:r>
      <w:r w:rsidRPr="00A44D52">
        <w:tab/>
        <w:t>Those records must be retained for a period of not less than 12 months after the end of the tenancy.</w:t>
      </w:r>
    </w:p>
    <w:p w:rsidR="00450C28" w:rsidRPr="0027007A" w:rsidRDefault="00450C28" w:rsidP="00775F61">
      <w:pPr>
        <w:keepNext/>
        <w:spacing w:before="180"/>
        <w:rPr>
          <w:rFonts w:ascii="Arial" w:hAnsi="Arial"/>
          <w:b/>
        </w:rPr>
      </w:pPr>
      <w:r w:rsidRPr="0027007A">
        <w:rPr>
          <w:rFonts w:ascii="Arial" w:hAnsi="Arial"/>
          <w:b/>
        </w:rPr>
        <w:t>Increase in rent</w:t>
      </w:r>
    </w:p>
    <w:p w:rsidR="00450C28" w:rsidRPr="00A44D52" w:rsidRDefault="00450C28" w:rsidP="00775F61">
      <w:pPr>
        <w:tabs>
          <w:tab w:val="right" w:pos="1372"/>
          <w:tab w:val="left" w:pos="1568"/>
        </w:tabs>
        <w:spacing w:before="140"/>
        <w:ind w:left="1588" w:hanging="1588"/>
        <w:jc w:val="both"/>
      </w:pPr>
      <w:r w:rsidRPr="00A44D52">
        <w:t>34</w:t>
      </w:r>
      <w:r w:rsidRPr="00A44D52">
        <w:tab/>
      </w:r>
      <w:r w:rsidRPr="00A44D52">
        <w:tab/>
        <w:t>The amount of rent must not vary from period to period except as provided by this tenancy agreement and the Residential Tenancies Act.</w:t>
      </w:r>
    </w:p>
    <w:p w:rsidR="00450C28" w:rsidRPr="00A44D52" w:rsidRDefault="00450C28" w:rsidP="00775F61">
      <w:pPr>
        <w:tabs>
          <w:tab w:val="right" w:pos="1372"/>
          <w:tab w:val="left" w:pos="1568"/>
        </w:tabs>
        <w:spacing w:before="140"/>
        <w:ind w:left="1588" w:hanging="1588"/>
        <w:jc w:val="both"/>
      </w:pPr>
      <w:r w:rsidRPr="00A44D52">
        <w:t>35</w:t>
      </w:r>
      <w:r w:rsidRPr="00A44D52">
        <w:tab/>
      </w:r>
      <w:r w:rsidRPr="00A44D52">
        <w:tab/>
        <w:t>The rent may not be increased at intervals of less than 12 months from either the beginning of the tenancy agreement for the first increase, or after that, from the date of the last increase.</w:t>
      </w:r>
    </w:p>
    <w:p w:rsidR="00450C28" w:rsidRPr="00A44D52" w:rsidRDefault="00450C28" w:rsidP="00775F61">
      <w:pPr>
        <w:tabs>
          <w:tab w:val="right" w:pos="1372"/>
          <w:tab w:val="left" w:pos="1568"/>
        </w:tabs>
        <w:spacing w:before="140"/>
        <w:ind w:left="1588" w:hanging="1588"/>
        <w:jc w:val="both"/>
      </w:pPr>
      <w:r w:rsidRPr="00A44D52">
        <w:t>36</w:t>
      </w:r>
      <w:r w:rsidRPr="00A44D52">
        <w:tab/>
        <w:t>(1)</w:t>
      </w:r>
      <w:r w:rsidRPr="00A44D52">
        <w:tab/>
        <w:t>This clause applies if—</w:t>
      </w:r>
    </w:p>
    <w:p w:rsidR="00450C28" w:rsidRDefault="00450C28" w:rsidP="00775F61">
      <w:pPr>
        <w:tabs>
          <w:tab w:val="right" w:pos="1843"/>
          <w:tab w:val="left" w:pos="2127"/>
        </w:tabs>
        <w:spacing w:before="140"/>
        <w:ind w:left="2098" w:hanging="2098"/>
        <w:jc w:val="both"/>
      </w:pPr>
      <w:r>
        <w:tab/>
        <w:t>(a)</w:t>
      </w:r>
      <w:r>
        <w:tab/>
        <w:t>the housing commissioner is the lessor under this tenancy agreement; and</w:t>
      </w:r>
    </w:p>
    <w:p w:rsidR="00450C28" w:rsidRDefault="00450C28" w:rsidP="00775F61">
      <w:pPr>
        <w:tabs>
          <w:tab w:val="right" w:pos="1843"/>
          <w:tab w:val="left" w:pos="2127"/>
        </w:tabs>
        <w:spacing w:before="140"/>
        <w:ind w:left="2098" w:hanging="2098"/>
        <w:jc w:val="both"/>
      </w:pPr>
      <w:r>
        <w:tab/>
        <w:t>(b)</w:t>
      </w:r>
      <w:r>
        <w:tab/>
        <w:t xml:space="preserve">the commissioner has decided to increase the rent after a review of rent under the </w:t>
      </w:r>
      <w:hyperlink r:id="rId113" w:tooltip="A2007-8" w:history="1">
        <w:r w:rsidR="009D74E7" w:rsidRPr="009D74E7">
          <w:rPr>
            <w:rStyle w:val="charCitHyperlinkItal"/>
          </w:rPr>
          <w:t>Housing Assistance Act 2007</w:t>
        </w:r>
      </w:hyperlink>
      <w:r>
        <w:t>, section 23.</w:t>
      </w:r>
    </w:p>
    <w:p w:rsidR="00450C28" w:rsidRPr="00E10D38" w:rsidRDefault="00450C28" w:rsidP="00775F61">
      <w:pPr>
        <w:tabs>
          <w:tab w:val="right" w:pos="1372"/>
          <w:tab w:val="left" w:pos="1568"/>
        </w:tabs>
        <w:spacing w:before="140"/>
        <w:ind w:left="1588" w:hanging="1588"/>
        <w:jc w:val="both"/>
        <w:rPr>
          <w:rStyle w:val="CharSectNo"/>
        </w:rPr>
      </w:pPr>
      <w:r>
        <w:tab/>
        <w:t>(2)</w:t>
      </w:r>
      <w:r>
        <w:tab/>
        <w:t xml:space="preserve">Despite clause 35, the housing commissioner may increase the </w:t>
      </w:r>
      <w:r w:rsidRPr="00E10D38">
        <w:rPr>
          <w:rStyle w:val="CharSectNo"/>
        </w:rPr>
        <w:t>rent.</w:t>
      </w:r>
    </w:p>
    <w:p w:rsidR="00450C28" w:rsidRPr="00A44D52" w:rsidRDefault="00450C28" w:rsidP="00775F61">
      <w:pPr>
        <w:keepLines/>
        <w:tabs>
          <w:tab w:val="right" w:pos="1372"/>
          <w:tab w:val="left" w:pos="1568"/>
        </w:tabs>
        <w:spacing w:before="140"/>
        <w:ind w:left="1588" w:hanging="1588"/>
        <w:jc w:val="both"/>
      </w:pPr>
      <w:r w:rsidRPr="00A44D52">
        <w:tab/>
        <w:t>(3)</w:t>
      </w:r>
      <w:r w:rsidRPr="00A44D52">
        <w:tab/>
        <w:t>However, if a previous review of rent has been undertaken, the increase under subclause (2) must not take effect earlier than 1 year after the date the last rent increase for the premises took effect.</w:t>
      </w:r>
    </w:p>
    <w:p w:rsidR="00450C28" w:rsidRPr="00A44D52" w:rsidRDefault="00450C28" w:rsidP="00775F61">
      <w:pPr>
        <w:tabs>
          <w:tab w:val="right" w:pos="1372"/>
          <w:tab w:val="left" w:pos="1568"/>
        </w:tabs>
        <w:spacing w:before="140"/>
        <w:ind w:left="1588" w:hanging="1588"/>
        <w:jc w:val="both"/>
      </w:pPr>
      <w:r w:rsidRPr="00A44D52">
        <w:t>37</w:t>
      </w:r>
      <w:r w:rsidRPr="00A44D52">
        <w:tab/>
      </w:r>
      <w:r w:rsidRPr="00A44D52">
        <w:tab/>
        <w:t>The restriction on increase in rent applies provided the identity of at least 1 of the tenants who occupy the premises remains the same as at the time of the last increase.</w:t>
      </w:r>
    </w:p>
    <w:p w:rsidR="00450C28" w:rsidRPr="0027007A" w:rsidRDefault="00450C28" w:rsidP="00775F61">
      <w:pPr>
        <w:keepNext/>
        <w:spacing w:before="180"/>
        <w:rPr>
          <w:rFonts w:ascii="Arial" w:hAnsi="Arial"/>
          <w:b/>
        </w:rPr>
      </w:pPr>
      <w:r w:rsidRPr="0027007A">
        <w:rPr>
          <w:rFonts w:ascii="Arial" w:hAnsi="Arial"/>
          <w:b/>
        </w:rPr>
        <w:lastRenderedPageBreak/>
        <w:t>Review of excessive rent increases</w:t>
      </w:r>
    </w:p>
    <w:p w:rsidR="00450C28" w:rsidRPr="00A44D52" w:rsidRDefault="00450C28" w:rsidP="00775F61">
      <w:pPr>
        <w:tabs>
          <w:tab w:val="right" w:pos="1372"/>
          <w:tab w:val="left" w:pos="1568"/>
        </w:tabs>
        <w:spacing w:before="140"/>
        <w:ind w:left="1588" w:hanging="1588"/>
        <w:jc w:val="both"/>
      </w:pPr>
      <w:r w:rsidRPr="00A44D52">
        <w:t>38</w:t>
      </w:r>
      <w:r w:rsidRPr="00A44D52">
        <w:tab/>
      </w:r>
      <w:r w:rsidRPr="00A44D52">
        <w:tab/>
        <w:t>The lessor must give the tenant 8 weeks written notice of intention to increase the rent and include in the notice the amount of the increase, and the date when it is proposed to increase the rent.</w:t>
      </w:r>
    </w:p>
    <w:p w:rsidR="00450C28" w:rsidRPr="00A44D52" w:rsidRDefault="00450C28" w:rsidP="00775F61">
      <w:pPr>
        <w:tabs>
          <w:tab w:val="right" w:pos="1372"/>
          <w:tab w:val="left" w:pos="1568"/>
        </w:tabs>
        <w:spacing w:before="140"/>
        <w:ind w:left="1588" w:hanging="1588"/>
        <w:jc w:val="both"/>
      </w:pPr>
      <w:r w:rsidRPr="00A44D52">
        <w:t>39</w:t>
      </w:r>
      <w:r w:rsidRPr="00A44D52">
        <w:tab/>
        <w:t>(1)</w:t>
      </w:r>
      <w:r w:rsidRPr="00A44D52">
        <w:tab/>
        <w:t>The tenant may apply in writing to the tribunal for review of an excessive increase in rent (time limits for applying and the meaning of excessive is set out in the Residential Tenancies Act).</w:t>
      </w:r>
    </w:p>
    <w:p w:rsidR="00450C28" w:rsidRPr="00A44D52" w:rsidRDefault="00450C28" w:rsidP="00775F61">
      <w:pPr>
        <w:tabs>
          <w:tab w:val="right" w:pos="1372"/>
          <w:tab w:val="left" w:pos="1568"/>
        </w:tabs>
        <w:spacing w:before="140"/>
        <w:ind w:left="1588" w:hanging="1588"/>
        <w:jc w:val="both"/>
      </w:pPr>
      <w:r w:rsidRPr="00A44D52">
        <w:tab/>
        <w:t>(2)</w:t>
      </w:r>
      <w:r w:rsidRPr="00A44D52">
        <w:tab/>
        <w:t>On such application being made, no increase in rent is payable until so ordered by the tribunal.</w:t>
      </w:r>
    </w:p>
    <w:p w:rsidR="00450C28" w:rsidRPr="00A44D52" w:rsidRDefault="00450C28" w:rsidP="00775F61">
      <w:pPr>
        <w:tabs>
          <w:tab w:val="right" w:pos="1372"/>
          <w:tab w:val="left" w:pos="1568"/>
        </w:tabs>
        <w:spacing w:before="140"/>
        <w:ind w:left="1588" w:hanging="1588"/>
        <w:jc w:val="both"/>
      </w:pPr>
      <w:r w:rsidRPr="00A44D52">
        <w:t>40</w:t>
      </w:r>
      <w:r w:rsidRPr="00A44D52">
        <w:tab/>
      </w:r>
      <w:r w:rsidRPr="00A44D52">
        <w:tab/>
        <w:t>If the tenant remains in occupation of the premises without applying to the tribunal for review, the increase in rent takes effect from the date specified in the notice.</w:t>
      </w:r>
    </w:p>
    <w:p w:rsidR="00450C28" w:rsidRPr="00A44D52" w:rsidRDefault="00450C28" w:rsidP="00775F61">
      <w:pPr>
        <w:tabs>
          <w:tab w:val="right" w:pos="1372"/>
          <w:tab w:val="left" w:pos="1568"/>
        </w:tabs>
        <w:spacing w:before="140"/>
        <w:ind w:left="1588" w:hanging="1588"/>
        <w:jc w:val="both"/>
      </w:pPr>
      <w:r w:rsidRPr="00A44D52">
        <w:t>41</w:t>
      </w:r>
      <w:r w:rsidRPr="00A44D52">
        <w:tab/>
      </w:r>
      <w:r w:rsidRPr="00A44D52">
        <w:tab/>
        <w:t>If the tenant wishes to vacate the premises before the increase takes effect, the tenant must give 3 weeks notice to the lessor.</w:t>
      </w:r>
    </w:p>
    <w:p w:rsidR="00450C28" w:rsidRPr="0027007A" w:rsidRDefault="00450C28" w:rsidP="00775F61">
      <w:pPr>
        <w:keepNext/>
        <w:spacing w:before="180"/>
        <w:rPr>
          <w:rFonts w:ascii="Arial" w:hAnsi="Arial"/>
          <w:b/>
        </w:rPr>
      </w:pPr>
      <w:r w:rsidRPr="0027007A">
        <w:rPr>
          <w:rFonts w:ascii="Arial" w:hAnsi="Arial"/>
          <w:b/>
        </w:rPr>
        <w:t>Lessor’s costs</w:t>
      </w:r>
    </w:p>
    <w:p w:rsidR="00450C28" w:rsidRPr="00A44D52" w:rsidRDefault="00450C28" w:rsidP="00775F61">
      <w:pPr>
        <w:tabs>
          <w:tab w:val="right" w:pos="1372"/>
          <w:tab w:val="left" w:pos="1568"/>
        </w:tabs>
        <w:spacing w:before="140"/>
        <w:ind w:left="1588" w:hanging="1588"/>
        <w:jc w:val="both"/>
      </w:pPr>
      <w:r w:rsidRPr="00A44D52">
        <w:t>42</w:t>
      </w:r>
      <w:r w:rsidRPr="00A44D52">
        <w:tab/>
      </w:r>
      <w:r w:rsidRPr="00A44D52">
        <w:tab/>
        <w:t>The lessor is responsible for the cost of the following:</w:t>
      </w:r>
    </w:p>
    <w:p w:rsidR="00450C28" w:rsidRDefault="00450C28" w:rsidP="00775F61">
      <w:pPr>
        <w:tabs>
          <w:tab w:val="right" w:pos="1843"/>
          <w:tab w:val="left" w:pos="2127"/>
        </w:tabs>
        <w:spacing w:before="140"/>
        <w:ind w:left="2098" w:hanging="2098"/>
        <w:jc w:val="both"/>
      </w:pPr>
      <w:r>
        <w:tab/>
        <w:t>(a)</w:t>
      </w:r>
      <w:r>
        <w:tab/>
        <w:t>rates and taxes relating to the premises;</w:t>
      </w:r>
    </w:p>
    <w:p w:rsidR="00450C28" w:rsidRDefault="00450C28" w:rsidP="00775F61">
      <w:pPr>
        <w:tabs>
          <w:tab w:val="right" w:pos="1843"/>
          <w:tab w:val="left" w:pos="2127"/>
        </w:tabs>
        <w:spacing w:before="140"/>
        <w:ind w:left="2098" w:hanging="2098"/>
        <w:jc w:val="both"/>
      </w:pPr>
      <w:r>
        <w:tab/>
        <w:t>(b)</w:t>
      </w:r>
      <w:r>
        <w:tab/>
        <w:t>services for which the lessor agrees to be responsible;</w:t>
      </w:r>
    </w:p>
    <w:p w:rsidR="00450C28" w:rsidRDefault="00450C28" w:rsidP="00775F61">
      <w:pPr>
        <w:tabs>
          <w:tab w:val="right" w:pos="1843"/>
          <w:tab w:val="left" w:pos="2127"/>
        </w:tabs>
        <w:spacing w:before="140"/>
        <w:ind w:left="2098" w:hanging="2098"/>
        <w:jc w:val="both"/>
      </w:pPr>
      <w:r>
        <w:tab/>
        <w:t>(c)</w:t>
      </w:r>
      <w:r>
        <w:tab/>
        <w:t>services for which there is not a separate metering device so that amounts consumed during the period of the tenancy cannot be accurately decided;</w:t>
      </w:r>
    </w:p>
    <w:p w:rsidR="00450C28" w:rsidRDefault="00450C28" w:rsidP="00775F61">
      <w:pPr>
        <w:tabs>
          <w:tab w:val="right" w:pos="1843"/>
          <w:tab w:val="left" w:pos="2127"/>
        </w:tabs>
        <w:spacing w:before="140"/>
        <w:ind w:left="2098" w:hanging="2098"/>
        <w:jc w:val="both"/>
      </w:pPr>
      <w:r>
        <w:tab/>
        <w:t>(d)</w:t>
      </w:r>
      <w:r>
        <w:tab/>
        <w:t>all services up to the time of measurement or reading at the beginning of the tenancy;</w:t>
      </w:r>
    </w:p>
    <w:p w:rsidR="00450C28" w:rsidRDefault="00450C28" w:rsidP="00775F61">
      <w:pPr>
        <w:tabs>
          <w:tab w:val="right" w:pos="1843"/>
          <w:tab w:val="left" w:pos="2127"/>
        </w:tabs>
        <w:spacing w:before="140"/>
        <w:ind w:left="2098" w:hanging="2098"/>
        <w:jc w:val="both"/>
      </w:pPr>
      <w:r>
        <w:tab/>
        <w:t>(e)</w:t>
      </w:r>
      <w:r>
        <w:tab/>
        <w:t>all services after reading or measurement at the end of the tenancy providing the tenant has not made any use of the service after the reading.</w:t>
      </w:r>
    </w:p>
    <w:p w:rsidR="00450C28" w:rsidRPr="00A44D52" w:rsidRDefault="00450C28" w:rsidP="00775F61">
      <w:pPr>
        <w:tabs>
          <w:tab w:val="right" w:pos="1372"/>
          <w:tab w:val="left" w:pos="1568"/>
        </w:tabs>
        <w:spacing w:before="140"/>
        <w:ind w:left="1588" w:hanging="1588"/>
        <w:jc w:val="both"/>
      </w:pPr>
      <w:r w:rsidRPr="00A44D52">
        <w:lastRenderedPageBreak/>
        <w:t>43</w:t>
      </w:r>
      <w:r w:rsidRPr="00A44D52">
        <w:tab/>
        <w:t>(1)</w:t>
      </w:r>
      <w:r w:rsidRPr="00A44D52">
        <w:tab/>
        <w:t>The lessor must pay for any physical installation of services (eg water, electricity, gas, telephone line).</w:t>
      </w:r>
    </w:p>
    <w:p w:rsidR="00450C28" w:rsidRPr="00A44D52" w:rsidRDefault="00450C28" w:rsidP="00775F61">
      <w:pPr>
        <w:tabs>
          <w:tab w:val="right" w:pos="1372"/>
          <w:tab w:val="left" w:pos="1568"/>
        </w:tabs>
        <w:spacing w:before="140"/>
        <w:ind w:left="1588" w:hanging="1588"/>
        <w:jc w:val="both"/>
      </w:pPr>
      <w:r w:rsidRPr="00A44D52">
        <w:tab/>
        <w:t>(2)</w:t>
      </w:r>
      <w:r w:rsidRPr="00A44D52">
        <w:tab/>
        <w:t>The tenant is responsible for the connection of all services that will be supplied in the tenant’s name.</w:t>
      </w:r>
    </w:p>
    <w:p w:rsidR="00450C28" w:rsidRPr="00A44D52" w:rsidRDefault="00450C28" w:rsidP="00775F61">
      <w:pPr>
        <w:tabs>
          <w:tab w:val="right" w:pos="1372"/>
          <w:tab w:val="left" w:pos="1568"/>
        </w:tabs>
        <w:spacing w:before="140"/>
        <w:ind w:left="1588" w:hanging="1588"/>
        <w:jc w:val="both"/>
      </w:pPr>
      <w:r w:rsidRPr="00A44D52">
        <w:t>44</w:t>
      </w:r>
      <w:r w:rsidRPr="00A44D52">
        <w:tab/>
      </w:r>
      <w:r w:rsidRPr="00A44D52">
        <w:tab/>
        <w:t>The lessor must pay the annual supply charge associated with the supply of water or sewerage.</w:t>
      </w:r>
    </w:p>
    <w:p w:rsidR="00450C28" w:rsidRPr="00A44D52" w:rsidRDefault="00450C28" w:rsidP="00775F61">
      <w:pPr>
        <w:tabs>
          <w:tab w:val="right" w:pos="1372"/>
          <w:tab w:val="left" w:pos="1568"/>
        </w:tabs>
        <w:spacing w:before="140"/>
        <w:ind w:left="1588" w:hanging="1588"/>
        <w:jc w:val="both"/>
      </w:pPr>
      <w:r w:rsidRPr="00A44D52">
        <w:t>45</w:t>
      </w:r>
      <w:r w:rsidRPr="00A44D52">
        <w:tab/>
      </w:r>
      <w:r w:rsidRPr="00A44D52">
        <w:tab/>
        <w:t xml:space="preserve">If the premises are a unit under the </w:t>
      </w:r>
      <w:hyperlink r:id="rId114" w:tooltip="A2001-16" w:history="1">
        <w:r w:rsidR="00A44D52" w:rsidRPr="00A03BC8">
          <w:rPr>
            <w:rStyle w:val="charCitHyperlinkItal"/>
          </w:rPr>
          <w:t>Unit Titles Act 2001</w:t>
        </w:r>
      </w:hyperlink>
      <w:r w:rsidRPr="00A44D52">
        <w:t>, the lessor is responsible for all owners corporation charges.</w:t>
      </w:r>
    </w:p>
    <w:p w:rsidR="00450C28" w:rsidRPr="0027007A" w:rsidRDefault="00450C28" w:rsidP="00775F61">
      <w:pPr>
        <w:keepNext/>
        <w:spacing w:before="180"/>
        <w:rPr>
          <w:rFonts w:ascii="Arial" w:hAnsi="Arial"/>
          <w:b/>
        </w:rPr>
      </w:pPr>
      <w:r w:rsidRPr="0027007A">
        <w:rPr>
          <w:rFonts w:ascii="Arial" w:hAnsi="Arial"/>
          <w:b/>
        </w:rPr>
        <w:t>Tenant’s costs</w:t>
      </w:r>
    </w:p>
    <w:p w:rsidR="00450C28" w:rsidRPr="00A44D52" w:rsidRDefault="00450C28" w:rsidP="00775F61">
      <w:pPr>
        <w:tabs>
          <w:tab w:val="right" w:pos="1372"/>
          <w:tab w:val="left" w:pos="1568"/>
        </w:tabs>
        <w:spacing w:before="140"/>
        <w:ind w:left="1588" w:hanging="1588"/>
        <w:jc w:val="both"/>
      </w:pPr>
      <w:r w:rsidRPr="00A44D52">
        <w:t>46</w:t>
      </w:r>
      <w:r w:rsidRPr="00A44D52">
        <w:tab/>
      </w:r>
      <w:r w:rsidRPr="00A44D52">
        <w:tab/>
        <w:t>The tenant is responsible for all charges associated with the consumption of services supplied to the premises, including electricity, gas, water and telephone.</w:t>
      </w:r>
    </w:p>
    <w:p w:rsidR="00450C28" w:rsidRPr="00A44D52" w:rsidRDefault="00450C28" w:rsidP="00775F61">
      <w:pPr>
        <w:tabs>
          <w:tab w:val="right" w:pos="1372"/>
          <w:tab w:val="left" w:pos="1568"/>
        </w:tabs>
        <w:spacing w:before="140"/>
        <w:ind w:left="1588" w:hanging="1588"/>
        <w:jc w:val="both"/>
      </w:pPr>
      <w:r w:rsidRPr="00A44D52">
        <w:t>47</w:t>
      </w:r>
      <w:r w:rsidRPr="00A44D52">
        <w:tab/>
      </w:r>
      <w:r w:rsidRPr="00A44D52">
        <w:tab/>
        <w:t>The tenant is not required by the lessor to connect or continue a telephone service.</w:t>
      </w:r>
    </w:p>
    <w:p w:rsidR="00450C28" w:rsidRPr="0027007A" w:rsidRDefault="00450C28" w:rsidP="00775F61">
      <w:pPr>
        <w:keepNext/>
        <w:spacing w:before="180"/>
        <w:rPr>
          <w:rFonts w:ascii="Arial" w:hAnsi="Arial"/>
          <w:b/>
        </w:rPr>
      </w:pPr>
      <w:r w:rsidRPr="0027007A">
        <w:rPr>
          <w:rFonts w:ascii="Arial" w:hAnsi="Arial"/>
          <w:b/>
        </w:rPr>
        <w:t>Reading of metered services</w:t>
      </w:r>
    </w:p>
    <w:p w:rsidR="00450C28" w:rsidRPr="00A44D52" w:rsidRDefault="00450C28" w:rsidP="00775F61">
      <w:pPr>
        <w:tabs>
          <w:tab w:val="right" w:pos="1372"/>
          <w:tab w:val="left" w:pos="1568"/>
        </w:tabs>
        <w:spacing w:before="140"/>
        <w:ind w:left="1588" w:hanging="1588"/>
        <w:jc w:val="both"/>
      </w:pPr>
      <w:r w:rsidRPr="00A44D52">
        <w:t>48</w:t>
      </w:r>
      <w:r w:rsidRPr="00A44D52">
        <w:tab/>
        <w:t>(1)</w:t>
      </w:r>
      <w:r w:rsidRPr="00A44D52">
        <w:tab/>
        <w:t>The lessor is responsible for undertaking or arranging all readings or measurement of services, other than those that are connected in the name of the tenant.</w:t>
      </w:r>
    </w:p>
    <w:p w:rsidR="00450C28" w:rsidRPr="00A44D52" w:rsidRDefault="00450C28" w:rsidP="00775F61">
      <w:pPr>
        <w:tabs>
          <w:tab w:val="right" w:pos="1372"/>
          <w:tab w:val="left" w:pos="1568"/>
        </w:tabs>
        <w:spacing w:before="140"/>
        <w:ind w:left="1588" w:hanging="1588"/>
        <w:jc w:val="both"/>
      </w:pPr>
      <w:r w:rsidRPr="00A44D52">
        <w:tab/>
        <w:t>(2)</w:t>
      </w:r>
      <w:r w:rsidRPr="00A44D52">
        <w:tab/>
        <w:t>The lessor must provide the tenant with an opportunity to verify readings and measurements.</w:t>
      </w:r>
    </w:p>
    <w:p w:rsidR="00450C28" w:rsidRPr="00A44D52" w:rsidRDefault="00450C28" w:rsidP="00775F61">
      <w:pPr>
        <w:tabs>
          <w:tab w:val="right" w:pos="1372"/>
          <w:tab w:val="left" w:pos="1568"/>
        </w:tabs>
        <w:spacing w:before="140"/>
        <w:ind w:left="1588" w:hanging="1588"/>
        <w:jc w:val="both"/>
      </w:pPr>
      <w:r w:rsidRPr="00A44D52">
        <w:t>49</w:t>
      </w:r>
      <w:r w:rsidRPr="00A44D52">
        <w:tab/>
      </w:r>
      <w:r w:rsidRPr="00A44D52">
        <w:tab/>
        <w:t>If the lessor does not arrange reading or measurement of a service connected in the name of the lessor by the day after the date of expiry of notice to vacate given in accordance with this tenancy agreement or the Residential Tenancies Act, the lessor is be responsible for payment of the unread or unmeasured service after the date of the last reading or measurement.</w:t>
      </w:r>
    </w:p>
    <w:p w:rsidR="00450C28" w:rsidRPr="00A44D52" w:rsidRDefault="00450C28" w:rsidP="00775F61">
      <w:pPr>
        <w:keepLines/>
        <w:tabs>
          <w:tab w:val="right" w:pos="1372"/>
          <w:tab w:val="left" w:pos="1568"/>
        </w:tabs>
        <w:spacing w:before="140"/>
        <w:ind w:left="1588" w:hanging="1588"/>
        <w:jc w:val="both"/>
      </w:pPr>
      <w:r w:rsidRPr="00A44D52">
        <w:lastRenderedPageBreak/>
        <w:t>50</w:t>
      </w:r>
      <w:r w:rsidRPr="00A44D52">
        <w:tab/>
        <w:t>(1)</w:t>
      </w:r>
      <w:r w:rsidRPr="00A44D52">
        <w:tab/>
        <w:t>If the tenant vacates the premises without giving notice before departure, the lessor must arrange a reading or measurement of services connected in the lessor’s name within a reasonable time of the lessor becoming aware of the departure of the tenant.</w:t>
      </w:r>
    </w:p>
    <w:p w:rsidR="00450C28" w:rsidRPr="00A44D52" w:rsidRDefault="00450C28" w:rsidP="00775F61">
      <w:pPr>
        <w:tabs>
          <w:tab w:val="right" w:pos="1372"/>
          <w:tab w:val="left" w:pos="1568"/>
        </w:tabs>
        <w:spacing w:before="140"/>
        <w:ind w:left="1588" w:hanging="1588"/>
        <w:jc w:val="both"/>
      </w:pPr>
      <w:r w:rsidRPr="00A44D52">
        <w:tab/>
        <w:t>(2)</w:t>
      </w:r>
      <w:r w:rsidRPr="00A44D52">
        <w:tab/>
        <w:t>The tenant is responsible for payment of services to the date of that reading or measurement.</w:t>
      </w:r>
    </w:p>
    <w:p w:rsidR="00450C28" w:rsidRPr="0027007A" w:rsidRDefault="00450C28" w:rsidP="00775F61">
      <w:pPr>
        <w:keepNext/>
        <w:spacing w:before="180"/>
        <w:rPr>
          <w:rFonts w:ascii="Arial" w:hAnsi="Arial"/>
          <w:b/>
        </w:rPr>
      </w:pPr>
      <w:r w:rsidRPr="0027007A">
        <w:rPr>
          <w:rFonts w:ascii="Arial" w:hAnsi="Arial"/>
          <w:b/>
        </w:rPr>
        <w:t>Tenant’s use of the premises without interference</w:t>
      </w:r>
    </w:p>
    <w:p w:rsidR="00450C28" w:rsidRPr="00A44D52" w:rsidRDefault="00450C28" w:rsidP="00775F61">
      <w:pPr>
        <w:tabs>
          <w:tab w:val="right" w:pos="1372"/>
          <w:tab w:val="left" w:pos="1568"/>
        </w:tabs>
        <w:spacing w:before="140"/>
        <w:ind w:left="1588" w:hanging="1588"/>
        <w:jc w:val="both"/>
      </w:pPr>
      <w:r w:rsidRPr="00A44D52">
        <w:t>51</w:t>
      </w:r>
      <w:r w:rsidRPr="00A44D52">
        <w:tab/>
      </w:r>
      <w:r w:rsidRPr="00A44D52">
        <w:tab/>
        <w:t>The lessor guarantees that there is no legal impediment to the use of the premises for residential purposes by the tenant.</w:t>
      </w:r>
    </w:p>
    <w:p w:rsidR="00450C28" w:rsidRPr="00A44D52" w:rsidRDefault="00450C28" w:rsidP="00775F61">
      <w:pPr>
        <w:tabs>
          <w:tab w:val="right" w:pos="1372"/>
          <w:tab w:val="left" w:pos="1568"/>
        </w:tabs>
        <w:spacing w:before="140"/>
        <w:ind w:left="1588" w:hanging="1588"/>
        <w:jc w:val="both"/>
      </w:pPr>
      <w:r w:rsidRPr="00A44D52">
        <w:t>52</w:t>
      </w:r>
      <w:r w:rsidRPr="00A44D52">
        <w:tab/>
      </w:r>
      <w:r w:rsidRPr="00A44D52">
        <w:tab/>
        <w:t>The lessor must not cause or permit any interference with the reasonable peace, comfort or privacy of the tenant in the use by the tenant of the premises.</w:t>
      </w:r>
    </w:p>
    <w:p w:rsidR="00450C28" w:rsidRPr="00A44D52" w:rsidRDefault="00450C28" w:rsidP="00775F61">
      <w:pPr>
        <w:tabs>
          <w:tab w:val="right" w:pos="1372"/>
          <w:tab w:val="left" w:pos="1568"/>
        </w:tabs>
        <w:spacing w:before="140"/>
        <w:ind w:left="1588" w:hanging="1588"/>
        <w:jc w:val="both"/>
      </w:pPr>
      <w:r w:rsidRPr="00A44D52">
        <w:t>53</w:t>
      </w:r>
      <w:r w:rsidRPr="00A44D52">
        <w:tab/>
      </w:r>
      <w:r w:rsidRPr="00A44D52">
        <w:tab/>
        <w:t>Unless otherwise agreed in writing, the tenant has exclusive possession of the premises, as described in the agreement, from the date of commencement of the tenancy agreement provided for in the agreement.</w:t>
      </w:r>
    </w:p>
    <w:p w:rsidR="004A5BC3" w:rsidRPr="0017607E" w:rsidRDefault="004A5BC3" w:rsidP="00775F61">
      <w:pPr>
        <w:keepNext/>
        <w:spacing w:before="120" w:after="60"/>
        <w:rPr>
          <w:rFonts w:ascii="Arial" w:hAnsi="Arial"/>
          <w:b/>
          <w:sz w:val="28"/>
        </w:rPr>
      </w:pPr>
      <w:r w:rsidRPr="0017607E">
        <w:rPr>
          <w:rFonts w:ascii="Arial" w:hAnsi="Arial"/>
          <w:b/>
          <w:sz w:val="28"/>
        </w:rPr>
        <w:t xml:space="preserve">Lessor to install and maintain smoke alarms </w:t>
      </w:r>
    </w:p>
    <w:p w:rsidR="004A5BC3" w:rsidRPr="0027007A" w:rsidRDefault="004A5BC3" w:rsidP="00775F61">
      <w:pPr>
        <w:keepNext/>
        <w:spacing w:before="180"/>
        <w:rPr>
          <w:rFonts w:ascii="Arial" w:hAnsi="Arial"/>
          <w:b/>
        </w:rPr>
      </w:pPr>
      <w:r w:rsidRPr="0027007A">
        <w:rPr>
          <w:rFonts w:ascii="Arial" w:hAnsi="Arial"/>
          <w:b/>
        </w:rPr>
        <w:t>Lessor to install and maintain smoke alarms</w:t>
      </w:r>
    </w:p>
    <w:p w:rsidR="004A5BC3" w:rsidRPr="00A44D52" w:rsidRDefault="004A5BC3" w:rsidP="00775F61">
      <w:pPr>
        <w:tabs>
          <w:tab w:val="right" w:pos="1372"/>
          <w:tab w:val="left" w:pos="1568"/>
        </w:tabs>
        <w:spacing w:before="140"/>
        <w:ind w:left="1588" w:hanging="1588"/>
        <w:jc w:val="both"/>
      </w:pPr>
      <w:r w:rsidRPr="00A44D52">
        <w:t>53A</w:t>
      </w:r>
      <w:r w:rsidRPr="00A44D52">
        <w:tab/>
        <w:t>(1)</w:t>
      </w:r>
      <w:r w:rsidRPr="00A44D52">
        <w:tab/>
        <w:t>The lessor must install and maintain smoke alarms in the premises.</w:t>
      </w:r>
    </w:p>
    <w:p w:rsidR="004A5BC3" w:rsidRPr="00A44D52" w:rsidRDefault="004A5BC3" w:rsidP="00775F61">
      <w:pPr>
        <w:tabs>
          <w:tab w:val="right" w:pos="1372"/>
          <w:tab w:val="left" w:pos="1568"/>
        </w:tabs>
        <w:spacing w:before="140"/>
        <w:ind w:left="1588" w:hanging="1588"/>
        <w:jc w:val="both"/>
      </w:pPr>
      <w:r w:rsidRPr="00A44D52">
        <w:tab/>
        <w:t>(2)</w:t>
      </w:r>
      <w:r w:rsidRPr="00A44D52">
        <w:tab/>
        <w:t xml:space="preserve">The installation of the smoke alarms must comply with the </w:t>
      </w:r>
      <w:r w:rsidR="000B4AFE" w:rsidRPr="00A44D52">
        <w:t>requirements prescribed by regulation for the Residential Tenancies Act, section 11B</w:t>
      </w:r>
      <w:r w:rsidRPr="00A44D52">
        <w:t>.</w:t>
      </w:r>
    </w:p>
    <w:p w:rsidR="00450C28" w:rsidRDefault="00450C28" w:rsidP="00775F61">
      <w:pPr>
        <w:keepNext/>
        <w:spacing w:before="120" w:after="60"/>
        <w:rPr>
          <w:rFonts w:ascii="Arial" w:hAnsi="Arial"/>
          <w:b/>
          <w:sz w:val="28"/>
        </w:rPr>
      </w:pPr>
      <w:r>
        <w:rPr>
          <w:rFonts w:ascii="Arial" w:hAnsi="Arial"/>
          <w:b/>
          <w:sz w:val="28"/>
        </w:rPr>
        <w:lastRenderedPageBreak/>
        <w:t>Lessor to make repairs</w:t>
      </w:r>
    </w:p>
    <w:p w:rsidR="00450C28" w:rsidRDefault="00450C28" w:rsidP="00775F61">
      <w:pPr>
        <w:keepNext/>
        <w:spacing w:before="180"/>
        <w:rPr>
          <w:rFonts w:ascii="Arial" w:hAnsi="Arial"/>
          <w:b/>
        </w:rPr>
      </w:pPr>
      <w:r>
        <w:rPr>
          <w:rFonts w:ascii="Arial" w:hAnsi="Arial"/>
          <w:b/>
        </w:rPr>
        <w:t>Lessor to provide premises in a reasonable state at the start of the tenancy</w:t>
      </w:r>
    </w:p>
    <w:p w:rsidR="00450C28" w:rsidRPr="00A44D52" w:rsidRDefault="00450C28" w:rsidP="00775F61">
      <w:pPr>
        <w:keepNext/>
        <w:tabs>
          <w:tab w:val="right" w:pos="1372"/>
          <w:tab w:val="left" w:pos="1568"/>
        </w:tabs>
        <w:spacing w:before="140"/>
        <w:ind w:left="1588" w:hanging="1588"/>
        <w:jc w:val="both"/>
      </w:pPr>
      <w:r w:rsidRPr="00A44D52">
        <w:t>54</w:t>
      </w:r>
      <w:r w:rsidRPr="00A44D52">
        <w:tab/>
        <w:t>(1)</w:t>
      </w:r>
      <w:r w:rsidRPr="00A44D52">
        <w:tab/>
        <w:t>At the start of the tenancy, the lessor must ensure that the premises, including furniture, fittings and appliances (unless excluded from the tenancy agreement), are—</w:t>
      </w:r>
    </w:p>
    <w:p w:rsidR="00450C28" w:rsidRDefault="00450C28" w:rsidP="00775F61">
      <w:pPr>
        <w:tabs>
          <w:tab w:val="right" w:pos="1843"/>
          <w:tab w:val="left" w:pos="2127"/>
        </w:tabs>
        <w:spacing w:before="140"/>
        <w:ind w:left="2098" w:hanging="2098"/>
        <w:jc w:val="both"/>
      </w:pPr>
      <w:r>
        <w:tab/>
        <w:t>(a)</w:t>
      </w:r>
      <w:r>
        <w:tab/>
        <w:t>fit for habitation; and</w:t>
      </w:r>
    </w:p>
    <w:p w:rsidR="00450C28" w:rsidRDefault="00450C28" w:rsidP="00775F61">
      <w:pPr>
        <w:tabs>
          <w:tab w:val="right" w:pos="1843"/>
          <w:tab w:val="left" w:pos="2127"/>
        </w:tabs>
        <w:spacing w:before="140"/>
        <w:ind w:left="2098" w:hanging="2098"/>
        <w:jc w:val="both"/>
      </w:pPr>
      <w:r>
        <w:tab/>
        <w:t>(b)</w:t>
      </w:r>
      <w:r>
        <w:tab/>
        <w:t>reasonably clean; and</w:t>
      </w:r>
    </w:p>
    <w:p w:rsidR="00450C28" w:rsidRDefault="00450C28" w:rsidP="00775F61">
      <w:pPr>
        <w:tabs>
          <w:tab w:val="right" w:pos="1843"/>
          <w:tab w:val="left" w:pos="2127"/>
        </w:tabs>
        <w:spacing w:before="140"/>
        <w:ind w:left="2098" w:hanging="2098"/>
        <w:jc w:val="both"/>
      </w:pPr>
      <w:r>
        <w:tab/>
        <w:t>(c)</w:t>
      </w:r>
      <w:r>
        <w:tab/>
        <w:t>in a reasonable state of repair; and</w:t>
      </w:r>
    </w:p>
    <w:p w:rsidR="00450C28" w:rsidRDefault="00450C28" w:rsidP="00775F61">
      <w:pPr>
        <w:tabs>
          <w:tab w:val="right" w:pos="1843"/>
          <w:tab w:val="left" w:pos="2127"/>
        </w:tabs>
        <w:spacing w:before="140"/>
        <w:ind w:left="2098" w:hanging="2098"/>
        <w:jc w:val="both"/>
      </w:pPr>
      <w:r>
        <w:tab/>
        <w:t>(d)</w:t>
      </w:r>
      <w:r>
        <w:tab/>
        <w:t>reasonably secure.</w:t>
      </w:r>
    </w:p>
    <w:p w:rsidR="00450C28" w:rsidRPr="00A44D52" w:rsidRDefault="00450C28" w:rsidP="00775F61">
      <w:pPr>
        <w:tabs>
          <w:tab w:val="right" w:pos="1372"/>
          <w:tab w:val="left" w:pos="1568"/>
        </w:tabs>
        <w:spacing w:before="140"/>
        <w:ind w:left="1588" w:hanging="1588"/>
        <w:jc w:val="both"/>
      </w:pPr>
      <w:r w:rsidRPr="00A44D52">
        <w:tab/>
        <w:t>(2)</w:t>
      </w:r>
      <w:r w:rsidRPr="00A44D52">
        <w:tab/>
        <w:t>An exclusion must be in writing and may, but need not, be included in the tenancy agreement (if in writing).</w:t>
      </w:r>
    </w:p>
    <w:p w:rsidR="00450C28" w:rsidRPr="00A44D52" w:rsidRDefault="00450C28" w:rsidP="00775F61">
      <w:pPr>
        <w:tabs>
          <w:tab w:val="right" w:pos="1372"/>
          <w:tab w:val="left" w:pos="1568"/>
        </w:tabs>
        <w:spacing w:before="140"/>
        <w:ind w:left="1588" w:hanging="1588"/>
        <w:jc w:val="both"/>
      </w:pPr>
      <w:r w:rsidRPr="00A44D52">
        <w:tab/>
        <w:t>(3)</w:t>
      </w:r>
      <w:r w:rsidRPr="00A44D52">
        <w:tab/>
        <w:t>The lessor or the tenant may change locks (at his or her own cost unless otherwise agreed) with the agreement of the other party (which will not be unreasonably withheld).</w:t>
      </w:r>
    </w:p>
    <w:p w:rsidR="00450C28" w:rsidRPr="00A44D52" w:rsidRDefault="00450C28" w:rsidP="00775F61">
      <w:pPr>
        <w:tabs>
          <w:tab w:val="right" w:pos="1372"/>
          <w:tab w:val="left" w:pos="1568"/>
        </w:tabs>
        <w:spacing w:before="140"/>
        <w:ind w:left="1588" w:hanging="1588"/>
        <w:jc w:val="both"/>
      </w:pPr>
      <w:r w:rsidRPr="00A44D52">
        <w:tab/>
        <w:t>(4)</w:t>
      </w:r>
      <w:r w:rsidRPr="00A44D52">
        <w:tab/>
        <w:t>The lessor or the tenant may change locks (at his or her own cost) in an emergency without the agreement of the other party.</w:t>
      </w:r>
    </w:p>
    <w:p w:rsidR="004A5BC3" w:rsidRPr="00A44D52" w:rsidRDefault="004A5BC3" w:rsidP="00775F61">
      <w:pPr>
        <w:tabs>
          <w:tab w:val="right" w:pos="1372"/>
          <w:tab w:val="left" w:pos="1568"/>
        </w:tabs>
        <w:spacing w:before="140"/>
        <w:ind w:left="1588" w:hanging="1588"/>
        <w:jc w:val="both"/>
      </w:pPr>
      <w:r w:rsidRPr="00A44D52">
        <w:tab/>
        <w:t>(5)</w:t>
      </w:r>
      <w:r w:rsidRPr="00A44D52">
        <w:tab/>
        <w:t xml:space="preserve">If the tenant, or a person living at the premises, is a protected person in relation to an interim or final order made under the </w:t>
      </w:r>
      <w:hyperlink r:id="rId115" w:tooltip="A2016-42" w:history="1">
        <w:r w:rsidR="00A44D52" w:rsidRPr="00A03BC8">
          <w:rPr>
            <w:rStyle w:val="charCitHyperlinkItal"/>
          </w:rPr>
          <w:t>Family Violence Act 2016</w:t>
        </w:r>
      </w:hyperlink>
      <w:r w:rsidRPr="00A44D52">
        <w:t xml:space="preserve"> or the </w:t>
      </w:r>
      <w:hyperlink r:id="rId116" w:tooltip="A2016-43" w:history="1">
        <w:r w:rsidR="00A44D52" w:rsidRPr="00A44D52">
          <w:rPr>
            <w:rStyle w:val="charCitHyperlinkItal"/>
          </w:rPr>
          <w:t>Personal Violence Act 2016</w:t>
        </w:r>
      </w:hyperlink>
      <w:r w:rsidRPr="00A44D52">
        <w:t>, the tenant or person may change locks (at his or her own cost) without the agreement of the other party.</w:t>
      </w:r>
    </w:p>
    <w:p w:rsidR="004A5BC3" w:rsidRPr="00A44D52" w:rsidRDefault="004A5BC3" w:rsidP="00775F61">
      <w:pPr>
        <w:tabs>
          <w:tab w:val="right" w:pos="1372"/>
          <w:tab w:val="left" w:pos="1568"/>
        </w:tabs>
        <w:spacing w:before="140"/>
        <w:ind w:left="1588" w:hanging="1588"/>
        <w:jc w:val="both"/>
      </w:pPr>
      <w:r w:rsidRPr="00A44D52">
        <w:tab/>
        <w:t>(6)</w:t>
      </w:r>
      <w:r w:rsidRPr="00A44D52">
        <w:tab/>
        <w:t>If a lock is changed, a copy of the key to the changed lock must be provided to the other party as soon as possible unless doing so would affect the safety of a protected person.</w:t>
      </w:r>
    </w:p>
    <w:p w:rsidR="00450C28" w:rsidRPr="0027007A" w:rsidRDefault="00450C28" w:rsidP="00775F61">
      <w:pPr>
        <w:keepNext/>
        <w:spacing w:before="180"/>
        <w:rPr>
          <w:rFonts w:ascii="Arial" w:hAnsi="Arial"/>
          <w:b/>
        </w:rPr>
      </w:pPr>
      <w:r w:rsidRPr="0027007A">
        <w:rPr>
          <w:rFonts w:ascii="Arial" w:hAnsi="Arial"/>
          <w:b/>
        </w:rPr>
        <w:lastRenderedPageBreak/>
        <w:t>Lessor to make repairs</w:t>
      </w:r>
    </w:p>
    <w:p w:rsidR="00450C28" w:rsidRPr="00A44D52" w:rsidRDefault="00450C28" w:rsidP="00775F61">
      <w:pPr>
        <w:tabs>
          <w:tab w:val="right" w:pos="1372"/>
          <w:tab w:val="left" w:pos="1568"/>
        </w:tabs>
        <w:spacing w:before="140"/>
        <w:ind w:left="1588" w:hanging="1588"/>
        <w:jc w:val="both"/>
      </w:pPr>
      <w:r w:rsidRPr="00A44D52">
        <w:t>55</w:t>
      </w:r>
      <w:r w:rsidRPr="00A44D52">
        <w:tab/>
        <w:t>(1)</w:t>
      </w:r>
      <w:r w:rsidRPr="00A44D52">
        <w:tab/>
        <w:t>The lessor must maintain the premises in a reasonable state of repair having regard to their condition at the commencement of the tenancy agreement.</w:t>
      </w:r>
    </w:p>
    <w:p w:rsidR="00450C28" w:rsidRPr="00A44D52" w:rsidRDefault="00450C28" w:rsidP="00775F61">
      <w:pPr>
        <w:tabs>
          <w:tab w:val="right" w:pos="1372"/>
          <w:tab w:val="left" w:pos="1568"/>
        </w:tabs>
        <w:spacing w:before="140"/>
        <w:ind w:left="1588" w:hanging="1588"/>
        <w:jc w:val="both"/>
      </w:pPr>
      <w:r w:rsidRPr="00A44D52">
        <w:tab/>
        <w:t>(2)</w:t>
      </w:r>
      <w:r w:rsidRPr="00A44D52">
        <w:tab/>
        <w:t>The tenant must notify the lessor of any need for repairs.</w:t>
      </w:r>
    </w:p>
    <w:p w:rsidR="00450C28" w:rsidRPr="00A44D52" w:rsidRDefault="00450C28" w:rsidP="00775F61">
      <w:pPr>
        <w:tabs>
          <w:tab w:val="right" w:pos="1372"/>
          <w:tab w:val="left" w:pos="1568"/>
        </w:tabs>
        <w:spacing w:before="140"/>
        <w:ind w:left="1588" w:hanging="1588"/>
        <w:jc w:val="both"/>
      </w:pPr>
      <w:r w:rsidRPr="00A44D52">
        <w:tab/>
        <w:t>(3)</w:t>
      </w:r>
      <w:r w:rsidRPr="00A44D52">
        <w:tab/>
        <w:t>This section does not require the tenant to notify the lessor about anything that an ordinary tenant would reasonably be expected to do, for example, changing a light globe or a fuse.</w:t>
      </w:r>
    </w:p>
    <w:p w:rsidR="00450C28" w:rsidRPr="00A44D52" w:rsidRDefault="00450C28" w:rsidP="00775F61">
      <w:pPr>
        <w:tabs>
          <w:tab w:val="right" w:pos="1372"/>
          <w:tab w:val="left" w:pos="1568"/>
        </w:tabs>
        <w:spacing w:before="140"/>
        <w:ind w:left="1588" w:hanging="1588"/>
        <w:jc w:val="both"/>
      </w:pPr>
      <w:r w:rsidRPr="00A44D52">
        <w:t>56</w:t>
      </w:r>
      <w:r w:rsidRPr="00A44D52">
        <w:tab/>
      </w:r>
      <w:r w:rsidRPr="00A44D52">
        <w:tab/>
        <w:t>The lessor is not obliged to repair damage caused by the negligence or wilful act of the tenant.</w:t>
      </w:r>
    </w:p>
    <w:p w:rsidR="00450C28" w:rsidRPr="00A44D52" w:rsidRDefault="00450C28" w:rsidP="00775F61">
      <w:pPr>
        <w:tabs>
          <w:tab w:val="right" w:pos="1372"/>
          <w:tab w:val="left" w:pos="1568"/>
        </w:tabs>
        <w:spacing w:before="140"/>
        <w:ind w:left="1588" w:hanging="1588"/>
        <w:jc w:val="both"/>
      </w:pPr>
      <w:r w:rsidRPr="00A44D52">
        <w:t>57</w:t>
      </w:r>
      <w:r w:rsidRPr="00A44D52">
        <w:tab/>
      </w:r>
      <w:r w:rsidRPr="00A44D52">
        <w:tab/>
        <w:t>Subject to clause 55, the lessor must make repairs, other than urgent repairs, within 4 weeks of being notified of the need for the repairs (unless otherwise agreed).</w:t>
      </w:r>
    </w:p>
    <w:p w:rsidR="00450C28" w:rsidRPr="0027007A" w:rsidRDefault="00450C28" w:rsidP="00775F61">
      <w:pPr>
        <w:keepNext/>
        <w:spacing w:before="180"/>
        <w:rPr>
          <w:rFonts w:ascii="Arial" w:hAnsi="Arial"/>
          <w:b/>
        </w:rPr>
      </w:pPr>
      <w:r w:rsidRPr="0027007A">
        <w:rPr>
          <w:rFonts w:ascii="Arial" w:hAnsi="Arial"/>
          <w:b/>
        </w:rPr>
        <w:t xml:space="preserve">Repairs in unit title premises </w:t>
      </w:r>
    </w:p>
    <w:p w:rsidR="00450C28" w:rsidRPr="00A44D52" w:rsidRDefault="00450C28" w:rsidP="00775F61">
      <w:pPr>
        <w:tabs>
          <w:tab w:val="right" w:pos="1372"/>
          <w:tab w:val="left" w:pos="1568"/>
        </w:tabs>
        <w:spacing w:before="140"/>
        <w:ind w:left="1588" w:hanging="1588"/>
        <w:jc w:val="both"/>
      </w:pPr>
      <w:r w:rsidRPr="00A44D52">
        <w:t>58</w:t>
      </w:r>
      <w:r w:rsidRPr="00A44D52">
        <w:tab/>
      </w:r>
      <w:r w:rsidRPr="00A44D52">
        <w:tab/>
        <w:t xml:space="preserve">If the premises are a unit under the </w:t>
      </w:r>
      <w:hyperlink r:id="rId117" w:tooltip="A2001-16" w:history="1">
        <w:r w:rsidR="00A44D52" w:rsidRPr="00A03BC8">
          <w:rPr>
            <w:rStyle w:val="charCitHyperlinkItal"/>
          </w:rPr>
          <w:t>Unit Titles Act 2001</w:t>
        </w:r>
      </w:hyperlink>
      <w:r w:rsidRPr="00A44D52">
        <w:t>, and the tenant’s use and enjoyment of the premises reasonably requires repairs to the common property, the lessor must take all steps necessary to require the owners corporation to make the repairs as quickly as possible.</w:t>
      </w:r>
    </w:p>
    <w:p w:rsidR="00450C28" w:rsidRPr="0027007A" w:rsidRDefault="00450C28" w:rsidP="00775F61">
      <w:pPr>
        <w:keepNext/>
        <w:spacing w:before="180"/>
        <w:rPr>
          <w:rFonts w:ascii="Arial" w:hAnsi="Arial"/>
          <w:b/>
        </w:rPr>
      </w:pPr>
      <w:r w:rsidRPr="0027007A">
        <w:rPr>
          <w:rFonts w:ascii="Arial" w:hAnsi="Arial"/>
          <w:b/>
        </w:rPr>
        <w:t>Urgent repairs</w:t>
      </w:r>
    </w:p>
    <w:p w:rsidR="00450C28" w:rsidRPr="00A44D52" w:rsidRDefault="00450C28" w:rsidP="00775F61">
      <w:pPr>
        <w:tabs>
          <w:tab w:val="right" w:pos="1372"/>
          <w:tab w:val="left" w:pos="1568"/>
        </w:tabs>
        <w:spacing w:before="140"/>
        <w:ind w:left="1588" w:hanging="1588"/>
        <w:jc w:val="both"/>
      </w:pPr>
      <w:r w:rsidRPr="00A44D52">
        <w:t>59</w:t>
      </w:r>
      <w:r w:rsidRPr="00A44D52">
        <w:tab/>
      </w:r>
      <w:r w:rsidRPr="00A44D52">
        <w:tab/>
        <w:t>The tenant must notify the lessor (or the lessor’s nominee) of the need for urgent repairs as soon as practicable, and the lessor must, subject to clause 82, carry out those repairs as soon as necessary, having regard to the nature of the problem.</w:t>
      </w:r>
    </w:p>
    <w:p w:rsidR="00450C28" w:rsidRPr="00A44D52" w:rsidRDefault="00450C28" w:rsidP="00775F61">
      <w:pPr>
        <w:tabs>
          <w:tab w:val="right" w:pos="1372"/>
          <w:tab w:val="left" w:pos="1568"/>
        </w:tabs>
        <w:spacing w:before="140"/>
        <w:ind w:left="1588" w:hanging="1588"/>
        <w:jc w:val="both"/>
      </w:pPr>
      <w:r w:rsidRPr="00A44D52">
        <w:t>60</w:t>
      </w:r>
      <w:r w:rsidRPr="00A44D52">
        <w:tab/>
      </w:r>
      <w:r w:rsidRPr="00A44D52">
        <w:tab/>
        <w:t>The following are urgent repairs in relation to the premises, or services or fixtures supplied by the lessor:</w:t>
      </w:r>
    </w:p>
    <w:p w:rsidR="00450C28" w:rsidRDefault="00450C28" w:rsidP="00775F61">
      <w:pPr>
        <w:tabs>
          <w:tab w:val="right" w:pos="1843"/>
          <w:tab w:val="left" w:pos="2127"/>
        </w:tabs>
        <w:spacing w:before="140"/>
        <w:ind w:left="2098" w:hanging="2098"/>
        <w:jc w:val="both"/>
      </w:pPr>
      <w:r>
        <w:tab/>
        <w:t>(a)</w:t>
      </w:r>
      <w:r>
        <w:tab/>
        <w:t>a burst water service;</w:t>
      </w:r>
    </w:p>
    <w:p w:rsidR="00450C28" w:rsidRDefault="00450C28" w:rsidP="00775F61">
      <w:pPr>
        <w:tabs>
          <w:tab w:val="right" w:pos="1843"/>
          <w:tab w:val="left" w:pos="2127"/>
        </w:tabs>
        <w:spacing w:before="140"/>
        <w:ind w:left="2098" w:hanging="2098"/>
        <w:jc w:val="both"/>
      </w:pPr>
      <w:r>
        <w:tab/>
        <w:t>(b)</w:t>
      </w:r>
      <w:r>
        <w:tab/>
        <w:t>a blocked or broken lavatory system;</w:t>
      </w:r>
    </w:p>
    <w:p w:rsidR="00450C28" w:rsidRDefault="00450C28" w:rsidP="00775F61">
      <w:pPr>
        <w:tabs>
          <w:tab w:val="right" w:pos="1843"/>
          <w:tab w:val="left" w:pos="2127"/>
        </w:tabs>
        <w:spacing w:before="140"/>
        <w:ind w:left="2098" w:hanging="2098"/>
        <w:jc w:val="both"/>
      </w:pPr>
      <w:r>
        <w:lastRenderedPageBreak/>
        <w:tab/>
        <w:t>(c)</w:t>
      </w:r>
      <w:r>
        <w:tab/>
        <w:t>a serious roof leak;</w:t>
      </w:r>
    </w:p>
    <w:p w:rsidR="00450C28" w:rsidRDefault="00450C28" w:rsidP="00775F61">
      <w:pPr>
        <w:tabs>
          <w:tab w:val="right" w:pos="1843"/>
          <w:tab w:val="left" w:pos="2127"/>
        </w:tabs>
        <w:spacing w:before="140"/>
        <w:ind w:left="2098" w:hanging="2098"/>
        <w:jc w:val="both"/>
      </w:pPr>
      <w:r>
        <w:tab/>
        <w:t>(d)</w:t>
      </w:r>
      <w:r>
        <w:tab/>
        <w:t>a gas leak;</w:t>
      </w:r>
    </w:p>
    <w:p w:rsidR="00450C28" w:rsidRDefault="00450C28" w:rsidP="00775F61">
      <w:pPr>
        <w:tabs>
          <w:tab w:val="right" w:pos="1843"/>
          <w:tab w:val="left" w:pos="2127"/>
        </w:tabs>
        <w:spacing w:before="140"/>
        <w:ind w:left="2098" w:hanging="2098"/>
        <w:jc w:val="both"/>
      </w:pPr>
      <w:r>
        <w:tab/>
        <w:t>(e)</w:t>
      </w:r>
      <w:r>
        <w:tab/>
        <w:t>a dangerous electrical fault;</w:t>
      </w:r>
    </w:p>
    <w:p w:rsidR="00450C28" w:rsidRDefault="00450C28" w:rsidP="00775F61">
      <w:pPr>
        <w:tabs>
          <w:tab w:val="right" w:pos="1843"/>
          <w:tab w:val="left" w:pos="2127"/>
        </w:tabs>
        <w:spacing w:before="140"/>
        <w:ind w:left="2098" w:hanging="2098"/>
        <w:jc w:val="both"/>
      </w:pPr>
      <w:r>
        <w:tab/>
        <w:t>(f)</w:t>
      </w:r>
      <w:r>
        <w:tab/>
        <w:t>flooding or serious flood damage;</w:t>
      </w:r>
    </w:p>
    <w:p w:rsidR="00450C28" w:rsidRDefault="00450C28" w:rsidP="00775F61">
      <w:pPr>
        <w:tabs>
          <w:tab w:val="right" w:pos="1843"/>
          <w:tab w:val="left" w:pos="2127"/>
        </w:tabs>
        <w:spacing w:before="140"/>
        <w:ind w:left="2098" w:hanging="2098"/>
        <w:jc w:val="both"/>
      </w:pPr>
      <w:r>
        <w:tab/>
        <w:t>(g)</w:t>
      </w:r>
      <w:r>
        <w:tab/>
        <w:t>serious storm or fire damage;</w:t>
      </w:r>
    </w:p>
    <w:p w:rsidR="00450C28" w:rsidRDefault="00450C28" w:rsidP="00775F61">
      <w:pPr>
        <w:tabs>
          <w:tab w:val="right" w:pos="1843"/>
          <w:tab w:val="left" w:pos="2127"/>
        </w:tabs>
        <w:spacing w:before="140"/>
        <w:ind w:left="2098" w:hanging="2098"/>
        <w:jc w:val="both"/>
      </w:pPr>
      <w:r>
        <w:tab/>
        <w:t>(h)</w:t>
      </w:r>
      <w:r>
        <w:tab/>
        <w:t>a failure of gas, electricity or water supply to the premises;</w:t>
      </w:r>
    </w:p>
    <w:p w:rsidR="00450C28" w:rsidRDefault="00450C28" w:rsidP="00775F61">
      <w:pPr>
        <w:tabs>
          <w:tab w:val="right" w:pos="1843"/>
          <w:tab w:val="left" w:pos="2127"/>
        </w:tabs>
        <w:spacing w:before="140"/>
        <w:ind w:left="2098" w:hanging="2098"/>
        <w:jc w:val="both"/>
      </w:pPr>
      <w:r>
        <w:tab/>
        <w:t>(i)</w:t>
      </w:r>
      <w:r>
        <w:tab/>
        <w:t>the failure of a refrigerator supplied with the premises;</w:t>
      </w:r>
    </w:p>
    <w:p w:rsidR="00450C28" w:rsidRDefault="00450C28" w:rsidP="00775F61">
      <w:pPr>
        <w:tabs>
          <w:tab w:val="right" w:pos="1843"/>
          <w:tab w:val="left" w:pos="2127"/>
        </w:tabs>
        <w:spacing w:before="140"/>
        <w:ind w:left="2098" w:hanging="2098"/>
        <w:jc w:val="both"/>
      </w:pPr>
      <w:r>
        <w:tab/>
        <w:t>(j)</w:t>
      </w:r>
      <w:r>
        <w:tab/>
        <w:t>a failure or breakdown of any service on the premises essential for hot water, cooking, heating or laundering;</w:t>
      </w:r>
    </w:p>
    <w:p w:rsidR="00450C28" w:rsidRDefault="00450C28" w:rsidP="00775F61">
      <w:pPr>
        <w:tabs>
          <w:tab w:val="right" w:pos="1843"/>
          <w:tab w:val="left" w:pos="2127"/>
        </w:tabs>
        <w:spacing w:before="140"/>
        <w:ind w:left="2098" w:hanging="2098"/>
        <w:jc w:val="both"/>
      </w:pPr>
      <w:r>
        <w:tab/>
        <w:t>(k)</w:t>
      </w:r>
      <w:r>
        <w:tab/>
        <w:t>a fault or damage that causes the residential premises to be unsafe or insecure;</w:t>
      </w:r>
    </w:p>
    <w:p w:rsidR="00450C28" w:rsidRDefault="00450C28" w:rsidP="00775F61">
      <w:pPr>
        <w:tabs>
          <w:tab w:val="right" w:pos="1843"/>
          <w:tab w:val="left" w:pos="2127"/>
        </w:tabs>
        <w:spacing w:before="140"/>
        <w:ind w:left="2098" w:hanging="2098"/>
        <w:jc w:val="both"/>
      </w:pPr>
      <w:r>
        <w:tab/>
        <w:t>(l)</w:t>
      </w:r>
      <w:r>
        <w:tab/>
        <w:t xml:space="preserve">a fault or damage likely to cause injury to person or property; </w:t>
      </w:r>
    </w:p>
    <w:p w:rsidR="00450C28" w:rsidRDefault="00450C28" w:rsidP="00775F61">
      <w:pPr>
        <w:tabs>
          <w:tab w:val="right" w:pos="1843"/>
          <w:tab w:val="left" w:pos="2127"/>
        </w:tabs>
        <w:spacing w:before="140"/>
        <w:ind w:left="2098" w:hanging="2098"/>
        <w:jc w:val="both"/>
      </w:pPr>
      <w:r>
        <w:tab/>
        <w:t>(m)</w:t>
      </w:r>
      <w:r>
        <w:tab/>
        <w:t>a serious fault in any door, staircase, lift or other common area that inhibits or unduly inconveniences the tenant in gaining access to and use of the premises.</w:t>
      </w:r>
    </w:p>
    <w:p w:rsidR="00450C28" w:rsidRPr="0027007A" w:rsidRDefault="00450C28" w:rsidP="00775F61">
      <w:pPr>
        <w:keepNext/>
        <w:spacing w:before="180"/>
        <w:rPr>
          <w:rFonts w:ascii="Arial" w:hAnsi="Arial"/>
          <w:b/>
        </w:rPr>
      </w:pPr>
      <w:r w:rsidRPr="0027007A">
        <w:rPr>
          <w:rFonts w:ascii="Arial" w:hAnsi="Arial"/>
          <w:b/>
        </w:rPr>
        <w:t>Tenant may authorise urgent repairs in certain circumstances</w:t>
      </w:r>
    </w:p>
    <w:p w:rsidR="00450C28" w:rsidRPr="00A44D52" w:rsidRDefault="00450C28" w:rsidP="00775F61">
      <w:pPr>
        <w:tabs>
          <w:tab w:val="right" w:pos="1372"/>
          <w:tab w:val="left" w:pos="1568"/>
        </w:tabs>
        <w:spacing w:before="140"/>
        <w:ind w:left="1588" w:hanging="1588"/>
        <w:jc w:val="both"/>
      </w:pPr>
      <w:r w:rsidRPr="00A44D52">
        <w:t>61</w:t>
      </w:r>
      <w:r w:rsidRPr="00A44D52">
        <w:tab/>
      </w:r>
      <w:r w:rsidRPr="00A44D52">
        <w:tab/>
        <w:t>If the lessor (or the lessor’s nominee) cannot be contacted, or fails to effect the urgent repairs within a reasonable time, the tenant may arrange for urgent repairs to be effected to a maximum value of up to 5% of the rent of the property over a year.</w:t>
      </w:r>
    </w:p>
    <w:p w:rsidR="00450C28" w:rsidRPr="00A44D52" w:rsidRDefault="00450C28" w:rsidP="00775F61">
      <w:pPr>
        <w:tabs>
          <w:tab w:val="right" w:pos="1372"/>
          <w:tab w:val="left" w:pos="1568"/>
        </w:tabs>
        <w:spacing w:before="140"/>
        <w:ind w:left="1588" w:hanging="1588"/>
        <w:jc w:val="both"/>
      </w:pPr>
      <w:r w:rsidRPr="00A44D52">
        <w:t>62</w:t>
      </w:r>
      <w:r w:rsidRPr="00A44D52">
        <w:tab/>
      </w:r>
      <w:r w:rsidRPr="00A44D52">
        <w:tab/>
        <w:t>The following procedures apply to urgent repairs arranged by the tenant:</w:t>
      </w:r>
    </w:p>
    <w:p w:rsidR="00450C28" w:rsidRDefault="00450C28" w:rsidP="00775F61">
      <w:pPr>
        <w:tabs>
          <w:tab w:val="right" w:pos="1843"/>
          <w:tab w:val="left" w:pos="2127"/>
        </w:tabs>
        <w:spacing w:before="140"/>
        <w:ind w:left="2098" w:hanging="2098"/>
        <w:jc w:val="both"/>
      </w:pPr>
      <w:r>
        <w:tab/>
        <w:t>(a)</w:t>
      </w:r>
      <w:r>
        <w:tab/>
        <w:t xml:space="preserve">the repairs arranged by the tenant must be made by the qualified tradesperson nominated by the lessor in the tenancy agreement; </w:t>
      </w:r>
    </w:p>
    <w:p w:rsidR="00450C28" w:rsidRDefault="00450C28" w:rsidP="00775F61">
      <w:pPr>
        <w:tabs>
          <w:tab w:val="right" w:pos="1843"/>
          <w:tab w:val="left" w:pos="2127"/>
        </w:tabs>
        <w:spacing w:before="140"/>
        <w:ind w:left="2098" w:hanging="2098"/>
        <w:jc w:val="both"/>
      </w:pPr>
      <w:r>
        <w:lastRenderedPageBreak/>
        <w:tab/>
        <w:t>(b)</w:t>
      </w:r>
      <w:r>
        <w:tab/>
        <w:t>if the lessor has not nominated a tradesperson, or the nominated tradesperson cannot be contacted or is otherwise unavailable—the repairs must be performed by a qualified tradesperson of the tenant’s choosing;</w:t>
      </w:r>
    </w:p>
    <w:p w:rsidR="00450C28" w:rsidRDefault="00450C28" w:rsidP="00775F61">
      <w:pPr>
        <w:tabs>
          <w:tab w:val="right" w:pos="1843"/>
          <w:tab w:val="left" w:pos="2127"/>
        </w:tabs>
        <w:spacing w:before="140"/>
        <w:ind w:left="2098" w:hanging="2098"/>
        <w:jc w:val="both"/>
      </w:pPr>
      <w:r>
        <w:tab/>
        <w:t>(c)</w:t>
      </w:r>
      <w:r>
        <w:tab/>
        <w:t>if the repairs are arranged by the tenant in accordance with these procedures—the lessor is liable for the cost of repairs and the tradesperson may bill the lessor direct;</w:t>
      </w:r>
    </w:p>
    <w:p w:rsidR="00450C28" w:rsidRDefault="00450C28" w:rsidP="00775F61">
      <w:pPr>
        <w:tabs>
          <w:tab w:val="right" w:pos="1843"/>
          <w:tab w:val="left" w:pos="2127"/>
        </w:tabs>
        <w:spacing w:before="140"/>
        <w:ind w:left="2098" w:hanging="2098"/>
        <w:jc w:val="both"/>
      </w:pPr>
      <w:r>
        <w:tab/>
        <w:t>(d)</w:t>
      </w:r>
      <w:r>
        <w:tab/>
        <w:t>if the tenant does not act in strict compliance with this clause—the tenant is personally liable for the cost of any urgent repairs arranged by the tenant.</w:t>
      </w:r>
    </w:p>
    <w:p w:rsidR="00450C28" w:rsidRDefault="00450C28" w:rsidP="00775F61">
      <w:pPr>
        <w:spacing w:before="120" w:after="60"/>
        <w:rPr>
          <w:rFonts w:ascii="Arial" w:hAnsi="Arial"/>
          <w:b/>
          <w:sz w:val="28"/>
        </w:rPr>
      </w:pPr>
      <w:r>
        <w:rPr>
          <w:rFonts w:ascii="Arial" w:hAnsi="Arial"/>
          <w:b/>
          <w:sz w:val="28"/>
        </w:rPr>
        <w:t>Tenant to look after the premises</w:t>
      </w:r>
    </w:p>
    <w:p w:rsidR="00450C28" w:rsidRDefault="00450C28" w:rsidP="00775F61">
      <w:pPr>
        <w:keepNext/>
        <w:spacing w:before="180"/>
        <w:rPr>
          <w:rFonts w:ascii="Arial" w:hAnsi="Arial"/>
          <w:b/>
        </w:rPr>
      </w:pPr>
      <w:r>
        <w:rPr>
          <w:rFonts w:ascii="Arial" w:hAnsi="Arial"/>
          <w:b/>
        </w:rPr>
        <w:t>The tenant must take reasonable care of the premises and keep the premises reasonably clean</w:t>
      </w:r>
    </w:p>
    <w:p w:rsidR="00450C28" w:rsidRPr="00A44D52" w:rsidRDefault="00450C28" w:rsidP="00775F61">
      <w:pPr>
        <w:tabs>
          <w:tab w:val="right" w:pos="1372"/>
          <w:tab w:val="left" w:pos="1568"/>
        </w:tabs>
        <w:spacing w:before="140"/>
        <w:ind w:left="1588" w:hanging="1588"/>
        <w:jc w:val="both"/>
      </w:pPr>
      <w:r w:rsidRPr="00A44D52">
        <w:t>63</w:t>
      </w:r>
      <w:r w:rsidRPr="00A44D52">
        <w:tab/>
      </w:r>
      <w:r w:rsidRPr="00A44D52">
        <w:tab/>
        <w:t>During the tenancy, the tenant must—</w:t>
      </w:r>
    </w:p>
    <w:p w:rsidR="00450C28" w:rsidRDefault="00450C28" w:rsidP="00775F61">
      <w:pPr>
        <w:tabs>
          <w:tab w:val="right" w:pos="1843"/>
          <w:tab w:val="left" w:pos="2127"/>
        </w:tabs>
        <w:spacing w:before="140"/>
        <w:ind w:left="2098" w:hanging="2098"/>
        <w:jc w:val="both"/>
      </w:pPr>
      <w:r>
        <w:tab/>
        <w:t>(a)</w:t>
      </w:r>
      <w:r>
        <w:tab/>
        <w:t>not intentionally or negligently damage the premises or permit such damage; and</w:t>
      </w:r>
    </w:p>
    <w:p w:rsidR="00450C28" w:rsidRDefault="00450C28" w:rsidP="00775F61">
      <w:pPr>
        <w:tabs>
          <w:tab w:val="right" w:pos="1843"/>
          <w:tab w:val="left" w:pos="2127"/>
        </w:tabs>
        <w:spacing w:before="140"/>
        <w:ind w:left="2098" w:hanging="2098"/>
        <w:jc w:val="both"/>
      </w:pPr>
      <w:r>
        <w:tab/>
        <w:t>(b)</w:t>
      </w:r>
      <w:r>
        <w:tab/>
        <w:t>notify the lessor of any damage as soon as possible; and</w:t>
      </w:r>
    </w:p>
    <w:p w:rsidR="00450C28" w:rsidRDefault="00450C28" w:rsidP="00775F61">
      <w:pPr>
        <w:tabs>
          <w:tab w:val="right" w:pos="1843"/>
          <w:tab w:val="left" w:pos="2127"/>
        </w:tabs>
        <w:spacing w:before="140"/>
        <w:ind w:left="2098" w:hanging="2098"/>
        <w:jc w:val="both"/>
      </w:pPr>
      <w:r>
        <w:tab/>
        <w:t>(c)</w:t>
      </w:r>
      <w:r>
        <w:tab/>
        <w:t>take reasonable care of the premises and their contents, and keep them reasonably clean, having regard to their condition at the time of the commencement of the tenancy and the normal incidents of living.</w:t>
      </w:r>
    </w:p>
    <w:p w:rsidR="004A5BC3" w:rsidRPr="00A44D52" w:rsidRDefault="004A5BC3" w:rsidP="00775F61">
      <w:pPr>
        <w:tabs>
          <w:tab w:val="right" w:pos="1372"/>
          <w:tab w:val="left" w:pos="1568"/>
        </w:tabs>
        <w:spacing w:before="140"/>
        <w:ind w:left="1588" w:hanging="1588"/>
        <w:jc w:val="both"/>
      </w:pPr>
      <w:r w:rsidRPr="00A44D52">
        <w:t>63A</w:t>
      </w:r>
      <w:r w:rsidRPr="00A44D52">
        <w:tab/>
      </w:r>
      <w:r w:rsidRPr="00A44D52">
        <w:tab/>
        <w:t>The tenant must replace the battery in a smoke alarm installed in the premises whenever necessary.</w:t>
      </w:r>
    </w:p>
    <w:p w:rsidR="00450C28" w:rsidRPr="00A44D52" w:rsidRDefault="00450C28" w:rsidP="00775F61">
      <w:pPr>
        <w:tabs>
          <w:tab w:val="right" w:pos="1372"/>
          <w:tab w:val="left" w:pos="1568"/>
        </w:tabs>
        <w:spacing w:before="140"/>
        <w:ind w:left="1588" w:hanging="1588"/>
        <w:jc w:val="both"/>
      </w:pPr>
      <w:r w:rsidRPr="00A44D52">
        <w:t>64</w:t>
      </w:r>
      <w:r w:rsidRPr="00A44D52">
        <w:tab/>
      </w:r>
      <w:r w:rsidRPr="00A44D52">
        <w:tab/>
        <w:t>The tenant must leave the premises—</w:t>
      </w:r>
    </w:p>
    <w:p w:rsidR="00450C28" w:rsidRDefault="00450C28" w:rsidP="00775F61">
      <w:pPr>
        <w:tabs>
          <w:tab w:val="right" w:pos="1843"/>
          <w:tab w:val="left" w:pos="2127"/>
        </w:tabs>
        <w:spacing w:before="140"/>
        <w:ind w:left="2098" w:hanging="2098"/>
        <w:jc w:val="both"/>
      </w:pPr>
      <w:r>
        <w:tab/>
        <w:t>(a)</w:t>
      </w:r>
      <w:r>
        <w:tab/>
        <w:t>in substantially the same state of cleanliness, removing all the tenant’s belongings and any other goods brought onto the premises during the duration of the tenancy agreement; and</w:t>
      </w:r>
    </w:p>
    <w:p w:rsidR="00450C28" w:rsidRDefault="00450C28" w:rsidP="00775F61">
      <w:pPr>
        <w:tabs>
          <w:tab w:val="right" w:pos="1843"/>
          <w:tab w:val="left" w:pos="2127"/>
        </w:tabs>
        <w:spacing w:before="140"/>
        <w:ind w:left="2098" w:hanging="2098"/>
        <w:jc w:val="both"/>
      </w:pPr>
      <w:r>
        <w:lastRenderedPageBreak/>
        <w:tab/>
        <w:t>(b)</w:t>
      </w:r>
      <w:r>
        <w:tab/>
        <w:t>in substantially the same condition as the premises were in at the commencement of the tenancy agreement, fair wear and tear excepted.</w:t>
      </w:r>
    </w:p>
    <w:p w:rsidR="00450C28" w:rsidRPr="00A44D52" w:rsidRDefault="00450C28" w:rsidP="00775F61">
      <w:pPr>
        <w:tabs>
          <w:tab w:val="right" w:pos="1372"/>
          <w:tab w:val="left" w:pos="1568"/>
        </w:tabs>
        <w:spacing w:before="140"/>
        <w:ind w:left="1588" w:hanging="1588"/>
        <w:jc w:val="both"/>
      </w:pPr>
      <w:r w:rsidRPr="00A44D52">
        <w:t>65</w:t>
      </w:r>
      <w:r w:rsidRPr="00A44D52">
        <w:tab/>
      </w:r>
      <w:r w:rsidRPr="00A44D52">
        <w:tab/>
        <w:t>The lessor must not require the tenant to make alterations, improvements or renovations to the premises.</w:t>
      </w:r>
    </w:p>
    <w:p w:rsidR="0070373A" w:rsidRPr="0027007A" w:rsidRDefault="0070373A" w:rsidP="00775F61">
      <w:pPr>
        <w:keepNext/>
        <w:spacing w:before="180"/>
        <w:rPr>
          <w:rFonts w:ascii="Arial" w:hAnsi="Arial"/>
          <w:b/>
        </w:rPr>
      </w:pPr>
      <w:r w:rsidRPr="0027007A">
        <w:rPr>
          <w:rFonts w:ascii="Arial" w:hAnsi="Arial"/>
          <w:b/>
        </w:rPr>
        <w:t>Tenant of unit to comply with owners corporation’s rules</w:t>
      </w:r>
    </w:p>
    <w:p w:rsidR="0070373A" w:rsidRPr="00A44D52" w:rsidRDefault="0070373A" w:rsidP="00775F61">
      <w:pPr>
        <w:tabs>
          <w:tab w:val="right" w:pos="1372"/>
          <w:tab w:val="left" w:pos="1568"/>
        </w:tabs>
        <w:spacing w:before="140"/>
        <w:ind w:left="1588" w:hanging="1588"/>
        <w:jc w:val="both"/>
      </w:pPr>
      <w:r w:rsidRPr="00A44D52">
        <w:t>66</w:t>
      </w:r>
      <w:r w:rsidRPr="00A44D52">
        <w:tab/>
      </w:r>
      <w:r w:rsidRPr="00A44D52">
        <w:tab/>
        <w:t xml:space="preserve">If the premises are a unit under the </w:t>
      </w:r>
      <w:hyperlink r:id="rId118" w:tooltip="A2001-16" w:history="1">
        <w:r w:rsidR="00A44D52" w:rsidRPr="00A03BC8">
          <w:rPr>
            <w:rStyle w:val="charCitHyperlinkItal"/>
          </w:rPr>
          <w:t>Unit Titles Act 2001</w:t>
        </w:r>
      </w:hyperlink>
      <w:r w:rsidRPr="00A44D52">
        <w:t>, the tenant must comply with the owners corporation’s rules, and with any notice served in accordance with the rules, to the extent that they are not inconsistent with the standard residential tenancy terms in this agreement.</w:t>
      </w:r>
    </w:p>
    <w:p w:rsidR="00450C28" w:rsidRDefault="00450C28" w:rsidP="00775F61">
      <w:pPr>
        <w:keepNext/>
        <w:spacing w:before="180"/>
        <w:rPr>
          <w:rFonts w:ascii="Arial" w:hAnsi="Arial"/>
          <w:b/>
        </w:rPr>
      </w:pPr>
      <w:r>
        <w:rPr>
          <w:rFonts w:ascii="Arial" w:hAnsi="Arial"/>
          <w:b/>
        </w:rPr>
        <w:t>Tenant must make no alterations and must not add any fixtures or fittings without the consent of lessor</w:t>
      </w:r>
    </w:p>
    <w:p w:rsidR="00A41EB1" w:rsidRPr="00604238" w:rsidRDefault="00A41EB1" w:rsidP="00A41EB1">
      <w:pPr>
        <w:tabs>
          <w:tab w:val="right" w:pos="1372"/>
          <w:tab w:val="left" w:pos="1568"/>
        </w:tabs>
        <w:spacing w:before="140"/>
        <w:ind w:left="1588" w:hanging="1588"/>
        <w:jc w:val="both"/>
      </w:pPr>
      <w:r w:rsidRPr="00604238">
        <w:t>67</w:t>
      </w:r>
      <w:r w:rsidRPr="00604238">
        <w:tab/>
        <w:t>(1)</w:t>
      </w:r>
      <w:r w:rsidRPr="00604238">
        <w:tab/>
        <w:t>The tenant must not, without the lessor’s written consent, make any renovation, alteration or addition to the premises (time limits for the lessor to refuse consent to special modifications are set out in the Residential Tenancies Act).</w:t>
      </w:r>
    </w:p>
    <w:p w:rsidR="00A41EB1" w:rsidRPr="00604238" w:rsidRDefault="00A41EB1" w:rsidP="00A41EB1">
      <w:pPr>
        <w:tabs>
          <w:tab w:val="right" w:pos="1372"/>
          <w:tab w:val="left" w:pos="1568"/>
        </w:tabs>
        <w:spacing w:before="140"/>
        <w:ind w:left="1588" w:hanging="1588"/>
        <w:jc w:val="both"/>
      </w:pPr>
      <w:r w:rsidRPr="00604238">
        <w:tab/>
        <w:t>(2)</w:t>
      </w:r>
      <w:r w:rsidRPr="00604238">
        <w:tab/>
        <w:t>The lessor may give consent subject to a reasonable condition, including a requirement that the tenant use a suitably qualified tradesperson to undertake—</w:t>
      </w:r>
    </w:p>
    <w:p w:rsidR="00A41EB1" w:rsidRPr="00604238" w:rsidRDefault="00A41EB1" w:rsidP="00A41EB1">
      <w:pPr>
        <w:tabs>
          <w:tab w:val="right" w:pos="1843"/>
          <w:tab w:val="left" w:pos="2127"/>
        </w:tabs>
        <w:spacing w:before="140"/>
        <w:ind w:left="2098" w:hanging="2098"/>
        <w:jc w:val="both"/>
      </w:pPr>
      <w:r w:rsidRPr="00604238">
        <w:tab/>
        <w:t>(a)</w:t>
      </w:r>
      <w:r w:rsidRPr="00604238">
        <w:tab/>
        <w:t>the renovation, alteration, or addition; and</w:t>
      </w:r>
    </w:p>
    <w:p w:rsidR="00A41EB1" w:rsidRPr="00604238" w:rsidRDefault="00A41EB1" w:rsidP="00A41EB1">
      <w:pPr>
        <w:tabs>
          <w:tab w:val="right" w:pos="1843"/>
          <w:tab w:val="left" w:pos="2127"/>
        </w:tabs>
        <w:spacing w:before="140"/>
        <w:ind w:left="2098" w:hanging="2098"/>
        <w:jc w:val="both"/>
      </w:pPr>
      <w:r w:rsidRPr="00604238">
        <w:tab/>
        <w:t>(b)</w:t>
      </w:r>
      <w:r w:rsidRPr="00604238">
        <w:tab/>
        <w:t xml:space="preserve">any restoration at the end of the tenancy. </w:t>
      </w:r>
    </w:p>
    <w:p w:rsidR="00A41EB1" w:rsidRPr="00604238" w:rsidRDefault="00A41EB1" w:rsidP="00A41EB1">
      <w:pPr>
        <w:tabs>
          <w:tab w:val="right" w:pos="1372"/>
          <w:tab w:val="left" w:pos="1568"/>
        </w:tabs>
        <w:spacing w:before="140"/>
        <w:ind w:left="1588" w:hanging="1588"/>
        <w:jc w:val="both"/>
      </w:pPr>
      <w:r w:rsidRPr="00604238">
        <w:tab/>
        <w:t>(3)</w:t>
      </w:r>
      <w:r w:rsidRPr="00604238">
        <w:tab/>
        <w:t>Unless otherwise agreed, the tenant is liable for the cost of any renovation, alteration or addition to the premises.</w:t>
      </w:r>
    </w:p>
    <w:p w:rsidR="00A41EB1" w:rsidRPr="00604238" w:rsidRDefault="00A41EB1" w:rsidP="00A41EB1">
      <w:pPr>
        <w:tabs>
          <w:tab w:val="right" w:pos="1372"/>
          <w:tab w:val="left" w:pos="1568"/>
        </w:tabs>
        <w:spacing w:before="140"/>
        <w:ind w:left="1588" w:hanging="1588"/>
        <w:jc w:val="both"/>
      </w:pPr>
      <w:r w:rsidRPr="00604238">
        <w:tab/>
        <w:t>(4)</w:t>
      </w:r>
      <w:r w:rsidRPr="00604238">
        <w:tab/>
        <w:t>Unless otherwise agreed, at the end of the tenancy the tenant is responsible for restoring the premises to substantially the same condition as the premises were in at the commencement of the residential tenancy agreement, fair wear and tear excepted.</w:t>
      </w:r>
    </w:p>
    <w:p w:rsidR="00A41EB1" w:rsidRPr="00604238" w:rsidRDefault="00A41EB1" w:rsidP="00A41EB1">
      <w:pPr>
        <w:tabs>
          <w:tab w:val="right" w:pos="1372"/>
          <w:tab w:val="left" w:pos="1568"/>
        </w:tabs>
        <w:spacing w:before="140"/>
        <w:ind w:left="1588" w:hanging="1588"/>
        <w:jc w:val="both"/>
      </w:pPr>
      <w:r w:rsidRPr="00604238">
        <w:lastRenderedPageBreak/>
        <w:tab/>
        <w:t>(5)</w:t>
      </w:r>
      <w:r w:rsidRPr="00604238">
        <w:tab/>
        <w:t>The lessor and tenant may agree that any renovation, alteration or addition to the premises remains in place at the end of the residential tenancy agreement.</w:t>
      </w:r>
    </w:p>
    <w:p w:rsidR="00450C28" w:rsidRPr="00A44D52" w:rsidRDefault="00450C28" w:rsidP="00775F61">
      <w:pPr>
        <w:tabs>
          <w:tab w:val="right" w:pos="1372"/>
          <w:tab w:val="left" w:pos="1568"/>
        </w:tabs>
        <w:spacing w:before="140"/>
        <w:ind w:left="1588" w:hanging="1588"/>
        <w:jc w:val="both"/>
      </w:pPr>
      <w:r w:rsidRPr="00A44D52">
        <w:t>68</w:t>
      </w:r>
      <w:r w:rsidRPr="00A44D52">
        <w:tab/>
        <w:t>(1)</w:t>
      </w:r>
      <w:r w:rsidRPr="00A44D52">
        <w:tab/>
        <w:t>The tenant must not add any fixtures or fittings to the premises without the consent of the lessor.</w:t>
      </w:r>
    </w:p>
    <w:p w:rsidR="00450C28" w:rsidRPr="00A44D52" w:rsidRDefault="00450C28" w:rsidP="00775F61">
      <w:pPr>
        <w:tabs>
          <w:tab w:val="right" w:pos="1372"/>
          <w:tab w:val="left" w:pos="1568"/>
        </w:tabs>
        <w:spacing w:before="140"/>
        <w:ind w:left="1588" w:hanging="1588"/>
        <w:jc w:val="both"/>
      </w:pPr>
      <w:r w:rsidRPr="00A44D52">
        <w:tab/>
        <w:t>(2)</w:t>
      </w:r>
      <w:r w:rsidRPr="00A44D52">
        <w:tab/>
        <w:t>The lessor’s consent must not be unreasonably withheld.</w:t>
      </w:r>
    </w:p>
    <w:p w:rsidR="00450C28" w:rsidRPr="00A44D52" w:rsidRDefault="00450C28" w:rsidP="00775F61">
      <w:pPr>
        <w:tabs>
          <w:tab w:val="right" w:pos="1372"/>
          <w:tab w:val="left" w:pos="1568"/>
        </w:tabs>
        <w:spacing w:before="140"/>
        <w:ind w:left="1588" w:hanging="1588"/>
        <w:jc w:val="both"/>
      </w:pPr>
      <w:r w:rsidRPr="00A44D52">
        <w:tab/>
        <w:t>(3)</w:t>
      </w:r>
      <w:r w:rsidRPr="00A44D52">
        <w:tab/>
        <w:t>The tenant must make good any damage to the premises on removal of any fixtures and fittings.</w:t>
      </w:r>
    </w:p>
    <w:p w:rsidR="00450C28" w:rsidRPr="00A44D52" w:rsidRDefault="00450C28" w:rsidP="00775F61">
      <w:pPr>
        <w:tabs>
          <w:tab w:val="right" w:pos="1372"/>
          <w:tab w:val="left" w:pos="1568"/>
        </w:tabs>
        <w:spacing w:before="140"/>
        <w:ind w:left="1588" w:hanging="1588"/>
        <w:jc w:val="both"/>
      </w:pPr>
      <w:r w:rsidRPr="00A44D52">
        <w:tab/>
        <w:t>(4)</w:t>
      </w:r>
      <w:r w:rsidRPr="00A44D52">
        <w:tab/>
        <w:t>Any fixtures or fittings not removed by the tenant before the tenant leaves the premises becomes the property of the lessor.</w:t>
      </w:r>
    </w:p>
    <w:p w:rsidR="00450C28" w:rsidRDefault="00450C28" w:rsidP="00775F61">
      <w:pPr>
        <w:keepNext/>
        <w:spacing w:before="180"/>
        <w:rPr>
          <w:rFonts w:ascii="Arial" w:hAnsi="Arial"/>
          <w:b/>
        </w:rPr>
      </w:pPr>
      <w:r>
        <w:rPr>
          <w:rFonts w:ascii="Arial" w:hAnsi="Arial"/>
          <w:b/>
        </w:rPr>
        <w:t>Tenant must not use the premises for illegal purposes and must not disturb the neighbours</w:t>
      </w:r>
    </w:p>
    <w:p w:rsidR="00450C28" w:rsidRPr="00A44D52" w:rsidRDefault="00450C28" w:rsidP="00775F61">
      <w:pPr>
        <w:tabs>
          <w:tab w:val="right" w:pos="1372"/>
          <w:tab w:val="left" w:pos="1568"/>
        </w:tabs>
        <w:spacing w:before="140"/>
        <w:ind w:left="1588" w:hanging="1588"/>
        <w:jc w:val="both"/>
      </w:pPr>
      <w:r w:rsidRPr="00A44D52">
        <w:t>69</w:t>
      </w:r>
      <w:r w:rsidRPr="00A44D52">
        <w:tab/>
      </w:r>
      <w:r w:rsidRPr="00A44D52">
        <w:tab/>
        <w:t>Unless otherwise agreed in writing, the tenant must only use the premises for residential purposes.</w:t>
      </w:r>
    </w:p>
    <w:p w:rsidR="00450C28" w:rsidRPr="00A44D52" w:rsidRDefault="00450C28" w:rsidP="00775F61">
      <w:pPr>
        <w:keepNext/>
        <w:tabs>
          <w:tab w:val="right" w:pos="1372"/>
          <w:tab w:val="left" w:pos="1568"/>
        </w:tabs>
        <w:spacing w:before="140"/>
        <w:ind w:left="1588" w:hanging="1588"/>
        <w:jc w:val="both"/>
      </w:pPr>
      <w:r w:rsidRPr="00A44D52">
        <w:t>70</w:t>
      </w:r>
      <w:r w:rsidRPr="00A44D52">
        <w:tab/>
      </w:r>
      <w:r w:rsidRPr="00A44D52">
        <w:tab/>
        <w:t>The tenant must not:</w:t>
      </w:r>
    </w:p>
    <w:p w:rsidR="00450C28" w:rsidRDefault="00450C28" w:rsidP="00775F61">
      <w:pPr>
        <w:tabs>
          <w:tab w:val="right" w:pos="1843"/>
          <w:tab w:val="left" w:pos="2127"/>
        </w:tabs>
        <w:spacing w:before="140"/>
        <w:ind w:left="2098" w:hanging="2098"/>
        <w:jc w:val="both"/>
      </w:pPr>
      <w:r>
        <w:tab/>
        <w:t>(a)</w:t>
      </w:r>
      <w:r>
        <w:tab/>
        <w:t>use the premises, or permit them to be used, for an illegal purpose to the detriment of the lessor’s interest in the premises; or</w:t>
      </w:r>
    </w:p>
    <w:p w:rsidR="00450C28" w:rsidRDefault="00450C28" w:rsidP="00775F61">
      <w:pPr>
        <w:tabs>
          <w:tab w:val="right" w:pos="1843"/>
          <w:tab w:val="left" w:pos="2127"/>
        </w:tabs>
        <w:spacing w:before="140"/>
        <w:ind w:left="2098" w:hanging="2098"/>
        <w:jc w:val="both"/>
      </w:pPr>
      <w:r>
        <w:tab/>
        <w:t>(b)</w:t>
      </w:r>
      <w:r>
        <w:tab/>
        <w:t>cause or permit nuisance; or</w:t>
      </w:r>
    </w:p>
    <w:p w:rsidR="00450C28" w:rsidRDefault="00450C28" w:rsidP="00775F61">
      <w:pPr>
        <w:tabs>
          <w:tab w:val="right" w:pos="1843"/>
          <w:tab w:val="left" w:pos="2127"/>
        </w:tabs>
        <w:spacing w:before="140"/>
        <w:ind w:left="2098" w:hanging="2098"/>
        <w:jc w:val="both"/>
      </w:pPr>
      <w:r>
        <w:tab/>
        <w:t>(c)</w:t>
      </w:r>
      <w:r>
        <w:tab/>
        <w:t>interfere, or permit interference, with the quiet enjoyment of the occupiers of nearby premises.</w:t>
      </w:r>
    </w:p>
    <w:p w:rsidR="00450C28" w:rsidRPr="00A44D52" w:rsidRDefault="00450C28" w:rsidP="00775F61">
      <w:pPr>
        <w:tabs>
          <w:tab w:val="right" w:pos="1372"/>
          <w:tab w:val="left" w:pos="1568"/>
        </w:tabs>
        <w:spacing w:before="140"/>
        <w:ind w:left="1588" w:hanging="1588"/>
        <w:jc w:val="both"/>
      </w:pPr>
      <w:r w:rsidRPr="00A44D52">
        <w:t>71</w:t>
      </w:r>
      <w:r w:rsidRPr="00A44D52">
        <w:tab/>
      </w:r>
      <w:r w:rsidRPr="00A44D52">
        <w:tab/>
        <w:t>The tenant must not leave the premises vacant for more than 3 weeks without notifying the lessor.</w:t>
      </w:r>
    </w:p>
    <w:p w:rsidR="00450C28" w:rsidRDefault="00450C28" w:rsidP="00775F61">
      <w:pPr>
        <w:keepNext/>
        <w:spacing w:before="180"/>
        <w:rPr>
          <w:rFonts w:ascii="Arial" w:hAnsi="Arial"/>
          <w:b/>
        </w:rPr>
      </w:pPr>
      <w:r>
        <w:rPr>
          <w:rFonts w:ascii="Arial" w:hAnsi="Arial"/>
          <w:b/>
        </w:rPr>
        <w:t>Tenant must not sell, dispose of, or sublet tenancy without consent of lessor</w:t>
      </w:r>
    </w:p>
    <w:p w:rsidR="00450C28" w:rsidRPr="00A44D52" w:rsidRDefault="00450C28" w:rsidP="00775F61">
      <w:pPr>
        <w:tabs>
          <w:tab w:val="right" w:pos="1372"/>
          <w:tab w:val="left" w:pos="1568"/>
        </w:tabs>
        <w:spacing w:before="140"/>
        <w:ind w:left="1588" w:hanging="1588"/>
        <w:jc w:val="both"/>
      </w:pPr>
      <w:r w:rsidRPr="00A44D52">
        <w:t>72</w:t>
      </w:r>
      <w:r w:rsidRPr="00A44D52">
        <w:tab/>
        <w:t>(1)</w:t>
      </w:r>
      <w:r w:rsidRPr="00A44D52">
        <w:tab/>
        <w:t>The tenant must not assign or sublet the premises or any part of them without the written consent of the lessor.</w:t>
      </w:r>
    </w:p>
    <w:p w:rsidR="00450C28" w:rsidRPr="00A44D52" w:rsidRDefault="00450C28" w:rsidP="00775F61">
      <w:pPr>
        <w:tabs>
          <w:tab w:val="right" w:pos="1372"/>
          <w:tab w:val="left" w:pos="1568"/>
        </w:tabs>
        <w:spacing w:before="140"/>
        <w:ind w:left="1588" w:hanging="1588"/>
        <w:jc w:val="both"/>
      </w:pPr>
      <w:r w:rsidRPr="00A44D52">
        <w:tab/>
        <w:t>(2)</w:t>
      </w:r>
      <w:r w:rsidRPr="00A44D52">
        <w:tab/>
        <w:t>Consent may be given at any time.</w:t>
      </w:r>
    </w:p>
    <w:p w:rsidR="00450C28" w:rsidRPr="00A44D52" w:rsidRDefault="00450C28" w:rsidP="00775F61">
      <w:pPr>
        <w:tabs>
          <w:tab w:val="right" w:pos="1372"/>
          <w:tab w:val="left" w:pos="1568"/>
        </w:tabs>
        <w:spacing w:before="140"/>
        <w:ind w:left="1588" w:hanging="1588"/>
        <w:jc w:val="both"/>
      </w:pPr>
      <w:r w:rsidRPr="00A44D52">
        <w:lastRenderedPageBreak/>
        <w:tab/>
        <w:t>(3)</w:t>
      </w:r>
      <w:r w:rsidRPr="00A44D52">
        <w:tab/>
        <w:t>No rights in relation to the premises may be created in any third party before consent is obtained from the lessor.</w:t>
      </w:r>
    </w:p>
    <w:p w:rsidR="00450C28" w:rsidRDefault="00450C28" w:rsidP="00775F61">
      <w:pPr>
        <w:keepNext/>
        <w:spacing w:before="180"/>
        <w:rPr>
          <w:rFonts w:ascii="Arial" w:hAnsi="Arial"/>
          <w:b/>
        </w:rPr>
      </w:pPr>
      <w:r>
        <w:rPr>
          <w:rFonts w:ascii="Arial" w:hAnsi="Arial"/>
          <w:b/>
        </w:rPr>
        <w:t>Tenant may be responsible for damage or other breach of tenancy agreement by visitors or guests</w:t>
      </w:r>
    </w:p>
    <w:p w:rsidR="00450C28" w:rsidRPr="00A44D52" w:rsidRDefault="00450C28" w:rsidP="00775F61">
      <w:pPr>
        <w:tabs>
          <w:tab w:val="right" w:pos="1372"/>
          <w:tab w:val="left" w:pos="1568"/>
        </w:tabs>
        <w:spacing w:before="140"/>
        <w:ind w:left="1588" w:hanging="1588"/>
        <w:jc w:val="both"/>
      </w:pPr>
      <w:r w:rsidRPr="00A44D52">
        <w:t>73</w:t>
      </w:r>
      <w:r w:rsidRPr="00A44D52">
        <w:tab/>
      </w:r>
      <w:r w:rsidRPr="00A44D52">
        <w:tab/>
        <w:t>The tenant is personally responsible for the actions or omissions of visitors, guests or other people on the premises if:</w:t>
      </w:r>
    </w:p>
    <w:p w:rsidR="00450C28" w:rsidRDefault="00450C28" w:rsidP="00775F61">
      <w:pPr>
        <w:tabs>
          <w:tab w:val="right" w:pos="1843"/>
          <w:tab w:val="left" w:pos="2127"/>
        </w:tabs>
        <w:spacing w:before="140"/>
        <w:ind w:left="2098" w:hanging="2098"/>
        <w:jc w:val="both"/>
      </w:pPr>
      <w:r>
        <w:tab/>
        <w:t>(a)</w:t>
      </w:r>
      <w:r>
        <w:tab/>
        <w:t>the action or omission would if performed by the tenant have constituted a breach of this tenancy agreement; and</w:t>
      </w:r>
    </w:p>
    <w:p w:rsidR="00450C28" w:rsidRDefault="00450C28" w:rsidP="00775F61">
      <w:pPr>
        <w:tabs>
          <w:tab w:val="right" w:pos="1843"/>
          <w:tab w:val="left" w:pos="2127"/>
        </w:tabs>
        <w:spacing w:before="140"/>
        <w:ind w:left="2098" w:hanging="2098"/>
        <w:jc w:val="both"/>
      </w:pPr>
      <w:r>
        <w:tab/>
        <w:t>(b)</w:t>
      </w:r>
      <w:r>
        <w:tab/>
        <w:t>the person is on the premises with the permission of the tenant.</w:t>
      </w:r>
    </w:p>
    <w:p w:rsidR="00450C28" w:rsidRPr="00A44D52" w:rsidRDefault="00450C28" w:rsidP="00775F61">
      <w:pPr>
        <w:tabs>
          <w:tab w:val="right" w:pos="1372"/>
          <w:tab w:val="left" w:pos="1568"/>
        </w:tabs>
        <w:spacing w:before="140"/>
        <w:ind w:left="1588" w:hanging="1588"/>
        <w:jc w:val="both"/>
      </w:pPr>
      <w:r w:rsidRPr="00A44D52">
        <w:t>74</w:t>
      </w:r>
      <w:r w:rsidRPr="00A44D52">
        <w:tab/>
      </w:r>
      <w:r w:rsidRPr="00A44D52">
        <w:tab/>
        <w:t>The tenant is not personally responsible for the actions or omissions of a person who is on the premises:</w:t>
      </w:r>
    </w:p>
    <w:p w:rsidR="00450C28" w:rsidRDefault="00450C28" w:rsidP="00775F61">
      <w:pPr>
        <w:tabs>
          <w:tab w:val="right" w:pos="1843"/>
          <w:tab w:val="left" w:pos="2127"/>
        </w:tabs>
        <w:spacing w:before="140"/>
        <w:ind w:left="2098" w:hanging="2098"/>
        <w:jc w:val="both"/>
      </w:pPr>
      <w:r>
        <w:tab/>
        <w:t>(a)</w:t>
      </w:r>
      <w:r>
        <w:tab/>
        <w:t>at the request of the lessor; or</w:t>
      </w:r>
    </w:p>
    <w:p w:rsidR="00450C28" w:rsidRDefault="00450C28" w:rsidP="00775F61">
      <w:pPr>
        <w:tabs>
          <w:tab w:val="right" w:pos="1843"/>
          <w:tab w:val="left" w:pos="2127"/>
        </w:tabs>
        <w:spacing w:before="140"/>
        <w:ind w:left="2098" w:hanging="2098"/>
        <w:jc w:val="both"/>
      </w:pPr>
      <w:r>
        <w:tab/>
        <w:t>(b)</w:t>
      </w:r>
      <w:r>
        <w:tab/>
        <w:t>to assist the lessor perform any of the duties of the lessor under this tenancy agreement (whether at the request of the lessor or the tenant); or</w:t>
      </w:r>
    </w:p>
    <w:p w:rsidR="00450C28" w:rsidRDefault="00450C28" w:rsidP="00775F61">
      <w:pPr>
        <w:tabs>
          <w:tab w:val="right" w:pos="1843"/>
          <w:tab w:val="left" w:pos="2127"/>
        </w:tabs>
        <w:spacing w:before="140"/>
        <w:ind w:left="2098" w:hanging="2098"/>
        <w:jc w:val="both"/>
      </w:pPr>
      <w:r>
        <w:tab/>
        <w:t>(c)</w:t>
      </w:r>
      <w:r>
        <w:tab/>
        <w:t xml:space="preserve">without the consent of the tenant. </w:t>
      </w:r>
    </w:p>
    <w:p w:rsidR="00A41EB1" w:rsidRPr="00604238" w:rsidRDefault="00A41EB1" w:rsidP="00A41EB1">
      <w:pPr>
        <w:keepNext/>
        <w:spacing w:before="180"/>
        <w:rPr>
          <w:rFonts w:ascii="Arial" w:hAnsi="Arial"/>
          <w:b/>
        </w:rPr>
      </w:pPr>
      <w:r w:rsidRPr="00604238">
        <w:rPr>
          <w:rFonts w:ascii="Arial" w:hAnsi="Arial"/>
          <w:b/>
        </w:rPr>
        <w:t>Keeping animals on premises</w:t>
      </w:r>
    </w:p>
    <w:p w:rsidR="00A41EB1" w:rsidRPr="00604238" w:rsidRDefault="00A41EB1" w:rsidP="00A41EB1">
      <w:pPr>
        <w:tabs>
          <w:tab w:val="right" w:pos="1372"/>
          <w:tab w:val="left" w:pos="1568"/>
        </w:tabs>
        <w:spacing w:before="140"/>
        <w:ind w:left="1588" w:hanging="1588"/>
        <w:jc w:val="both"/>
      </w:pPr>
      <w:r w:rsidRPr="00604238">
        <w:t>74A</w:t>
      </w:r>
      <w:r w:rsidRPr="00604238">
        <w:tab/>
        <w:t>(1)</w:t>
      </w:r>
      <w:r w:rsidRPr="00604238">
        <w:tab/>
        <w:t>The tenant may keep an animal, or allow an animal to be kept, on the premises.</w:t>
      </w:r>
    </w:p>
    <w:p w:rsidR="00A41EB1" w:rsidRPr="00604238" w:rsidRDefault="00A41EB1" w:rsidP="00A41EB1">
      <w:pPr>
        <w:tabs>
          <w:tab w:val="right" w:pos="1372"/>
          <w:tab w:val="left" w:pos="1568"/>
        </w:tabs>
        <w:spacing w:before="140"/>
        <w:ind w:left="1588" w:hanging="1588"/>
        <w:jc w:val="both"/>
      </w:pPr>
      <w:r w:rsidRPr="00604238">
        <w:tab/>
        <w:t>(2)</w:t>
      </w:r>
      <w:r w:rsidRPr="00604238">
        <w:tab/>
        <w:t>The residential tenancy agreement may require the tenant to obtain the lessor’s prior written consent to keep an animal, or allow an animal to be kept, on the premises (time limits for the lessor to refuse consent are set out in the Residential Tenancies Act).</w:t>
      </w:r>
    </w:p>
    <w:p w:rsidR="00A41EB1" w:rsidRPr="00604238" w:rsidRDefault="00A41EB1" w:rsidP="00A41EB1">
      <w:pPr>
        <w:tabs>
          <w:tab w:val="right" w:pos="1372"/>
          <w:tab w:val="left" w:pos="1568"/>
        </w:tabs>
        <w:spacing w:before="140"/>
        <w:ind w:left="1588" w:hanging="1588"/>
        <w:jc w:val="both"/>
      </w:pPr>
      <w:r w:rsidRPr="00604238">
        <w:t>74B</w:t>
      </w:r>
      <w:r w:rsidRPr="00604238">
        <w:tab/>
      </w:r>
      <w:r w:rsidRPr="00604238">
        <w:tab/>
        <w:t>The tenant is responsible for any repairs or additional maintenance to the premises required as a consequence of keeping an animal on the premises.</w:t>
      </w:r>
    </w:p>
    <w:p w:rsidR="00450C28" w:rsidRDefault="00450C28" w:rsidP="00775F61">
      <w:pPr>
        <w:keepNext/>
        <w:spacing w:before="120" w:after="60"/>
        <w:rPr>
          <w:rFonts w:ascii="Arial" w:hAnsi="Arial"/>
          <w:b/>
          <w:sz w:val="28"/>
        </w:rPr>
      </w:pPr>
      <w:r>
        <w:rPr>
          <w:rFonts w:ascii="Arial" w:hAnsi="Arial"/>
          <w:b/>
          <w:sz w:val="28"/>
        </w:rPr>
        <w:lastRenderedPageBreak/>
        <w:t>Lessor’s access to premises</w:t>
      </w:r>
    </w:p>
    <w:p w:rsidR="00450C28" w:rsidRDefault="00450C28" w:rsidP="00775F61">
      <w:pPr>
        <w:keepNext/>
        <w:spacing w:before="180"/>
        <w:rPr>
          <w:rFonts w:ascii="Arial" w:hAnsi="Arial"/>
          <w:b/>
        </w:rPr>
      </w:pPr>
      <w:r>
        <w:rPr>
          <w:rFonts w:ascii="Arial" w:hAnsi="Arial"/>
          <w:b/>
        </w:rPr>
        <w:t>Lessor cannot enter premises except as provided in tenancy agreement</w:t>
      </w:r>
    </w:p>
    <w:p w:rsidR="00450C28" w:rsidRDefault="00450C28" w:rsidP="00775F61">
      <w:pPr>
        <w:tabs>
          <w:tab w:val="right" w:pos="1372"/>
          <w:tab w:val="left" w:pos="1568"/>
        </w:tabs>
        <w:spacing w:before="140"/>
        <w:ind w:left="1588" w:hanging="1588"/>
        <w:jc w:val="both"/>
      </w:pPr>
      <w:r w:rsidRPr="00A44D52">
        <w:t>75</w:t>
      </w:r>
      <w:r w:rsidRPr="00A44D52">
        <w:tab/>
        <w:t>(1)</w:t>
      </w:r>
      <w:r w:rsidRPr="00A44D52">
        <w:tab/>
        <w:t>The lessor must not require access to the premises during the</w:t>
      </w:r>
      <w:r>
        <w:t xml:space="preserve"> tenancy except as provided by the law, this tenancy agreement, the Residential Tenancies Act, or an order of the tribunal.</w:t>
      </w:r>
    </w:p>
    <w:p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tenant</w:t>
      </w:r>
      <w:r>
        <w:t xml:space="preserve"> may permit access to the premises by the lessor at any time.</w:t>
      </w:r>
    </w:p>
    <w:p w:rsidR="00450C28" w:rsidRDefault="00450C28" w:rsidP="00775F61">
      <w:pPr>
        <w:tabs>
          <w:tab w:val="right" w:pos="1372"/>
          <w:tab w:val="left" w:pos="1568"/>
        </w:tabs>
        <w:spacing w:before="140"/>
        <w:ind w:left="1588" w:hanging="1588"/>
        <w:jc w:val="both"/>
      </w:pPr>
      <w:r>
        <w:tab/>
        <w:t>(3)</w:t>
      </w:r>
      <w:r>
        <w:tab/>
        <w:t>If requ</w:t>
      </w:r>
      <w:r w:rsidRPr="0095124F">
        <w:rPr>
          <w:rStyle w:val="CharSectNo"/>
        </w:rPr>
        <w:t>e</w:t>
      </w:r>
      <w:r>
        <w:t>sted, the lessor or the lessor’s agent must provide identification to the tenant.</w:t>
      </w:r>
    </w:p>
    <w:p w:rsidR="00450C28" w:rsidRPr="00A44D52" w:rsidRDefault="00450C28" w:rsidP="00775F61">
      <w:pPr>
        <w:tabs>
          <w:tab w:val="right" w:pos="1372"/>
          <w:tab w:val="left" w:pos="1568"/>
        </w:tabs>
        <w:spacing w:before="140"/>
        <w:ind w:left="1588" w:hanging="1588"/>
        <w:jc w:val="both"/>
      </w:pPr>
      <w:r w:rsidRPr="00A44D52">
        <w:t>76</w:t>
      </w:r>
      <w:r w:rsidRPr="00A44D52">
        <w:tab/>
      </w:r>
      <w:r w:rsidRPr="00A44D52">
        <w:tab/>
        <w:t>The lessor must not have access to the premises—</w:t>
      </w:r>
    </w:p>
    <w:p w:rsidR="00450C28" w:rsidRDefault="00450C28" w:rsidP="00775F61">
      <w:pPr>
        <w:tabs>
          <w:tab w:val="right" w:pos="1843"/>
          <w:tab w:val="left" w:pos="2127"/>
        </w:tabs>
        <w:spacing w:before="140"/>
        <w:ind w:left="2098" w:hanging="2098"/>
        <w:jc w:val="both"/>
      </w:pPr>
      <w:r w:rsidRPr="00A44D52">
        <w:tab/>
      </w:r>
      <w:r>
        <w:t>(a)</w:t>
      </w:r>
      <w:r>
        <w:tab/>
        <w:t>on Sundays; or</w:t>
      </w:r>
    </w:p>
    <w:p w:rsidR="00450C28" w:rsidRDefault="00450C28" w:rsidP="00775F61">
      <w:pPr>
        <w:tabs>
          <w:tab w:val="right" w:pos="1843"/>
          <w:tab w:val="left" w:pos="2127"/>
        </w:tabs>
        <w:spacing w:before="140"/>
        <w:ind w:left="2098" w:hanging="2098"/>
        <w:jc w:val="both"/>
      </w:pPr>
      <w:r>
        <w:tab/>
        <w:t>(b)</w:t>
      </w:r>
      <w:r>
        <w:tab/>
        <w:t>on public holidays; or</w:t>
      </w:r>
    </w:p>
    <w:p w:rsidR="00450C28" w:rsidRDefault="00450C28" w:rsidP="00775F61">
      <w:pPr>
        <w:tabs>
          <w:tab w:val="right" w:pos="1843"/>
          <w:tab w:val="left" w:pos="2127"/>
        </w:tabs>
        <w:spacing w:before="140"/>
        <w:ind w:left="2098" w:hanging="2098"/>
        <w:jc w:val="both"/>
      </w:pPr>
      <w:r>
        <w:tab/>
        <w:t>(c)</w:t>
      </w:r>
      <w:r>
        <w:tab/>
        <w:t>before 8 am and after 6 pm;</w:t>
      </w:r>
    </w:p>
    <w:p w:rsidR="00450C28" w:rsidRDefault="00450C28" w:rsidP="00775F61">
      <w:pPr>
        <w:tabs>
          <w:tab w:val="right" w:pos="1560"/>
        </w:tabs>
        <w:spacing w:before="140"/>
        <w:ind w:left="1560"/>
        <w:jc w:val="both"/>
      </w:pPr>
      <w:r>
        <w:t>other than—</w:t>
      </w:r>
    </w:p>
    <w:p w:rsidR="00450C28" w:rsidRDefault="00450C28" w:rsidP="00775F61">
      <w:pPr>
        <w:tabs>
          <w:tab w:val="right" w:pos="1843"/>
          <w:tab w:val="left" w:pos="2127"/>
        </w:tabs>
        <w:spacing w:before="140"/>
        <w:ind w:left="2098" w:hanging="2098"/>
        <w:jc w:val="both"/>
      </w:pPr>
      <w:r>
        <w:tab/>
        <w:t>(d)</w:t>
      </w:r>
      <w:r>
        <w:tab/>
        <w:t>for the purpose of carrying out urgent repairs or for health or safety reasons in relation to the premises; or</w:t>
      </w:r>
    </w:p>
    <w:p w:rsidR="00450C28" w:rsidRDefault="00450C28" w:rsidP="00775F61">
      <w:pPr>
        <w:tabs>
          <w:tab w:val="right" w:pos="1843"/>
          <w:tab w:val="left" w:pos="2127"/>
        </w:tabs>
        <w:spacing w:before="140"/>
        <w:ind w:left="2098" w:hanging="2098"/>
        <w:jc w:val="both"/>
      </w:pPr>
      <w:r>
        <w:tab/>
        <w:t>(e)</w:t>
      </w:r>
      <w:r>
        <w:tab/>
        <w:t>with the consent of the tenant.</w:t>
      </w:r>
    </w:p>
    <w:p w:rsidR="00450C28" w:rsidRDefault="00450C28" w:rsidP="00775F61">
      <w:pPr>
        <w:spacing w:before="120" w:after="60"/>
        <w:rPr>
          <w:rFonts w:ascii="Arial" w:hAnsi="Arial"/>
          <w:b/>
          <w:sz w:val="28"/>
        </w:rPr>
      </w:pPr>
      <w:r>
        <w:rPr>
          <w:rFonts w:ascii="Arial" w:hAnsi="Arial"/>
          <w:b/>
          <w:sz w:val="28"/>
        </w:rPr>
        <w:t>Access in accordance with tenancy agreement</w:t>
      </w:r>
    </w:p>
    <w:p w:rsidR="00450C28" w:rsidRPr="0027007A" w:rsidRDefault="00450C28" w:rsidP="00775F61">
      <w:pPr>
        <w:keepNext/>
        <w:spacing w:before="180"/>
        <w:rPr>
          <w:rFonts w:ascii="Arial" w:hAnsi="Arial"/>
          <w:b/>
        </w:rPr>
      </w:pPr>
      <w:r w:rsidRPr="0027007A">
        <w:rPr>
          <w:rFonts w:ascii="Arial" w:hAnsi="Arial"/>
          <w:b/>
        </w:rPr>
        <w:t>Routine inspections</w:t>
      </w:r>
    </w:p>
    <w:p w:rsidR="00450C28" w:rsidRPr="00A44D52" w:rsidRDefault="00450C28" w:rsidP="00775F61">
      <w:pPr>
        <w:tabs>
          <w:tab w:val="right" w:pos="1372"/>
          <w:tab w:val="left" w:pos="1568"/>
        </w:tabs>
        <w:spacing w:before="140"/>
        <w:ind w:left="1588" w:hanging="1588"/>
        <w:jc w:val="both"/>
      </w:pPr>
      <w:r w:rsidRPr="00A44D52">
        <w:t>77</w:t>
      </w:r>
      <w:r w:rsidRPr="00A44D52">
        <w:tab/>
      </w:r>
      <w:r w:rsidRPr="00A44D52">
        <w:tab/>
        <w:t>The lessor may inspect the premises twice in each period of 12 months following the commencement of the tenancy.</w:t>
      </w:r>
    </w:p>
    <w:p w:rsidR="00450C28" w:rsidRPr="00A44D52" w:rsidRDefault="00450C28" w:rsidP="00775F61">
      <w:pPr>
        <w:tabs>
          <w:tab w:val="right" w:pos="1372"/>
          <w:tab w:val="left" w:pos="1568"/>
        </w:tabs>
        <w:spacing w:before="140"/>
        <w:ind w:left="1588" w:hanging="1588"/>
        <w:jc w:val="both"/>
      </w:pPr>
      <w:r w:rsidRPr="00A44D52">
        <w:t>78</w:t>
      </w:r>
      <w:r w:rsidRPr="00A44D52">
        <w:tab/>
      </w:r>
      <w:r w:rsidRPr="00A44D52">
        <w:tab/>
        <w:t>In addition to the inspections provided for in the previous clause, the lessor may make an inspection of the premises—</w:t>
      </w:r>
    </w:p>
    <w:p w:rsidR="00450C28" w:rsidRDefault="00450C28" w:rsidP="00775F61">
      <w:pPr>
        <w:tabs>
          <w:tab w:val="right" w:pos="1843"/>
          <w:tab w:val="left" w:pos="2127"/>
        </w:tabs>
        <w:spacing w:before="140"/>
        <w:ind w:left="2098" w:hanging="2098"/>
        <w:jc w:val="both"/>
      </w:pPr>
      <w:r>
        <w:tab/>
        <w:t>(a)</w:t>
      </w:r>
      <w:r>
        <w:tab/>
        <w:t>within 1 month of the commencement of the tenancy; and</w:t>
      </w:r>
    </w:p>
    <w:p w:rsidR="00450C28" w:rsidRDefault="00450C28" w:rsidP="00775F61">
      <w:pPr>
        <w:tabs>
          <w:tab w:val="right" w:pos="1843"/>
          <w:tab w:val="left" w:pos="2127"/>
        </w:tabs>
        <w:spacing w:before="140"/>
        <w:ind w:left="2098" w:hanging="2098"/>
        <w:jc w:val="both"/>
      </w:pPr>
      <w:r>
        <w:tab/>
        <w:t>(b)</w:t>
      </w:r>
      <w:r>
        <w:tab/>
        <w:t xml:space="preserve">in the last month of the tenancy. </w:t>
      </w:r>
    </w:p>
    <w:p w:rsidR="00450C28" w:rsidRDefault="00450C28" w:rsidP="00775F61">
      <w:pPr>
        <w:tabs>
          <w:tab w:val="right" w:pos="1372"/>
          <w:tab w:val="left" w:pos="1568"/>
        </w:tabs>
        <w:spacing w:before="140"/>
        <w:ind w:left="1588" w:hanging="1588"/>
        <w:jc w:val="both"/>
      </w:pPr>
      <w:r w:rsidRPr="00A44D52">
        <w:lastRenderedPageBreak/>
        <w:t>79</w:t>
      </w:r>
      <w:r w:rsidRPr="00A44D52">
        <w:tab/>
        <w:t>(1)</w:t>
      </w:r>
      <w:r w:rsidRPr="00A44D52">
        <w:tab/>
        <w:t>The lessor must give the tenant 1 week written notice of an</w:t>
      </w:r>
      <w:r>
        <w:t xml:space="preserve"> </w:t>
      </w:r>
      <w:r w:rsidRPr="0095124F">
        <w:rPr>
          <w:rStyle w:val="CharSectNo"/>
        </w:rPr>
        <w:t>inspection</w:t>
      </w:r>
      <w:r>
        <w:t>.</w:t>
      </w:r>
    </w:p>
    <w:p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inspection</w:t>
      </w:r>
      <w:r>
        <w:t xml:space="preserve"> must take place at a time agreed between the parties with reasonable regard to the work and other commitments both of the tenant and of the lessor (or their agents).</w:t>
      </w:r>
    </w:p>
    <w:p w:rsidR="00450C28" w:rsidRDefault="00450C28" w:rsidP="00775F61">
      <w:pPr>
        <w:tabs>
          <w:tab w:val="right" w:pos="1372"/>
          <w:tab w:val="left" w:pos="1568"/>
        </w:tabs>
        <w:spacing w:before="140"/>
        <w:ind w:left="1588" w:hanging="1588"/>
        <w:jc w:val="both"/>
      </w:pPr>
      <w:r>
        <w:tab/>
        <w:t>(3)</w:t>
      </w:r>
      <w:r>
        <w:tab/>
        <w:t>If the parties are unable to agree on an appropriate time, the lessor or the tenant may apply to the tribunal for an order permitting access at a specified time.</w:t>
      </w:r>
    </w:p>
    <w:p w:rsidR="00450C28" w:rsidRPr="0027007A" w:rsidRDefault="00450C28" w:rsidP="00775F61">
      <w:pPr>
        <w:keepNext/>
        <w:spacing w:before="180"/>
        <w:rPr>
          <w:rFonts w:ascii="Arial" w:hAnsi="Arial"/>
          <w:b/>
        </w:rPr>
      </w:pPr>
      <w:r w:rsidRPr="0027007A">
        <w:rPr>
          <w:rFonts w:ascii="Arial" w:hAnsi="Arial"/>
          <w:b/>
        </w:rPr>
        <w:t>Access for purchasers and new tenants</w:t>
      </w:r>
    </w:p>
    <w:p w:rsidR="00450C28" w:rsidRDefault="00450C28" w:rsidP="00775F61">
      <w:pPr>
        <w:tabs>
          <w:tab w:val="right" w:pos="1372"/>
          <w:tab w:val="left" w:pos="1568"/>
        </w:tabs>
        <w:spacing w:before="140"/>
        <w:ind w:left="1588" w:hanging="1588"/>
        <w:jc w:val="both"/>
      </w:pPr>
      <w:r w:rsidRPr="00A44D52">
        <w:t>80</w:t>
      </w:r>
      <w:r w:rsidRPr="00A44D52">
        <w:tab/>
      </w:r>
      <w:r w:rsidRPr="00A44D52">
        <w:tab/>
        <w:t>The tenant must permit reasonable access to the premises</w:t>
      </w:r>
      <w:r>
        <w:t xml:space="preserve"> during the period of 3 weeks before the end of the tenancy, on the lessor giving 24 hours notice, to allow inspection of the premises by prospective tenants.</w:t>
      </w:r>
    </w:p>
    <w:p w:rsidR="00450C28" w:rsidRDefault="00450C28" w:rsidP="00775F61">
      <w:pPr>
        <w:tabs>
          <w:tab w:val="right" w:pos="1372"/>
          <w:tab w:val="left" w:pos="1568"/>
        </w:tabs>
        <w:spacing w:before="140"/>
        <w:ind w:left="1588" w:hanging="1588"/>
        <w:jc w:val="both"/>
      </w:pPr>
      <w:r w:rsidRPr="00A44D52">
        <w:t>81</w:t>
      </w:r>
      <w:r w:rsidRPr="00A44D52">
        <w:tab/>
      </w:r>
      <w:r w:rsidRPr="00A44D52">
        <w:tab/>
        <w:t>The tenant must permit reasonable access to the premises, on</w:t>
      </w:r>
      <w:r>
        <w:t xml:space="preserve"> the lessor giving 24 hours notice, to allow inspection of the premises by prospective purchasers of the premises provided:</w:t>
      </w:r>
    </w:p>
    <w:p w:rsidR="00450C28" w:rsidRDefault="00450C28" w:rsidP="00775F61">
      <w:pPr>
        <w:tabs>
          <w:tab w:val="right" w:pos="1843"/>
          <w:tab w:val="left" w:pos="2127"/>
        </w:tabs>
        <w:spacing w:before="140"/>
        <w:ind w:left="2098" w:hanging="2098"/>
        <w:jc w:val="both"/>
      </w:pPr>
      <w:r>
        <w:tab/>
        <w:t>(a)</w:t>
      </w:r>
      <w:r>
        <w:tab/>
        <w:t>the lessor intends to sell the premises; and</w:t>
      </w:r>
    </w:p>
    <w:p w:rsidR="00450C28" w:rsidRDefault="00450C28" w:rsidP="00775F61">
      <w:pPr>
        <w:tabs>
          <w:tab w:val="right" w:pos="1843"/>
          <w:tab w:val="left" w:pos="2127"/>
        </w:tabs>
        <w:spacing w:before="140"/>
        <w:ind w:left="2098" w:hanging="2098"/>
        <w:jc w:val="both"/>
      </w:pPr>
      <w:r>
        <w:tab/>
        <w:t>(b)</w:t>
      </w:r>
      <w:r>
        <w:tab/>
        <w:t>the lessor has previously notified the tenant in writing of the lessor’s intention to sell.</w:t>
      </w:r>
    </w:p>
    <w:p w:rsidR="00450C28" w:rsidRPr="0027007A" w:rsidRDefault="00450C28" w:rsidP="00775F61">
      <w:pPr>
        <w:keepNext/>
        <w:spacing w:before="180"/>
        <w:rPr>
          <w:rFonts w:ascii="Arial" w:hAnsi="Arial"/>
          <w:b/>
        </w:rPr>
      </w:pPr>
      <w:r w:rsidRPr="0027007A">
        <w:rPr>
          <w:rFonts w:ascii="Arial" w:hAnsi="Arial"/>
          <w:b/>
        </w:rPr>
        <w:t>Access for making or inspecting repairs</w:t>
      </w:r>
    </w:p>
    <w:p w:rsidR="00450C28" w:rsidRDefault="00450C28" w:rsidP="00775F61">
      <w:pPr>
        <w:tabs>
          <w:tab w:val="right" w:pos="1372"/>
          <w:tab w:val="left" w:pos="1568"/>
        </w:tabs>
        <w:spacing w:before="140"/>
        <w:ind w:left="1588" w:hanging="1588"/>
        <w:jc w:val="both"/>
      </w:pPr>
      <w:r w:rsidRPr="00A44D52">
        <w:t>82</w:t>
      </w:r>
      <w:r w:rsidRPr="00A44D52">
        <w:tab/>
        <w:t>(1)</w:t>
      </w:r>
      <w:r w:rsidRPr="00A44D52">
        <w:tab/>
        <w:t>On giving the tenant 1 week notice (or such other agreed</w:t>
      </w:r>
      <w:r>
        <w:t xml:space="preserve"> period), the lessor may enter the premises at a reasonable time, having regard to the interests of the tenant and the lessor, for the purpose of making or inspecting repairs.</w:t>
      </w:r>
    </w:p>
    <w:p w:rsidR="00450C28" w:rsidRDefault="00450C28" w:rsidP="00775F61">
      <w:pPr>
        <w:tabs>
          <w:tab w:val="right" w:pos="1372"/>
          <w:tab w:val="left" w:pos="1568"/>
        </w:tabs>
        <w:spacing w:before="140"/>
        <w:ind w:left="1588" w:hanging="1588"/>
        <w:jc w:val="both"/>
      </w:pPr>
      <w:r>
        <w:tab/>
        <w:t>(2)</w:t>
      </w:r>
      <w:r>
        <w:tab/>
        <w:t xml:space="preserve">For urgent repairs, the lessor must give reasonable notice and enter the </w:t>
      </w:r>
      <w:r w:rsidRPr="0095124F">
        <w:rPr>
          <w:rStyle w:val="CharSectNo"/>
        </w:rPr>
        <w:t>premises</w:t>
      </w:r>
      <w:r>
        <w:t xml:space="preserve"> at a reasonable time having regard to the interests of the tenant and the lessor.</w:t>
      </w:r>
    </w:p>
    <w:p w:rsidR="00450C28" w:rsidRPr="0027007A" w:rsidRDefault="00450C28" w:rsidP="00775F61">
      <w:pPr>
        <w:keepNext/>
        <w:spacing w:before="180"/>
        <w:rPr>
          <w:rFonts w:ascii="Arial" w:hAnsi="Arial"/>
          <w:b/>
        </w:rPr>
      </w:pPr>
      <w:r w:rsidRPr="0027007A">
        <w:rPr>
          <w:rFonts w:ascii="Arial" w:hAnsi="Arial"/>
          <w:b/>
        </w:rPr>
        <w:lastRenderedPageBreak/>
        <w:t>Notice to vacate by lessor</w:t>
      </w:r>
    </w:p>
    <w:p w:rsidR="00450C28" w:rsidRDefault="00450C28" w:rsidP="00775F61">
      <w:pPr>
        <w:tabs>
          <w:tab w:val="right" w:pos="1372"/>
          <w:tab w:val="left" w:pos="1568"/>
        </w:tabs>
        <w:spacing w:before="140"/>
        <w:ind w:left="1588" w:hanging="1588"/>
        <w:jc w:val="both"/>
      </w:pPr>
      <w:r w:rsidRPr="00242ED6">
        <w:t>83</w:t>
      </w:r>
      <w:r w:rsidRPr="00242ED6">
        <w:tab/>
      </w:r>
      <w:r>
        <w:tab/>
        <w:t xml:space="preserve">The notice to vacate must be in writing, in the form required by the </w:t>
      </w:r>
      <w:r w:rsidRPr="0095124F">
        <w:rPr>
          <w:rStyle w:val="CharSectNo"/>
        </w:rPr>
        <w:t>Residential</w:t>
      </w:r>
      <w:r>
        <w:t xml:space="preserve"> Tenancies Act, and must include the following information:</w:t>
      </w:r>
    </w:p>
    <w:p w:rsidR="00450C28" w:rsidRDefault="00450C28" w:rsidP="00775F61">
      <w:pPr>
        <w:tabs>
          <w:tab w:val="right" w:pos="1843"/>
          <w:tab w:val="left" w:pos="2127"/>
        </w:tabs>
        <w:spacing w:before="140"/>
        <w:ind w:left="2098" w:hanging="2098"/>
        <w:jc w:val="both"/>
      </w:pPr>
      <w:r>
        <w:tab/>
        <w:t>(a)</w:t>
      </w:r>
      <w:r>
        <w:tab/>
        <w:t>the address of the premises;</w:t>
      </w:r>
    </w:p>
    <w:p w:rsidR="00450C28" w:rsidRDefault="00450C28" w:rsidP="00775F61">
      <w:pPr>
        <w:tabs>
          <w:tab w:val="right" w:pos="1843"/>
          <w:tab w:val="left" w:pos="2127"/>
        </w:tabs>
        <w:spacing w:before="140"/>
        <w:ind w:left="2098" w:hanging="2098"/>
        <w:jc w:val="both"/>
      </w:pPr>
      <w:r>
        <w:tab/>
        <w:t>(b)</w:t>
      </w:r>
      <w:r>
        <w:tab/>
        <w:t>the ground(s) on which the notice is issued, together with sufficient particulars to identify the circumstances giving rise to the ground(s);</w:t>
      </w:r>
    </w:p>
    <w:p w:rsidR="00450C28" w:rsidRDefault="00450C28" w:rsidP="00775F61">
      <w:pPr>
        <w:tabs>
          <w:tab w:val="right" w:pos="1843"/>
          <w:tab w:val="left" w:pos="2127"/>
        </w:tabs>
        <w:spacing w:before="140"/>
        <w:ind w:left="2098" w:hanging="2098"/>
        <w:jc w:val="both"/>
      </w:pPr>
      <w:r>
        <w:tab/>
        <w:t>(c)</w:t>
      </w:r>
      <w:r>
        <w:tab/>
        <w:t>that the lessor requires the tenant to vacate the premises by the expiry of the required notice period and that the tenancy ends on the day that the tenant vacates the premises.</w:t>
      </w:r>
    </w:p>
    <w:p w:rsidR="00450C28" w:rsidRPr="0027007A" w:rsidRDefault="00450C28" w:rsidP="00775F61">
      <w:pPr>
        <w:keepNext/>
        <w:spacing w:before="180"/>
        <w:rPr>
          <w:rFonts w:ascii="Arial" w:hAnsi="Arial"/>
          <w:b/>
        </w:rPr>
      </w:pPr>
      <w:r w:rsidRPr="0027007A">
        <w:rPr>
          <w:rFonts w:ascii="Arial" w:hAnsi="Arial"/>
          <w:b/>
        </w:rPr>
        <w:t>Notice of intention to vacate by tenant</w:t>
      </w:r>
    </w:p>
    <w:p w:rsidR="00450C28" w:rsidRDefault="00450C28" w:rsidP="00775F61">
      <w:pPr>
        <w:tabs>
          <w:tab w:val="right" w:pos="1372"/>
          <w:tab w:val="left" w:pos="1568"/>
        </w:tabs>
        <w:spacing w:before="140"/>
        <w:ind w:left="1588" w:hanging="1588"/>
        <w:jc w:val="both"/>
      </w:pPr>
      <w:r w:rsidRPr="00242ED6">
        <w:t>84</w:t>
      </w:r>
      <w:r w:rsidRPr="00242ED6">
        <w:tab/>
        <w:t>(1)</w:t>
      </w:r>
      <w:r w:rsidRPr="00242ED6">
        <w:tab/>
        <w:t>If</w:t>
      </w:r>
      <w:r>
        <w:t xml:space="preserve"> the tenant serves a notice of intention to vacate and vacates the premises in accordance with the notice, the tenancy terminates on the date of vacating the premises.</w:t>
      </w:r>
    </w:p>
    <w:p w:rsidR="00450C28" w:rsidRDefault="00450C28" w:rsidP="00775F61">
      <w:pPr>
        <w:tabs>
          <w:tab w:val="right" w:pos="1372"/>
          <w:tab w:val="left" w:pos="1568"/>
        </w:tabs>
        <w:spacing w:before="140"/>
        <w:ind w:left="1588" w:hanging="1588"/>
        <w:jc w:val="both"/>
      </w:pPr>
      <w:r>
        <w:tab/>
        <w:t>(2)</w:t>
      </w:r>
      <w:r>
        <w:tab/>
        <w:t xml:space="preserve">On </w:t>
      </w:r>
      <w:r w:rsidRPr="0095124F">
        <w:rPr>
          <w:rStyle w:val="CharSectNo"/>
        </w:rPr>
        <w:t>receiving</w:t>
      </w:r>
      <w:r>
        <w:t xml:space="preserve"> a notice of intention to vacate, the lessor may—</w:t>
      </w:r>
    </w:p>
    <w:p w:rsidR="00450C28" w:rsidRDefault="00450C28" w:rsidP="00775F61">
      <w:pPr>
        <w:tabs>
          <w:tab w:val="right" w:pos="1843"/>
          <w:tab w:val="left" w:pos="2127"/>
        </w:tabs>
        <w:spacing w:before="140"/>
        <w:ind w:left="2098" w:hanging="2098"/>
        <w:jc w:val="both"/>
      </w:pPr>
      <w:r>
        <w:tab/>
        <w:t>(a)</w:t>
      </w:r>
      <w:r>
        <w:tab/>
        <w:t>accept the notice and accept that the tenancy ends on the date nominated in the notice; or</w:t>
      </w:r>
    </w:p>
    <w:p w:rsidR="00450C28" w:rsidRDefault="00450C28" w:rsidP="00775F61">
      <w:pPr>
        <w:tabs>
          <w:tab w:val="right" w:pos="1843"/>
          <w:tab w:val="left" w:pos="2127"/>
        </w:tabs>
        <w:spacing w:before="140"/>
        <w:ind w:left="2098" w:hanging="2098"/>
        <w:jc w:val="both"/>
      </w:pPr>
      <w:r>
        <w:tab/>
        <w:t>(b)</w:t>
      </w:r>
      <w:r>
        <w:tab/>
        <w:t>apply to the tribunal for confirmation of the tenancy agreement, an order for compensation or both.</w:t>
      </w:r>
    </w:p>
    <w:p w:rsidR="00450C28" w:rsidRDefault="00450C28" w:rsidP="00775F61">
      <w:pPr>
        <w:tabs>
          <w:tab w:val="right" w:pos="1372"/>
          <w:tab w:val="left" w:pos="1568"/>
        </w:tabs>
        <w:spacing w:before="140"/>
        <w:ind w:left="1588" w:hanging="1588"/>
        <w:jc w:val="both"/>
      </w:pPr>
      <w:r w:rsidRPr="00242ED6">
        <w:t>85</w:t>
      </w:r>
      <w:r w:rsidRPr="00242ED6">
        <w:tab/>
      </w:r>
      <w:r w:rsidRPr="00242ED6">
        <w:tab/>
        <w:t>The</w:t>
      </w:r>
      <w:r>
        <w:t xml:space="preserve"> notice of intention to vacate must be in the same form and contain the same information as the notice to vacate from the lessor except the notice must contain the statement that the tenant intends to vacate the premises on a certain date and the tenancy terminates on that date.</w:t>
      </w:r>
    </w:p>
    <w:p w:rsidR="00450C28" w:rsidRPr="0027007A" w:rsidRDefault="00450C28" w:rsidP="0096304A">
      <w:pPr>
        <w:keepNext/>
        <w:spacing w:before="180"/>
        <w:rPr>
          <w:rFonts w:ascii="Arial" w:hAnsi="Arial"/>
          <w:b/>
        </w:rPr>
      </w:pPr>
      <w:r w:rsidRPr="0027007A">
        <w:rPr>
          <w:rFonts w:ascii="Arial" w:hAnsi="Arial"/>
          <w:b/>
        </w:rPr>
        <w:lastRenderedPageBreak/>
        <w:t>Termination where premises are not fit for habitation</w:t>
      </w:r>
    </w:p>
    <w:p w:rsidR="00450C28" w:rsidRDefault="00450C28" w:rsidP="0096304A">
      <w:pPr>
        <w:keepNext/>
        <w:tabs>
          <w:tab w:val="right" w:pos="1372"/>
          <w:tab w:val="left" w:pos="1568"/>
        </w:tabs>
        <w:spacing w:before="140"/>
        <w:ind w:left="1588" w:hanging="1588"/>
        <w:jc w:val="both"/>
      </w:pPr>
      <w:r w:rsidRPr="00242ED6">
        <w:t>86</w:t>
      </w:r>
      <w:r w:rsidRPr="00242ED6">
        <w:tab/>
      </w:r>
      <w:r w:rsidRPr="00242ED6">
        <w:tab/>
        <w:t>The</w:t>
      </w:r>
      <w:r>
        <w:t xml:space="preserve"> lessor or the tenant may, by written notice, terminate the tenancy on a date specified in the notice on the following </w:t>
      </w:r>
      <w:r w:rsidRPr="0095124F">
        <w:rPr>
          <w:rStyle w:val="CharSectNo"/>
        </w:rPr>
        <w:t>grounds</w:t>
      </w:r>
      <w:r>
        <w:t>:</w:t>
      </w:r>
    </w:p>
    <w:p w:rsidR="00450C28" w:rsidRDefault="00450C28" w:rsidP="00775F61">
      <w:pPr>
        <w:tabs>
          <w:tab w:val="right" w:pos="1843"/>
          <w:tab w:val="left" w:pos="2127"/>
        </w:tabs>
        <w:spacing w:before="140"/>
        <w:ind w:left="2098" w:hanging="2098"/>
        <w:jc w:val="both"/>
      </w:pPr>
      <w:r>
        <w:tab/>
        <w:t>(a)</w:t>
      </w:r>
      <w:r>
        <w:tab/>
        <w:t>the premises are not fit for habitation;</w:t>
      </w:r>
    </w:p>
    <w:p w:rsidR="00450C28" w:rsidRDefault="00450C28" w:rsidP="00775F61">
      <w:pPr>
        <w:tabs>
          <w:tab w:val="right" w:pos="1843"/>
          <w:tab w:val="left" w:pos="2127"/>
        </w:tabs>
        <w:spacing w:before="140"/>
        <w:ind w:left="2098" w:hanging="2098"/>
        <w:jc w:val="both"/>
      </w:pPr>
      <w:r>
        <w:tab/>
        <w:t>(b)</w:t>
      </w:r>
      <w:r>
        <w:tab/>
        <w:t>the premises are not available or will not be available because of Government action within a period of 4</w:t>
      </w:r>
      <w:r w:rsidR="008A0960">
        <w:t> </w:t>
      </w:r>
      <w:r>
        <w:t>weeks of the date that notice is given.</w:t>
      </w:r>
    </w:p>
    <w:p w:rsidR="00450C28" w:rsidRDefault="00450C28" w:rsidP="00775F61">
      <w:pPr>
        <w:tabs>
          <w:tab w:val="right" w:pos="1372"/>
          <w:tab w:val="left" w:pos="1568"/>
        </w:tabs>
        <w:spacing w:before="140"/>
        <w:ind w:left="1588" w:hanging="1588"/>
        <w:jc w:val="both"/>
      </w:pPr>
      <w:r w:rsidRPr="00242ED6">
        <w:t>87</w:t>
      </w:r>
      <w:r w:rsidRPr="00242ED6">
        <w:tab/>
      </w:r>
      <w:r>
        <w:t>(1)</w:t>
      </w:r>
      <w:r>
        <w:tab/>
        <w:t xml:space="preserve">In either case the lessor must give not less than 1 week’s notice of </w:t>
      </w:r>
      <w:r w:rsidRPr="0095124F">
        <w:rPr>
          <w:rStyle w:val="CharSectNo"/>
        </w:rPr>
        <w:t>termination</w:t>
      </w:r>
      <w:r>
        <w:t xml:space="preserve"> of the tenancy, and the rent abates from the date that the premises are uninhabitable.</w:t>
      </w:r>
    </w:p>
    <w:p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tenant</w:t>
      </w:r>
      <w:r>
        <w:t xml:space="preserve"> may give 2 days notice of termination of the tenancy.</w:t>
      </w:r>
    </w:p>
    <w:p w:rsidR="00450C28" w:rsidRDefault="00450C28" w:rsidP="00775F61">
      <w:pPr>
        <w:tabs>
          <w:tab w:val="right" w:pos="1372"/>
          <w:tab w:val="left" w:pos="1568"/>
        </w:tabs>
        <w:spacing w:before="140"/>
        <w:ind w:left="1588" w:hanging="1588"/>
        <w:jc w:val="both"/>
      </w:pPr>
      <w:r>
        <w:tab/>
        <w:t>(3)</w:t>
      </w:r>
      <w:r>
        <w:tab/>
        <w:t xml:space="preserve">If neither the lessor </w:t>
      </w:r>
      <w:r w:rsidR="00544165">
        <w:t>n</w:t>
      </w:r>
      <w:r>
        <w:t xml:space="preserve">or the tenant give notice of termination of the </w:t>
      </w:r>
      <w:r w:rsidRPr="0095124F">
        <w:rPr>
          <w:rStyle w:val="CharSectNo"/>
        </w:rPr>
        <w:t>tenancy</w:t>
      </w:r>
      <w:r>
        <w:t>, the rent abates for the period that the premises are unable to be used for habitation, but the tenancy resumes when they are able to be used again.</w:t>
      </w:r>
    </w:p>
    <w:p w:rsidR="00450C28" w:rsidRDefault="00450C28" w:rsidP="00775F61">
      <w:pPr>
        <w:keepNext/>
        <w:spacing w:before="120" w:after="60"/>
        <w:rPr>
          <w:rFonts w:ascii="Arial" w:hAnsi="Arial"/>
          <w:b/>
          <w:sz w:val="28"/>
        </w:rPr>
      </w:pPr>
      <w:r>
        <w:rPr>
          <w:rFonts w:ascii="Arial" w:hAnsi="Arial"/>
          <w:b/>
          <w:sz w:val="28"/>
        </w:rPr>
        <w:t>Termination of tenancy by tenant</w:t>
      </w:r>
    </w:p>
    <w:p w:rsidR="00450C28" w:rsidRPr="0027007A" w:rsidRDefault="00450C28" w:rsidP="00775F61">
      <w:pPr>
        <w:keepNext/>
        <w:spacing w:before="180"/>
        <w:rPr>
          <w:rFonts w:ascii="Arial" w:hAnsi="Arial"/>
          <w:b/>
        </w:rPr>
      </w:pPr>
      <w:r w:rsidRPr="0027007A">
        <w:rPr>
          <w:rFonts w:ascii="Arial" w:hAnsi="Arial"/>
          <w:b/>
        </w:rPr>
        <w:t>Termination on or after end of fixed term</w:t>
      </w:r>
    </w:p>
    <w:p w:rsidR="00450C28" w:rsidRDefault="00450C28" w:rsidP="00775F61">
      <w:pPr>
        <w:tabs>
          <w:tab w:val="right" w:pos="1372"/>
          <w:tab w:val="left" w:pos="1568"/>
        </w:tabs>
        <w:spacing w:before="140"/>
        <w:ind w:left="1588" w:hanging="1588"/>
        <w:jc w:val="both"/>
      </w:pPr>
      <w:r w:rsidRPr="001214D5">
        <w:t>88</w:t>
      </w:r>
      <w:r w:rsidRPr="001214D5">
        <w:tab/>
      </w:r>
      <w:r>
        <w:t>(1)</w:t>
      </w:r>
      <w:r>
        <w:tab/>
        <w:t>The tenant may give notice to terminate a periodic tenancy by giving the lessor not less than 3 weeks notice of the date when the tenant intends to vacate the premises.</w:t>
      </w:r>
    </w:p>
    <w:p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tenancy</w:t>
      </w:r>
      <w:r>
        <w:t xml:space="preserve"> ends on the date specified by the tenant.</w:t>
      </w:r>
    </w:p>
    <w:p w:rsidR="00450C28" w:rsidRDefault="00450C28" w:rsidP="00775F61">
      <w:pPr>
        <w:tabs>
          <w:tab w:val="right" w:pos="1372"/>
          <w:tab w:val="left" w:pos="1568"/>
        </w:tabs>
        <w:spacing w:before="140"/>
        <w:ind w:left="1588" w:hanging="1588"/>
        <w:jc w:val="both"/>
      </w:pPr>
      <w:r w:rsidRPr="001214D5">
        <w:t>89</w:t>
      </w:r>
      <w:r w:rsidRPr="001214D5">
        <w:tab/>
        <w:t>(1)</w:t>
      </w:r>
      <w:r w:rsidRPr="001214D5">
        <w:tab/>
        <w:t>The tenant may give notice to terminate a fixed term tenancy</w:t>
      </w:r>
      <w:r>
        <w:t xml:space="preserve"> at or </w:t>
      </w:r>
      <w:r w:rsidRPr="0095124F">
        <w:rPr>
          <w:rStyle w:val="CharSectNo"/>
        </w:rPr>
        <w:t>after</w:t>
      </w:r>
      <w:r>
        <w:t xml:space="preserve"> the end of the tenancy by giving 3</w:t>
      </w:r>
      <w:r w:rsidR="008A0960">
        <w:t> </w:t>
      </w:r>
      <w:r>
        <w:t>weeks notice of the date when the tenant intends to vacate the premises.</w:t>
      </w:r>
    </w:p>
    <w:p w:rsidR="00450C28" w:rsidRDefault="00450C28" w:rsidP="00775F61">
      <w:pPr>
        <w:tabs>
          <w:tab w:val="right" w:pos="1372"/>
          <w:tab w:val="left" w:pos="1568"/>
        </w:tabs>
        <w:spacing w:before="140"/>
        <w:ind w:left="1588" w:hanging="1588"/>
        <w:jc w:val="both"/>
      </w:pPr>
      <w:r>
        <w:tab/>
        <w:t>(2)</w:t>
      </w:r>
      <w:r>
        <w:tab/>
        <w:t xml:space="preserve">The </w:t>
      </w:r>
      <w:r w:rsidRPr="0095124F">
        <w:rPr>
          <w:rStyle w:val="CharSectNo"/>
        </w:rPr>
        <w:t>tenancy</w:t>
      </w:r>
      <w:r>
        <w:t xml:space="preserve"> ends on the date specified by the tenant.</w:t>
      </w:r>
    </w:p>
    <w:p w:rsidR="00450C28" w:rsidRPr="0027007A" w:rsidRDefault="00450C28" w:rsidP="00775F61">
      <w:pPr>
        <w:keepNext/>
        <w:spacing w:before="180"/>
        <w:rPr>
          <w:rFonts w:ascii="Arial" w:hAnsi="Arial"/>
          <w:b/>
        </w:rPr>
      </w:pPr>
      <w:r w:rsidRPr="0027007A">
        <w:rPr>
          <w:rFonts w:ascii="Arial" w:hAnsi="Arial"/>
          <w:b/>
        </w:rPr>
        <w:lastRenderedPageBreak/>
        <w:t>Termination for breach by lessor</w:t>
      </w:r>
    </w:p>
    <w:p w:rsidR="00450C28" w:rsidRDefault="00450C28" w:rsidP="00775F61">
      <w:pPr>
        <w:tabs>
          <w:tab w:val="right" w:pos="1372"/>
          <w:tab w:val="left" w:pos="1568"/>
        </w:tabs>
        <w:spacing w:before="140"/>
        <w:ind w:left="1588" w:hanging="1588"/>
        <w:jc w:val="both"/>
      </w:pPr>
      <w:r w:rsidRPr="001214D5">
        <w:t>90</w:t>
      </w:r>
      <w:r w:rsidRPr="001214D5">
        <w:tab/>
      </w:r>
      <w:r>
        <w:tab/>
        <w:t>If the lessor breaches the tenancy agreement, and the tenant wishes to terminate the tenancy agreement, the tenant may either—</w:t>
      </w:r>
    </w:p>
    <w:p w:rsidR="00450C28" w:rsidRDefault="00450C28" w:rsidP="00775F61">
      <w:pPr>
        <w:tabs>
          <w:tab w:val="right" w:pos="1843"/>
          <w:tab w:val="left" w:pos="2127"/>
        </w:tabs>
        <w:spacing w:before="140"/>
        <w:ind w:left="2098" w:hanging="2098"/>
        <w:jc w:val="both"/>
      </w:pPr>
      <w:r>
        <w:tab/>
        <w:t>(a)</w:t>
      </w:r>
      <w:r>
        <w:tab/>
        <w:t>apply to the tribunal for an order terminating the tenancy; or</w:t>
      </w:r>
    </w:p>
    <w:p w:rsidR="00450C28" w:rsidRDefault="00450C28" w:rsidP="00775F61">
      <w:pPr>
        <w:tabs>
          <w:tab w:val="right" w:pos="1843"/>
          <w:tab w:val="left" w:pos="2127"/>
        </w:tabs>
        <w:spacing w:before="140"/>
        <w:ind w:left="2098" w:hanging="2098"/>
        <w:jc w:val="both"/>
      </w:pPr>
      <w:r>
        <w:tab/>
        <w:t>(b)</w:t>
      </w:r>
      <w:r>
        <w:tab/>
        <w:t>give the lessor written notice of intention to terminate the tenancy, in accordance with clause 91.</w:t>
      </w:r>
    </w:p>
    <w:p w:rsidR="00450C28" w:rsidRDefault="00450C28" w:rsidP="00775F61">
      <w:pPr>
        <w:tabs>
          <w:tab w:val="right" w:pos="1372"/>
          <w:tab w:val="left" w:pos="1568"/>
        </w:tabs>
        <w:spacing w:before="140"/>
        <w:ind w:left="1588" w:hanging="1588"/>
        <w:jc w:val="both"/>
      </w:pPr>
      <w:r w:rsidRPr="001214D5">
        <w:t>91</w:t>
      </w:r>
      <w:r w:rsidRPr="001214D5">
        <w:tab/>
      </w:r>
      <w:r w:rsidRPr="001214D5">
        <w:tab/>
        <w:t>If the tenant decides to proceed by way of notice to the lessor,</w:t>
      </w:r>
      <w:r>
        <w:t xml:space="preserve"> the </w:t>
      </w:r>
      <w:r w:rsidRPr="0095124F">
        <w:rPr>
          <w:rStyle w:val="CharSectNo"/>
        </w:rPr>
        <w:t>following</w:t>
      </w:r>
      <w:r>
        <w:t xml:space="preserve"> procedures apply:</w:t>
      </w:r>
    </w:p>
    <w:p w:rsidR="00450C28" w:rsidRDefault="00450C28" w:rsidP="00775F61">
      <w:pPr>
        <w:tabs>
          <w:tab w:val="right" w:pos="1843"/>
          <w:tab w:val="left" w:pos="2127"/>
        </w:tabs>
        <w:spacing w:before="140"/>
        <w:ind w:left="2098" w:hanging="2098"/>
        <w:jc w:val="both"/>
      </w:pPr>
      <w:r>
        <w:tab/>
        <w:t>(a)</w:t>
      </w:r>
      <w:r>
        <w:tab/>
        <w:t>the tenant must give the lessor a written notice that the lessor has 2 weeks to remedy the breach if the breach is capable of remedy;</w:t>
      </w:r>
    </w:p>
    <w:p w:rsidR="00450C28" w:rsidRDefault="00450C28" w:rsidP="00775F61">
      <w:pPr>
        <w:tabs>
          <w:tab w:val="right" w:pos="1843"/>
          <w:tab w:val="left" w:pos="2127"/>
        </w:tabs>
        <w:spacing w:before="140"/>
        <w:ind w:left="2098" w:hanging="2098"/>
        <w:jc w:val="both"/>
      </w:pPr>
      <w:r>
        <w:tab/>
        <w:t>(b)</w:t>
      </w:r>
      <w:r>
        <w:tab/>
        <w:t>if the lessor remedies the breach within that 14-day period—the tenancy continues;</w:t>
      </w:r>
    </w:p>
    <w:p w:rsidR="00450C28" w:rsidRDefault="00450C28" w:rsidP="00775F61">
      <w:pPr>
        <w:tabs>
          <w:tab w:val="right" w:pos="1843"/>
          <w:tab w:val="left" w:pos="2127"/>
        </w:tabs>
        <w:spacing w:before="140"/>
        <w:ind w:left="2098" w:hanging="2098"/>
        <w:jc w:val="both"/>
      </w:pPr>
      <w:r>
        <w:tab/>
        <w:t>(c)</w:t>
      </w:r>
      <w:r>
        <w:tab/>
        <w:t>if the lessor does not remedy the breach within the time specified in the notice, or if the breach is not capable of remedy—the tenant must give 2 weeks notice of intention to vacate;</w:t>
      </w:r>
    </w:p>
    <w:p w:rsidR="00450C28" w:rsidRDefault="00450C28" w:rsidP="00775F61">
      <w:pPr>
        <w:tabs>
          <w:tab w:val="right" w:pos="1843"/>
          <w:tab w:val="left" w:pos="2127"/>
        </w:tabs>
        <w:spacing w:before="140"/>
        <w:ind w:left="2098" w:hanging="2098"/>
        <w:jc w:val="both"/>
      </w:pPr>
      <w:r>
        <w:tab/>
        <w:t>(d)</w:t>
      </w:r>
      <w:r>
        <w:tab/>
        <w:t>the tenancy agreement terminates on the date specified by the tenant;</w:t>
      </w:r>
    </w:p>
    <w:p w:rsidR="00450C28" w:rsidRDefault="00450C28" w:rsidP="00775F61">
      <w:pPr>
        <w:tabs>
          <w:tab w:val="right" w:pos="1843"/>
          <w:tab w:val="left" w:pos="2127"/>
        </w:tabs>
        <w:spacing w:before="140"/>
        <w:ind w:left="2098" w:hanging="2098"/>
        <w:jc w:val="both"/>
      </w:pPr>
      <w:r>
        <w:tab/>
        <w:t>(e)</w:t>
      </w:r>
      <w:r>
        <w:tab/>
        <w:t>rent is payable to the date specified in the notice or to the date that the tenant vacates the premises, whichever is the later;</w:t>
      </w:r>
    </w:p>
    <w:p w:rsidR="00450C28" w:rsidRDefault="00450C28" w:rsidP="00775F61">
      <w:pPr>
        <w:tabs>
          <w:tab w:val="right" w:pos="1843"/>
          <w:tab w:val="left" w:pos="2127"/>
        </w:tabs>
        <w:spacing w:before="140"/>
        <w:ind w:left="2098" w:hanging="2098"/>
        <w:jc w:val="both"/>
      </w:pPr>
      <w:r>
        <w:tab/>
        <w:t>(f)</w:t>
      </w:r>
      <w:r>
        <w:tab/>
        <w:t>if the lessor remedies the breach during the period of the notice of intention to vacate—the tenant, at the tenant’s option, may withdraw the notice or may terminate the tenancy agreement on the date specified in the notice by vacating the premises on that date.</w:t>
      </w:r>
    </w:p>
    <w:p w:rsidR="00450C28" w:rsidRDefault="00450C28" w:rsidP="00775F61">
      <w:pPr>
        <w:keepNext/>
        <w:spacing w:before="120" w:after="60"/>
        <w:rPr>
          <w:rFonts w:ascii="Arial" w:hAnsi="Arial"/>
          <w:b/>
          <w:sz w:val="28"/>
        </w:rPr>
      </w:pPr>
      <w:r>
        <w:rPr>
          <w:rFonts w:ascii="Arial" w:hAnsi="Arial"/>
          <w:b/>
          <w:sz w:val="28"/>
        </w:rPr>
        <w:lastRenderedPageBreak/>
        <w:t>Termination of tenancy by lessor</w:t>
      </w:r>
    </w:p>
    <w:p w:rsidR="00450C28" w:rsidRPr="0027007A" w:rsidRDefault="00450C28" w:rsidP="00775F61">
      <w:pPr>
        <w:keepNext/>
        <w:spacing w:before="180"/>
        <w:rPr>
          <w:rFonts w:ascii="Arial" w:hAnsi="Arial"/>
          <w:b/>
        </w:rPr>
      </w:pPr>
      <w:r w:rsidRPr="0027007A">
        <w:rPr>
          <w:rFonts w:ascii="Arial" w:hAnsi="Arial"/>
          <w:b/>
        </w:rPr>
        <w:t>Termination for failure to pay rent</w:t>
      </w:r>
    </w:p>
    <w:p w:rsidR="00450C28" w:rsidRDefault="00450C28" w:rsidP="00775F61">
      <w:pPr>
        <w:tabs>
          <w:tab w:val="right" w:pos="1372"/>
          <w:tab w:val="left" w:pos="1568"/>
        </w:tabs>
        <w:spacing w:before="140"/>
        <w:ind w:left="1588" w:hanging="1588"/>
        <w:jc w:val="both"/>
      </w:pPr>
      <w:r w:rsidRPr="001214D5">
        <w:t>92</w:t>
      </w:r>
      <w:r w:rsidRPr="001214D5">
        <w:tab/>
      </w:r>
      <w:r w:rsidRPr="001214D5">
        <w:tab/>
        <w:t>The tribunal may order the termination of the tenancy and</w:t>
      </w:r>
      <w:r>
        <w:t xml:space="preserve"> eviction of the tenant on the ground of nonpayment of rent in the </w:t>
      </w:r>
      <w:r w:rsidRPr="0095124F">
        <w:rPr>
          <w:rStyle w:val="CharSectNo"/>
        </w:rPr>
        <w:t>following</w:t>
      </w:r>
      <w:r>
        <w:t xml:space="preserve"> circumstances:</w:t>
      </w:r>
    </w:p>
    <w:p w:rsidR="00450C28" w:rsidRDefault="00450C28" w:rsidP="00775F61">
      <w:pPr>
        <w:tabs>
          <w:tab w:val="right" w:pos="1843"/>
          <w:tab w:val="left" w:pos="2127"/>
        </w:tabs>
        <w:spacing w:before="140"/>
        <w:ind w:left="2098" w:hanging="2098"/>
        <w:jc w:val="both"/>
      </w:pPr>
      <w:r>
        <w:tab/>
        <w:t>(a)</w:t>
      </w:r>
      <w:r>
        <w:tab/>
        <w:t>rent has been unpaid for 1 week. The first day of this period concludes at midnight on the day when the unpaid rent was due;</w:t>
      </w:r>
    </w:p>
    <w:p w:rsidR="00450C28" w:rsidRDefault="00450C28" w:rsidP="00775F61">
      <w:pPr>
        <w:tabs>
          <w:tab w:val="right" w:pos="1843"/>
          <w:tab w:val="left" w:pos="2127"/>
        </w:tabs>
        <w:spacing w:before="140"/>
        <w:ind w:left="2098" w:hanging="2098"/>
        <w:jc w:val="both"/>
      </w:pPr>
      <w:r>
        <w:tab/>
        <w:t>(b)</w:t>
      </w:r>
      <w:r>
        <w:tab/>
        <w:t>the lessor has served a notice to remedy on the tenant for the failure to pay the rent, being a notice—</w:t>
      </w:r>
    </w:p>
    <w:p w:rsidR="00450C28" w:rsidRDefault="00450C28" w:rsidP="00775F61">
      <w:pPr>
        <w:tabs>
          <w:tab w:val="right" w:pos="2410"/>
          <w:tab w:val="left" w:pos="2552"/>
        </w:tabs>
        <w:spacing w:before="140"/>
        <w:ind w:left="2552" w:hanging="2552"/>
        <w:jc w:val="both"/>
      </w:pPr>
      <w:r>
        <w:tab/>
        <w:t>(i)</w:t>
      </w:r>
      <w:r>
        <w:tab/>
        <w:t>served not earlier than 1 week after the day when the rent was due; and</w:t>
      </w:r>
    </w:p>
    <w:p w:rsidR="00450C28" w:rsidRDefault="00450C28" w:rsidP="00775F61">
      <w:pPr>
        <w:tabs>
          <w:tab w:val="right" w:pos="2410"/>
          <w:tab w:val="left" w:pos="2552"/>
        </w:tabs>
        <w:spacing w:before="140"/>
        <w:ind w:left="2552" w:hanging="2552"/>
        <w:jc w:val="both"/>
      </w:pPr>
      <w:r>
        <w:tab/>
        <w:t>(ii)</w:t>
      </w:r>
      <w:r>
        <w:tab/>
        <w:t>containing a statement that if the tenant pays the rent outstanding to the date of payment within 7</w:t>
      </w:r>
      <w:r w:rsidR="008A0960">
        <w:t> </w:t>
      </w:r>
      <w:r>
        <w:t>days of the date of service of the notice to remedy, no further action must be taken and the tenancy continues;</w:t>
      </w:r>
    </w:p>
    <w:p w:rsidR="00450C28" w:rsidRDefault="00450C28" w:rsidP="00775F61">
      <w:pPr>
        <w:tabs>
          <w:tab w:val="right" w:pos="1843"/>
          <w:tab w:val="left" w:pos="2127"/>
        </w:tabs>
        <w:spacing w:before="140"/>
        <w:ind w:left="2098" w:hanging="2098"/>
        <w:jc w:val="both"/>
      </w:pPr>
      <w:r>
        <w:tab/>
        <w:t>(c)</w:t>
      </w:r>
      <w:r>
        <w:tab/>
        <w:t>if all rent is not paid within 1 week of the date of service of the notice to remedy—the lessor may then serve a notice to vacate on the tenant requiring the tenant to vacate the premises within 2 weeks of service of the notice to vacate;</w:t>
      </w:r>
    </w:p>
    <w:p w:rsidR="00450C28" w:rsidRDefault="00450C28" w:rsidP="00775F61">
      <w:pPr>
        <w:tabs>
          <w:tab w:val="right" w:pos="1843"/>
          <w:tab w:val="left" w:pos="2127"/>
        </w:tabs>
        <w:spacing w:before="140"/>
        <w:ind w:left="2098" w:hanging="2098"/>
        <w:jc w:val="both"/>
      </w:pPr>
      <w:r>
        <w:tab/>
        <w:t>(d)</w:t>
      </w:r>
      <w:r>
        <w:tab/>
        <w:t>no earlier than the date when the notice to vacate is served, the lessor may apply to the tribunal for an order terminating the tenancy and evicting the tenant;</w:t>
      </w:r>
    </w:p>
    <w:p w:rsidR="00450C28" w:rsidRDefault="00450C28" w:rsidP="00775F61">
      <w:pPr>
        <w:tabs>
          <w:tab w:val="right" w:pos="1843"/>
          <w:tab w:val="left" w:pos="2127"/>
        </w:tabs>
        <w:spacing w:before="140"/>
        <w:ind w:left="2098" w:hanging="2098"/>
        <w:jc w:val="both"/>
      </w:pPr>
      <w:r>
        <w:tab/>
        <w:t>(e)</w:t>
      </w:r>
      <w:r>
        <w:tab/>
        <w:t>the tribunal hearing of the application to terminate and evict must not be earlier than the end of the period specified in the notice to vacate;</w:t>
      </w:r>
    </w:p>
    <w:p w:rsidR="00450C28" w:rsidRDefault="00450C28" w:rsidP="00775F61">
      <w:pPr>
        <w:keepLines/>
        <w:tabs>
          <w:tab w:val="right" w:pos="1843"/>
          <w:tab w:val="left" w:pos="2127"/>
        </w:tabs>
        <w:spacing w:before="140"/>
        <w:ind w:left="2098" w:hanging="2098"/>
        <w:jc w:val="both"/>
      </w:pPr>
      <w:r>
        <w:tab/>
        <w:t>(f)</w:t>
      </w:r>
      <w:r>
        <w:tab/>
        <w:t>during any tenancy in which the lessor has previously issued 2 notices to remedy, the lessor may serve a notice to vacate 1 week after the day when the rent has fallen due without serving a notice to remedy.</w:t>
      </w:r>
    </w:p>
    <w:p w:rsidR="00450C28" w:rsidRDefault="00450C28" w:rsidP="00775F61">
      <w:pPr>
        <w:keepNext/>
        <w:spacing w:before="180"/>
        <w:rPr>
          <w:rFonts w:ascii="Arial" w:hAnsi="Arial"/>
          <w:b/>
        </w:rPr>
      </w:pPr>
      <w:r>
        <w:rPr>
          <w:rFonts w:ascii="Arial" w:hAnsi="Arial"/>
          <w:b/>
        </w:rPr>
        <w:lastRenderedPageBreak/>
        <w:t>Termination of tenancy for breach other than nonpayment of rent</w:t>
      </w:r>
    </w:p>
    <w:p w:rsidR="00450C28" w:rsidRDefault="00450C28" w:rsidP="00775F61">
      <w:pPr>
        <w:tabs>
          <w:tab w:val="right" w:pos="1372"/>
          <w:tab w:val="left" w:pos="1568"/>
        </w:tabs>
        <w:spacing w:before="140"/>
        <w:ind w:left="1588" w:hanging="1588"/>
        <w:jc w:val="both"/>
      </w:pPr>
      <w:r w:rsidRPr="001214D5">
        <w:t>93</w:t>
      </w:r>
      <w:r w:rsidRPr="001214D5">
        <w:tab/>
      </w:r>
      <w:r w:rsidRPr="001214D5">
        <w:tab/>
        <w:t>The tribunal may order the termination of the tenancy and</w:t>
      </w:r>
      <w:r>
        <w:t xml:space="preserve"> eviction of the tenant on the ground of breach of the tenancy agreement in the following circumstances:</w:t>
      </w:r>
    </w:p>
    <w:p w:rsidR="00450C28" w:rsidRDefault="00450C28" w:rsidP="00775F61">
      <w:pPr>
        <w:tabs>
          <w:tab w:val="right" w:pos="1843"/>
          <w:tab w:val="left" w:pos="2127"/>
        </w:tabs>
        <w:spacing w:before="140"/>
        <w:ind w:left="2098" w:hanging="2098"/>
        <w:jc w:val="both"/>
      </w:pPr>
      <w:r>
        <w:tab/>
        <w:t>(a)</w:t>
      </w:r>
      <w:r>
        <w:tab/>
        <w:t>the lessor must serve a written notice requiring the tenant within 2 weeks after the day of service to remedy the breach if it is capable of remedy;</w:t>
      </w:r>
    </w:p>
    <w:p w:rsidR="00450C28" w:rsidRDefault="00450C28" w:rsidP="00775F61">
      <w:pPr>
        <w:tabs>
          <w:tab w:val="right" w:pos="1843"/>
          <w:tab w:val="left" w:pos="2127"/>
        </w:tabs>
        <w:spacing w:before="140"/>
        <w:ind w:left="2098" w:hanging="2098"/>
        <w:jc w:val="both"/>
      </w:pPr>
      <w:r>
        <w:tab/>
        <w:t>(b)</w:t>
      </w:r>
      <w:r>
        <w:tab/>
        <w:t>if the breach is not remedied within 2 weeks after the day of service or if the breach is not capable of remedy—the lessor must give a notice to vacate the premises within 2 weeks after the date of service of the notice to vacate;</w:t>
      </w:r>
    </w:p>
    <w:p w:rsidR="00450C28" w:rsidRDefault="00450C28" w:rsidP="00775F61">
      <w:pPr>
        <w:tabs>
          <w:tab w:val="right" w:pos="1843"/>
          <w:tab w:val="left" w:pos="2127"/>
        </w:tabs>
        <w:spacing w:before="140"/>
        <w:ind w:left="2098" w:hanging="2098"/>
        <w:jc w:val="both"/>
      </w:pPr>
      <w:r>
        <w:tab/>
        <w:t>(c)</w:t>
      </w:r>
      <w:r>
        <w:tab/>
        <w:t>if the tenant does not vacate the premises within the period of 2 weeks after the date of service of a notice to vacate—the lessor may apply to the tribunal for an order terminating the tenancy and for the eviction of the tenant;</w:t>
      </w:r>
    </w:p>
    <w:p w:rsidR="00450C28" w:rsidRDefault="00450C28" w:rsidP="00775F61">
      <w:pPr>
        <w:tabs>
          <w:tab w:val="right" w:pos="1843"/>
          <w:tab w:val="left" w:pos="2127"/>
        </w:tabs>
        <w:spacing w:before="140"/>
        <w:ind w:left="2098" w:hanging="2098"/>
        <w:jc w:val="both"/>
      </w:pPr>
      <w:r>
        <w:tab/>
        <w:t>(d)</w:t>
      </w:r>
      <w:r>
        <w:tab/>
        <w:t>if the tenant breaches the terms of the tenancy on 3 occasions on any ground—on the 3rd occasion the lessor may serve a notice to vacate and need not give the tenant 2 weeks to remedy the breach.</w:t>
      </w:r>
    </w:p>
    <w:p w:rsidR="00450C28" w:rsidRPr="0027007A" w:rsidRDefault="00450C28" w:rsidP="00775F61">
      <w:pPr>
        <w:keepNext/>
        <w:spacing w:before="180"/>
        <w:rPr>
          <w:rFonts w:ascii="Arial" w:hAnsi="Arial"/>
          <w:b/>
        </w:rPr>
      </w:pPr>
      <w:r w:rsidRPr="0027007A">
        <w:rPr>
          <w:rFonts w:ascii="Arial" w:hAnsi="Arial"/>
          <w:b/>
        </w:rPr>
        <w:t>Termination of tenancy without cause</w:t>
      </w:r>
    </w:p>
    <w:p w:rsidR="00450C28" w:rsidRDefault="00450C28" w:rsidP="00775F61">
      <w:pPr>
        <w:tabs>
          <w:tab w:val="right" w:pos="1372"/>
          <w:tab w:val="left" w:pos="1568"/>
        </w:tabs>
        <w:spacing w:before="140"/>
        <w:ind w:left="1588" w:hanging="1588"/>
        <w:jc w:val="both"/>
      </w:pPr>
      <w:r w:rsidRPr="001214D5">
        <w:t>94</w:t>
      </w:r>
      <w:r w:rsidRPr="001214D5">
        <w:tab/>
      </w:r>
      <w:r w:rsidRPr="001214D5">
        <w:tab/>
        <w:t>The</w:t>
      </w:r>
      <w:r>
        <w:t xml:space="preserve"> lessor may serve a notice to vacate during the term of a tenancy requiring the tenant to vacate the premises at the end of the </w:t>
      </w:r>
      <w:r w:rsidRPr="0095124F">
        <w:rPr>
          <w:rStyle w:val="CharSectNo"/>
        </w:rPr>
        <w:t>notice</w:t>
      </w:r>
      <w:r>
        <w:t xml:space="preserve"> provided that—</w:t>
      </w:r>
    </w:p>
    <w:p w:rsidR="00450C28" w:rsidRDefault="00450C28" w:rsidP="00775F61">
      <w:pPr>
        <w:tabs>
          <w:tab w:val="right" w:pos="1843"/>
          <w:tab w:val="left" w:pos="2127"/>
        </w:tabs>
        <w:spacing w:before="140"/>
        <w:ind w:left="2098" w:hanging="2098"/>
        <w:jc w:val="both"/>
      </w:pPr>
      <w:r>
        <w:tab/>
        <w:t>(a)</w:t>
      </w:r>
      <w:r>
        <w:tab/>
        <w:t>the notice is for 26 weeks; and</w:t>
      </w:r>
    </w:p>
    <w:p w:rsidR="00450C28" w:rsidRDefault="00450C28" w:rsidP="00775F61">
      <w:pPr>
        <w:tabs>
          <w:tab w:val="right" w:pos="1843"/>
          <w:tab w:val="left" w:pos="2127"/>
        </w:tabs>
        <w:spacing w:before="140"/>
        <w:ind w:left="2098" w:hanging="2098"/>
        <w:jc w:val="both"/>
      </w:pPr>
      <w:r>
        <w:tab/>
        <w:t>(b)</w:t>
      </w:r>
      <w:r>
        <w:tab/>
        <w:t>the notice does not require the tenant to vacate the premises during a fixed term.</w:t>
      </w:r>
    </w:p>
    <w:p w:rsidR="00A41EB1" w:rsidRPr="00604238" w:rsidRDefault="00A41EB1" w:rsidP="0096304A">
      <w:pPr>
        <w:keepLines/>
        <w:tabs>
          <w:tab w:val="right" w:pos="1372"/>
          <w:tab w:val="left" w:pos="1568"/>
        </w:tabs>
        <w:spacing w:before="140"/>
        <w:ind w:left="1588" w:hanging="1588"/>
        <w:jc w:val="both"/>
      </w:pPr>
      <w:r w:rsidRPr="00604238">
        <w:lastRenderedPageBreak/>
        <w:t>95</w:t>
      </w:r>
      <w:r w:rsidRPr="00604238">
        <w:tab/>
        <w:t>(1)</w:t>
      </w:r>
      <w:r w:rsidRPr="00604238">
        <w:tab/>
        <w:t>If the lessor serves a notice on the tenant under clause 94 requiring the tenant to vacate the premises at the end of the notice, the tenant may vacate the premises before that day without breaching the residential tenancy agreement by giving the lessor a notice of intention to vacate—</w:t>
      </w:r>
    </w:p>
    <w:p w:rsidR="00A41EB1" w:rsidRPr="00604238" w:rsidRDefault="00A41EB1" w:rsidP="00A41EB1">
      <w:pPr>
        <w:tabs>
          <w:tab w:val="right" w:pos="1843"/>
          <w:tab w:val="left" w:pos="2127"/>
        </w:tabs>
        <w:spacing w:before="140"/>
        <w:ind w:left="2098" w:hanging="2098"/>
        <w:jc w:val="both"/>
      </w:pPr>
      <w:r w:rsidRPr="00604238">
        <w:tab/>
        <w:t>(a)</w:t>
      </w:r>
      <w:r w:rsidRPr="00604238">
        <w:tab/>
        <w:t>if the term of the tenancy ends in less than 2 weeks—at least 4 days before vacating the premises; and</w:t>
      </w:r>
    </w:p>
    <w:p w:rsidR="00A41EB1" w:rsidRPr="00604238" w:rsidRDefault="00A41EB1" w:rsidP="00A41EB1">
      <w:pPr>
        <w:tabs>
          <w:tab w:val="right" w:pos="1843"/>
          <w:tab w:val="left" w:pos="2127"/>
        </w:tabs>
        <w:spacing w:before="140"/>
        <w:ind w:left="2098" w:hanging="2098"/>
        <w:jc w:val="both"/>
      </w:pPr>
      <w:r w:rsidRPr="00604238">
        <w:tab/>
        <w:t>(b)</w:t>
      </w:r>
      <w:r w:rsidRPr="00604238">
        <w:tab/>
        <w:t>in any other case—at least 3 weeks before vacating the premises.</w:t>
      </w:r>
    </w:p>
    <w:p w:rsidR="00A41EB1" w:rsidRPr="00604238" w:rsidRDefault="00A41EB1" w:rsidP="00A41EB1">
      <w:pPr>
        <w:tabs>
          <w:tab w:val="right" w:pos="1372"/>
          <w:tab w:val="left" w:pos="1568"/>
        </w:tabs>
        <w:spacing w:before="140"/>
        <w:ind w:left="1588" w:hanging="1588"/>
        <w:jc w:val="both"/>
      </w:pPr>
      <w:r w:rsidRPr="00604238">
        <w:tab/>
        <w:t>(2)</w:t>
      </w:r>
      <w:r w:rsidRPr="00604238">
        <w:tab/>
        <w:t>If subclause (1) applies, the tenancy terminates on the day the tenant vacates the premises.</w:t>
      </w:r>
    </w:p>
    <w:p w:rsidR="00450C28" w:rsidRPr="0027007A" w:rsidRDefault="00450C28" w:rsidP="00775F61">
      <w:pPr>
        <w:keepNext/>
        <w:spacing w:before="180"/>
        <w:rPr>
          <w:rFonts w:ascii="Arial" w:hAnsi="Arial"/>
          <w:b/>
        </w:rPr>
      </w:pPr>
      <w:r w:rsidRPr="0027007A">
        <w:rPr>
          <w:rFonts w:ascii="Arial" w:hAnsi="Arial"/>
          <w:b/>
        </w:rPr>
        <w:t>Termination of periodic tenancy</w:t>
      </w:r>
    </w:p>
    <w:p w:rsidR="00450C28" w:rsidRDefault="00450C28" w:rsidP="00775F61">
      <w:pPr>
        <w:tabs>
          <w:tab w:val="right" w:pos="1372"/>
          <w:tab w:val="left" w:pos="1568"/>
        </w:tabs>
        <w:spacing w:before="140"/>
        <w:ind w:left="1588" w:hanging="1588"/>
        <w:jc w:val="both"/>
      </w:pPr>
      <w:r w:rsidRPr="001214D5">
        <w:t>96</w:t>
      </w:r>
      <w:r w:rsidRPr="001214D5">
        <w:tab/>
        <w:t>(1)</w:t>
      </w:r>
      <w:r w:rsidRPr="001214D5">
        <w:tab/>
        <w:t>If there is a periodic tenancy, the lessor may serve on the</w:t>
      </w:r>
      <w:r>
        <w:t xml:space="preserve"> tenant a notice to vacate for the following periods on the following grounds:</w:t>
      </w:r>
    </w:p>
    <w:p w:rsidR="00450C28" w:rsidRDefault="00450C28" w:rsidP="00775F61">
      <w:pPr>
        <w:tabs>
          <w:tab w:val="right" w:pos="1843"/>
          <w:tab w:val="left" w:pos="2127"/>
        </w:tabs>
        <w:spacing w:before="140"/>
        <w:ind w:left="2098" w:hanging="2098"/>
        <w:jc w:val="both"/>
      </w:pPr>
      <w:r>
        <w:tab/>
        <w:t>(a)</w:t>
      </w:r>
      <w:r>
        <w:tab/>
        <w:t>4 weeks notice if the lessor genuinely intends to live in the premises;</w:t>
      </w:r>
    </w:p>
    <w:p w:rsidR="00450C28" w:rsidRDefault="00450C28" w:rsidP="00775F61">
      <w:pPr>
        <w:tabs>
          <w:tab w:val="right" w:pos="1843"/>
          <w:tab w:val="left" w:pos="2127"/>
        </w:tabs>
        <w:spacing w:before="140"/>
        <w:ind w:left="2098" w:hanging="2098"/>
        <w:jc w:val="both"/>
      </w:pPr>
      <w:r>
        <w:tab/>
        <w:t>(b)</w:t>
      </w:r>
      <w:r>
        <w:tab/>
        <w:t>4 weeks notice if the lessor genuinely believes the lessor’s immediate relative intends to live in the premises;</w:t>
      </w:r>
    </w:p>
    <w:p w:rsidR="00450C28" w:rsidRDefault="00450C28" w:rsidP="00775F61">
      <w:pPr>
        <w:tabs>
          <w:tab w:val="right" w:pos="1843"/>
          <w:tab w:val="left" w:pos="2127"/>
        </w:tabs>
        <w:spacing w:before="140"/>
        <w:ind w:left="2098" w:hanging="2098"/>
        <w:jc w:val="both"/>
      </w:pPr>
      <w:r>
        <w:tab/>
        <w:t>(c)</w:t>
      </w:r>
      <w:r>
        <w:tab/>
        <w:t>4 weeks notice if the lessor genuinely believes an interested person intends to live in the premises;</w:t>
      </w:r>
    </w:p>
    <w:p w:rsidR="00450C28" w:rsidRDefault="00450C28" w:rsidP="00775F61">
      <w:pPr>
        <w:tabs>
          <w:tab w:val="right" w:pos="1843"/>
          <w:tab w:val="left" w:pos="2127"/>
        </w:tabs>
        <w:spacing w:before="140"/>
        <w:ind w:left="2098" w:hanging="2098"/>
        <w:jc w:val="both"/>
      </w:pPr>
      <w:r>
        <w:tab/>
        <w:t>(d)</w:t>
      </w:r>
      <w:r>
        <w:tab/>
        <w:t>8 weeks notice if the lessor genuinely intends to sell the premises;</w:t>
      </w:r>
    </w:p>
    <w:p w:rsidR="00450C28" w:rsidRDefault="00450C28" w:rsidP="00775F61">
      <w:pPr>
        <w:tabs>
          <w:tab w:val="right" w:pos="1843"/>
          <w:tab w:val="left" w:pos="2127"/>
        </w:tabs>
        <w:spacing w:before="140"/>
        <w:ind w:left="2098" w:hanging="2098"/>
        <w:jc w:val="both"/>
      </w:pPr>
      <w:r>
        <w:tab/>
        <w:t>(e)</w:t>
      </w:r>
      <w:r>
        <w:tab/>
        <w:t>12 weeks notice if the lessor genuinely intends to reconstruct, renovate or make major repairs to the premises and the reconstruction, renovation or repairs cannot reasonably be carried out with the tenant living in the premises.</w:t>
      </w:r>
    </w:p>
    <w:p w:rsidR="004B587B" w:rsidRPr="00604238" w:rsidRDefault="004B587B" w:rsidP="004B587B">
      <w:pPr>
        <w:tabs>
          <w:tab w:val="right" w:pos="1372"/>
          <w:tab w:val="left" w:pos="1568"/>
        </w:tabs>
        <w:spacing w:before="140"/>
        <w:ind w:left="1588" w:hanging="1588"/>
        <w:jc w:val="both"/>
      </w:pPr>
      <w:r w:rsidRPr="00604238">
        <w:lastRenderedPageBreak/>
        <w:tab/>
        <w:t>(</w:t>
      </w:r>
      <w:r w:rsidR="00F03F7F">
        <w:t>1A</w:t>
      </w:r>
      <w:r w:rsidRPr="00604238">
        <w:t>)</w:t>
      </w:r>
      <w:r w:rsidRPr="00604238">
        <w:tab/>
        <w:t>If the lessor serves a notice to vacate on the ground of an intention or belief mentioned in subclause (1) (a), (b) or (c), the lessor must also give the tenant a statutory declaration about the intention or belief.</w:t>
      </w:r>
    </w:p>
    <w:p w:rsidR="00450C28" w:rsidRDefault="00450C28" w:rsidP="00775F61">
      <w:pPr>
        <w:tabs>
          <w:tab w:val="right" w:pos="1372"/>
          <w:tab w:val="left" w:pos="1568"/>
        </w:tabs>
        <w:spacing w:before="140"/>
        <w:ind w:left="1588" w:hanging="1588"/>
        <w:jc w:val="both"/>
      </w:pPr>
      <w:r>
        <w:tab/>
        <w:t>(</w:t>
      </w:r>
      <w:r w:rsidR="00F03F7F">
        <w:t>2</w:t>
      </w:r>
      <w:r>
        <w:t>)</w:t>
      </w:r>
      <w:r>
        <w:tab/>
        <w:t xml:space="preserve">In this </w:t>
      </w:r>
      <w:r w:rsidRPr="0095124F">
        <w:rPr>
          <w:rStyle w:val="CharSectNo"/>
        </w:rPr>
        <w:t>clause</w:t>
      </w:r>
      <w:r>
        <w:t>:</w:t>
      </w:r>
    </w:p>
    <w:p w:rsidR="00450C28" w:rsidRDefault="00450C28" w:rsidP="00775F61">
      <w:pPr>
        <w:spacing w:before="140"/>
        <w:ind w:left="1599"/>
        <w:jc w:val="both"/>
      </w:pPr>
      <w:r>
        <w:rPr>
          <w:rStyle w:val="charBoldItals"/>
        </w:rPr>
        <w:t>immediate relative</w:t>
      </w:r>
      <w:r>
        <w:t xml:space="preserve"> means a son, daughter, son-in-law, daughter-in-law, mother, father, mother-in-law, father-in-law, brother, sister, brother-in-law or sister-in-law.</w:t>
      </w:r>
    </w:p>
    <w:p w:rsidR="00450C28" w:rsidRDefault="00450C28" w:rsidP="00775F61">
      <w:pPr>
        <w:spacing w:before="140"/>
        <w:ind w:left="1599"/>
        <w:jc w:val="both"/>
      </w:pPr>
      <w:r>
        <w:rPr>
          <w:rStyle w:val="charBoldItals"/>
        </w:rPr>
        <w:t>interested person</w:t>
      </w:r>
      <w:r>
        <w:t>, for a lessor, means a person who is not an immediate relative of the lessor but who has a close family or personal relationship with the lessor and who has a reasonable expectation arising from that relationship that the lessor would provide accommodation for that person.</w:t>
      </w:r>
    </w:p>
    <w:p w:rsidR="00450C28" w:rsidRDefault="00450C28" w:rsidP="00775F61">
      <w:pPr>
        <w:tabs>
          <w:tab w:val="right" w:pos="1372"/>
          <w:tab w:val="left" w:pos="1568"/>
        </w:tabs>
        <w:spacing w:before="140"/>
        <w:ind w:left="1588" w:hanging="1588"/>
        <w:jc w:val="both"/>
      </w:pPr>
      <w:r w:rsidRPr="001214D5">
        <w:t>97</w:t>
      </w:r>
      <w:r w:rsidRPr="001214D5">
        <w:tab/>
        <w:t>(1)</w:t>
      </w:r>
      <w:r w:rsidRPr="001214D5">
        <w:tab/>
        <w:t>If a tenant is required to vacate the premises in accordance</w:t>
      </w:r>
      <w:r>
        <w:t xml:space="preserve"> with </w:t>
      </w:r>
      <w:r w:rsidRPr="0095124F">
        <w:rPr>
          <w:rStyle w:val="CharSectNo"/>
        </w:rPr>
        <w:t>clause</w:t>
      </w:r>
      <w:r>
        <w:t xml:space="preserve"> 96, the tenant may vacate the premises at any time during the 2 weeks before the date specified in the notice to vacate provided the tenant gives the lessor 4 days notice of intention to vacate.</w:t>
      </w:r>
    </w:p>
    <w:p w:rsidR="00450C28" w:rsidRDefault="00450C28" w:rsidP="00775F61">
      <w:pPr>
        <w:tabs>
          <w:tab w:val="right" w:pos="1372"/>
          <w:tab w:val="left" w:pos="1568"/>
        </w:tabs>
        <w:spacing w:before="140"/>
        <w:ind w:left="1588" w:hanging="1588"/>
        <w:jc w:val="both"/>
      </w:pPr>
      <w:r>
        <w:tab/>
        <w:t>(2)</w:t>
      </w:r>
      <w:r>
        <w:tab/>
        <w:t xml:space="preserve">In this case, the tenancy terminates on the date that the tenant </w:t>
      </w:r>
      <w:r w:rsidRPr="0095124F">
        <w:rPr>
          <w:rStyle w:val="CharSectNo"/>
        </w:rPr>
        <w:t>vacates</w:t>
      </w:r>
      <w:r>
        <w:t xml:space="preserve"> the premises.</w:t>
      </w:r>
    </w:p>
    <w:p w:rsidR="00450C28" w:rsidRPr="0027007A" w:rsidRDefault="00450C28" w:rsidP="00775F61">
      <w:pPr>
        <w:keepNext/>
        <w:spacing w:before="180"/>
        <w:rPr>
          <w:rFonts w:ascii="Arial" w:hAnsi="Arial"/>
          <w:b/>
        </w:rPr>
      </w:pPr>
      <w:r w:rsidRPr="0027007A">
        <w:rPr>
          <w:rFonts w:ascii="Arial" w:hAnsi="Arial"/>
          <w:b/>
        </w:rPr>
        <w:t>Notices of address for service</w:t>
      </w:r>
    </w:p>
    <w:p w:rsidR="00450C28" w:rsidRDefault="00450C28" w:rsidP="00775F61">
      <w:pPr>
        <w:tabs>
          <w:tab w:val="right" w:pos="1372"/>
          <w:tab w:val="left" w:pos="1568"/>
        </w:tabs>
        <w:spacing w:before="140"/>
        <w:ind w:left="1588" w:hanging="1588"/>
        <w:jc w:val="both"/>
      </w:pPr>
      <w:r w:rsidRPr="007D5CFD">
        <w:t>98</w:t>
      </w:r>
      <w:r>
        <w:tab/>
        <w:t>(1)</w:t>
      </w:r>
      <w:r>
        <w:tab/>
        <w:t>At th</w:t>
      </w:r>
      <w:r w:rsidRPr="007D5CFD">
        <w:t>e</w:t>
      </w:r>
      <w:r>
        <w:t xml:space="preserve"> commencement of the tenancy, the lessor and the tenant must each give an address for service of notices.</w:t>
      </w:r>
    </w:p>
    <w:p w:rsidR="00450C28" w:rsidRDefault="00450C28" w:rsidP="00775F61">
      <w:pPr>
        <w:tabs>
          <w:tab w:val="right" w:pos="1372"/>
          <w:tab w:val="left" w:pos="1568"/>
        </w:tabs>
        <w:spacing w:before="140"/>
        <w:ind w:left="1588" w:hanging="1588"/>
        <w:jc w:val="both"/>
      </w:pPr>
      <w:r>
        <w:tab/>
        <w:t>(2)</w:t>
      </w:r>
      <w:r>
        <w:tab/>
        <w:t xml:space="preserve">If the address changes during the tenancy, the lessor or tenant must </w:t>
      </w:r>
      <w:r w:rsidRPr="0095124F">
        <w:rPr>
          <w:rStyle w:val="CharSectNo"/>
        </w:rPr>
        <w:t>advise</w:t>
      </w:r>
      <w:r>
        <w:t xml:space="preserve"> the other party of the new address for service within 2 weeks of the change.</w:t>
      </w:r>
    </w:p>
    <w:p w:rsidR="00450C28" w:rsidRPr="001214D5" w:rsidRDefault="00450C28" w:rsidP="00775F61">
      <w:pPr>
        <w:tabs>
          <w:tab w:val="right" w:pos="1372"/>
          <w:tab w:val="left" w:pos="1568"/>
        </w:tabs>
        <w:spacing w:before="140"/>
        <w:ind w:left="1588" w:hanging="1588"/>
        <w:jc w:val="both"/>
      </w:pPr>
      <w:r w:rsidRPr="001214D5">
        <w:t>99</w:t>
      </w:r>
      <w:r w:rsidRPr="001214D5">
        <w:tab/>
      </w:r>
      <w:r w:rsidRPr="001214D5">
        <w:tab/>
        <w:t>On vacating the premises, the tenant must advise the lessor of a forwarding address.</w:t>
      </w:r>
    </w:p>
    <w:p w:rsidR="00450C28" w:rsidRPr="001214D5" w:rsidRDefault="00450C28" w:rsidP="00775F61">
      <w:pPr>
        <w:tabs>
          <w:tab w:val="right" w:pos="1372"/>
          <w:tab w:val="left" w:pos="1568"/>
        </w:tabs>
        <w:spacing w:before="140"/>
        <w:ind w:left="1588" w:hanging="1588"/>
        <w:jc w:val="both"/>
      </w:pPr>
      <w:r w:rsidRPr="001214D5">
        <w:t>100</w:t>
      </w:r>
      <w:r w:rsidRPr="001214D5">
        <w:tab/>
      </w:r>
      <w:r w:rsidRPr="001214D5">
        <w:tab/>
        <w:t>If 2 or more people share a tenancy, except where this agreement otherwise provides, they do so as joint tenants.</w:t>
      </w:r>
    </w:p>
    <w:p w:rsidR="007D5CFD" w:rsidRDefault="007D5CFD">
      <w:pPr>
        <w:pStyle w:val="03Schedule"/>
        <w:sectPr w:rsidR="007D5CFD">
          <w:headerReference w:type="even" r:id="rId119"/>
          <w:headerReference w:type="default" r:id="rId120"/>
          <w:footerReference w:type="even" r:id="rId121"/>
          <w:footerReference w:type="default" r:id="rId122"/>
          <w:type w:val="continuous"/>
          <w:pgSz w:w="11907" w:h="16839" w:code="9"/>
          <w:pgMar w:top="3880" w:right="1900" w:bottom="3100" w:left="2300" w:header="2280" w:footer="1760" w:gutter="0"/>
          <w:cols w:space="720"/>
        </w:sectPr>
      </w:pPr>
    </w:p>
    <w:p w:rsidR="00450C28" w:rsidRDefault="00450C28">
      <w:pPr>
        <w:pStyle w:val="Dict-Heading"/>
      </w:pPr>
      <w:bookmarkStart w:id="207" w:name="_Toc23418014"/>
      <w:r>
        <w:lastRenderedPageBreak/>
        <w:t>Dictionary</w:t>
      </w:r>
      <w:bookmarkEnd w:id="207"/>
    </w:p>
    <w:p w:rsidR="00450C28" w:rsidRDefault="00450C28">
      <w:pPr>
        <w:pStyle w:val="ref"/>
        <w:keepNext/>
      </w:pPr>
      <w:r>
        <w:t>(see s 2)</w:t>
      </w:r>
    </w:p>
    <w:p w:rsidR="00450C28" w:rsidRDefault="00450C28">
      <w:pPr>
        <w:pStyle w:val="aNote"/>
        <w:keepNext/>
      </w:pPr>
      <w:r>
        <w:rPr>
          <w:rStyle w:val="charItals"/>
        </w:rPr>
        <w:t>Note 1</w:t>
      </w:r>
      <w:r>
        <w:rPr>
          <w:rStyle w:val="charItals"/>
        </w:rPr>
        <w:tab/>
      </w:r>
      <w:r>
        <w:t xml:space="preserve">The </w:t>
      </w:r>
      <w:hyperlink r:id="rId123" w:tooltip="A2001-14" w:history="1">
        <w:r w:rsidR="009D74E7" w:rsidRPr="009D74E7">
          <w:rPr>
            <w:rStyle w:val="charCitHyperlinkAbbrev"/>
          </w:rPr>
          <w:t>Legislation Act</w:t>
        </w:r>
      </w:hyperlink>
      <w:r>
        <w:t xml:space="preserve"> contains definitions and other provisions relevant to this Act.</w:t>
      </w:r>
    </w:p>
    <w:p w:rsidR="009B222A" w:rsidRPr="00552242" w:rsidRDefault="009B222A" w:rsidP="009B222A">
      <w:pPr>
        <w:pStyle w:val="aNote"/>
        <w:keepNext/>
      </w:pPr>
      <w:r w:rsidRPr="009D74E7">
        <w:rPr>
          <w:rStyle w:val="charItals"/>
        </w:rPr>
        <w:t>Note 2</w:t>
      </w:r>
      <w:r w:rsidRPr="009D74E7">
        <w:rPr>
          <w:rStyle w:val="charItals"/>
        </w:rPr>
        <w:tab/>
      </w:r>
      <w:r w:rsidRPr="00552242">
        <w:t xml:space="preserve">For example, the </w:t>
      </w:r>
      <w:hyperlink r:id="rId124" w:tooltip="A2001-14" w:history="1">
        <w:r w:rsidR="009D74E7" w:rsidRPr="009D74E7">
          <w:rPr>
            <w:rStyle w:val="charCitHyperlinkAbbrev"/>
          </w:rPr>
          <w:t>Legislation Act</w:t>
        </w:r>
      </w:hyperlink>
      <w:r w:rsidRPr="00552242">
        <w:t xml:space="preserve">, </w:t>
      </w:r>
      <w:r w:rsidR="00365097">
        <w:t xml:space="preserve">dict, </w:t>
      </w:r>
      <w:r w:rsidRPr="00552242">
        <w:t>pt 1 defines the following terms:</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ACAT</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administrative unit</w:t>
      </w:r>
    </w:p>
    <w:p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adult</w:t>
      </w:r>
    </w:p>
    <w:p w:rsidR="00DF1BC5" w:rsidRDefault="00DF1BC5" w:rsidP="009B222A">
      <w:pPr>
        <w:pStyle w:val="aNoteBulletss"/>
        <w:tabs>
          <w:tab w:val="left" w:pos="2300"/>
        </w:tabs>
      </w:pPr>
      <w:r w:rsidRPr="00582D10">
        <w:rPr>
          <w:rFonts w:ascii="Symbol" w:hAnsi="Symbol"/>
        </w:rPr>
        <w:t></w:t>
      </w:r>
      <w:r w:rsidRPr="00582D10">
        <w:rPr>
          <w:rFonts w:ascii="Symbol" w:hAnsi="Symbol"/>
        </w:rPr>
        <w:tab/>
      </w:r>
      <w:r w:rsidRPr="00582D10">
        <w:t>Australian Consumer Law (ACT)</w:t>
      </w:r>
    </w:p>
    <w:p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building code</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calendar month</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child</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commissioner for fair trading</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corporation</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Criminal Code</w:t>
      </w:r>
    </w:p>
    <w:p w:rsidR="00D25898" w:rsidRPr="00552242" w:rsidRDefault="00D25898" w:rsidP="00D25898">
      <w:pPr>
        <w:pStyle w:val="aNoteBulletss"/>
        <w:tabs>
          <w:tab w:val="left" w:pos="2300"/>
        </w:tabs>
      </w:pPr>
      <w:r w:rsidRPr="00552242">
        <w:rPr>
          <w:rFonts w:ascii="Symbol" w:hAnsi="Symbol"/>
        </w:rPr>
        <w:t></w:t>
      </w:r>
      <w:r w:rsidRPr="00552242">
        <w:rPr>
          <w:rFonts w:ascii="Symbol" w:hAnsi="Symbol"/>
        </w:rPr>
        <w:tab/>
      </w:r>
      <w:r>
        <w:t>director-general</w:t>
      </w:r>
      <w:r w:rsidRPr="00552242">
        <w:t xml:space="preserve"> (see s 163)</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disallowable instrument (see s 9)</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document</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domestic partner (see s 169 (1))</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entity</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Executive</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expire</w:t>
      </w:r>
    </w:p>
    <w:p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fail</w:t>
      </w:r>
    </w:p>
    <w:p w:rsidR="00B5665D" w:rsidRPr="00604238" w:rsidRDefault="00B5665D" w:rsidP="00B5665D">
      <w:pPr>
        <w:pStyle w:val="aNoteBulletss"/>
        <w:tabs>
          <w:tab w:val="left" w:pos="2300"/>
        </w:tabs>
      </w:pPr>
      <w:r w:rsidRPr="00604238">
        <w:rPr>
          <w:rFonts w:ascii="Symbol" w:hAnsi="Symbol"/>
        </w:rPr>
        <w:t></w:t>
      </w:r>
      <w:r w:rsidRPr="00604238">
        <w:rPr>
          <w:rFonts w:ascii="Symbol" w:hAnsi="Symbol"/>
        </w:rPr>
        <w:tab/>
      </w:r>
      <w:r w:rsidRPr="00604238">
        <w:t>health practitioner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housing commissioner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individual</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 relation to</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instrument (see s 14)</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may (see s 146)</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Minister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month</w:t>
      </w:r>
    </w:p>
    <w:p w:rsidR="009B222A" w:rsidRPr="00552242" w:rsidRDefault="009B222A" w:rsidP="009B222A">
      <w:pPr>
        <w:pStyle w:val="aNoteBulletss"/>
        <w:tabs>
          <w:tab w:val="left" w:pos="2300"/>
        </w:tabs>
      </w:pPr>
      <w:r w:rsidRPr="00552242">
        <w:rPr>
          <w:rFonts w:ascii="Symbol" w:hAnsi="Symbol"/>
        </w:rPr>
        <w:lastRenderedPageBreak/>
        <w:t></w:t>
      </w:r>
      <w:r w:rsidRPr="00552242">
        <w:rPr>
          <w:rFonts w:ascii="Symbol" w:hAnsi="Symbol"/>
        </w:rPr>
        <w:tab/>
      </w:r>
      <w:r w:rsidRPr="00552242">
        <w:t>must</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notifiable instrument (see s 10)</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penalty unit (see s 133)</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police officer</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prescribed</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public holiday</w:t>
      </w:r>
    </w:p>
    <w:p w:rsidR="009B222A" w:rsidRPr="00552242" w:rsidRDefault="009B222A" w:rsidP="009B222A">
      <w:pPr>
        <w:pStyle w:val="aNoteBulletss"/>
        <w:tabs>
          <w:tab w:val="left" w:pos="2300"/>
        </w:tabs>
      </w:pPr>
      <w:r w:rsidRPr="00552242">
        <w:rPr>
          <w:rFonts w:ascii="Symbol" w:hAnsi="Symbol"/>
        </w:rPr>
        <w:t></w:t>
      </w:r>
      <w:r w:rsidRPr="00552242">
        <w:rPr>
          <w:rFonts w:ascii="Symbol" w:hAnsi="Symbol"/>
        </w:rPr>
        <w:tab/>
      </w:r>
      <w:r w:rsidRPr="00552242">
        <w:t>sign</w:t>
      </w:r>
    </w:p>
    <w:p w:rsidR="009B222A" w:rsidRDefault="009B222A" w:rsidP="009B222A">
      <w:pPr>
        <w:pStyle w:val="aNoteBulletss"/>
        <w:tabs>
          <w:tab w:val="left" w:pos="2300"/>
        </w:tabs>
      </w:pPr>
      <w:r w:rsidRPr="00552242">
        <w:rPr>
          <w:rFonts w:ascii="Symbol" w:hAnsi="Symbol"/>
        </w:rPr>
        <w:t></w:t>
      </w:r>
      <w:r w:rsidRPr="00552242">
        <w:rPr>
          <w:rFonts w:ascii="Symbol" w:hAnsi="Symbol"/>
        </w:rPr>
        <w:tab/>
      </w:r>
      <w:r w:rsidRPr="00552242">
        <w:t>statutory instrument</w:t>
      </w:r>
    </w:p>
    <w:p w:rsidR="00B5665D" w:rsidRPr="00604238" w:rsidRDefault="00B5665D" w:rsidP="00B5665D">
      <w:pPr>
        <w:pStyle w:val="aNoteBulletss"/>
        <w:tabs>
          <w:tab w:val="left" w:pos="2300"/>
        </w:tabs>
      </w:pPr>
      <w:r w:rsidRPr="00604238">
        <w:rPr>
          <w:rFonts w:ascii="Symbol" w:hAnsi="Symbol"/>
        </w:rPr>
        <w:t></w:t>
      </w:r>
      <w:r w:rsidRPr="00604238">
        <w:rPr>
          <w:rFonts w:ascii="Symbol" w:hAnsi="Symbol"/>
        </w:rPr>
        <w:tab/>
      </w:r>
      <w:r w:rsidRPr="00604238">
        <w:t>territory law</w:t>
      </w:r>
    </w:p>
    <w:p w:rsidR="009B222A" w:rsidRDefault="009B222A" w:rsidP="009B222A">
      <w:pPr>
        <w:pStyle w:val="aNoteBulletss"/>
        <w:tabs>
          <w:tab w:val="left" w:pos="2300"/>
        </w:tabs>
      </w:pPr>
      <w:r w:rsidRPr="00552242">
        <w:rPr>
          <w:rFonts w:ascii="Symbol" w:hAnsi="Symbol"/>
        </w:rPr>
        <w:t></w:t>
      </w:r>
      <w:r w:rsidRPr="00552242">
        <w:rPr>
          <w:rFonts w:ascii="Symbol" w:hAnsi="Symbol"/>
        </w:rPr>
        <w:tab/>
      </w:r>
      <w:r w:rsidR="004A5BC3">
        <w:t>under</w:t>
      </w:r>
    </w:p>
    <w:p w:rsidR="004A5BC3" w:rsidRPr="00E56DA5" w:rsidRDefault="004A5BC3" w:rsidP="004A5BC3">
      <w:pPr>
        <w:pStyle w:val="aNoteBulletss"/>
        <w:tabs>
          <w:tab w:val="left" w:pos="2300"/>
        </w:tabs>
      </w:pPr>
      <w:r w:rsidRPr="00E56DA5">
        <w:rPr>
          <w:rFonts w:ascii="Symbol" w:hAnsi="Symbol"/>
        </w:rPr>
        <w:t></w:t>
      </w:r>
      <w:r w:rsidRPr="00E56DA5">
        <w:rPr>
          <w:rFonts w:ascii="Symbol" w:hAnsi="Symbol"/>
        </w:rPr>
        <w:tab/>
      </w:r>
      <w:r w:rsidRPr="00E56DA5">
        <w:t>working day</w:t>
      </w:r>
      <w:r>
        <w:t>.</w:t>
      </w:r>
    </w:p>
    <w:p w:rsidR="000834E1" w:rsidRDefault="000834E1" w:rsidP="000834E1">
      <w:pPr>
        <w:pStyle w:val="aDef"/>
      </w:pPr>
      <w:r w:rsidRPr="009D74E7">
        <w:rPr>
          <w:rStyle w:val="charBoldItals"/>
        </w:rPr>
        <w:t>ACAT trust account</w:t>
      </w:r>
      <w:r>
        <w:t xml:space="preserve">—see the </w:t>
      </w:r>
      <w:hyperlink r:id="rId125" w:tooltip="A2008-35" w:history="1">
        <w:r w:rsidR="009D74E7" w:rsidRPr="009D74E7">
          <w:rPr>
            <w:rStyle w:val="charCitHyperlinkItal"/>
          </w:rPr>
          <w:t>ACT Civil and Administrative Tribunal Act 2008</w:t>
        </w:r>
      </w:hyperlink>
      <w:r>
        <w:t>, section 115B (2).</w:t>
      </w:r>
    </w:p>
    <w:p w:rsidR="003D61B6" w:rsidRPr="00E17C2E" w:rsidRDefault="003D61B6" w:rsidP="003D61B6">
      <w:pPr>
        <w:pStyle w:val="aDef"/>
      </w:pPr>
      <w:r w:rsidRPr="00E17C2E">
        <w:rPr>
          <w:rStyle w:val="charBoldItals"/>
        </w:rPr>
        <w:t>affected residential premises</w:t>
      </w:r>
      <w:r w:rsidRPr="00E17C2E">
        <w:t xml:space="preserve"> means premises, or a part of premises—</w:t>
      </w:r>
    </w:p>
    <w:p w:rsidR="003D61B6" w:rsidRPr="00E17C2E" w:rsidRDefault="003D61B6" w:rsidP="003D61B6">
      <w:pPr>
        <w:pStyle w:val="aDefpara"/>
      </w:pPr>
      <w:r w:rsidRPr="00E17C2E">
        <w:tab/>
        <w:t>(a)</w:t>
      </w:r>
      <w:r w:rsidRPr="00E17C2E">
        <w:tab/>
        <w:t>that—</w:t>
      </w:r>
    </w:p>
    <w:p w:rsidR="003D61B6" w:rsidRPr="00E17C2E" w:rsidRDefault="003D61B6" w:rsidP="003D61B6">
      <w:pPr>
        <w:pStyle w:val="aDefsubpara"/>
      </w:pPr>
      <w:r w:rsidRPr="00E17C2E">
        <w:tab/>
        <w:t>(i)</w:t>
      </w:r>
      <w:r w:rsidRPr="00E17C2E">
        <w:tab/>
        <w:t>are a class 1 or class 2 building; and</w:t>
      </w:r>
    </w:p>
    <w:p w:rsidR="003D61B6" w:rsidRPr="00E17C2E" w:rsidRDefault="003D61B6" w:rsidP="003D61B6">
      <w:pPr>
        <w:pStyle w:val="aDefsubpara"/>
      </w:pPr>
      <w:r w:rsidRPr="00E17C2E">
        <w:tab/>
        <w:t>(ii)</w:t>
      </w:r>
      <w:r w:rsidRPr="00E17C2E">
        <w:tab/>
        <w:t>contain or have contained loose-fill asbestos insulation; or</w:t>
      </w:r>
    </w:p>
    <w:p w:rsidR="003D61B6" w:rsidRPr="00E17C2E" w:rsidRDefault="003D61B6" w:rsidP="003D61B6">
      <w:pPr>
        <w:pStyle w:val="aDefpara"/>
      </w:pPr>
      <w:r w:rsidRPr="00E17C2E">
        <w:tab/>
        <w:t>(b)</w:t>
      </w:r>
      <w:r w:rsidRPr="00E17C2E">
        <w:tab/>
        <w:t>that are included in the affected residential premises register.</w:t>
      </w:r>
    </w:p>
    <w:p w:rsidR="003D61B6" w:rsidRPr="00E17C2E" w:rsidRDefault="003D61B6" w:rsidP="003D61B6">
      <w:pPr>
        <w:pStyle w:val="aDef"/>
      </w:pPr>
      <w:r w:rsidRPr="00E17C2E">
        <w:rPr>
          <w:rStyle w:val="charBoldItals"/>
        </w:rPr>
        <w:t>affected residential premises register</w:t>
      </w:r>
      <w:r w:rsidRPr="00E17C2E">
        <w:t xml:space="preserve">—see the </w:t>
      </w:r>
      <w:hyperlink r:id="rId126" w:tooltip="A2004-7" w:history="1">
        <w:r w:rsidRPr="00E17C2E">
          <w:rPr>
            <w:rStyle w:val="charCitHyperlinkItal"/>
          </w:rPr>
          <w:t>Dangerous Substances Act 2004</w:t>
        </w:r>
      </w:hyperlink>
      <w:r w:rsidRPr="00E17C2E">
        <w:t xml:space="preserve">, section 47N. </w:t>
      </w:r>
    </w:p>
    <w:p w:rsidR="00171F5A" w:rsidRPr="00A32059" w:rsidRDefault="00171F5A" w:rsidP="00171F5A">
      <w:pPr>
        <w:pStyle w:val="aDef"/>
        <w:rPr>
          <w:lang w:eastAsia="en-AU"/>
        </w:rPr>
      </w:pPr>
      <w:r w:rsidRPr="009D74E7">
        <w:rPr>
          <w:rStyle w:val="charBoldItals"/>
        </w:rPr>
        <w:t>agent</w:t>
      </w:r>
      <w:r w:rsidRPr="00A32059">
        <w:rPr>
          <w:lang w:eastAsia="en-AU"/>
        </w:rPr>
        <w:t>, for part 7 (Residential tenancy databases)—see section 87.</w:t>
      </w:r>
    </w:p>
    <w:p w:rsidR="00450C28" w:rsidRDefault="00450C28">
      <w:pPr>
        <w:pStyle w:val="aDef"/>
      </w:pPr>
      <w:r>
        <w:rPr>
          <w:rStyle w:val="charBoldItals"/>
        </w:rPr>
        <w:t>bond</w:t>
      </w:r>
      <w:r>
        <w:t xml:space="preserve"> means an amount paid or payable by a tenant as security for the performance of the tenant’s obligations under a residential tenancy agreement.</w:t>
      </w:r>
    </w:p>
    <w:p w:rsidR="00EE7D77" w:rsidRPr="00E56DA5" w:rsidRDefault="00EE7D77" w:rsidP="00EE7D77">
      <w:pPr>
        <w:pStyle w:val="aDef"/>
      </w:pPr>
      <w:r w:rsidRPr="00E56DA5">
        <w:rPr>
          <w:rStyle w:val="charBoldItals"/>
        </w:rPr>
        <w:t>bond release application</w:t>
      </w:r>
      <w:r w:rsidRPr="00E56DA5">
        <w:t>, for division 3.4 (Release of bond money)—see section 32.</w:t>
      </w:r>
    </w:p>
    <w:p w:rsidR="003D61B6" w:rsidRDefault="003D61B6" w:rsidP="003D61B6">
      <w:pPr>
        <w:pStyle w:val="aDef"/>
      </w:pPr>
      <w:r w:rsidRPr="00E17C2E">
        <w:rPr>
          <w:rStyle w:val="charBoldItals"/>
        </w:rPr>
        <w:t>class</w:t>
      </w:r>
      <w:r w:rsidRPr="00E17C2E">
        <w:t xml:space="preserve">, of building—see the </w:t>
      </w:r>
      <w:hyperlink r:id="rId127" w:tooltip="A2004-11" w:history="1">
        <w:r w:rsidRPr="00E17C2E">
          <w:rPr>
            <w:rStyle w:val="charCitHyperlinkItal"/>
          </w:rPr>
          <w:t>Building Act 2004</w:t>
        </w:r>
      </w:hyperlink>
      <w:r w:rsidRPr="00E17C2E">
        <w:t>, dictionary.</w:t>
      </w:r>
    </w:p>
    <w:p w:rsidR="00AB578F" w:rsidRPr="00582D10" w:rsidRDefault="00AB578F" w:rsidP="00AB578F">
      <w:pPr>
        <w:pStyle w:val="aDef"/>
      </w:pPr>
      <w:r w:rsidRPr="00582D10">
        <w:rPr>
          <w:rStyle w:val="charBoldItals"/>
        </w:rPr>
        <w:t>commercial guarantee</w:t>
      </w:r>
      <w:r w:rsidRPr="00582D10">
        <w:t>—see section 102.</w:t>
      </w:r>
    </w:p>
    <w:p w:rsidR="00450C28" w:rsidRDefault="00450C28">
      <w:pPr>
        <w:pStyle w:val="aDef"/>
      </w:pPr>
      <w:r>
        <w:rPr>
          <w:rStyle w:val="charBoldItals"/>
        </w:rPr>
        <w:t>crisis accommodation</w:t>
      </w:r>
      <w:r>
        <w:t>—see section 126.</w:t>
      </w:r>
    </w:p>
    <w:p w:rsidR="00171F5A" w:rsidRPr="00A32059" w:rsidRDefault="00171F5A" w:rsidP="00171F5A">
      <w:pPr>
        <w:pStyle w:val="aDef"/>
        <w:rPr>
          <w:lang w:eastAsia="en-AU"/>
        </w:rPr>
      </w:pPr>
      <w:r w:rsidRPr="009D74E7">
        <w:rPr>
          <w:rStyle w:val="charBoldItals"/>
        </w:rPr>
        <w:lastRenderedPageBreak/>
        <w:t>database</w:t>
      </w:r>
      <w:r w:rsidRPr="00A32059">
        <w:rPr>
          <w:lang w:eastAsia="en-AU"/>
        </w:rPr>
        <w:t>, for part 7 (Residential tenancy databases)—see section 87.</w:t>
      </w:r>
    </w:p>
    <w:p w:rsidR="00171F5A" w:rsidRDefault="00171F5A" w:rsidP="00171F5A">
      <w:pPr>
        <w:pStyle w:val="aDef"/>
        <w:rPr>
          <w:lang w:eastAsia="en-AU"/>
        </w:rPr>
      </w:pPr>
      <w:r w:rsidRPr="009D74E7">
        <w:rPr>
          <w:rStyle w:val="charBoldItals"/>
        </w:rPr>
        <w:t>database operator</w:t>
      </w:r>
      <w:r w:rsidRPr="00A32059">
        <w:rPr>
          <w:lang w:eastAsia="en-AU"/>
        </w:rPr>
        <w:t>, for part 7 (Residential tenancy databases)—see section 87.</w:t>
      </w:r>
    </w:p>
    <w:p w:rsidR="00646ACD" w:rsidRDefault="00646ACD" w:rsidP="00DE6582">
      <w:pPr>
        <w:pStyle w:val="aDef"/>
        <w:numPr>
          <w:ilvl w:val="5"/>
          <w:numId w:val="22"/>
        </w:numPr>
      </w:pPr>
      <w:r w:rsidRPr="00C13D82">
        <w:rPr>
          <w:rStyle w:val="charBoldItals"/>
        </w:rPr>
        <w:t>eligible impacted property</w:t>
      </w:r>
      <w:r w:rsidRPr="00667352">
        <w:t xml:space="preserve">—see the </w:t>
      </w:r>
      <w:hyperlink r:id="rId128" w:tooltip="A2003-40" w:history="1">
        <w:r w:rsidRPr="00C13D82">
          <w:rPr>
            <w:rStyle w:val="charCitHyperlinkItal"/>
          </w:rPr>
          <w:t>Civil Law (Sale of Residential Property) Act 2003</w:t>
        </w:r>
      </w:hyperlink>
      <w:r w:rsidRPr="00667352">
        <w:t>, section 9A (1).</w:t>
      </w:r>
    </w:p>
    <w:p w:rsidR="00450C28" w:rsidRDefault="00450C28">
      <w:pPr>
        <w:pStyle w:val="aDef"/>
      </w:pPr>
      <w:r>
        <w:rPr>
          <w:rStyle w:val="charBoldItals"/>
        </w:rPr>
        <w:t>energy efficiency rating</w:t>
      </w:r>
      <w:r>
        <w:t xml:space="preserve"> means the energy efficiency rating contained in an energy efficiency rating statement.</w:t>
      </w:r>
    </w:p>
    <w:p w:rsidR="006B5D2D" w:rsidRPr="00AF0B59" w:rsidRDefault="006B5D2D" w:rsidP="006B5D2D">
      <w:pPr>
        <w:pStyle w:val="aDef"/>
      </w:pPr>
      <w:r w:rsidRPr="009D74E7">
        <w:rPr>
          <w:rStyle w:val="charBoldItals"/>
        </w:rPr>
        <w:t>energy efficiency rating statement</w:t>
      </w:r>
      <w:r w:rsidRPr="00AF0B59">
        <w:t xml:space="preserve">—see the </w:t>
      </w:r>
      <w:hyperlink r:id="rId129" w:tooltip="A2004-12" w:history="1">
        <w:r w:rsidR="009D74E7" w:rsidRPr="009D74E7">
          <w:rPr>
            <w:rStyle w:val="charCitHyperlinkItal"/>
          </w:rPr>
          <w:t>Construction Occupations (Licensing) Act 2004</w:t>
        </w:r>
      </w:hyperlink>
      <w:r w:rsidRPr="00AF0B59">
        <w:rPr>
          <w:iCs/>
        </w:rPr>
        <w:t>, section 123AC</w:t>
      </w:r>
      <w:r w:rsidRPr="00AF0B59">
        <w:t>.</w:t>
      </w:r>
    </w:p>
    <w:p w:rsidR="00450C28" w:rsidRDefault="00450C28">
      <w:pPr>
        <w:pStyle w:val="aDef"/>
      </w:pPr>
      <w:r>
        <w:rPr>
          <w:rStyle w:val="charBoldItals"/>
        </w:rPr>
        <w:t>fixed term agreement</w:t>
      </w:r>
      <w:r>
        <w:t xml:space="preserve"> means a residential tenancy agreement under which a tenant has a right of occupation for a fixed term.</w:t>
      </w:r>
    </w:p>
    <w:p w:rsidR="00450C28" w:rsidRDefault="00450C28">
      <w:pPr>
        <w:pStyle w:val="aDef"/>
      </w:pPr>
      <w:r>
        <w:rPr>
          <w:rStyle w:val="charBoldItals"/>
        </w:rPr>
        <w:t>former lessor</w:t>
      </w:r>
      <w:r>
        <w:t>, in relation to a residential tenancy agreement that has been terminated, means the person who was the lessor while the agreement was in force.</w:t>
      </w:r>
    </w:p>
    <w:p w:rsidR="00450C28" w:rsidRDefault="00450C28">
      <w:pPr>
        <w:pStyle w:val="aDef"/>
      </w:pPr>
      <w:r>
        <w:rPr>
          <w:rStyle w:val="charBoldItals"/>
        </w:rPr>
        <w:t>former tenant</w:t>
      </w:r>
      <w:r>
        <w:t>, in relation to a residential tenancy agreement that has been terminated, means the person who was the tenant while the agreement was in force.</w:t>
      </w:r>
    </w:p>
    <w:p w:rsidR="00EE7D77" w:rsidRPr="00E56DA5" w:rsidRDefault="00EE7D77" w:rsidP="00EE7D77">
      <w:pPr>
        <w:pStyle w:val="aDef"/>
      </w:pPr>
      <w:r w:rsidRPr="00E56DA5">
        <w:rPr>
          <w:rStyle w:val="charBoldItals"/>
        </w:rPr>
        <w:t>FV Act</w:t>
      </w:r>
      <w:r w:rsidRPr="00E56DA5">
        <w:t>, for division 6.5A (Powers and decisions of ACAT—protection orders)—see section 85 (1).</w:t>
      </w:r>
    </w:p>
    <w:p w:rsidR="00450C28" w:rsidRDefault="00450C28">
      <w:pPr>
        <w:pStyle w:val="aDef"/>
      </w:pPr>
      <w:r w:rsidRPr="009D74E7">
        <w:rPr>
          <w:rStyle w:val="charBoldItals"/>
        </w:rPr>
        <w:t>grantor</w:t>
      </w:r>
      <w:r>
        <w:t>—see section 71A.</w:t>
      </w:r>
    </w:p>
    <w:p w:rsidR="00171F5A" w:rsidRPr="00A32059" w:rsidRDefault="00171F5A" w:rsidP="00171F5A">
      <w:pPr>
        <w:pStyle w:val="aDef"/>
        <w:rPr>
          <w:lang w:eastAsia="en-AU"/>
        </w:rPr>
      </w:pPr>
      <w:r w:rsidRPr="009D74E7">
        <w:rPr>
          <w:rStyle w:val="charBoldItals"/>
        </w:rPr>
        <w:t>inaccurate</w:t>
      </w:r>
      <w:r w:rsidRPr="00A32059">
        <w:rPr>
          <w:lang w:eastAsia="en-AU"/>
        </w:rPr>
        <w:t>, in relation to personal information in a residential tenancy database, for part 7 (Residential tenancy databases)—see section 87.</w:t>
      </w:r>
    </w:p>
    <w:p w:rsidR="00450C28" w:rsidRDefault="00450C28">
      <w:pPr>
        <w:pStyle w:val="aDef"/>
      </w:pPr>
      <w:r w:rsidRPr="009D74E7">
        <w:rPr>
          <w:rStyle w:val="charBoldItals"/>
        </w:rPr>
        <w:t>lessor</w:t>
      </w:r>
      <w:r>
        <w:t>—see section 5.</w:t>
      </w:r>
    </w:p>
    <w:p w:rsidR="00171F5A" w:rsidRDefault="00171F5A" w:rsidP="00171F5A">
      <w:pPr>
        <w:pStyle w:val="aDef"/>
        <w:rPr>
          <w:lang w:eastAsia="en-AU"/>
        </w:rPr>
      </w:pPr>
      <w:r w:rsidRPr="009D74E7">
        <w:rPr>
          <w:rStyle w:val="charBoldItals"/>
        </w:rPr>
        <w:t>list</w:t>
      </w:r>
      <w:r w:rsidRPr="00A32059">
        <w:rPr>
          <w:lang w:eastAsia="en-AU"/>
        </w:rPr>
        <w:t>, in relation to personal information in a residential tenancy database, for part 7 (Residential tenancy databases)—see section 87.</w:t>
      </w:r>
    </w:p>
    <w:p w:rsidR="00B5665D" w:rsidRPr="00604238" w:rsidRDefault="00B5665D" w:rsidP="00B5665D">
      <w:pPr>
        <w:pStyle w:val="aDef"/>
      </w:pPr>
      <w:r w:rsidRPr="00604238">
        <w:rPr>
          <w:rStyle w:val="charBoldItals"/>
        </w:rPr>
        <w:t>minor modification</w:t>
      </w:r>
      <w:r w:rsidRPr="00604238">
        <w:t>, to premises under a residential tenancy agreement, for part 5AA—see section 71AA.</w:t>
      </w:r>
    </w:p>
    <w:p w:rsidR="00450C28" w:rsidRDefault="00450C28">
      <w:pPr>
        <w:pStyle w:val="aDef"/>
      </w:pPr>
      <w:r>
        <w:rPr>
          <w:rStyle w:val="charBoldItals"/>
        </w:rPr>
        <w:lastRenderedPageBreak/>
        <w:t>mobile home</w:t>
      </w:r>
      <w:r>
        <w:t xml:space="preserve"> means a dwelling (whether on wheels or not) that can be transferred from place to place and re-erected.</w:t>
      </w:r>
    </w:p>
    <w:p w:rsidR="00450C28" w:rsidRDefault="00450C28">
      <w:pPr>
        <w:pStyle w:val="aDef"/>
      </w:pPr>
      <w:r>
        <w:rPr>
          <w:rStyle w:val="charBoldItals"/>
        </w:rPr>
        <w:t>mobile home park</w:t>
      </w:r>
      <w:r>
        <w:t xml:space="preserve"> means land lawfully used for the purpose of accommodating mobile homes or caravans, and includes a caravan park or camping ground.</w:t>
      </w:r>
    </w:p>
    <w:p w:rsidR="00450C28" w:rsidRDefault="00450C28">
      <w:pPr>
        <w:pStyle w:val="aDef"/>
      </w:pPr>
      <w:r w:rsidRPr="009D74E7">
        <w:rPr>
          <w:rStyle w:val="charBoldItals"/>
        </w:rPr>
        <w:t>occupancy agreement</w:t>
      </w:r>
      <w:r>
        <w:t>—see section 71C.</w:t>
      </w:r>
    </w:p>
    <w:p w:rsidR="009237A7" w:rsidRDefault="009237A7" w:rsidP="009237A7">
      <w:pPr>
        <w:pStyle w:val="aDef"/>
      </w:pPr>
      <w:r w:rsidRPr="009D74E7">
        <w:rPr>
          <w:rStyle w:val="charBoldItals"/>
        </w:rPr>
        <w:t>occupancy dispute</w:t>
      </w:r>
      <w:r>
        <w:t>—see section 73.</w:t>
      </w:r>
    </w:p>
    <w:p w:rsidR="00450C28" w:rsidRDefault="00450C28">
      <w:pPr>
        <w:pStyle w:val="aDef"/>
      </w:pPr>
      <w:r w:rsidRPr="009D74E7">
        <w:rPr>
          <w:rStyle w:val="charBoldItals"/>
        </w:rPr>
        <w:t>occupancy principles</w:t>
      </w:r>
      <w:r>
        <w:t>—see section 71E.</w:t>
      </w:r>
    </w:p>
    <w:p w:rsidR="00450C28" w:rsidRDefault="00450C28">
      <w:pPr>
        <w:pStyle w:val="aDef"/>
      </w:pPr>
      <w:r w:rsidRPr="009D74E7">
        <w:rPr>
          <w:rStyle w:val="charBoldItals"/>
        </w:rPr>
        <w:t>occupant</w:t>
      </w:r>
      <w:r>
        <w:t>—see section 71B.</w:t>
      </w:r>
    </w:p>
    <w:p w:rsidR="00171F5A" w:rsidRDefault="00171F5A" w:rsidP="00171F5A">
      <w:pPr>
        <w:pStyle w:val="aDef"/>
        <w:rPr>
          <w:lang w:eastAsia="en-AU"/>
        </w:rPr>
      </w:pPr>
      <w:r w:rsidRPr="009D74E7">
        <w:rPr>
          <w:rStyle w:val="charBoldItals"/>
        </w:rPr>
        <w:t>out of date</w:t>
      </w:r>
      <w:r w:rsidRPr="00A32059">
        <w:rPr>
          <w:lang w:eastAsia="en-AU"/>
        </w:rPr>
        <w:t>, in relation to personal information in a residential tenancy database, for part 7 (Residential tenancy databases)—see section 87.</w:t>
      </w:r>
    </w:p>
    <w:p w:rsidR="00987580" w:rsidRPr="00483A42" w:rsidRDefault="00987580" w:rsidP="00987580">
      <w:pPr>
        <w:pStyle w:val="aDef"/>
      </w:pPr>
      <w:r w:rsidRPr="00483A42">
        <w:rPr>
          <w:rStyle w:val="charBoldItals"/>
        </w:rPr>
        <w:t>payment order</w:t>
      </w:r>
      <w:r w:rsidRPr="00483A42">
        <w:t>—see section 49A (2).</w:t>
      </w:r>
    </w:p>
    <w:p w:rsidR="00171F5A" w:rsidRPr="00A32059" w:rsidRDefault="00171F5A" w:rsidP="00171F5A">
      <w:pPr>
        <w:pStyle w:val="aDef"/>
        <w:rPr>
          <w:lang w:eastAsia="en-AU"/>
        </w:rPr>
      </w:pPr>
      <w:r w:rsidRPr="009D74E7">
        <w:rPr>
          <w:rStyle w:val="charBoldItals"/>
        </w:rPr>
        <w:t>personal information</w:t>
      </w:r>
      <w:r w:rsidRPr="00A32059">
        <w:rPr>
          <w:lang w:eastAsia="en-AU"/>
        </w:rPr>
        <w:t>, for part 7 (Residential tenancy databases)—see section 87.</w:t>
      </w:r>
    </w:p>
    <w:p w:rsidR="00450C28" w:rsidRDefault="00450C28">
      <w:pPr>
        <w:pStyle w:val="aDef"/>
        <w:keepNext/>
      </w:pPr>
      <w:r>
        <w:rPr>
          <w:rStyle w:val="charBoldItals"/>
        </w:rPr>
        <w:t>premises</w:t>
      </w:r>
      <w:r>
        <w:t xml:space="preserve"> includes—</w:t>
      </w:r>
    </w:p>
    <w:p w:rsidR="00450C28" w:rsidRDefault="00450C28">
      <w:pPr>
        <w:pStyle w:val="aDefpara"/>
      </w:pPr>
      <w:r>
        <w:tab/>
        <w:t>(a)</w:t>
      </w:r>
      <w:r>
        <w:tab/>
        <w:t>any habitable structure, whether it is fixed to the land or not; and</w:t>
      </w:r>
    </w:p>
    <w:p w:rsidR="00450C28" w:rsidRDefault="00450C28">
      <w:pPr>
        <w:pStyle w:val="aDefpara"/>
      </w:pPr>
      <w:r>
        <w:tab/>
        <w:t>(b)</w:t>
      </w:r>
      <w:r>
        <w:tab/>
        <w:t>part of any premises; and</w:t>
      </w:r>
    </w:p>
    <w:p w:rsidR="00450C28" w:rsidRDefault="00450C28">
      <w:pPr>
        <w:pStyle w:val="aDefpara"/>
      </w:pPr>
      <w:r>
        <w:tab/>
        <w:t>(c)</w:t>
      </w:r>
      <w:r>
        <w:tab/>
        <w:t>any land, buildings or structures belonging to the premises.</w:t>
      </w:r>
    </w:p>
    <w:p w:rsidR="00EE7D77" w:rsidRPr="00E56DA5" w:rsidRDefault="00EE7D77" w:rsidP="00EE7D77">
      <w:pPr>
        <w:pStyle w:val="aDef"/>
      </w:pPr>
      <w:r w:rsidRPr="00E56DA5">
        <w:rPr>
          <w:rStyle w:val="charBoldItals"/>
        </w:rPr>
        <w:t>protected person</w:t>
      </w:r>
      <w:r w:rsidRPr="00E56DA5">
        <w:t>, for division 6.5A (Powers and decisions of ACAT—protection orders)—see section 85 (1).</w:t>
      </w:r>
    </w:p>
    <w:p w:rsidR="00EE7D77" w:rsidRDefault="00EE7D77" w:rsidP="00EE7D77">
      <w:pPr>
        <w:pStyle w:val="aDef"/>
      </w:pPr>
      <w:r w:rsidRPr="00E56DA5">
        <w:rPr>
          <w:rStyle w:val="charBoldItals"/>
        </w:rPr>
        <w:t>protection order</w:t>
      </w:r>
      <w:r w:rsidRPr="00E56DA5">
        <w:t>, for division 6.5A (Powers and decisions of ACAT—protection orders)—see section 85 (1).</w:t>
      </w:r>
    </w:p>
    <w:p w:rsidR="00EE7D77" w:rsidRPr="00E56DA5" w:rsidRDefault="00EE7D77" w:rsidP="00EE7D77">
      <w:pPr>
        <w:pStyle w:val="aDef"/>
      </w:pPr>
      <w:r w:rsidRPr="00E56DA5">
        <w:rPr>
          <w:rStyle w:val="charBoldItals"/>
        </w:rPr>
        <w:t>PV Act</w:t>
      </w:r>
      <w:r w:rsidRPr="00E56DA5">
        <w:t>, for division 6.5A (Powers and decisions of ACAT—protection orders)—see section 85 (1).</w:t>
      </w:r>
    </w:p>
    <w:p w:rsidR="009237A7" w:rsidRDefault="009237A7" w:rsidP="009237A7">
      <w:pPr>
        <w:pStyle w:val="aDef"/>
      </w:pPr>
      <w:r w:rsidRPr="009D74E7">
        <w:rPr>
          <w:rStyle w:val="charBoldItals"/>
        </w:rPr>
        <w:t>registrar</w:t>
      </w:r>
      <w:r>
        <w:t xml:space="preserve"> means the registrar of the ACAT.</w:t>
      </w:r>
    </w:p>
    <w:p w:rsidR="00171F5A" w:rsidRPr="00A32059" w:rsidRDefault="00171F5A" w:rsidP="00171F5A">
      <w:pPr>
        <w:pStyle w:val="aDef"/>
        <w:rPr>
          <w:lang w:eastAsia="en-AU"/>
        </w:rPr>
      </w:pPr>
      <w:r w:rsidRPr="009D74E7">
        <w:rPr>
          <w:rStyle w:val="charBoldItals"/>
        </w:rPr>
        <w:t>rental bond</w:t>
      </w:r>
      <w:r w:rsidRPr="00A32059">
        <w:rPr>
          <w:lang w:eastAsia="en-AU"/>
        </w:rPr>
        <w:t>, for a residential tenancy agreement, for part 7 (Residential tenancy databases)—see section 87.</w:t>
      </w:r>
    </w:p>
    <w:p w:rsidR="0034288F" w:rsidRDefault="0034288F" w:rsidP="0034288F">
      <w:pPr>
        <w:pStyle w:val="aDef"/>
      </w:pPr>
      <w:r w:rsidRPr="009D74E7">
        <w:rPr>
          <w:rStyle w:val="charBoldItals"/>
        </w:rPr>
        <w:lastRenderedPageBreak/>
        <w:t>residential tenancy agreement</w:t>
      </w:r>
      <w:r>
        <w:t>—see section 6A.</w:t>
      </w:r>
    </w:p>
    <w:p w:rsidR="00171F5A" w:rsidRDefault="00171F5A" w:rsidP="00171F5A">
      <w:pPr>
        <w:pStyle w:val="aDef"/>
        <w:rPr>
          <w:lang w:eastAsia="en-AU"/>
        </w:rPr>
      </w:pPr>
      <w:r w:rsidRPr="009D74E7">
        <w:rPr>
          <w:rStyle w:val="charBoldItals"/>
        </w:rPr>
        <w:t>residential tenancy database</w:t>
      </w:r>
      <w:r w:rsidRPr="00A32059">
        <w:rPr>
          <w:lang w:eastAsia="en-AU"/>
        </w:rPr>
        <w:t>, for part 7 (Residential tenancy databases)—see section 87.</w:t>
      </w:r>
    </w:p>
    <w:p w:rsidR="00EE7D77" w:rsidRDefault="00EE7D77" w:rsidP="00EE7D77">
      <w:pPr>
        <w:pStyle w:val="aDef"/>
      </w:pPr>
      <w:r w:rsidRPr="00E56DA5">
        <w:rPr>
          <w:rStyle w:val="charBoldItals"/>
        </w:rPr>
        <w:t>respondent</w:t>
      </w:r>
      <w:r w:rsidRPr="00E56DA5">
        <w:t>, for division 6.5A (Powers and decisions of ACAT—protection orders)—see section 85 (1).</w:t>
      </w:r>
    </w:p>
    <w:p w:rsidR="006F06A9" w:rsidRPr="00604238" w:rsidRDefault="006F06A9" w:rsidP="006F06A9">
      <w:pPr>
        <w:pStyle w:val="aDef"/>
      </w:pPr>
      <w:r w:rsidRPr="00604238">
        <w:rPr>
          <w:rStyle w:val="charBoldItals"/>
        </w:rPr>
        <w:t>special modification</w:t>
      </w:r>
      <w:r w:rsidRPr="00604238">
        <w:t>, to premises under a residential tenancy agreement, for part 5AA—see section 71AA.</w:t>
      </w:r>
    </w:p>
    <w:p w:rsidR="00866C29" w:rsidRPr="00582D10" w:rsidRDefault="00866C29" w:rsidP="00866C29">
      <w:pPr>
        <w:pStyle w:val="aDef"/>
      </w:pPr>
      <w:r w:rsidRPr="00582D10">
        <w:rPr>
          <w:rStyle w:val="charBoldItals"/>
        </w:rPr>
        <w:t>standard guarantee</w:t>
      </w:r>
      <w:r w:rsidRPr="00582D10">
        <w:t xml:space="preserve"> </w:t>
      </w:r>
      <w:r w:rsidRPr="00582D10">
        <w:rPr>
          <w:rStyle w:val="charBoldItals"/>
        </w:rPr>
        <w:t>contract</w:t>
      </w:r>
      <w:r w:rsidRPr="00582D10">
        <w:t>—see section 102.</w:t>
      </w:r>
    </w:p>
    <w:p w:rsidR="00450C28" w:rsidRDefault="00450C28">
      <w:pPr>
        <w:pStyle w:val="aDef"/>
      </w:pPr>
      <w:r w:rsidRPr="009D74E7">
        <w:rPr>
          <w:rStyle w:val="charBoldItals"/>
        </w:rPr>
        <w:t>standard occupancy terms</w:t>
      </w:r>
      <w:r>
        <w:t xml:space="preserve"> means the standard occupancy terms (if any) prescribed by regulation.</w:t>
      </w:r>
    </w:p>
    <w:p w:rsidR="00450C28" w:rsidRDefault="00450C28">
      <w:pPr>
        <w:pStyle w:val="aDef"/>
      </w:pPr>
      <w:r w:rsidRPr="009D74E7">
        <w:rPr>
          <w:rStyle w:val="charBoldItals"/>
        </w:rPr>
        <w:t>standard residential tenancy terms</w:t>
      </w:r>
      <w:r>
        <w:t xml:space="preserve"> means the terms mentioned in schedule 1.</w:t>
      </w:r>
    </w:p>
    <w:p w:rsidR="009237A7" w:rsidRDefault="009237A7" w:rsidP="009237A7">
      <w:pPr>
        <w:pStyle w:val="aDef"/>
      </w:pPr>
      <w:r w:rsidRPr="009D74E7">
        <w:rPr>
          <w:rStyle w:val="charBoldItals"/>
        </w:rPr>
        <w:t>tenancy dispute</w:t>
      </w:r>
      <w:r>
        <w:t>—see section 72.</w:t>
      </w:r>
    </w:p>
    <w:p w:rsidR="00450C28" w:rsidRDefault="00450C28">
      <w:pPr>
        <w:pStyle w:val="aDef"/>
      </w:pPr>
      <w:r w:rsidRPr="009D74E7">
        <w:rPr>
          <w:rStyle w:val="charBoldItals"/>
        </w:rPr>
        <w:t>tenant</w:t>
      </w:r>
      <w:r>
        <w:t>—see section 6.</w:t>
      </w:r>
    </w:p>
    <w:p w:rsidR="00450C28" w:rsidRDefault="00450C28">
      <w:pPr>
        <w:pStyle w:val="aDef"/>
      </w:pPr>
      <w:r>
        <w:rPr>
          <w:rStyle w:val="charBoldItals"/>
        </w:rPr>
        <w:t>termination and possession order</w:t>
      </w:r>
      <w:r>
        <w:t xml:space="preserve"> means an order of the tribunal terminating a residential tenancy agreement and granting vacant possession of the relevant premises to the </w:t>
      </w:r>
      <w:r w:rsidR="006F06A9" w:rsidRPr="00604238">
        <w:t>lessor</w:t>
      </w:r>
      <w:r>
        <w:t>.</w:t>
      </w:r>
    </w:p>
    <w:p w:rsidR="00450C28" w:rsidRDefault="00450C28">
      <w:pPr>
        <w:pStyle w:val="aDef"/>
        <w:keepLines/>
      </w:pPr>
      <w:r>
        <w:rPr>
          <w:rStyle w:val="charBoldItals"/>
        </w:rPr>
        <w:t>termination</w:t>
      </w:r>
      <w:r>
        <w:t xml:space="preserve"> </w:t>
      </w:r>
      <w:r>
        <w:rPr>
          <w:rStyle w:val="charBoldItals"/>
        </w:rPr>
        <w:t>notice</w:t>
      </w:r>
      <w:r>
        <w:t xml:space="preserve"> means a notice in </w:t>
      </w:r>
      <w:r w:rsidR="00521E68">
        <w:t>the form approved under section </w:t>
      </w:r>
      <w:r>
        <w:t>133 (Approved forms—Minister) served on the lessor or tenant giving notice of the intention of the tenant or lessor to terminate the residential tenancy agreement.</w:t>
      </w:r>
    </w:p>
    <w:p w:rsidR="009237A7" w:rsidRDefault="009237A7" w:rsidP="009237A7">
      <w:pPr>
        <w:pStyle w:val="aDef"/>
      </w:pPr>
      <w:r w:rsidRPr="009D74E7">
        <w:rPr>
          <w:rStyle w:val="charBoldItals"/>
        </w:rPr>
        <w:t>tribunal</w:t>
      </w:r>
      <w:r>
        <w:t>, for schedule 1, means the ACAT.</w:t>
      </w:r>
    </w:p>
    <w:p w:rsidR="00450C28" w:rsidRDefault="00450C28" w:rsidP="009237A7">
      <w:pPr>
        <w:pStyle w:val="aDef"/>
        <w:keepLines/>
      </w:pPr>
      <w:r>
        <w:rPr>
          <w:rStyle w:val="charBoldItals"/>
        </w:rPr>
        <w:t>trust account</w:t>
      </w:r>
      <w:r>
        <w:t xml:space="preserve"> means the trust bank account maintained by the </w:t>
      </w:r>
      <w:r w:rsidR="006924C9">
        <w:rPr>
          <w:lang w:eastAsia="en-AU"/>
        </w:rPr>
        <w:t>director</w:t>
      </w:r>
      <w:r w:rsidR="006924C9">
        <w:rPr>
          <w:lang w:eastAsia="en-AU"/>
        </w:rPr>
        <w:noBreakHyphen/>
        <w:t>general</w:t>
      </w:r>
      <w:r>
        <w:t xml:space="preserve"> of the administrative unit responsible for administering this Act in accordance with the</w:t>
      </w:r>
      <w:r>
        <w:rPr>
          <w:rStyle w:val="charItals"/>
        </w:rPr>
        <w:t xml:space="preserve"> </w:t>
      </w:r>
      <w:hyperlink r:id="rId130" w:tooltip="A1996-22" w:history="1">
        <w:r w:rsidR="009D74E7" w:rsidRPr="009D74E7">
          <w:rPr>
            <w:rStyle w:val="charCitHyperlinkItal"/>
          </w:rPr>
          <w:t>Financial Management Act 1996</w:t>
        </w:r>
      </w:hyperlink>
      <w:r w:rsidRPr="009D74E7">
        <w:t>,</w:t>
      </w:r>
      <w:r w:rsidR="009237A7">
        <w:t xml:space="preserve"> section 51.</w:t>
      </w:r>
    </w:p>
    <w:p w:rsidR="00450C28" w:rsidRDefault="00450C28">
      <w:pPr>
        <w:pStyle w:val="04Dictionary"/>
        <w:sectPr w:rsidR="00450C28">
          <w:headerReference w:type="even" r:id="rId131"/>
          <w:headerReference w:type="default" r:id="rId132"/>
          <w:footerReference w:type="even" r:id="rId133"/>
          <w:footerReference w:type="default" r:id="rId134"/>
          <w:pgSz w:w="11907" w:h="16839" w:code="9"/>
          <w:pgMar w:top="3000" w:right="1900" w:bottom="2500" w:left="2300" w:header="2480" w:footer="2100" w:gutter="0"/>
          <w:cols w:space="720"/>
          <w:docGrid w:linePitch="254"/>
        </w:sectPr>
      </w:pPr>
    </w:p>
    <w:p w:rsidR="009176A3" w:rsidRDefault="009176A3">
      <w:pPr>
        <w:pStyle w:val="Endnote1"/>
      </w:pPr>
      <w:bookmarkStart w:id="208" w:name="_Toc23418015"/>
      <w:r>
        <w:lastRenderedPageBreak/>
        <w:t>Endnotes</w:t>
      </w:r>
      <w:bookmarkEnd w:id="208"/>
    </w:p>
    <w:p w:rsidR="009176A3" w:rsidRPr="001403E0" w:rsidRDefault="009176A3">
      <w:pPr>
        <w:pStyle w:val="Endnote2"/>
      </w:pPr>
      <w:bookmarkStart w:id="209" w:name="_Toc23418016"/>
      <w:r w:rsidRPr="001403E0">
        <w:rPr>
          <w:rStyle w:val="charTableNo"/>
        </w:rPr>
        <w:t>1</w:t>
      </w:r>
      <w:r>
        <w:tab/>
      </w:r>
      <w:r w:rsidRPr="001403E0">
        <w:rPr>
          <w:rStyle w:val="charTableText"/>
        </w:rPr>
        <w:t>About the endnotes</w:t>
      </w:r>
      <w:bookmarkEnd w:id="209"/>
    </w:p>
    <w:p w:rsidR="009176A3" w:rsidRDefault="009176A3">
      <w:pPr>
        <w:pStyle w:val="EndNoteTextPub"/>
      </w:pPr>
      <w:r>
        <w:t>Amending and modifying laws are annotated in the legislation history and the amendment history.  Current modifications are not included in the republished law but are set out in the endnotes.</w:t>
      </w:r>
    </w:p>
    <w:p w:rsidR="009176A3" w:rsidRDefault="009176A3">
      <w:pPr>
        <w:pStyle w:val="EndNoteTextPub"/>
      </w:pPr>
      <w:r>
        <w:t xml:space="preserve">Not all editorial amendments made under the </w:t>
      </w:r>
      <w:hyperlink r:id="rId135" w:tooltip="A2001-14" w:history="1">
        <w:r w:rsidR="009D74E7" w:rsidRPr="009D74E7">
          <w:rPr>
            <w:rStyle w:val="charCitHyperlinkItal"/>
          </w:rPr>
          <w:t>Legislation Act 2001</w:t>
        </w:r>
      </w:hyperlink>
      <w:r>
        <w:t>, part 11.3 are annotated in the amendment history.  Full details of any amendments can be obtained from the Parliamentary Counsel’s Office.</w:t>
      </w:r>
    </w:p>
    <w:p w:rsidR="009176A3" w:rsidRDefault="009176A3" w:rsidP="009176A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176A3" w:rsidRDefault="009176A3">
      <w:pPr>
        <w:pStyle w:val="EndNoteTextPub"/>
      </w:pPr>
      <w:r>
        <w:t xml:space="preserve">If all the provisions of the law have been renumbered, a table of renumbered provisions gives details of previous and current numbering.  </w:t>
      </w:r>
    </w:p>
    <w:p w:rsidR="009176A3" w:rsidRDefault="009176A3">
      <w:pPr>
        <w:pStyle w:val="EndNoteTextPub"/>
      </w:pPr>
      <w:r>
        <w:t>The endnotes also include a table of earlier republications.</w:t>
      </w:r>
    </w:p>
    <w:p w:rsidR="009176A3" w:rsidRPr="001403E0" w:rsidRDefault="009176A3">
      <w:pPr>
        <w:pStyle w:val="Endnote2"/>
      </w:pPr>
      <w:bookmarkStart w:id="210" w:name="_Toc23418017"/>
      <w:r w:rsidRPr="001403E0">
        <w:rPr>
          <w:rStyle w:val="charTableNo"/>
        </w:rPr>
        <w:t>2</w:t>
      </w:r>
      <w:r>
        <w:tab/>
      </w:r>
      <w:r w:rsidRPr="001403E0">
        <w:rPr>
          <w:rStyle w:val="charTableText"/>
        </w:rPr>
        <w:t>Abbreviation key</w:t>
      </w:r>
      <w:bookmarkEnd w:id="210"/>
    </w:p>
    <w:p w:rsidR="009176A3" w:rsidRDefault="009176A3">
      <w:pPr>
        <w:rPr>
          <w:sz w:val="4"/>
        </w:rPr>
      </w:pPr>
    </w:p>
    <w:tbl>
      <w:tblPr>
        <w:tblW w:w="7372" w:type="dxa"/>
        <w:tblInd w:w="1100" w:type="dxa"/>
        <w:tblLayout w:type="fixed"/>
        <w:tblLook w:val="0000" w:firstRow="0" w:lastRow="0" w:firstColumn="0" w:lastColumn="0" w:noHBand="0" w:noVBand="0"/>
      </w:tblPr>
      <w:tblGrid>
        <w:gridCol w:w="3720"/>
        <w:gridCol w:w="3652"/>
      </w:tblGrid>
      <w:tr w:rsidR="009176A3" w:rsidTr="009176A3">
        <w:tc>
          <w:tcPr>
            <w:tcW w:w="3720" w:type="dxa"/>
          </w:tcPr>
          <w:p w:rsidR="009176A3" w:rsidRDefault="009176A3">
            <w:pPr>
              <w:pStyle w:val="EndnotesAbbrev"/>
            </w:pPr>
            <w:r>
              <w:t>A = Act</w:t>
            </w:r>
          </w:p>
        </w:tc>
        <w:tc>
          <w:tcPr>
            <w:tcW w:w="3652" w:type="dxa"/>
          </w:tcPr>
          <w:p w:rsidR="009176A3" w:rsidRDefault="009176A3" w:rsidP="009176A3">
            <w:pPr>
              <w:pStyle w:val="EndnotesAbbrev"/>
            </w:pPr>
            <w:r>
              <w:t>NI = Notifiable instrument</w:t>
            </w:r>
          </w:p>
        </w:tc>
      </w:tr>
      <w:tr w:rsidR="009176A3" w:rsidTr="009176A3">
        <w:tc>
          <w:tcPr>
            <w:tcW w:w="3720" w:type="dxa"/>
          </w:tcPr>
          <w:p w:rsidR="009176A3" w:rsidRDefault="009176A3" w:rsidP="009176A3">
            <w:pPr>
              <w:pStyle w:val="EndnotesAbbrev"/>
            </w:pPr>
            <w:r>
              <w:t>AF = Approved form</w:t>
            </w:r>
          </w:p>
        </w:tc>
        <w:tc>
          <w:tcPr>
            <w:tcW w:w="3652" w:type="dxa"/>
          </w:tcPr>
          <w:p w:rsidR="009176A3" w:rsidRDefault="009176A3" w:rsidP="009176A3">
            <w:pPr>
              <w:pStyle w:val="EndnotesAbbrev"/>
            </w:pPr>
            <w:r>
              <w:t>o = order</w:t>
            </w:r>
          </w:p>
        </w:tc>
      </w:tr>
      <w:tr w:rsidR="009176A3" w:rsidTr="009176A3">
        <w:tc>
          <w:tcPr>
            <w:tcW w:w="3720" w:type="dxa"/>
          </w:tcPr>
          <w:p w:rsidR="009176A3" w:rsidRDefault="009176A3">
            <w:pPr>
              <w:pStyle w:val="EndnotesAbbrev"/>
            </w:pPr>
            <w:r>
              <w:t>am = amended</w:t>
            </w:r>
          </w:p>
        </w:tc>
        <w:tc>
          <w:tcPr>
            <w:tcW w:w="3652" w:type="dxa"/>
          </w:tcPr>
          <w:p w:rsidR="009176A3" w:rsidRDefault="009176A3" w:rsidP="009176A3">
            <w:pPr>
              <w:pStyle w:val="EndnotesAbbrev"/>
            </w:pPr>
            <w:r>
              <w:t>om = omitted/repealed</w:t>
            </w:r>
          </w:p>
        </w:tc>
      </w:tr>
      <w:tr w:rsidR="009176A3" w:rsidTr="009176A3">
        <w:tc>
          <w:tcPr>
            <w:tcW w:w="3720" w:type="dxa"/>
          </w:tcPr>
          <w:p w:rsidR="009176A3" w:rsidRDefault="009176A3">
            <w:pPr>
              <w:pStyle w:val="EndnotesAbbrev"/>
            </w:pPr>
            <w:r>
              <w:t>amdt = amendment</w:t>
            </w:r>
          </w:p>
        </w:tc>
        <w:tc>
          <w:tcPr>
            <w:tcW w:w="3652" w:type="dxa"/>
          </w:tcPr>
          <w:p w:rsidR="009176A3" w:rsidRDefault="009176A3" w:rsidP="009176A3">
            <w:pPr>
              <w:pStyle w:val="EndnotesAbbrev"/>
            </w:pPr>
            <w:r>
              <w:t>ord = ordinance</w:t>
            </w:r>
          </w:p>
        </w:tc>
      </w:tr>
      <w:tr w:rsidR="009176A3" w:rsidTr="009176A3">
        <w:tc>
          <w:tcPr>
            <w:tcW w:w="3720" w:type="dxa"/>
          </w:tcPr>
          <w:p w:rsidR="009176A3" w:rsidRDefault="009176A3">
            <w:pPr>
              <w:pStyle w:val="EndnotesAbbrev"/>
            </w:pPr>
            <w:r>
              <w:t>AR = Assembly resolution</w:t>
            </w:r>
          </w:p>
        </w:tc>
        <w:tc>
          <w:tcPr>
            <w:tcW w:w="3652" w:type="dxa"/>
          </w:tcPr>
          <w:p w:rsidR="009176A3" w:rsidRDefault="009176A3" w:rsidP="009176A3">
            <w:pPr>
              <w:pStyle w:val="EndnotesAbbrev"/>
            </w:pPr>
            <w:r>
              <w:t>orig = original</w:t>
            </w:r>
          </w:p>
        </w:tc>
      </w:tr>
      <w:tr w:rsidR="009176A3" w:rsidTr="009176A3">
        <w:tc>
          <w:tcPr>
            <w:tcW w:w="3720" w:type="dxa"/>
          </w:tcPr>
          <w:p w:rsidR="009176A3" w:rsidRDefault="009176A3">
            <w:pPr>
              <w:pStyle w:val="EndnotesAbbrev"/>
            </w:pPr>
            <w:r>
              <w:t>ch = chapter</w:t>
            </w:r>
          </w:p>
        </w:tc>
        <w:tc>
          <w:tcPr>
            <w:tcW w:w="3652" w:type="dxa"/>
          </w:tcPr>
          <w:p w:rsidR="009176A3" w:rsidRDefault="009176A3" w:rsidP="009176A3">
            <w:pPr>
              <w:pStyle w:val="EndnotesAbbrev"/>
            </w:pPr>
            <w:r>
              <w:t>par = paragraph/subparagraph</w:t>
            </w:r>
          </w:p>
        </w:tc>
      </w:tr>
      <w:tr w:rsidR="009176A3" w:rsidTr="009176A3">
        <w:tc>
          <w:tcPr>
            <w:tcW w:w="3720" w:type="dxa"/>
          </w:tcPr>
          <w:p w:rsidR="009176A3" w:rsidRDefault="009176A3">
            <w:pPr>
              <w:pStyle w:val="EndnotesAbbrev"/>
            </w:pPr>
            <w:r>
              <w:t>CN = Commencement notice</w:t>
            </w:r>
          </w:p>
        </w:tc>
        <w:tc>
          <w:tcPr>
            <w:tcW w:w="3652" w:type="dxa"/>
          </w:tcPr>
          <w:p w:rsidR="009176A3" w:rsidRDefault="009176A3" w:rsidP="009176A3">
            <w:pPr>
              <w:pStyle w:val="EndnotesAbbrev"/>
            </w:pPr>
            <w:r>
              <w:t>pres = present</w:t>
            </w:r>
          </w:p>
        </w:tc>
      </w:tr>
      <w:tr w:rsidR="009176A3" w:rsidTr="009176A3">
        <w:tc>
          <w:tcPr>
            <w:tcW w:w="3720" w:type="dxa"/>
          </w:tcPr>
          <w:p w:rsidR="009176A3" w:rsidRDefault="009176A3">
            <w:pPr>
              <w:pStyle w:val="EndnotesAbbrev"/>
            </w:pPr>
            <w:r>
              <w:t>def = definition</w:t>
            </w:r>
          </w:p>
        </w:tc>
        <w:tc>
          <w:tcPr>
            <w:tcW w:w="3652" w:type="dxa"/>
          </w:tcPr>
          <w:p w:rsidR="009176A3" w:rsidRDefault="009176A3" w:rsidP="009176A3">
            <w:pPr>
              <w:pStyle w:val="EndnotesAbbrev"/>
            </w:pPr>
            <w:r>
              <w:t>prev = previous</w:t>
            </w:r>
          </w:p>
        </w:tc>
      </w:tr>
      <w:tr w:rsidR="009176A3" w:rsidTr="009176A3">
        <w:tc>
          <w:tcPr>
            <w:tcW w:w="3720" w:type="dxa"/>
          </w:tcPr>
          <w:p w:rsidR="009176A3" w:rsidRDefault="009176A3">
            <w:pPr>
              <w:pStyle w:val="EndnotesAbbrev"/>
            </w:pPr>
            <w:r>
              <w:t>DI = Disallowable instrument</w:t>
            </w:r>
          </w:p>
        </w:tc>
        <w:tc>
          <w:tcPr>
            <w:tcW w:w="3652" w:type="dxa"/>
          </w:tcPr>
          <w:p w:rsidR="009176A3" w:rsidRDefault="009176A3" w:rsidP="009176A3">
            <w:pPr>
              <w:pStyle w:val="EndnotesAbbrev"/>
            </w:pPr>
            <w:r>
              <w:t>(prev...) = previously</w:t>
            </w:r>
          </w:p>
        </w:tc>
      </w:tr>
      <w:tr w:rsidR="009176A3" w:rsidTr="009176A3">
        <w:tc>
          <w:tcPr>
            <w:tcW w:w="3720" w:type="dxa"/>
          </w:tcPr>
          <w:p w:rsidR="009176A3" w:rsidRDefault="009176A3">
            <w:pPr>
              <w:pStyle w:val="EndnotesAbbrev"/>
            </w:pPr>
            <w:r>
              <w:t>dict = dictionary</w:t>
            </w:r>
          </w:p>
        </w:tc>
        <w:tc>
          <w:tcPr>
            <w:tcW w:w="3652" w:type="dxa"/>
          </w:tcPr>
          <w:p w:rsidR="009176A3" w:rsidRDefault="009176A3" w:rsidP="009176A3">
            <w:pPr>
              <w:pStyle w:val="EndnotesAbbrev"/>
            </w:pPr>
            <w:r>
              <w:t>pt = part</w:t>
            </w:r>
          </w:p>
        </w:tc>
      </w:tr>
      <w:tr w:rsidR="009176A3" w:rsidTr="009176A3">
        <w:tc>
          <w:tcPr>
            <w:tcW w:w="3720" w:type="dxa"/>
          </w:tcPr>
          <w:p w:rsidR="009176A3" w:rsidRDefault="009176A3">
            <w:pPr>
              <w:pStyle w:val="EndnotesAbbrev"/>
            </w:pPr>
            <w:r>
              <w:t xml:space="preserve">disallowed = disallowed by the Legislative </w:t>
            </w:r>
          </w:p>
        </w:tc>
        <w:tc>
          <w:tcPr>
            <w:tcW w:w="3652" w:type="dxa"/>
          </w:tcPr>
          <w:p w:rsidR="009176A3" w:rsidRDefault="009176A3" w:rsidP="009176A3">
            <w:pPr>
              <w:pStyle w:val="EndnotesAbbrev"/>
            </w:pPr>
            <w:r>
              <w:t>r = rule/subrule</w:t>
            </w:r>
          </w:p>
        </w:tc>
      </w:tr>
      <w:tr w:rsidR="009176A3" w:rsidTr="009176A3">
        <w:tc>
          <w:tcPr>
            <w:tcW w:w="3720" w:type="dxa"/>
          </w:tcPr>
          <w:p w:rsidR="009176A3" w:rsidRDefault="009176A3">
            <w:pPr>
              <w:pStyle w:val="EndnotesAbbrev"/>
              <w:ind w:left="972"/>
            </w:pPr>
            <w:r>
              <w:t>Assembly</w:t>
            </w:r>
          </w:p>
        </w:tc>
        <w:tc>
          <w:tcPr>
            <w:tcW w:w="3652" w:type="dxa"/>
          </w:tcPr>
          <w:p w:rsidR="009176A3" w:rsidRDefault="009176A3" w:rsidP="009176A3">
            <w:pPr>
              <w:pStyle w:val="EndnotesAbbrev"/>
            </w:pPr>
            <w:r>
              <w:t>reloc = relocated</w:t>
            </w:r>
          </w:p>
        </w:tc>
      </w:tr>
      <w:tr w:rsidR="009176A3" w:rsidTr="009176A3">
        <w:tc>
          <w:tcPr>
            <w:tcW w:w="3720" w:type="dxa"/>
          </w:tcPr>
          <w:p w:rsidR="009176A3" w:rsidRDefault="009176A3">
            <w:pPr>
              <w:pStyle w:val="EndnotesAbbrev"/>
            </w:pPr>
            <w:r>
              <w:t>div = division</w:t>
            </w:r>
          </w:p>
        </w:tc>
        <w:tc>
          <w:tcPr>
            <w:tcW w:w="3652" w:type="dxa"/>
          </w:tcPr>
          <w:p w:rsidR="009176A3" w:rsidRDefault="009176A3" w:rsidP="009176A3">
            <w:pPr>
              <w:pStyle w:val="EndnotesAbbrev"/>
            </w:pPr>
            <w:r>
              <w:t>renum = renumbered</w:t>
            </w:r>
          </w:p>
        </w:tc>
      </w:tr>
      <w:tr w:rsidR="009176A3" w:rsidTr="009176A3">
        <w:tc>
          <w:tcPr>
            <w:tcW w:w="3720" w:type="dxa"/>
          </w:tcPr>
          <w:p w:rsidR="009176A3" w:rsidRDefault="009176A3">
            <w:pPr>
              <w:pStyle w:val="EndnotesAbbrev"/>
            </w:pPr>
            <w:r>
              <w:t>exp = expires/expired</w:t>
            </w:r>
          </w:p>
        </w:tc>
        <w:tc>
          <w:tcPr>
            <w:tcW w:w="3652" w:type="dxa"/>
          </w:tcPr>
          <w:p w:rsidR="009176A3" w:rsidRDefault="009176A3" w:rsidP="009176A3">
            <w:pPr>
              <w:pStyle w:val="EndnotesAbbrev"/>
            </w:pPr>
            <w:r>
              <w:t>R[X] = Republication No</w:t>
            </w:r>
          </w:p>
        </w:tc>
      </w:tr>
      <w:tr w:rsidR="009176A3" w:rsidTr="009176A3">
        <w:tc>
          <w:tcPr>
            <w:tcW w:w="3720" w:type="dxa"/>
          </w:tcPr>
          <w:p w:rsidR="009176A3" w:rsidRDefault="009176A3">
            <w:pPr>
              <w:pStyle w:val="EndnotesAbbrev"/>
            </w:pPr>
            <w:r>
              <w:t>Gaz = gazette</w:t>
            </w:r>
          </w:p>
        </w:tc>
        <w:tc>
          <w:tcPr>
            <w:tcW w:w="3652" w:type="dxa"/>
          </w:tcPr>
          <w:p w:rsidR="009176A3" w:rsidRDefault="009176A3" w:rsidP="009176A3">
            <w:pPr>
              <w:pStyle w:val="EndnotesAbbrev"/>
            </w:pPr>
            <w:r>
              <w:t>RI = reissue</w:t>
            </w:r>
          </w:p>
        </w:tc>
      </w:tr>
      <w:tr w:rsidR="009176A3" w:rsidTr="009176A3">
        <w:tc>
          <w:tcPr>
            <w:tcW w:w="3720" w:type="dxa"/>
          </w:tcPr>
          <w:p w:rsidR="009176A3" w:rsidRDefault="009176A3">
            <w:pPr>
              <w:pStyle w:val="EndnotesAbbrev"/>
            </w:pPr>
            <w:r>
              <w:t>hdg = heading</w:t>
            </w:r>
          </w:p>
        </w:tc>
        <w:tc>
          <w:tcPr>
            <w:tcW w:w="3652" w:type="dxa"/>
          </w:tcPr>
          <w:p w:rsidR="009176A3" w:rsidRDefault="009176A3" w:rsidP="009176A3">
            <w:pPr>
              <w:pStyle w:val="EndnotesAbbrev"/>
            </w:pPr>
            <w:r>
              <w:t>s = section/subsection</w:t>
            </w:r>
          </w:p>
        </w:tc>
      </w:tr>
      <w:tr w:rsidR="009176A3" w:rsidTr="009176A3">
        <w:tc>
          <w:tcPr>
            <w:tcW w:w="3720" w:type="dxa"/>
          </w:tcPr>
          <w:p w:rsidR="009176A3" w:rsidRDefault="009176A3">
            <w:pPr>
              <w:pStyle w:val="EndnotesAbbrev"/>
            </w:pPr>
            <w:r>
              <w:t>IA = Interpretation Act 1967</w:t>
            </w:r>
          </w:p>
        </w:tc>
        <w:tc>
          <w:tcPr>
            <w:tcW w:w="3652" w:type="dxa"/>
          </w:tcPr>
          <w:p w:rsidR="009176A3" w:rsidRDefault="009176A3" w:rsidP="009176A3">
            <w:pPr>
              <w:pStyle w:val="EndnotesAbbrev"/>
            </w:pPr>
            <w:r>
              <w:t>sch = schedule</w:t>
            </w:r>
          </w:p>
        </w:tc>
      </w:tr>
      <w:tr w:rsidR="009176A3" w:rsidTr="009176A3">
        <w:tc>
          <w:tcPr>
            <w:tcW w:w="3720" w:type="dxa"/>
          </w:tcPr>
          <w:p w:rsidR="009176A3" w:rsidRDefault="009176A3">
            <w:pPr>
              <w:pStyle w:val="EndnotesAbbrev"/>
            </w:pPr>
            <w:r>
              <w:t>ins = inserted/added</w:t>
            </w:r>
          </w:p>
        </w:tc>
        <w:tc>
          <w:tcPr>
            <w:tcW w:w="3652" w:type="dxa"/>
          </w:tcPr>
          <w:p w:rsidR="009176A3" w:rsidRDefault="009176A3" w:rsidP="009176A3">
            <w:pPr>
              <w:pStyle w:val="EndnotesAbbrev"/>
            </w:pPr>
            <w:r>
              <w:t>sdiv = subdivision</w:t>
            </w:r>
          </w:p>
        </w:tc>
      </w:tr>
      <w:tr w:rsidR="009176A3" w:rsidTr="009176A3">
        <w:tc>
          <w:tcPr>
            <w:tcW w:w="3720" w:type="dxa"/>
          </w:tcPr>
          <w:p w:rsidR="009176A3" w:rsidRDefault="009176A3">
            <w:pPr>
              <w:pStyle w:val="EndnotesAbbrev"/>
            </w:pPr>
            <w:r>
              <w:t>LA = Legislation Act 2001</w:t>
            </w:r>
          </w:p>
        </w:tc>
        <w:tc>
          <w:tcPr>
            <w:tcW w:w="3652" w:type="dxa"/>
          </w:tcPr>
          <w:p w:rsidR="009176A3" w:rsidRDefault="009176A3" w:rsidP="009176A3">
            <w:pPr>
              <w:pStyle w:val="EndnotesAbbrev"/>
            </w:pPr>
            <w:r>
              <w:t>SL = Subordinate law</w:t>
            </w:r>
          </w:p>
        </w:tc>
      </w:tr>
      <w:tr w:rsidR="009176A3" w:rsidTr="009176A3">
        <w:tc>
          <w:tcPr>
            <w:tcW w:w="3720" w:type="dxa"/>
          </w:tcPr>
          <w:p w:rsidR="009176A3" w:rsidRDefault="009176A3">
            <w:pPr>
              <w:pStyle w:val="EndnotesAbbrev"/>
            </w:pPr>
            <w:r>
              <w:t>LR = legislation register</w:t>
            </w:r>
          </w:p>
        </w:tc>
        <w:tc>
          <w:tcPr>
            <w:tcW w:w="3652" w:type="dxa"/>
          </w:tcPr>
          <w:p w:rsidR="009176A3" w:rsidRDefault="009176A3" w:rsidP="009176A3">
            <w:pPr>
              <w:pStyle w:val="EndnotesAbbrev"/>
            </w:pPr>
            <w:r>
              <w:t>sub = substituted</w:t>
            </w:r>
          </w:p>
        </w:tc>
      </w:tr>
      <w:tr w:rsidR="009176A3" w:rsidTr="009176A3">
        <w:tc>
          <w:tcPr>
            <w:tcW w:w="3720" w:type="dxa"/>
          </w:tcPr>
          <w:p w:rsidR="009176A3" w:rsidRDefault="009176A3">
            <w:pPr>
              <w:pStyle w:val="EndnotesAbbrev"/>
            </w:pPr>
            <w:r>
              <w:t>LRA = Legislation (Republication) Act 1996</w:t>
            </w:r>
          </w:p>
        </w:tc>
        <w:tc>
          <w:tcPr>
            <w:tcW w:w="3652" w:type="dxa"/>
          </w:tcPr>
          <w:p w:rsidR="009176A3" w:rsidRDefault="009176A3" w:rsidP="009176A3">
            <w:pPr>
              <w:pStyle w:val="EndnotesAbbrev"/>
            </w:pPr>
            <w:r w:rsidRPr="009D74E7">
              <w:rPr>
                <w:rStyle w:val="charUnderline"/>
              </w:rPr>
              <w:t>underlining</w:t>
            </w:r>
            <w:r>
              <w:t xml:space="preserve"> = whole or part not commenced</w:t>
            </w:r>
          </w:p>
        </w:tc>
      </w:tr>
      <w:tr w:rsidR="009176A3" w:rsidTr="009176A3">
        <w:tc>
          <w:tcPr>
            <w:tcW w:w="3720" w:type="dxa"/>
          </w:tcPr>
          <w:p w:rsidR="009176A3" w:rsidRDefault="009176A3">
            <w:pPr>
              <w:pStyle w:val="EndnotesAbbrev"/>
            </w:pPr>
            <w:r>
              <w:t>mod = modified/modification</w:t>
            </w:r>
          </w:p>
        </w:tc>
        <w:tc>
          <w:tcPr>
            <w:tcW w:w="3652" w:type="dxa"/>
          </w:tcPr>
          <w:p w:rsidR="009176A3" w:rsidRDefault="009176A3" w:rsidP="009176A3">
            <w:pPr>
              <w:pStyle w:val="EndnotesAbbrev"/>
              <w:ind w:left="1073"/>
            </w:pPr>
            <w:r>
              <w:t>or to be expired</w:t>
            </w:r>
          </w:p>
        </w:tc>
      </w:tr>
    </w:tbl>
    <w:p w:rsidR="009176A3" w:rsidRPr="00BB6F39" w:rsidRDefault="009176A3" w:rsidP="009176A3"/>
    <w:p w:rsidR="00450C28" w:rsidRPr="001403E0" w:rsidRDefault="00450C28">
      <w:pPr>
        <w:pStyle w:val="Endnote2"/>
      </w:pPr>
      <w:bookmarkStart w:id="211" w:name="_Toc23418018"/>
      <w:r w:rsidRPr="001403E0">
        <w:rPr>
          <w:rStyle w:val="charTableNo"/>
        </w:rPr>
        <w:lastRenderedPageBreak/>
        <w:t>3</w:t>
      </w:r>
      <w:r>
        <w:tab/>
      </w:r>
      <w:r w:rsidRPr="001403E0">
        <w:rPr>
          <w:rStyle w:val="charTableText"/>
        </w:rPr>
        <w:t>Legislation history</w:t>
      </w:r>
      <w:bookmarkEnd w:id="211"/>
    </w:p>
    <w:p w:rsidR="00450C28" w:rsidRDefault="00450C28">
      <w:pPr>
        <w:pStyle w:val="NewAct"/>
      </w:pPr>
      <w:r>
        <w:t>Residential Tenancies Act 1997</w:t>
      </w:r>
      <w:r w:rsidR="00A2638D">
        <w:t xml:space="preserve"> A1997</w:t>
      </w:r>
      <w:r w:rsidR="00A2638D">
        <w:noBreakHyphen/>
        <w:t>84</w:t>
      </w:r>
    </w:p>
    <w:p w:rsidR="00450C28" w:rsidRDefault="00450C28">
      <w:pPr>
        <w:pStyle w:val="Actdetails"/>
        <w:keepNext/>
      </w:pPr>
      <w:r>
        <w:t>notified 25 November 1997 (</w:t>
      </w:r>
      <w:r w:rsidR="009D74E7" w:rsidRPr="00185857">
        <w:t>Gaz 1997 No S360</w:t>
      </w:r>
      <w:r>
        <w:t>)</w:t>
      </w:r>
    </w:p>
    <w:p w:rsidR="00450C28" w:rsidRDefault="00450C28">
      <w:pPr>
        <w:pStyle w:val="Actdetails"/>
        <w:keepNext/>
      </w:pPr>
      <w:r>
        <w:t>s 1, s 2 commenced 25 November 1997 (s 2 (1))</w:t>
      </w:r>
    </w:p>
    <w:p w:rsidR="00450C28" w:rsidRDefault="00450C28">
      <w:pPr>
        <w:pStyle w:val="Actdetails"/>
      </w:pPr>
      <w:r>
        <w:t>remainder commenced 25 May 1998 (s 2 (3))</w:t>
      </w:r>
    </w:p>
    <w:p w:rsidR="00450C28" w:rsidRDefault="00450C28">
      <w:pPr>
        <w:pStyle w:val="Asamby"/>
      </w:pPr>
      <w:r>
        <w:t>as amended by</w:t>
      </w:r>
    </w:p>
    <w:p w:rsidR="00450C28" w:rsidRDefault="007C2037">
      <w:pPr>
        <w:pStyle w:val="NewAct"/>
      </w:pPr>
      <w:hyperlink r:id="rId136" w:tooltip="A1997-96" w:history="1">
        <w:r w:rsidR="009D74E7" w:rsidRPr="009D74E7">
          <w:rPr>
            <w:rStyle w:val="charCitHyperlinkAbbrev"/>
          </w:rPr>
          <w:t>Legal Practitioners (Consequential Amendments) Act 1997</w:t>
        </w:r>
      </w:hyperlink>
      <w:r w:rsidR="009D74E7">
        <w:t xml:space="preserve"> A1997</w:t>
      </w:r>
      <w:r w:rsidR="009D74E7">
        <w:noBreakHyphen/>
        <w:t xml:space="preserve">96 </w:t>
      </w:r>
      <w:r w:rsidR="00450C28">
        <w:t>sch 1</w:t>
      </w:r>
    </w:p>
    <w:p w:rsidR="00450C28" w:rsidRDefault="00450C28">
      <w:pPr>
        <w:pStyle w:val="Actdetails"/>
        <w:keepNext/>
      </w:pPr>
      <w:r>
        <w:t>notified 1 December 1997 (</w:t>
      </w:r>
      <w:r w:rsidR="009D74E7" w:rsidRPr="00185857">
        <w:t>Gaz 1997 No S380</w:t>
      </w:r>
      <w:r>
        <w:t>)</w:t>
      </w:r>
    </w:p>
    <w:p w:rsidR="00450C28" w:rsidRDefault="00450C28">
      <w:pPr>
        <w:pStyle w:val="Actdetails"/>
        <w:keepNext/>
      </w:pPr>
      <w:r>
        <w:t>s 1, s 2 commenced 1 December 1997 (s 2 (1))</w:t>
      </w:r>
    </w:p>
    <w:p w:rsidR="00450C28" w:rsidRDefault="00450C28">
      <w:pPr>
        <w:pStyle w:val="Actdetails"/>
      </w:pPr>
      <w:r>
        <w:t>sch 1 commenced 1 June 1998 (s 2 (2))</w:t>
      </w:r>
    </w:p>
    <w:p w:rsidR="00450C28" w:rsidRDefault="007C2037">
      <w:pPr>
        <w:pStyle w:val="NewAct"/>
      </w:pPr>
      <w:hyperlink r:id="rId137" w:tooltip="A1997-122" w:history="1">
        <w:r w:rsidR="009D74E7" w:rsidRPr="009D74E7">
          <w:rPr>
            <w:rStyle w:val="charCitHyperlinkAbbrev"/>
          </w:rPr>
          <w:t>Residential Tenancies (Amendment) Act 1997</w:t>
        </w:r>
      </w:hyperlink>
      <w:r w:rsidR="009D74E7">
        <w:t xml:space="preserve"> A1997</w:t>
      </w:r>
      <w:r w:rsidR="009D74E7">
        <w:noBreakHyphen/>
        <w:t xml:space="preserve">122 </w:t>
      </w:r>
    </w:p>
    <w:p w:rsidR="00450C28" w:rsidRDefault="00450C28">
      <w:pPr>
        <w:pStyle w:val="Actdetails"/>
        <w:keepNext/>
      </w:pPr>
      <w:r>
        <w:t>notified 24 December 1997 (</w:t>
      </w:r>
      <w:r w:rsidR="009D74E7" w:rsidRPr="00185857">
        <w:t>Gaz 1997 No S420</w:t>
      </w:r>
      <w:r>
        <w:t>)</w:t>
      </w:r>
    </w:p>
    <w:p w:rsidR="00450C28" w:rsidRDefault="00450C28">
      <w:pPr>
        <w:pStyle w:val="Actdetails"/>
        <w:keepNext/>
      </w:pPr>
      <w:r>
        <w:t>ss 1-3 commenced 24 December 1997 (s 2 (1))</w:t>
      </w:r>
    </w:p>
    <w:p w:rsidR="00450C28" w:rsidRDefault="00450C28">
      <w:pPr>
        <w:pStyle w:val="Actdetails"/>
      </w:pPr>
      <w:r>
        <w:t>remainder commenced 31 March 1999 (s 2 (2))</w:t>
      </w:r>
    </w:p>
    <w:p w:rsidR="00450C28" w:rsidRDefault="007C2037">
      <w:pPr>
        <w:pStyle w:val="NewAct"/>
      </w:pPr>
      <w:hyperlink r:id="rId138" w:tooltip="A1998-5" w:history="1">
        <w:r w:rsidR="009D74E7" w:rsidRPr="009D74E7">
          <w:rPr>
            <w:rStyle w:val="charCitHyperlinkAbbrev"/>
          </w:rPr>
          <w:t>Residential Tenancies (Amendment) Act 1998</w:t>
        </w:r>
      </w:hyperlink>
      <w:r w:rsidR="009D74E7">
        <w:t xml:space="preserve"> A1998</w:t>
      </w:r>
      <w:r w:rsidR="009D74E7">
        <w:noBreakHyphen/>
        <w:t xml:space="preserve">5 </w:t>
      </w:r>
    </w:p>
    <w:p w:rsidR="00450C28" w:rsidRDefault="00450C28">
      <w:pPr>
        <w:pStyle w:val="Actdetails"/>
        <w:keepNext/>
      </w:pPr>
      <w:r>
        <w:t>notified 25 May 1998 (</w:t>
      </w:r>
      <w:r w:rsidR="009D74E7" w:rsidRPr="00185857">
        <w:t>Gaz 1998 No S150</w:t>
      </w:r>
      <w:r>
        <w:t>)</w:t>
      </w:r>
    </w:p>
    <w:p w:rsidR="00450C28" w:rsidRDefault="00450C28">
      <w:pPr>
        <w:pStyle w:val="Actdetails"/>
        <w:keepNext/>
      </w:pPr>
      <w:r>
        <w:t>s 4, s 8 commenced 1 July 1998 (s 2 (2))</w:t>
      </w:r>
    </w:p>
    <w:p w:rsidR="00450C28" w:rsidRDefault="00450C28">
      <w:pPr>
        <w:pStyle w:val="Actdetails"/>
      </w:pPr>
      <w:r>
        <w:t>remainder commenced 25 May 1998 (s 2 (1))</w:t>
      </w:r>
    </w:p>
    <w:p w:rsidR="00450C28" w:rsidRDefault="007C2037">
      <w:pPr>
        <w:pStyle w:val="NewAct"/>
      </w:pPr>
      <w:hyperlink r:id="rId139" w:tooltip="A1999-22" w:history="1">
        <w:r w:rsidR="009D74E7" w:rsidRPr="009D74E7">
          <w:rPr>
            <w:rStyle w:val="charCitHyperlinkAbbrev"/>
          </w:rPr>
          <w:t>Courts and Tribunals (Audio Visual and Audio Linking) Act 1999</w:t>
        </w:r>
      </w:hyperlink>
      <w:r w:rsidR="009D74E7">
        <w:t xml:space="preserve"> A1999</w:t>
      </w:r>
      <w:r w:rsidR="009D74E7">
        <w:noBreakHyphen/>
        <w:t xml:space="preserve">22 </w:t>
      </w:r>
      <w:r w:rsidR="00450C28">
        <w:t>pt 12</w:t>
      </w:r>
    </w:p>
    <w:p w:rsidR="00450C28" w:rsidRDefault="00450C28">
      <w:pPr>
        <w:pStyle w:val="Actdetails"/>
        <w:keepNext/>
      </w:pPr>
      <w:r>
        <w:t>notified 14 April 1999 (</w:t>
      </w:r>
      <w:r w:rsidR="009D74E7" w:rsidRPr="00185857">
        <w:t>Gaz 1999 No S16</w:t>
      </w:r>
      <w:r>
        <w:t>)</w:t>
      </w:r>
    </w:p>
    <w:p w:rsidR="00450C28" w:rsidRDefault="00450C28">
      <w:pPr>
        <w:pStyle w:val="Actdetails"/>
        <w:keepNext/>
      </w:pPr>
      <w:r>
        <w:t>s 1, s 2 commenced 14 April 1999 (s 2 (1))</w:t>
      </w:r>
    </w:p>
    <w:p w:rsidR="00450C28" w:rsidRDefault="00450C28">
      <w:pPr>
        <w:pStyle w:val="Actdetails"/>
      </w:pPr>
      <w:r>
        <w:t xml:space="preserve">pt 12 commenced 1 September 1999 (s 2 (2) and </w:t>
      </w:r>
      <w:r w:rsidR="009D74E7" w:rsidRPr="00185857">
        <w:t>Gaz 1999 No 35</w:t>
      </w:r>
      <w:r>
        <w:t>)</w:t>
      </w:r>
    </w:p>
    <w:p w:rsidR="00450C28" w:rsidRDefault="007C2037">
      <w:pPr>
        <w:pStyle w:val="NewAct"/>
      </w:pPr>
      <w:hyperlink r:id="rId140" w:tooltip="A1999-66" w:history="1">
        <w:r w:rsidR="009D74E7" w:rsidRPr="009D74E7">
          <w:rPr>
            <w:rStyle w:val="charCitHyperlinkAbbrev"/>
          </w:rPr>
          <w:t>Law Reform (Miscellaneous Provisions) Act 1999</w:t>
        </w:r>
      </w:hyperlink>
      <w:r w:rsidR="009D74E7">
        <w:t xml:space="preserve"> A1999</w:t>
      </w:r>
      <w:r w:rsidR="009D74E7">
        <w:noBreakHyphen/>
        <w:t xml:space="preserve">66 </w:t>
      </w:r>
      <w:r w:rsidR="00450C28">
        <w:t>sch 3</w:t>
      </w:r>
    </w:p>
    <w:p w:rsidR="00450C28" w:rsidRDefault="00450C28">
      <w:pPr>
        <w:pStyle w:val="Actdetails"/>
        <w:keepNext/>
      </w:pPr>
      <w:r>
        <w:t>notified 10 November 1999 (</w:t>
      </w:r>
      <w:r w:rsidR="009D74E7" w:rsidRPr="00185857">
        <w:t>Gaz 1999 No 45</w:t>
      </w:r>
      <w:r>
        <w:t>)</w:t>
      </w:r>
    </w:p>
    <w:p w:rsidR="00450C28" w:rsidRDefault="00450C28">
      <w:pPr>
        <w:pStyle w:val="Actdetails"/>
      </w:pPr>
      <w:r>
        <w:t>sch 3 commenced 10 November 1999 (s 2)</w:t>
      </w:r>
    </w:p>
    <w:p w:rsidR="00450C28" w:rsidRDefault="007C2037">
      <w:pPr>
        <w:pStyle w:val="NewAct"/>
      </w:pPr>
      <w:hyperlink r:id="rId141" w:tooltip="A2000-1" w:history="1">
        <w:r w:rsidR="009D74E7" w:rsidRPr="009D74E7">
          <w:rPr>
            <w:rStyle w:val="charCitHyperlinkAbbrev"/>
          </w:rPr>
          <w:t>Justice and Community Safety Legislation Amendment Act 2000</w:t>
        </w:r>
      </w:hyperlink>
      <w:r w:rsidR="009D74E7">
        <w:t xml:space="preserve"> A2000</w:t>
      </w:r>
      <w:r w:rsidR="009D74E7">
        <w:noBreakHyphen/>
        <w:t xml:space="preserve">1 </w:t>
      </w:r>
      <w:r w:rsidR="00450C28">
        <w:t>sch</w:t>
      </w:r>
    </w:p>
    <w:p w:rsidR="00450C28" w:rsidRDefault="00450C28">
      <w:pPr>
        <w:pStyle w:val="Actdetails"/>
        <w:keepNext/>
      </w:pPr>
      <w:r>
        <w:t>notified 9 March 2000 (</w:t>
      </w:r>
      <w:r w:rsidR="009D74E7" w:rsidRPr="00185857">
        <w:t>Gaz 2000 No 10</w:t>
      </w:r>
      <w:r>
        <w:t>)</w:t>
      </w:r>
    </w:p>
    <w:p w:rsidR="00450C28" w:rsidRDefault="00450C28">
      <w:pPr>
        <w:pStyle w:val="Actdetails"/>
        <w:keepNext/>
      </w:pPr>
      <w:r>
        <w:t>s 1, s 2 commenced 9 March 2000 (s 2 (1))</w:t>
      </w:r>
    </w:p>
    <w:p w:rsidR="00450C28" w:rsidRDefault="00450C28">
      <w:pPr>
        <w:pStyle w:val="Actdetails"/>
      </w:pPr>
      <w:r>
        <w:t>amdts commenced 9 September 2000 (s 2 (3))</w:t>
      </w:r>
    </w:p>
    <w:p w:rsidR="00450C28" w:rsidRDefault="007C2037">
      <w:pPr>
        <w:pStyle w:val="NewAct"/>
      </w:pPr>
      <w:hyperlink r:id="rId142" w:tooltip="A2000-17" w:history="1">
        <w:r w:rsidR="009D74E7" w:rsidRPr="009D74E7">
          <w:rPr>
            <w:rStyle w:val="charCitHyperlinkAbbrev"/>
          </w:rPr>
          <w:t>Justice and Community Safety Legislation Amendment Act 2000 (No 3)</w:t>
        </w:r>
      </w:hyperlink>
      <w:r w:rsidR="009D74E7">
        <w:t xml:space="preserve"> A2000</w:t>
      </w:r>
      <w:r w:rsidR="009D74E7">
        <w:noBreakHyphen/>
        <w:t xml:space="preserve">17 </w:t>
      </w:r>
      <w:r w:rsidR="00450C28">
        <w:t>sch 1</w:t>
      </w:r>
    </w:p>
    <w:p w:rsidR="00450C28" w:rsidRDefault="00450C28">
      <w:pPr>
        <w:pStyle w:val="Actdetails"/>
        <w:keepNext/>
      </w:pPr>
      <w:r>
        <w:t>notified 1 June 2000 (</w:t>
      </w:r>
      <w:r w:rsidR="009D74E7" w:rsidRPr="00185857">
        <w:t>Gaz 2000 No 22</w:t>
      </w:r>
      <w:r>
        <w:t>)</w:t>
      </w:r>
    </w:p>
    <w:p w:rsidR="00450C28" w:rsidRDefault="00450C28">
      <w:pPr>
        <w:pStyle w:val="Actdetails"/>
      </w:pPr>
      <w:r>
        <w:t>commenced 1 June 2000 (s 2)</w:t>
      </w:r>
    </w:p>
    <w:p w:rsidR="00450C28" w:rsidRDefault="007C2037">
      <w:pPr>
        <w:pStyle w:val="NewAct"/>
      </w:pPr>
      <w:hyperlink r:id="rId143" w:tooltip="A2001-17" w:history="1">
        <w:r w:rsidR="009D74E7" w:rsidRPr="009D74E7">
          <w:rPr>
            <w:rStyle w:val="charCitHyperlinkAbbrev"/>
          </w:rPr>
          <w:t>Unit Titles Consequential Amendments Act 2001</w:t>
        </w:r>
      </w:hyperlink>
      <w:r w:rsidR="009D74E7">
        <w:t xml:space="preserve"> A2001</w:t>
      </w:r>
      <w:r w:rsidR="009D74E7">
        <w:noBreakHyphen/>
        <w:t xml:space="preserve">17 </w:t>
      </w:r>
      <w:r w:rsidR="00450C28">
        <w:t>sch 2</w:t>
      </w:r>
    </w:p>
    <w:p w:rsidR="00450C28" w:rsidRDefault="00450C28">
      <w:pPr>
        <w:pStyle w:val="Actdetails"/>
        <w:keepNext/>
      </w:pPr>
      <w:r>
        <w:t>notified 5 April 2001 (</w:t>
      </w:r>
      <w:r w:rsidR="009D74E7" w:rsidRPr="00185857">
        <w:t>Gaz 2001 No 14</w:t>
      </w:r>
      <w:r>
        <w:t>)</w:t>
      </w:r>
    </w:p>
    <w:p w:rsidR="00450C28" w:rsidRDefault="00450C28">
      <w:pPr>
        <w:pStyle w:val="Actdetails"/>
        <w:keepNext/>
      </w:pPr>
      <w:r>
        <w:t>s 1, s 2 commenced 5 April 2001 (IA s 10B)</w:t>
      </w:r>
    </w:p>
    <w:p w:rsidR="00450C28" w:rsidRPr="009D74E7" w:rsidRDefault="00450C28">
      <w:pPr>
        <w:pStyle w:val="Actdetails"/>
        <w:rPr>
          <w:rFonts w:cs="Arial"/>
        </w:rPr>
      </w:pPr>
      <w:r w:rsidRPr="009D74E7">
        <w:rPr>
          <w:rFonts w:cs="Arial"/>
        </w:rPr>
        <w:t>sch 2 commenced 5 October 2001 (s 2)</w:t>
      </w:r>
    </w:p>
    <w:p w:rsidR="00450C28" w:rsidRDefault="007C2037">
      <w:pPr>
        <w:pStyle w:val="NewAct"/>
      </w:pPr>
      <w:hyperlink r:id="rId144" w:tooltip="A2001-44" w:history="1">
        <w:r w:rsidR="009D74E7" w:rsidRPr="009D74E7">
          <w:rPr>
            <w:rStyle w:val="charCitHyperlinkAbbrev"/>
          </w:rPr>
          <w:t>Legislation (Consequential Amendments) Act 2001</w:t>
        </w:r>
      </w:hyperlink>
      <w:r w:rsidR="009D74E7">
        <w:t xml:space="preserve"> A2001</w:t>
      </w:r>
      <w:r w:rsidR="009D74E7">
        <w:noBreakHyphen/>
        <w:t xml:space="preserve">44 </w:t>
      </w:r>
      <w:r w:rsidR="00450C28">
        <w:t>pt 332</w:t>
      </w:r>
    </w:p>
    <w:p w:rsidR="00450C28" w:rsidRDefault="00450C28">
      <w:pPr>
        <w:pStyle w:val="Actdetails"/>
        <w:keepNext/>
      </w:pPr>
      <w:r>
        <w:t>notified 26 July 2001 (</w:t>
      </w:r>
      <w:r w:rsidR="009D74E7" w:rsidRPr="00185857">
        <w:t>Gaz 2001 No 30</w:t>
      </w:r>
      <w:r>
        <w:t>)</w:t>
      </w:r>
    </w:p>
    <w:p w:rsidR="00450C28" w:rsidRPr="009D74E7" w:rsidRDefault="00450C28">
      <w:pPr>
        <w:pStyle w:val="Actdetails"/>
        <w:keepNext/>
      </w:pPr>
      <w:r>
        <w:t>s 1, s 2 commenced 26 July 2001 (IA s 10B)</w:t>
      </w:r>
    </w:p>
    <w:p w:rsidR="00450C28" w:rsidRDefault="00450C28">
      <w:pPr>
        <w:pStyle w:val="Actdetails"/>
      </w:pPr>
      <w:r>
        <w:t xml:space="preserve">pt 332 commenced 12 September 2001 (s 2 and see </w:t>
      </w:r>
      <w:r w:rsidR="009D74E7" w:rsidRPr="00185857">
        <w:t>Gaz 2001 No S65</w:t>
      </w:r>
      <w:r>
        <w:t>)</w:t>
      </w:r>
    </w:p>
    <w:p w:rsidR="00450C28" w:rsidRDefault="007C2037">
      <w:pPr>
        <w:pStyle w:val="NewAct"/>
      </w:pPr>
      <w:hyperlink r:id="rId145" w:tooltip="A2002-11" w:history="1">
        <w:r w:rsidR="009D74E7" w:rsidRPr="009D74E7">
          <w:rPr>
            <w:rStyle w:val="charCitHyperlinkAbbrev"/>
          </w:rPr>
          <w:t>Legislation Amendment Act 2002</w:t>
        </w:r>
      </w:hyperlink>
      <w:r w:rsidR="009D74E7">
        <w:t xml:space="preserve"> A2002</w:t>
      </w:r>
      <w:r w:rsidR="009D74E7">
        <w:noBreakHyphen/>
        <w:t xml:space="preserve">11 </w:t>
      </w:r>
      <w:r w:rsidR="00450C28">
        <w:t>pt 2.42</w:t>
      </w:r>
    </w:p>
    <w:p w:rsidR="00450C28" w:rsidRDefault="00450C28">
      <w:pPr>
        <w:pStyle w:val="Actdetails"/>
        <w:keepNext/>
      </w:pPr>
      <w:r>
        <w:t>notified LR 27 May 2002</w:t>
      </w:r>
    </w:p>
    <w:p w:rsidR="00450C28" w:rsidRDefault="00450C28">
      <w:pPr>
        <w:pStyle w:val="Actdetails"/>
        <w:keepNext/>
      </w:pPr>
      <w:r>
        <w:t>s 1, s 2 commenced 27 May 2002 (LA s 75)</w:t>
      </w:r>
    </w:p>
    <w:p w:rsidR="00450C28" w:rsidRDefault="00450C28">
      <w:pPr>
        <w:pStyle w:val="Actdetails"/>
      </w:pPr>
      <w:r>
        <w:t>pt 2.42 commenced 28 May 2002 (s 2 (1))</w:t>
      </w:r>
    </w:p>
    <w:p w:rsidR="00450C28" w:rsidRDefault="007C2037">
      <w:pPr>
        <w:pStyle w:val="NewAct"/>
      </w:pPr>
      <w:hyperlink r:id="rId146" w:tooltip="A2002-27" w:history="1">
        <w:r w:rsidR="009D74E7" w:rsidRPr="009D74E7">
          <w:rPr>
            <w:rStyle w:val="charCitHyperlinkAbbrev"/>
          </w:rPr>
          <w:t>Justice and Community Safety Legislation Amendment Act 2002</w:t>
        </w:r>
      </w:hyperlink>
      <w:r w:rsidR="009D74E7">
        <w:t xml:space="preserve"> A2002</w:t>
      </w:r>
      <w:r w:rsidR="009D74E7">
        <w:noBreakHyphen/>
        <w:t xml:space="preserve">27 </w:t>
      </w:r>
      <w:r w:rsidR="00450C28">
        <w:t>pt 13</w:t>
      </w:r>
    </w:p>
    <w:p w:rsidR="00450C28" w:rsidRDefault="00450C28">
      <w:pPr>
        <w:pStyle w:val="Actdetails"/>
        <w:keepNext/>
      </w:pPr>
      <w:r>
        <w:t>notified LR 9 September 2002</w:t>
      </w:r>
    </w:p>
    <w:p w:rsidR="00450C28" w:rsidRDefault="00450C28">
      <w:pPr>
        <w:pStyle w:val="Actdetails"/>
        <w:keepNext/>
      </w:pPr>
      <w:r>
        <w:t>s 1, s 2 commenced 9 September 2002 (LA s 75)</w:t>
      </w:r>
    </w:p>
    <w:p w:rsidR="00450C28" w:rsidRPr="009D74E7" w:rsidRDefault="00450C28">
      <w:pPr>
        <w:pStyle w:val="Actdetails"/>
        <w:rPr>
          <w:rFonts w:cs="Arial"/>
        </w:rPr>
      </w:pPr>
      <w:r w:rsidRPr="009D74E7">
        <w:rPr>
          <w:rFonts w:cs="Arial"/>
        </w:rPr>
        <w:t>pt 13 commenced 7 October 2002 (s 2 (2))</w:t>
      </w:r>
    </w:p>
    <w:p w:rsidR="00450C28" w:rsidRDefault="007C2037">
      <w:pPr>
        <w:pStyle w:val="NewAct"/>
      </w:pPr>
      <w:hyperlink r:id="rId147" w:tooltip="A2002-30" w:history="1">
        <w:r w:rsidR="009D74E7" w:rsidRPr="009D74E7">
          <w:rPr>
            <w:rStyle w:val="charCitHyperlinkAbbrev"/>
          </w:rPr>
          <w:t>Statute Law Amendment Act 2002</w:t>
        </w:r>
      </w:hyperlink>
      <w:r w:rsidR="009D74E7">
        <w:t xml:space="preserve"> A2002</w:t>
      </w:r>
      <w:r w:rsidR="009D74E7">
        <w:noBreakHyphen/>
        <w:t xml:space="preserve">30 </w:t>
      </w:r>
      <w:r w:rsidR="00450C28">
        <w:t>pt 3.61</w:t>
      </w:r>
    </w:p>
    <w:p w:rsidR="00450C28" w:rsidRDefault="00450C28">
      <w:pPr>
        <w:pStyle w:val="Actdetails"/>
        <w:keepNext/>
      </w:pPr>
      <w:r>
        <w:t>notified LR 16 September 2002</w:t>
      </w:r>
    </w:p>
    <w:p w:rsidR="00450C28" w:rsidRDefault="00450C28">
      <w:pPr>
        <w:pStyle w:val="Actdetails"/>
        <w:keepNext/>
      </w:pPr>
      <w:r>
        <w:t>s 1, s 2 taken to have commenced 19 May 1997 (LA s 75 (2))</w:t>
      </w:r>
    </w:p>
    <w:p w:rsidR="00450C28" w:rsidRDefault="00450C28">
      <w:pPr>
        <w:pStyle w:val="Actdetails"/>
      </w:pPr>
      <w:r>
        <w:t>pt 3.61 commenced 17 September 2002 (s 2 (1))</w:t>
      </w:r>
    </w:p>
    <w:p w:rsidR="00450C28" w:rsidRDefault="007C2037" w:rsidP="001B7836">
      <w:pPr>
        <w:pStyle w:val="NewAct"/>
        <w:keepNext w:val="0"/>
      </w:pPr>
      <w:hyperlink r:id="rId148" w:tooltip="A2003-48" w:history="1">
        <w:r w:rsidR="009D74E7" w:rsidRPr="009D74E7">
          <w:rPr>
            <w:rStyle w:val="charCitHyperlinkAbbrev"/>
          </w:rPr>
          <w:t>Evidence (Miscellaneous Provisions) Amendment Act 2003</w:t>
        </w:r>
      </w:hyperlink>
      <w:r w:rsidR="00450C28">
        <w:t xml:space="preserve"> A2003-48 sch 2 pt 2.12</w:t>
      </w:r>
    </w:p>
    <w:p w:rsidR="00450C28" w:rsidRDefault="00450C28" w:rsidP="001B7836">
      <w:pPr>
        <w:pStyle w:val="Actdetails"/>
      </w:pPr>
      <w:r>
        <w:t>notified LR 31 October 2003</w:t>
      </w:r>
      <w:r>
        <w:br/>
        <w:t>s 1, s 2 commenced 31 October 2003 (LA s 75 (1))</w:t>
      </w:r>
      <w:r>
        <w:br/>
        <w:t>sch 2 pt 2.12 commenced 30 April 2004 (s 2 and LA s 79)</w:t>
      </w:r>
    </w:p>
    <w:p w:rsidR="00450C28" w:rsidRDefault="007C2037">
      <w:pPr>
        <w:pStyle w:val="NewAct"/>
      </w:pPr>
      <w:hyperlink r:id="rId149" w:tooltip="A2004-13" w:history="1">
        <w:r w:rsidR="00F00DF5" w:rsidRPr="00F00DF5">
          <w:rPr>
            <w:rStyle w:val="charCitHyperlinkAbbrev"/>
          </w:rPr>
          <w:t>Construction Occupations Legislation Amendment Act 2004</w:t>
        </w:r>
      </w:hyperlink>
      <w:r w:rsidR="00450C28" w:rsidRPr="009D74E7">
        <w:rPr>
          <w:highlight w:val="yellow"/>
        </w:rPr>
        <w:br/>
      </w:r>
      <w:r w:rsidR="00450C28">
        <w:t>A2004-13 sch 2 pt 2.24</w:t>
      </w:r>
    </w:p>
    <w:p w:rsidR="00450C28" w:rsidRDefault="00450C28">
      <w:pPr>
        <w:pStyle w:val="Actdetails"/>
        <w:keepNext/>
      </w:pPr>
      <w:r>
        <w:t>notified LR 26 March 2004</w:t>
      </w:r>
      <w:r>
        <w:br/>
        <w:t>s 1, s 2 commenced 26 March 2004 (LA s 75 (1))</w:t>
      </w:r>
    </w:p>
    <w:p w:rsidR="00450C28" w:rsidRPr="009D74E7" w:rsidRDefault="00450C28">
      <w:pPr>
        <w:pStyle w:val="Actdetails"/>
        <w:rPr>
          <w:rFonts w:cs="Arial"/>
        </w:rPr>
      </w:pPr>
      <w:r w:rsidRPr="009D74E7">
        <w:rPr>
          <w:rFonts w:cs="Arial"/>
        </w:rPr>
        <w:t xml:space="preserve">sch 2 pt 2.24 commenced 1 September 2004 (s 2 and see </w:t>
      </w:r>
      <w:hyperlink r:id="rId150" w:tooltip="A2004-12" w:history="1">
        <w:r w:rsidR="009D74E7" w:rsidRPr="009D74E7">
          <w:rPr>
            <w:rStyle w:val="charCitHyperlinkAbbrev"/>
          </w:rPr>
          <w:t>Construction Occupations (Licensing) Act 2004</w:t>
        </w:r>
      </w:hyperlink>
      <w:r w:rsidRPr="009D74E7">
        <w:rPr>
          <w:rFonts w:cs="Arial"/>
        </w:rPr>
        <w:t xml:space="preserve"> A2004-12, s 2 and </w:t>
      </w:r>
      <w:hyperlink r:id="rId151" w:tooltip="CN2004-8" w:history="1">
        <w:r w:rsidR="009D74E7" w:rsidRPr="009D74E7">
          <w:rPr>
            <w:rStyle w:val="charCitHyperlinkAbbrev"/>
          </w:rPr>
          <w:t>CN2004-8</w:t>
        </w:r>
      </w:hyperlink>
      <w:r w:rsidRPr="009D74E7">
        <w:rPr>
          <w:rFonts w:cs="Arial"/>
        </w:rPr>
        <w:t>)</w:t>
      </w:r>
    </w:p>
    <w:p w:rsidR="00450C28" w:rsidRDefault="007C2037">
      <w:pPr>
        <w:pStyle w:val="NewAct"/>
      </w:pPr>
      <w:hyperlink r:id="rId152" w:tooltip="A2004-58" w:history="1">
        <w:r w:rsidR="009D74E7" w:rsidRPr="009D74E7">
          <w:rPr>
            <w:rStyle w:val="charCitHyperlinkAbbrev"/>
          </w:rPr>
          <w:t>Residential Tenancies Amendment Act 2004</w:t>
        </w:r>
      </w:hyperlink>
      <w:r w:rsidR="00450C28">
        <w:t xml:space="preserve"> A2004-58 (as am by </w:t>
      </w:r>
      <w:hyperlink r:id="rId153" w:tooltip="Statute Law Amendment Act 2005" w:history="1">
        <w:r w:rsidR="009D74E7" w:rsidRPr="009D74E7">
          <w:rPr>
            <w:rStyle w:val="charCitHyperlinkAbbrev"/>
          </w:rPr>
          <w:t>A2005</w:t>
        </w:r>
        <w:r w:rsidR="009D74E7" w:rsidRPr="009D74E7">
          <w:rPr>
            <w:rStyle w:val="charCitHyperlinkAbbrev"/>
          </w:rPr>
          <w:noBreakHyphen/>
          <w:t>20</w:t>
        </w:r>
      </w:hyperlink>
      <w:r w:rsidR="00450C28">
        <w:t xml:space="preserve"> sch 3 pt 3.51)</w:t>
      </w:r>
    </w:p>
    <w:p w:rsidR="00450C28" w:rsidRDefault="00450C28">
      <w:pPr>
        <w:pStyle w:val="Actdetails"/>
        <w:ind w:right="12"/>
        <w:rPr>
          <w:lang w:val="en-US"/>
        </w:rPr>
      </w:pPr>
      <w:r>
        <w:t>notified LR 8 September 2004</w:t>
      </w:r>
      <w:r>
        <w:br/>
        <w:t>s 1, s 2 commenced 8 September 2004 (LA s 75 (1))</w:t>
      </w:r>
      <w:r>
        <w:br/>
        <w:t>sch 1 commenced 1 January 2006 (s 2 (3))</w:t>
      </w:r>
      <w:r>
        <w:br/>
        <w:t>remainder commenced 8 March 2005 (s 2 (1) and LA s 79)</w:t>
      </w:r>
    </w:p>
    <w:p w:rsidR="00450C28" w:rsidRDefault="007C2037">
      <w:pPr>
        <w:pStyle w:val="NewAct"/>
      </w:pPr>
      <w:hyperlink r:id="rId154" w:tooltip="A2004-60" w:history="1">
        <w:r w:rsidR="009D74E7" w:rsidRPr="009D74E7">
          <w:rPr>
            <w:rStyle w:val="charCitHyperlinkAbbrev"/>
          </w:rPr>
          <w:t>Court Procedures (Consequential Amendments) Act 2004</w:t>
        </w:r>
      </w:hyperlink>
      <w:r w:rsidR="00450C28">
        <w:t xml:space="preserve"> A2004-60 sch</w:t>
      </w:r>
      <w:r w:rsidR="00093AC7">
        <w:t> </w:t>
      </w:r>
      <w:r w:rsidR="00450C28">
        <w:t>1 pt 1.65</w:t>
      </w:r>
    </w:p>
    <w:p w:rsidR="00450C28" w:rsidRDefault="00450C28">
      <w:pPr>
        <w:pStyle w:val="Actdetails"/>
        <w:keepNext/>
      </w:pPr>
      <w:r>
        <w:t>notified LR 2 September 2004</w:t>
      </w:r>
      <w:r>
        <w:br/>
        <w:t>s 1, s 2 commenced 2 September 2004 (LA s 75 (1))</w:t>
      </w:r>
    </w:p>
    <w:p w:rsidR="00450C28" w:rsidRDefault="00450C28">
      <w:pPr>
        <w:pStyle w:val="Actdetails"/>
      </w:pPr>
      <w:r>
        <w:t xml:space="preserve">sch 1 pt 1.65 commenced 10 January 2005 (s 2 and see </w:t>
      </w:r>
      <w:hyperlink r:id="rId155" w:tooltip="A2004-59" w:history="1">
        <w:r w:rsidR="009D74E7" w:rsidRPr="009D74E7">
          <w:rPr>
            <w:rStyle w:val="charCitHyperlinkAbbrev"/>
          </w:rPr>
          <w:t>Court Procedures Act 2004</w:t>
        </w:r>
      </w:hyperlink>
      <w:r>
        <w:t xml:space="preserve"> A2004-59, s 2 and </w:t>
      </w:r>
      <w:hyperlink r:id="rId156" w:tooltip="CN2004-29" w:history="1">
        <w:r w:rsidR="009D74E7" w:rsidRPr="009D74E7">
          <w:rPr>
            <w:rStyle w:val="charCitHyperlinkAbbrev"/>
          </w:rPr>
          <w:t>CN2004-29</w:t>
        </w:r>
      </w:hyperlink>
      <w:r>
        <w:t>)</w:t>
      </w:r>
    </w:p>
    <w:p w:rsidR="00450C28" w:rsidRDefault="007C2037">
      <w:pPr>
        <w:pStyle w:val="NewAct"/>
      </w:pPr>
      <w:hyperlink r:id="rId157" w:tooltip="A2005-20" w:history="1">
        <w:r w:rsidR="009D74E7" w:rsidRPr="009D74E7">
          <w:rPr>
            <w:rStyle w:val="charCitHyperlinkAbbrev"/>
          </w:rPr>
          <w:t>Statute Law Amendment Act 2005</w:t>
        </w:r>
      </w:hyperlink>
      <w:r w:rsidR="00450C28">
        <w:t xml:space="preserve"> A2005-20 sch 3 pt 3.51</w:t>
      </w:r>
    </w:p>
    <w:p w:rsidR="00450C28" w:rsidRDefault="00450C28">
      <w:pPr>
        <w:pStyle w:val="Actdetails"/>
        <w:keepNext/>
      </w:pPr>
      <w:r>
        <w:t>notified LR 12 May 2005</w:t>
      </w:r>
    </w:p>
    <w:p w:rsidR="00450C28" w:rsidRDefault="00450C28">
      <w:pPr>
        <w:pStyle w:val="Actdetails"/>
        <w:keepNext/>
      </w:pPr>
      <w:r>
        <w:t>s 1, s 2 taken to have commenced 8 March 2005 (LA s 75 (2))</w:t>
      </w:r>
    </w:p>
    <w:p w:rsidR="00450C28" w:rsidRDefault="00450C28" w:rsidP="009176A3">
      <w:pPr>
        <w:pStyle w:val="Actdetails"/>
        <w:keepNext/>
      </w:pPr>
      <w:r>
        <w:t>sch 3 pt 3.51 taken to have commenced 8 March 2005 (s 2 (2))</w:t>
      </w:r>
    </w:p>
    <w:p w:rsidR="00450C28" w:rsidRDefault="00450C28">
      <w:pPr>
        <w:pStyle w:val="Actdetailsnote"/>
        <w:ind w:left="2201" w:hanging="781"/>
      </w:pPr>
      <w:r>
        <w:rPr>
          <w:rStyle w:val="charItals"/>
        </w:rPr>
        <w:t>Note</w:t>
      </w:r>
      <w:r>
        <w:rPr>
          <w:i/>
          <w:iCs/>
        </w:rPr>
        <w:tab/>
      </w:r>
      <w:r>
        <w:t xml:space="preserve">This Act only amends the Residential Tenancies Amendment Act 2004 </w:t>
      </w:r>
      <w:hyperlink r:id="rId158" w:tooltip="Residential Tenancies Amendment Act 2004" w:history="1">
        <w:r w:rsidR="009D74E7" w:rsidRPr="009D74E7">
          <w:rPr>
            <w:rStyle w:val="charCitHyperlinkAbbrev"/>
          </w:rPr>
          <w:t>A2004</w:t>
        </w:r>
        <w:r w:rsidR="009D74E7" w:rsidRPr="009D74E7">
          <w:rPr>
            <w:rStyle w:val="charCitHyperlinkAbbrev"/>
          </w:rPr>
          <w:noBreakHyphen/>
          <w:t>58</w:t>
        </w:r>
      </w:hyperlink>
      <w:r>
        <w:t>.</w:t>
      </w:r>
    </w:p>
    <w:p w:rsidR="00450C28" w:rsidRDefault="007C2037">
      <w:pPr>
        <w:pStyle w:val="NewAct"/>
      </w:pPr>
      <w:hyperlink r:id="rId159" w:tooltip="A2005-39" w:history="1">
        <w:r w:rsidR="009D74E7" w:rsidRPr="009D74E7">
          <w:rPr>
            <w:rStyle w:val="charCitHyperlinkAbbrev"/>
          </w:rPr>
          <w:t>Residential Tenancies Amendment Act 2005</w:t>
        </w:r>
      </w:hyperlink>
      <w:r w:rsidR="00450C28">
        <w:t xml:space="preserve"> A2005-39</w:t>
      </w:r>
    </w:p>
    <w:p w:rsidR="00450C28" w:rsidRDefault="00450C28">
      <w:pPr>
        <w:pStyle w:val="Actdetails"/>
        <w:keepNext/>
      </w:pPr>
      <w:r>
        <w:t>notified LR 31 August 2005</w:t>
      </w:r>
      <w:r>
        <w:br/>
        <w:t>s 1, s 2 commenced 31 August 2005 (LA s 75 (1))</w:t>
      </w:r>
      <w:r>
        <w:br/>
        <w:t xml:space="preserve">s 7, s 25, s 26 commenced 1 January 2006 (s 2 and </w:t>
      </w:r>
      <w:hyperlink r:id="rId160" w:tooltip="CN2005-24" w:history="1">
        <w:r w:rsidR="009D74E7" w:rsidRPr="009D74E7">
          <w:rPr>
            <w:rStyle w:val="charCitHyperlinkAbbrev"/>
          </w:rPr>
          <w:t>CN2005-24</w:t>
        </w:r>
      </w:hyperlink>
      <w:r>
        <w:t>)</w:t>
      </w:r>
    </w:p>
    <w:p w:rsidR="00450C28" w:rsidRPr="009D74E7" w:rsidRDefault="00450C28" w:rsidP="0075695D">
      <w:pPr>
        <w:pStyle w:val="Actdetails"/>
        <w:rPr>
          <w:rFonts w:cs="Arial"/>
        </w:rPr>
      </w:pPr>
      <w:r w:rsidRPr="009D74E7">
        <w:rPr>
          <w:rFonts w:cs="Arial"/>
        </w:rPr>
        <w:t>remainder commenced 28 February 2006 (s 2 and LA s 79)</w:t>
      </w:r>
    </w:p>
    <w:p w:rsidR="00450C28" w:rsidRDefault="007C2037">
      <w:pPr>
        <w:pStyle w:val="NewAct"/>
      </w:pPr>
      <w:hyperlink r:id="rId161" w:tooltip="A2005-43" w:history="1">
        <w:r w:rsidR="009D74E7" w:rsidRPr="009D74E7">
          <w:rPr>
            <w:rStyle w:val="charCitHyperlinkAbbrev"/>
          </w:rPr>
          <w:t>Justice and Community Safety Legislation Amendment Act 2005 (No 3)</w:t>
        </w:r>
      </w:hyperlink>
      <w:r w:rsidR="00450C28">
        <w:t xml:space="preserve"> A2005-43 sch 1 pt 1.11</w:t>
      </w:r>
    </w:p>
    <w:p w:rsidR="00450C28" w:rsidRDefault="00450C28">
      <w:pPr>
        <w:pStyle w:val="Actdetails"/>
      </w:pPr>
      <w:r>
        <w:t>notified LR 30 August 2005</w:t>
      </w:r>
      <w:r>
        <w:br/>
        <w:t>s 1, s 2 commenced 30 August 2005 (LA s 75 (1))</w:t>
      </w:r>
      <w:r>
        <w:br/>
        <w:t xml:space="preserve">sch 1 pt 1.11 commenced 1 October 2005 (s 2 (3) and </w:t>
      </w:r>
      <w:hyperlink r:id="rId162" w:tooltip="CN2005-18" w:history="1">
        <w:r w:rsidR="009D74E7" w:rsidRPr="009D74E7">
          <w:rPr>
            <w:rStyle w:val="charCitHyperlinkAbbrev"/>
          </w:rPr>
          <w:t>CN2005-18</w:t>
        </w:r>
      </w:hyperlink>
      <w:r>
        <w:t>)</w:t>
      </w:r>
    </w:p>
    <w:p w:rsidR="00450C28" w:rsidRDefault="007C2037">
      <w:pPr>
        <w:pStyle w:val="NewAct"/>
      </w:pPr>
      <w:hyperlink r:id="rId163" w:tooltip="A2005-53" w:history="1">
        <w:r w:rsidR="009D74E7" w:rsidRPr="009D74E7">
          <w:rPr>
            <w:rStyle w:val="charCitHyperlinkAbbrev"/>
          </w:rPr>
          <w:t>Criminal Code (Administration of Justice Offences) Amendment Act 2005</w:t>
        </w:r>
      </w:hyperlink>
      <w:r w:rsidR="00450C28">
        <w:t xml:space="preserve"> A2005-53 sch 1 pt 1.28</w:t>
      </w:r>
    </w:p>
    <w:p w:rsidR="00450C28" w:rsidRDefault="00450C28">
      <w:pPr>
        <w:pStyle w:val="Actdetails"/>
        <w:keepNext/>
      </w:pPr>
      <w:r>
        <w:t>notified LR 26 October 2005</w:t>
      </w:r>
    </w:p>
    <w:p w:rsidR="00450C28" w:rsidRDefault="00450C28">
      <w:pPr>
        <w:pStyle w:val="Actdetails"/>
        <w:keepNext/>
      </w:pPr>
      <w:r>
        <w:t>s 1, s 2 commenced 26 October 2005 (LA s 75 (1))</w:t>
      </w:r>
    </w:p>
    <w:p w:rsidR="00450C28" w:rsidRDefault="00450C28">
      <w:pPr>
        <w:pStyle w:val="Actdetails"/>
      </w:pPr>
      <w:r>
        <w:t>sch 1 pt 1.28 commenced 23 November 2005 (s 2)</w:t>
      </w:r>
    </w:p>
    <w:p w:rsidR="00450C28" w:rsidRDefault="007C2037">
      <w:pPr>
        <w:pStyle w:val="NewAct"/>
      </w:pPr>
      <w:hyperlink r:id="rId164" w:tooltip="A2005-54" w:history="1">
        <w:r w:rsidR="009D74E7" w:rsidRPr="009D74E7">
          <w:rPr>
            <w:rStyle w:val="charCitHyperlinkAbbrev"/>
          </w:rPr>
          <w:t>Criminal Code Harmonisation Act 2005</w:t>
        </w:r>
      </w:hyperlink>
      <w:r w:rsidR="00450C28">
        <w:t xml:space="preserve"> A2005-54 sch 1 pt 1.33</w:t>
      </w:r>
    </w:p>
    <w:p w:rsidR="00450C28" w:rsidRDefault="00450C28">
      <w:pPr>
        <w:pStyle w:val="Actdetails"/>
        <w:keepNext/>
      </w:pPr>
      <w:r>
        <w:t>notified LR 27 October 2005</w:t>
      </w:r>
    </w:p>
    <w:p w:rsidR="00450C28" w:rsidRDefault="00450C28">
      <w:pPr>
        <w:pStyle w:val="Actdetails"/>
        <w:keepNext/>
      </w:pPr>
      <w:r>
        <w:t>s 1, s 2 commenced 27 October 2005 (LA s 75 (1))</w:t>
      </w:r>
    </w:p>
    <w:p w:rsidR="00450C28" w:rsidRDefault="00450C28">
      <w:pPr>
        <w:pStyle w:val="Actdetails"/>
      </w:pPr>
      <w:r>
        <w:t>sch 1 pt 1.33 commenced 24 November 2005 (s 2)</w:t>
      </w:r>
    </w:p>
    <w:p w:rsidR="00450C28" w:rsidRDefault="007C2037">
      <w:pPr>
        <w:pStyle w:val="NewAct"/>
      </w:pPr>
      <w:hyperlink r:id="rId165" w:tooltip="A2005-60" w:history="1">
        <w:r w:rsidR="009D74E7" w:rsidRPr="009D74E7">
          <w:rPr>
            <w:rStyle w:val="charCitHyperlinkAbbrev"/>
          </w:rPr>
          <w:t>Justice and Community Safety Legislation Amendment Act 2005 (No 4)</w:t>
        </w:r>
      </w:hyperlink>
      <w:r w:rsidR="00450C28">
        <w:t xml:space="preserve"> A2005-60 sch 1 pt 1.23</w:t>
      </w:r>
    </w:p>
    <w:p w:rsidR="00450C28" w:rsidRDefault="00450C28">
      <w:pPr>
        <w:pStyle w:val="Actdetails"/>
        <w:keepNext/>
      </w:pPr>
      <w:r>
        <w:t>notified LR 1 December 2005</w:t>
      </w:r>
    </w:p>
    <w:p w:rsidR="00450C28" w:rsidRDefault="00450C28">
      <w:pPr>
        <w:pStyle w:val="Actdetails"/>
        <w:keepNext/>
      </w:pPr>
      <w:r>
        <w:t>s 1, s 2 taken to have commenced 23 November 2005 (LA s 75 (2))</w:t>
      </w:r>
    </w:p>
    <w:p w:rsidR="00450C28" w:rsidRDefault="00450C28">
      <w:pPr>
        <w:pStyle w:val="Actdetails"/>
      </w:pPr>
      <w:r>
        <w:t>sch 1 pt 1.23 commenced 22 December 2005 (s 2 (4))</w:t>
      </w:r>
    </w:p>
    <w:p w:rsidR="00450C28" w:rsidRDefault="007C2037">
      <w:pPr>
        <w:pStyle w:val="NewAct"/>
      </w:pPr>
      <w:hyperlink r:id="rId166" w:tooltip="A2006-16" w:history="1">
        <w:r w:rsidR="009D74E7" w:rsidRPr="009D74E7">
          <w:rPr>
            <w:rStyle w:val="charCitHyperlinkAbbrev"/>
          </w:rPr>
          <w:t>Asbestos Legislation Amendment Act 2006</w:t>
        </w:r>
      </w:hyperlink>
      <w:r w:rsidR="00450C28">
        <w:t xml:space="preserve"> A2006-16 sch 1 pt 1.7 (as</w:t>
      </w:r>
      <w:r w:rsidR="00A24CD7">
        <w:t> </w:t>
      </w:r>
      <w:r w:rsidR="00450C28">
        <w:t xml:space="preserve">am by </w:t>
      </w:r>
      <w:hyperlink r:id="rId167" w:tooltip="Asbestos Legislation Amendment Act 2006 (No 2)" w:history="1">
        <w:r w:rsidR="009D74E7" w:rsidRPr="009D74E7">
          <w:rPr>
            <w:rStyle w:val="charCitHyperlinkAbbrev"/>
          </w:rPr>
          <w:t>A2006</w:t>
        </w:r>
        <w:r w:rsidR="009D74E7" w:rsidRPr="009D74E7">
          <w:rPr>
            <w:rStyle w:val="charCitHyperlinkAbbrev"/>
          </w:rPr>
          <w:noBreakHyphen/>
          <w:t>24</w:t>
        </w:r>
      </w:hyperlink>
      <w:r w:rsidR="00450C28">
        <w:t xml:space="preserve"> s 4)</w:t>
      </w:r>
    </w:p>
    <w:p w:rsidR="00450C28" w:rsidRDefault="00450C28">
      <w:pPr>
        <w:pStyle w:val="Actdetails"/>
        <w:keepNext/>
      </w:pPr>
      <w:r>
        <w:t>notified LR 18 May 2006</w:t>
      </w:r>
    </w:p>
    <w:p w:rsidR="00450C28" w:rsidRDefault="00450C28">
      <w:pPr>
        <w:pStyle w:val="Actdetails"/>
        <w:keepNext/>
      </w:pPr>
      <w:r>
        <w:t>s 1, s 2 commenced 18 May 2006 (LA s 75 (1))</w:t>
      </w:r>
    </w:p>
    <w:p w:rsidR="00450C28" w:rsidRDefault="00450C28">
      <w:pPr>
        <w:pStyle w:val="Actdetails"/>
      </w:pPr>
      <w:r>
        <w:t xml:space="preserve">sch 1 pt 1.7 commenced 1 July 2006 (s 2 (1) as am by </w:t>
      </w:r>
      <w:hyperlink r:id="rId168" w:tooltip="Asbestos Legislation Amendment Act 2006 (No 2)" w:history="1">
        <w:r w:rsidR="009D74E7" w:rsidRPr="009D74E7">
          <w:rPr>
            <w:rStyle w:val="charCitHyperlinkAbbrev"/>
          </w:rPr>
          <w:t>A2006</w:t>
        </w:r>
        <w:r w:rsidR="009D74E7" w:rsidRPr="009D74E7">
          <w:rPr>
            <w:rStyle w:val="charCitHyperlinkAbbrev"/>
          </w:rPr>
          <w:noBreakHyphen/>
          <w:t>24</w:t>
        </w:r>
      </w:hyperlink>
      <w:r>
        <w:t xml:space="preserve"> s 4)</w:t>
      </w:r>
    </w:p>
    <w:p w:rsidR="00450C28" w:rsidRDefault="007C2037">
      <w:pPr>
        <w:pStyle w:val="NewAct"/>
      </w:pPr>
      <w:hyperlink r:id="rId169" w:tooltip="A2006-24" w:history="1">
        <w:r w:rsidR="009D74E7" w:rsidRPr="009D74E7">
          <w:rPr>
            <w:rStyle w:val="charCitHyperlinkAbbrev"/>
          </w:rPr>
          <w:t>Asbestos Legislation Amendment Act 2006 (No 2)</w:t>
        </w:r>
      </w:hyperlink>
      <w:r w:rsidR="00450C28">
        <w:t xml:space="preserve"> A2006-24</w:t>
      </w:r>
    </w:p>
    <w:p w:rsidR="00450C28" w:rsidRDefault="00450C28">
      <w:pPr>
        <w:pStyle w:val="Actdetails"/>
        <w:keepNext/>
      </w:pPr>
      <w:r>
        <w:t>notified LR 18 May 2006</w:t>
      </w:r>
    </w:p>
    <w:p w:rsidR="00450C28" w:rsidRDefault="00450C28">
      <w:pPr>
        <w:pStyle w:val="Actdetails"/>
        <w:keepNext/>
      </w:pPr>
      <w:r>
        <w:t>s 1, s 2 commenced 18 May 2006 (LA s 75 (1))</w:t>
      </w:r>
    </w:p>
    <w:p w:rsidR="00450C28" w:rsidRDefault="00450C28" w:rsidP="009176A3">
      <w:pPr>
        <w:pStyle w:val="Actdetails"/>
        <w:keepNext/>
      </w:pPr>
      <w:r>
        <w:t>remainder commenced 19 May 2006 (s 2)</w:t>
      </w:r>
    </w:p>
    <w:p w:rsidR="00450C28" w:rsidRDefault="00450C28">
      <w:pPr>
        <w:pStyle w:val="LegHistNote"/>
      </w:pPr>
      <w:r>
        <w:rPr>
          <w:rStyle w:val="charItals"/>
        </w:rPr>
        <w:t>Note</w:t>
      </w:r>
      <w:r>
        <w:tab/>
        <w:t xml:space="preserve">This Act only amends the </w:t>
      </w:r>
      <w:hyperlink r:id="rId170" w:tooltip="A2006-16" w:history="1">
        <w:r w:rsidR="009D74E7" w:rsidRPr="009D74E7">
          <w:rPr>
            <w:rStyle w:val="charCitHyperlinkAbbrev"/>
          </w:rPr>
          <w:t>Asbestos Legislation Amendment Act 2006</w:t>
        </w:r>
      </w:hyperlink>
      <w:r>
        <w:t xml:space="preserve"> A2006-16.</w:t>
      </w:r>
    </w:p>
    <w:p w:rsidR="00450C28" w:rsidRDefault="007C2037">
      <w:pPr>
        <w:pStyle w:val="NewAct"/>
      </w:pPr>
      <w:hyperlink r:id="rId171" w:tooltip="A2006-40" w:history="1">
        <w:r w:rsidR="009D74E7" w:rsidRPr="009D74E7">
          <w:rPr>
            <w:rStyle w:val="charCitHyperlinkAbbrev"/>
          </w:rPr>
          <w:t>Justice and Community Safety Legislation Amendment Act 2006</w:t>
        </w:r>
      </w:hyperlink>
      <w:r w:rsidR="00450C28">
        <w:t xml:space="preserve"> A2006-40 sch 1 pt 1.12, sch 2 pt 2.28</w:t>
      </w:r>
    </w:p>
    <w:p w:rsidR="00450C28" w:rsidRDefault="00450C28">
      <w:pPr>
        <w:pStyle w:val="Actdetails"/>
        <w:keepNext/>
      </w:pPr>
      <w:r>
        <w:t>notified LR 28 September 2006</w:t>
      </w:r>
    </w:p>
    <w:p w:rsidR="00450C28" w:rsidRDefault="00450C28">
      <w:pPr>
        <w:pStyle w:val="Actdetails"/>
        <w:keepNext/>
      </w:pPr>
      <w:r>
        <w:t>s 1, s 2 commenced 28 September 2006 (LA s 75 (1))</w:t>
      </w:r>
    </w:p>
    <w:p w:rsidR="00450C28" w:rsidRDefault="00450C28">
      <w:pPr>
        <w:pStyle w:val="Actdetails"/>
        <w:keepNext/>
      </w:pPr>
      <w:r>
        <w:t>sch 1 pt 1.12 commenced 19 October 2006 (s 2 (3))</w:t>
      </w:r>
    </w:p>
    <w:p w:rsidR="00450C28" w:rsidRDefault="00450C28">
      <w:pPr>
        <w:pStyle w:val="Actdetails"/>
      </w:pPr>
      <w:r>
        <w:t>sch 2 pt 2.28 commenced 29 September 2006 (s 2 (1))</w:t>
      </w:r>
    </w:p>
    <w:p w:rsidR="00450C28" w:rsidRDefault="007C2037">
      <w:pPr>
        <w:pStyle w:val="NewAct"/>
      </w:pPr>
      <w:hyperlink r:id="rId172" w:tooltip="A2007-8" w:history="1">
        <w:r w:rsidR="009D74E7" w:rsidRPr="009D74E7">
          <w:rPr>
            <w:rStyle w:val="charCitHyperlinkAbbrev"/>
          </w:rPr>
          <w:t>Housing Assistance Act 2007</w:t>
        </w:r>
      </w:hyperlink>
      <w:r w:rsidR="00450C28">
        <w:t xml:space="preserve"> A2007-8 sch 1 pt 1.8</w:t>
      </w:r>
    </w:p>
    <w:p w:rsidR="00450C28" w:rsidRDefault="00450C28">
      <w:pPr>
        <w:pStyle w:val="Actdetails"/>
      </w:pPr>
      <w:r>
        <w:t>notified LR 10 May 2007</w:t>
      </w:r>
    </w:p>
    <w:p w:rsidR="00450C28" w:rsidRDefault="00450C28">
      <w:pPr>
        <w:pStyle w:val="Actdetails"/>
      </w:pPr>
      <w:r>
        <w:t>s 1, s 2 commenced 10 May 2007 (LA s 75 (1))</w:t>
      </w:r>
    </w:p>
    <w:p w:rsidR="00450C28" w:rsidRPr="009D74E7" w:rsidRDefault="00450C28">
      <w:pPr>
        <w:pStyle w:val="Actdetails"/>
        <w:rPr>
          <w:rFonts w:cs="Arial"/>
        </w:rPr>
      </w:pPr>
      <w:r w:rsidRPr="009D74E7">
        <w:rPr>
          <w:rFonts w:cs="Arial"/>
        </w:rPr>
        <w:t>sch 1 pt 1.8 commenced 10 November 2007 (s 2 and LA s 79)</w:t>
      </w:r>
    </w:p>
    <w:p w:rsidR="00450C28" w:rsidRDefault="007C2037">
      <w:pPr>
        <w:pStyle w:val="NewAct"/>
      </w:pPr>
      <w:hyperlink r:id="rId173" w:tooltip="A2008-7" w:history="1">
        <w:r w:rsidR="009D74E7" w:rsidRPr="009D74E7">
          <w:rPr>
            <w:rStyle w:val="charCitHyperlinkAbbrev"/>
          </w:rPr>
          <w:t>Justice and Community Safety Legislation Amendment Act 2008</w:t>
        </w:r>
      </w:hyperlink>
      <w:r w:rsidR="00450C28">
        <w:t xml:space="preserve"> A2008-7 sch 1 pt 1.19</w:t>
      </w:r>
    </w:p>
    <w:p w:rsidR="00450C28" w:rsidRDefault="00450C28">
      <w:pPr>
        <w:pStyle w:val="Actdetails"/>
        <w:keepNext/>
      </w:pPr>
      <w:r>
        <w:t>notified LR 16 April 2008</w:t>
      </w:r>
    </w:p>
    <w:p w:rsidR="00450C28" w:rsidRDefault="00450C28">
      <w:pPr>
        <w:pStyle w:val="Actdetails"/>
        <w:keepNext/>
      </w:pPr>
      <w:r>
        <w:t>s 1, s 2 commenced 16 April 2008 (LA s 75 (1))</w:t>
      </w:r>
    </w:p>
    <w:p w:rsidR="00450C28" w:rsidRDefault="00450C28">
      <w:pPr>
        <w:pStyle w:val="Actdetails"/>
      </w:pPr>
      <w:r>
        <w:t>sch 1 pt 1.19 commenced 7 May 2008 (s 2)</w:t>
      </w:r>
    </w:p>
    <w:p w:rsidR="00450C28" w:rsidRDefault="007C2037">
      <w:pPr>
        <w:pStyle w:val="NewAct"/>
      </w:pPr>
      <w:hyperlink r:id="rId174" w:tooltip="A2008-22" w:history="1">
        <w:r w:rsidR="009D74E7" w:rsidRPr="009D74E7">
          <w:rPr>
            <w:rStyle w:val="charCitHyperlinkAbbrev"/>
          </w:rPr>
          <w:t>Justice and Community Safety Legislation Amendment Act 2008 (No 2)</w:t>
        </w:r>
      </w:hyperlink>
      <w:r w:rsidR="00450C28">
        <w:t xml:space="preserve"> A2008-22 sch 1 pt 1.9</w:t>
      </w:r>
    </w:p>
    <w:p w:rsidR="00450C28" w:rsidRDefault="00450C28">
      <w:pPr>
        <w:pStyle w:val="Actdetails"/>
        <w:keepNext/>
      </w:pPr>
      <w:r>
        <w:t>notified LR 8 July 2008</w:t>
      </w:r>
    </w:p>
    <w:p w:rsidR="00450C28" w:rsidRDefault="00450C28">
      <w:pPr>
        <w:pStyle w:val="Actdetails"/>
        <w:keepNext/>
      </w:pPr>
      <w:r>
        <w:t>s 1, s 2 commenced 8 July 2008 (LA s 75 (1))</w:t>
      </w:r>
    </w:p>
    <w:p w:rsidR="00450C28" w:rsidRDefault="00450C28">
      <w:pPr>
        <w:pStyle w:val="Actdetails"/>
      </w:pPr>
      <w:r>
        <w:t>sch 1 pt 1.9 commenced 29 July 2008 (s 2)</w:t>
      </w:r>
    </w:p>
    <w:p w:rsidR="00450C28" w:rsidRDefault="007C2037">
      <w:pPr>
        <w:pStyle w:val="NewAct"/>
      </w:pPr>
      <w:hyperlink r:id="rId175" w:tooltip="A2008-28" w:history="1">
        <w:r w:rsidR="009D74E7" w:rsidRPr="009D74E7">
          <w:rPr>
            <w:rStyle w:val="charCitHyperlinkAbbrev"/>
          </w:rPr>
          <w:t>Statute Law Amendment Act 2008</w:t>
        </w:r>
      </w:hyperlink>
      <w:r w:rsidR="00450C28">
        <w:t xml:space="preserve"> A2008-28 sch 3 pt 3.50</w:t>
      </w:r>
    </w:p>
    <w:p w:rsidR="00450C28" w:rsidRDefault="00450C28">
      <w:pPr>
        <w:pStyle w:val="Actdetails"/>
        <w:keepNext/>
      </w:pPr>
      <w:r>
        <w:t>notified LR 12 August 2008</w:t>
      </w:r>
    </w:p>
    <w:p w:rsidR="00450C28" w:rsidRDefault="00450C28">
      <w:pPr>
        <w:pStyle w:val="Actdetails"/>
        <w:keepNext/>
      </w:pPr>
      <w:r>
        <w:t>s 1, s 2 commenced 12 August 2008 (LA s 75 (1))</w:t>
      </w:r>
    </w:p>
    <w:p w:rsidR="00450C28" w:rsidRDefault="00450C28">
      <w:pPr>
        <w:pStyle w:val="Actdetails"/>
      </w:pPr>
      <w:r>
        <w:t>sch 3 pt 3.50 commenced 26 August 2008 (s 2)</w:t>
      </w:r>
    </w:p>
    <w:p w:rsidR="00476E42" w:rsidRDefault="007C2037" w:rsidP="00476E42">
      <w:pPr>
        <w:pStyle w:val="NewAct"/>
      </w:pPr>
      <w:hyperlink r:id="rId176" w:tooltip="A2008-36" w:history="1">
        <w:r w:rsidR="009D74E7" w:rsidRPr="009D74E7">
          <w:rPr>
            <w:rStyle w:val="charCitHyperlinkAbbrev"/>
          </w:rPr>
          <w:t>ACT Civil and Administrative Tribunal Legislation Amendment Act 2008</w:t>
        </w:r>
      </w:hyperlink>
      <w:r w:rsidR="00476E42">
        <w:t xml:space="preserve"> A2008-36 sch 1 pt 1.44</w:t>
      </w:r>
    </w:p>
    <w:p w:rsidR="00476E42" w:rsidRDefault="00476E42" w:rsidP="00476E42">
      <w:pPr>
        <w:pStyle w:val="Actdetails"/>
        <w:keepNext/>
      </w:pPr>
      <w:r>
        <w:t>notified LR 4 September 2008</w:t>
      </w:r>
    </w:p>
    <w:p w:rsidR="00476E42" w:rsidRDefault="00476E42" w:rsidP="00476E42">
      <w:pPr>
        <w:pStyle w:val="Actdetails"/>
        <w:keepNext/>
      </w:pPr>
      <w:r>
        <w:t>s 1, s 2 commenced 4 September 2008 (LA s 75 (1))</w:t>
      </w:r>
    </w:p>
    <w:p w:rsidR="00476E42" w:rsidRPr="00912621" w:rsidRDefault="00476E42" w:rsidP="00476E42">
      <w:pPr>
        <w:pStyle w:val="Actdetails"/>
        <w:keepNext/>
      </w:pPr>
      <w:r>
        <w:t xml:space="preserve">sch 1 pt 1.44 commenced 2 February 2009 (s 2 (1) and see </w:t>
      </w:r>
      <w:hyperlink r:id="rId177" w:tooltip="A2008-35" w:history="1">
        <w:r w:rsidR="009D74E7" w:rsidRPr="009D74E7">
          <w:rPr>
            <w:rStyle w:val="charCitHyperlinkAbbrev"/>
          </w:rPr>
          <w:t>ACT Civil and Administrative Tribunal Act 2008</w:t>
        </w:r>
      </w:hyperlink>
      <w:r>
        <w:t xml:space="preserve"> A2008-35, s 2 (1) and </w:t>
      </w:r>
      <w:hyperlink r:id="rId178" w:tooltip="CN2009-2" w:history="1">
        <w:r w:rsidR="009D74E7" w:rsidRPr="009D74E7">
          <w:rPr>
            <w:rStyle w:val="charCitHyperlinkAbbrev"/>
          </w:rPr>
          <w:t>CN2009-2</w:t>
        </w:r>
      </w:hyperlink>
      <w:r>
        <w:t>)</w:t>
      </w:r>
    </w:p>
    <w:p w:rsidR="00476E42" w:rsidRDefault="007C2037" w:rsidP="00476E42">
      <w:pPr>
        <w:pStyle w:val="NewAct"/>
      </w:pPr>
      <w:hyperlink r:id="rId179" w:tooltip="A2008-37" w:history="1">
        <w:r w:rsidR="009D74E7" w:rsidRPr="009D74E7">
          <w:rPr>
            <w:rStyle w:val="charCitHyperlinkAbbrev"/>
          </w:rPr>
          <w:t>ACT Civil and Administrative Tribunal Legislation Amendment Act 2008 (No 2)</w:t>
        </w:r>
      </w:hyperlink>
      <w:r w:rsidR="00EA4201">
        <w:t xml:space="preserve"> A2008-37 sch 1 pt 1.89</w:t>
      </w:r>
    </w:p>
    <w:p w:rsidR="00476E42" w:rsidRDefault="00476E42" w:rsidP="00476E42">
      <w:pPr>
        <w:pStyle w:val="Actdetails"/>
        <w:keepNext/>
      </w:pPr>
      <w:r>
        <w:t>notified LR 4 September 2008</w:t>
      </w:r>
    </w:p>
    <w:p w:rsidR="00476E42" w:rsidRDefault="00476E42" w:rsidP="00476E42">
      <w:pPr>
        <w:pStyle w:val="Actdetails"/>
        <w:keepNext/>
      </w:pPr>
      <w:r>
        <w:t>s 1, s 2 commenced 4 September 2008 (LA s 75 (1))</w:t>
      </w:r>
    </w:p>
    <w:p w:rsidR="00476E42" w:rsidRPr="00912621" w:rsidRDefault="00EA4201" w:rsidP="004B1135">
      <w:pPr>
        <w:pStyle w:val="Actdetails"/>
      </w:pPr>
      <w:r>
        <w:t>sch 1 pt 1.89</w:t>
      </w:r>
      <w:r w:rsidR="00476E42">
        <w:t xml:space="preserve"> commenced 2 February 2009 (s 2 (1) and see </w:t>
      </w:r>
      <w:hyperlink r:id="rId180" w:tooltip="A2008-35" w:history="1">
        <w:r w:rsidR="009D74E7" w:rsidRPr="009D74E7">
          <w:rPr>
            <w:rStyle w:val="charCitHyperlinkAbbrev"/>
          </w:rPr>
          <w:t>ACT Civil and Administrative Tribunal Act 2008</w:t>
        </w:r>
      </w:hyperlink>
      <w:r w:rsidR="00476E42">
        <w:t xml:space="preserve"> A2008-35, s 2 (1) and </w:t>
      </w:r>
      <w:hyperlink r:id="rId181" w:tooltip="CN2009-2" w:history="1">
        <w:r w:rsidR="009D74E7" w:rsidRPr="009D74E7">
          <w:rPr>
            <w:rStyle w:val="charCitHyperlinkAbbrev"/>
          </w:rPr>
          <w:t>CN2009-2</w:t>
        </w:r>
      </w:hyperlink>
      <w:r w:rsidR="00476E42">
        <w:t>)</w:t>
      </w:r>
    </w:p>
    <w:p w:rsidR="0018072C" w:rsidRDefault="007C2037" w:rsidP="0018072C">
      <w:pPr>
        <w:pStyle w:val="NewAct"/>
      </w:pPr>
      <w:hyperlink r:id="rId182" w:tooltip="A2009-7" w:history="1">
        <w:r w:rsidR="009D74E7" w:rsidRPr="009D74E7">
          <w:rPr>
            <w:rStyle w:val="charCitHyperlinkAbbrev"/>
          </w:rPr>
          <w:t>Justice and Community Safety Legislation Amendment Act 2009</w:t>
        </w:r>
      </w:hyperlink>
      <w:r w:rsidR="0018072C">
        <w:t xml:space="preserve"> A2009-7 sch 1 pt 1.9</w:t>
      </w:r>
    </w:p>
    <w:p w:rsidR="0018072C" w:rsidRDefault="0018072C" w:rsidP="0018072C">
      <w:pPr>
        <w:pStyle w:val="Actdetails"/>
      </w:pPr>
      <w:r>
        <w:t>notified LR 5 March 2009</w:t>
      </w:r>
    </w:p>
    <w:p w:rsidR="0018072C" w:rsidRDefault="0018072C" w:rsidP="0018072C">
      <w:pPr>
        <w:pStyle w:val="Actdetails"/>
      </w:pPr>
      <w:r>
        <w:t>s 1, s 2 commenced 5 March 2009 (LA s 75 (1))</w:t>
      </w:r>
    </w:p>
    <w:p w:rsidR="0018072C" w:rsidRPr="00533F48" w:rsidRDefault="0018072C" w:rsidP="0018072C">
      <w:pPr>
        <w:pStyle w:val="Actdetails"/>
      </w:pPr>
      <w:r>
        <w:t>sch 1 pt 1.9 commenced 6 March 2009 (s 2 (1))</w:t>
      </w:r>
    </w:p>
    <w:p w:rsidR="002311F8" w:rsidRDefault="007C2037" w:rsidP="002311F8">
      <w:pPr>
        <w:pStyle w:val="NewAct"/>
      </w:pPr>
      <w:hyperlink r:id="rId183" w:tooltip="A2009-19" w:history="1">
        <w:r w:rsidR="009D74E7" w:rsidRPr="009D74E7">
          <w:rPr>
            <w:rStyle w:val="charCitHyperlinkAbbrev"/>
          </w:rPr>
          <w:t>Justice and Community Safety Legislation Amendment Act 2009 (No 2)</w:t>
        </w:r>
      </w:hyperlink>
      <w:r w:rsidR="002311F8">
        <w:t xml:space="preserve"> A2009-19 pt </w:t>
      </w:r>
      <w:r w:rsidR="001D7131">
        <w:t>15</w:t>
      </w:r>
    </w:p>
    <w:p w:rsidR="002311F8" w:rsidRDefault="002311F8" w:rsidP="002311F8">
      <w:pPr>
        <w:pStyle w:val="Actdetails"/>
        <w:keepNext/>
      </w:pPr>
      <w:r>
        <w:t>notified LR 1 September 2009</w:t>
      </w:r>
    </w:p>
    <w:p w:rsidR="002311F8" w:rsidRDefault="002311F8" w:rsidP="002311F8">
      <w:pPr>
        <w:pStyle w:val="Actdetails"/>
        <w:keepNext/>
      </w:pPr>
      <w:r>
        <w:t>s 1, s 2 commenced 1 September 2009 (LA s 75 (1))</w:t>
      </w:r>
    </w:p>
    <w:p w:rsidR="002311F8" w:rsidRDefault="002311F8" w:rsidP="002311F8">
      <w:pPr>
        <w:pStyle w:val="Actdetails"/>
      </w:pPr>
      <w:r>
        <w:t xml:space="preserve">pt </w:t>
      </w:r>
      <w:r w:rsidR="001D7131">
        <w:t>15</w:t>
      </w:r>
      <w:r>
        <w:t xml:space="preserve"> commenced 29 September 2009 (s 2)</w:t>
      </w:r>
    </w:p>
    <w:p w:rsidR="008B6365" w:rsidRPr="00DB3D5E" w:rsidRDefault="007C2037" w:rsidP="008B6365">
      <w:pPr>
        <w:pStyle w:val="NewAct"/>
      </w:pPr>
      <w:hyperlink r:id="rId184" w:tooltip="A2009-44" w:history="1">
        <w:r w:rsidR="009D74E7" w:rsidRPr="009D74E7">
          <w:rPr>
            <w:rStyle w:val="charCitHyperlinkAbbrev"/>
          </w:rPr>
          <w:t>Justice and Community Safety Legislation Amendment Act 2009 (No 3)</w:t>
        </w:r>
      </w:hyperlink>
      <w:r w:rsidR="008B6365" w:rsidRPr="00DB3D5E">
        <w:t> A2009-</w:t>
      </w:r>
      <w:r w:rsidR="008B6365">
        <w:t>44 sch 1 pt 1.14</w:t>
      </w:r>
    </w:p>
    <w:p w:rsidR="008B6365" w:rsidRPr="00DB3D5E" w:rsidRDefault="008B6365" w:rsidP="008B6365">
      <w:pPr>
        <w:pStyle w:val="Actdetails"/>
        <w:keepNext/>
      </w:pPr>
      <w:r>
        <w:t>notified LR 24</w:t>
      </w:r>
      <w:r w:rsidRPr="00DB3D5E">
        <w:t xml:space="preserve"> </w:t>
      </w:r>
      <w:r>
        <w:t>November</w:t>
      </w:r>
      <w:r w:rsidRPr="00DB3D5E">
        <w:t xml:space="preserve"> 2009</w:t>
      </w:r>
    </w:p>
    <w:p w:rsidR="008B6365" w:rsidRDefault="008B6365" w:rsidP="008B6365">
      <w:pPr>
        <w:pStyle w:val="Actdetails"/>
        <w:keepNext/>
      </w:pPr>
      <w:r>
        <w:t>s 1, s 2 commenced 24 November 2009 (LA s 75 (1))</w:t>
      </w:r>
    </w:p>
    <w:p w:rsidR="008B6365" w:rsidRPr="00BF40E8" w:rsidRDefault="008B6365" w:rsidP="008B6365">
      <w:pPr>
        <w:pStyle w:val="Actdetails"/>
      </w:pPr>
      <w:r w:rsidRPr="00BF40E8">
        <w:t>sch 1 pt 1</w:t>
      </w:r>
      <w:r>
        <w:t>.14 commenced 22</w:t>
      </w:r>
      <w:r w:rsidRPr="00BF40E8">
        <w:t xml:space="preserve"> </w:t>
      </w:r>
      <w:r>
        <w:t>December 2009 (s 2 (3))</w:t>
      </w:r>
    </w:p>
    <w:p w:rsidR="00143664" w:rsidRDefault="007C2037" w:rsidP="00143664">
      <w:pPr>
        <w:pStyle w:val="NewAct"/>
      </w:pPr>
      <w:hyperlink r:id="rId185" w:tooltip="A2010-32" w:history="1">
        <w:r w:rsidR="009D74E7" w:rsidRPr="009D74E7">
          <w:rPr>
            <w:rStyle w:val="charCitHyperlinkAbbrev"/>
          </w:rPr>
          <w:t>Construction Occupations Legislation Amendment Act 2010 (No 2)</w:t>
        </w:r>
      </w:hyperlink>
      <w:r w:rsidR="00143664">
        <w:t xml:space="preserve"> A2010-32 pt 6</w:t>
      </w:r>
    </w:p>
    <w:p w:rsidR="00143664" w:rsidRDefault="00143664" w:rsidP="00143664">
      <w:pPr>
        <w:pStyle w:val="Actdetails"/>
        <w:keepNext/>
      </w:pPr>
      <w:r>
        <w:t>notified LR 1 September 2010</w:t>
      </w:r>
    </w:p>
    <w:p w:rsidR="00143664" w:rsidRDefault="00143664" w:rsidP="00143664">
      <w:pPr>
        <w:pStyle w:val="Actdetails"/>
        <w:keepNext/>
      </w:pPr>
      <w:r>
        <w:t>s 1, s 2 commenced 1 September 2010 (LA s 75 (1))</w:t>
      </w:r>
    </w:p>
    <w:p w:rsidR="004E795C" w:rsidRDefault="004E795C" w:rsidP="004E795C">
      <w:pPr>
        <w:pStyle w:val="Actdetails"/>
        <w:keepNext/>
      </w:pPr>
      <w:r>
        <w:t>s 3 commenced 18 February 2011 (LA s 75AA)</w:t>
      </w:r>
    </w:p>
    <w:p w:rsidR="00143664" w:rsidRPr="00836591" w:rsidRDefault="00143664" w:rsidP="00143664">
      <w:pPr>
        <w:pStyle w:val="Actdetails"/>
        <w:keepNext/>
      </w:pPr>
      <w:r>
        <w:t>pt 6</w:t>
      </w:r>
      <w:r w:rsidRPr="00836591">
        <w:t xml:space="preserve"> </w:t>
      </w:r>
      <w:r>
        <w:t>commenced 1 March 2011</w:t>
      </w:r>
      <w:r w:rsidRPr="00836591">
        <w:t xml:space="preserve"> (s 2</w:t>
      </w:r>
      <w:r>
        <w:t xml:space="preserve"> and LA s 79</w:t>
      </w:r>
      <w:r w:rsidRPr="00836591">
        <w:t>)</w:t>
      </w:r>
    </w:p>
    <w:p w:rsidR="00B02D05" w:rsidRDefault="007C2037" w:rsidP="00B02D05">
      <w:pPr>
        <w:pStyle w:val="NewAct"/>
      </w:pPr>
      <w:hyperlink r:id="rId186" w:tooltip="A2011-22" w:history="1">
        <w:r w:rsidR="009D74E7" w:rsidRPr="009D74E7">
          <w:rPr>
            <w:rStyle w:val="charCitHyperlinkAbbrev"/>
          </w:rPr>
          <w:t>Administrative (One ACT Public Service Miscellaneous Amendments) Act 2011</w:t>
        </w:r>
      </w:hyperlink>
      <w:r w:rsidR="00B02D05">
        <w:t xml:space="preserve"> A2011-22 sch 1 pt 1.133</w:t>
      </w:r>
    </w:p>
    <w:p w:rsidR="00B02D05" w:rsidRDefault="00B02D05" w:rsidP="00B02D05">
      <w:pPr>
        <w:pStyle w:val="Actdetails"/>
        <w:keepNext/>
      </w:pPr>
      <w:r>
        <w:t>notified LR 30 June 2011</w:t>
      </w:r>
    </w:p>
    <w:p w:rsidR="00B02D05" w:rsidRDefault="00B02D05" w:rsidP="00B02D05">
      <w:pPr>
        <w:pStyle w:val="Actdetails"/>
        <w:keepNext/>
      </w:pPr>
      <w:r>
        <w:t>s 1, s 2 commenced 30 June 2011 (LA s 75 (1))</w:t>
      </w:r>
    </w:p>
    <w:p w:rsidR="00B02D05" w:rsidRPr="00CB0D40" w:rsidRDefault="00B02D05" w:rsidP="00B02D05">
      <w:pPr>
        <w:pStyle w:val="Actdetails"/>
      </w:pPr>
      <w:r>
        <w:t>sch 1 pt 1.133</w:t>
      </w:r>
      <w:r w:rsidRPr="00CB0D40">
        <w:t xml:space="preserve"> commenced </w:t>
      </w:r>
      <w:r>
        <w:t>1 July 2011 (s 2 (1</w:t>
      </w:r>
      <w:r w:rsidRPr="00CB0D40">
        <w:t>)</w:t>
      </w:r>
      <w:r>
        <w:t>)</w:t>
      </w:r>
    </w:p>
    <w:p w:rsidR="009176A3" w:rsidRDefault="007C2037" w:rsidP="009176A3">
      <w:pPr>
        <w:pStyle w:val="NewAct"/>
      </w:pPr>
      <w:hyperlink r:id="rId187" w:tooltip="A2011-28" w:history="1">
        <w:r w:rsidR="009D74E7" w:rsidRPr="009D74E7">
          <w:rPr>
            <w:rStyle w:val="charCitHyperlinkAbbrev"/>
          </w:rPr>
          <w:t>Statute Law Amendment Act 2011 (No 2)</w:t>
        </w:r>
      </w:hyperlink>
      <w:r w:rsidR="009176A3">
        <w:t xml:space="preserve"> A2011-28 sch 3 pt 3.29</w:t>
      </w:r>
    </w:p>
    <w:p w:rsidR="009176A3" w:rsidRDefault="009176A3" w:rsidP="009176A3">
      <w:pPr>
        <w:pStyle w:val="Actdetails"/>
        <w:keepNext/>
      </w:pPr>
      <w:r>
        <w:t>notified LR 31 August 2011</w:t>
      </w:r>
    </w:p>
    <w:p w:rsidR="009176A3" w:rsidRDefault="009176A3" w:rsidP="009176A3">
      <w:pPr>
        <w:pStyle w:val="Actdetails"/>
        <w:keepNext/>
      </w:pPr>
      <w:r>
        <w:t>s 1, s 2 commenced 31 August 2011 (LA s 75 (1))</w:t>
      </w:r>
    </w:p>
    <w:p w:rsidR="009176A3" w:rsidRPr="00CB0D40" w:rsidRDefault="009176A3" w:rsidP="009176A3">
      <w:pPr>
        <w:pStyle w:val="Actdetails"/>
      </w:pPr>
      <w:r>
        <w:t>sch 3 pt 3.29</w:t>
      </w:r>
      <w:r w:rsidRPr="00CB0D40">
        <w:t xml:space="preserve"> commenced </w:t>
      </w:r>
      <w:r>
        <w:t>21 September 2011 (s 2 (1</w:t>
      </w:r>
      <w:r w:rsidRPr="00CB0D40">
        <w:t>)</w:t>
      </w:r>
      <w:r>
        <w:t>)</w:t>
      </w:r>
    </w:p>
    <w:p w:rsidR="00093AC7" w:rsidRDefault="007C2037" w:rsidP="00093AC7">
      <w:pPr>
        <w:pStyle w:val="NewAct"/>
      </w:pPr>
      <w:hyperlink r:id="rId188" w:tooltip="A2011-31" w:history="1">
        <w:r w:rsidR="009D74E7" w:rsidRPr="009D74E7">
          <w:rPr>
            <w:rStyle w:val="charCitHyperlinkAbbrev"/>
          </w:rPr>
          <w:t>Residential Tenancies (Databases) Amendment Act 2011</w:t>
        </w:r>
      </w:hyperlink>
      <w:r w:rsidR="00093AC7">
        <w:t xml:space="preserve"> A2011-31</w:t>
      </w:r>
    </w:p>
    <w:p w:rsidR="00093AC7" w:rsidRDefault="00093AC7" w:rsidP="00093AC7">
      <w:pPr>
        <w:pStyle w:val="Actdetails"/>
        <w:keepNext/>
      </w:pPr>
      <w:r>
        <w:t>notified LR 31 August 2011</w:t>
      </w:r>
    </w:p>
    <w:p w:rsidR="00093AC7" w:rsidRDefault="00093AC7" w:rsidP="00093AC7">
      <w:pPr>
        <w:pStyle w:val="Actdetails"/>
        <w:keepNext/>
      </w:pPr>
      <w:r>
        <w:t>s 1, s 2 commenced 31 August 2011 (LA s 75 (1))</w:t>
      </w:r>
    </w:p>
    <w:p w:rsidR="00093AC7" w:rsidRPr="00CB0D40" w:rsidRDefault="00093AC7" w:rsidP="00093AC7">
      <w:pPr>
        <w:pStyle w:val="Actdetails"/>
      </w:pPr>
      <w:r>
        <w:t>remainder</w:t>
      </w:r>
      <w:r w:rsidRPr="00CB0D40">
        <w:t xml:space="preserve"> commenced </w:t>
      </w:r>
      <w:r w:rsidR="005B7B08">
        <w:t xml:space="preserve">29 February 2012 (s 2 </w:t>
      </w:r>
      <w:r>
        <w:t>and LA s 79)</w:t>
      </w:r>
    </w:p>
    <w:p w:rsidR="00033D98" w:rsidRDefault="007C2037" w:rsidP="00033D98">
      <w:pPr>
        <w:pStyle w:val="NewAct"/>
      </w:pPr>
      <w:hyperlink r:id="rId189" w:tooltip="A2011-41" w:history="1">
        <w:r w:rsidR="009D74E7" w:rsidRPr="009D74E7">
          <w:rPr>
            <w:rStyle w:val="charCitHyperlinkAbbrev"/>
          </w:rPr>
          <w:t>Unit Titles (Management) Act 2011</w:t>
        </w:r>
      </w:hyperlink>
      <w:r w:rsidR="00033D98">
        <w:t xml:space="preserve"> A2011-41 sch 5 pt 5.11</w:t>
      </w:r>
    </w:p>
    <w:p w:rsidR="00033D98" w:rsidRDefault="00033D98" w:rsidP="00033D98">
      <w:pPr>
        <w:pStyle w:val="Actdetails"/>
      </w:pPr>
      <w:r>
        <w:t>notified LR 3 November 2011</w:t>
      </w:r>
    </w:p>
    <w:p w:rsidR="00033D98" w:rsidRDefault="00033D98" w:rsidP="00033D98">
      <w:pPr>
        <w:pStyle w:val="Actdetails"/>
      </w:pPr>
      <w:r>
        <w:t>s 1, s 2 commenced 3 November 2011 (LA s 75 (1))</w:t>
      </w:r>
    </w:p>
    <w:p w:rsidR="00033D98" w:rsidRDefault="00033D98" w:rsidP="00033D98">
      <w:pPr>
        <w:pStyle w:val="Actdetails"/>
      </w:pPr>
      <w:r>
        <w:t>sch 5 pt 5.11</w:t>
      </w:r>
      <w:r w:rsidRPr="002D2CC3">
        <w:t xml:space="preserve"> </w:t>
      </w:r>
      <w:r w:rsidRPr="009A7FDA">
        <w:t xml:space="preserve">commenced </w:t>
      </w:r>
      <w:r>
        <w:t>30</w:t>
      </w:r>
      <w:r w:rsidRPr="009A7FDA">
        <w:t xml:space="preserve"> March 2012 (s 2 and </w:t>
      </w:r>
      <w:hyperlink r:id="rId190" w:tooltip="CN2012-6" w:history="1">
        <w:r w:rsidR="009D74E7" w:rsidRPr="009D74E7">
          <w:rPr>
            <w:rStyle w:val="charCitHyperlinkAbbrev"/>
          </w:rPr>
          <w:t>CN2012-6</w:t>
        </w:r>
      </w:hyperlink>
      <w:r w:rsidRPr="009A7FDA">
        <w:t>)</w:t>
      </w:r>
    </w:p>
    <w:p w:rsidR="00E23F61" w:rsidRDefault="007C2037" w:rsidP="00E23F61">
      <w:pPr>
        <w:pStyle w:val="NewAct"/>
      </w:pPr>
      <w:hyperlink r:id="rId191" w:tooltip="A2012-21" w:history="1">
        <w:r w:rsidR="009D74E7" w:rsidRPr="009D74E7">
          <w:rPr>
            <w:rStyle w:val="charCitHyperlinkAbbrev"/>
          </w:rPr>
          <w:t>Statute Law Amendment Act 2012</w:t>
        </w:r>
      </w:hyperlink>
      <w:r w:rsidR="00E23F61">
        <w:t xml:space="preserve"> A2012-21 sch 3 pt 3.35</w:t>
      </w:r>
    </w:p>
    <w:p w:rsidR="00E23F61" w:rsidRDefault="00E23F61" w:rsidP="00E23F61">
      <w:pPr>
        <w:pStyle w:val="Actdetails"/>
        <w:keepNext/>
      </w:pPr>
      <w:r>
        <w:t>notified LR 22 May 2012</w:t>
      </w:r>
    </w:p>
    <w:p w:rsidR="00E23F61" w:rsidRDefault="00E23F61" w:rsidP="00E23F61">
      <w:pPr>
        <w:pStyle w:val="Actdetails"/>
        <w:keepNext/>
      </w:pPr>
      <w:r>
        <w:t>s 1, s 2 commenced 22 May 2012 (LA s 75 (1))</w:t>
      </w:r>
    </w:p>
    <w:p w:rsidR="00E23F61" w:rsidRDefault="00E23F61" w:rsidP="00E23F61">
      <w:pPr>
        <w:pStyle w:val="Actdetails"/>
      </w:pPr>
      <w:r>
        <w:t>sch 3 pt 3.35 commenced 5 June 2012 (s 2 (1))</w:t>
      </w:r>
    </w:p>
    <w:p w:rsidR="00456BF6" w:rsidRDefault="007C2037" w:rsidP="001B7836">
      <w:pPr>
        <w:pStyle w:val="NewAct"/>
      </w:pPr>
      <w:hyperlink r:id="rId192" w:tooltip="A2013-7" w:history="1">
        <w:r w:rsidR="00456BF6" w:rsidRPr="002E3D89">
          <w:rPr>
            <w:rStyle w:val="charCitHyperlinkAbbrev"/>
          </w:rPr>
          <w:t>Justice and Community Safety Legislation Amendment Act 2013 A2013-7</w:t>
        </w:r>
      </w:hyperlink>
      <w:r w:rsidR="00456BF6">
        <w:t xml:space="preserve"> sch 1 pt 1.6</w:t>
      </w:r>
    </w:p>
    <w:p w:rsidR="00456BF6" w:rsidRDefault="00456BF6" w:rsidP="001B7836">
      <w:pPr>
        <w:pStyle w:val="Actdetails"/>
        <w:keepNext/>
      </w:pPr>
      <w:r>
        <w:t>notified LR 1 March 2013</w:t>
      </w:r>
    </w:p>
    <w:p w:rsidR="00456BF6" w:rsidRDefault="00456BF6" w:rsidP="00456BF6">
      <w:pPr>
        <w:pStyle w:val="Actdetails"/>
      </w:pPr>
      <w:r>
        <w:t>s 1, s 2 commenced 1 March 2013 (LA s 75 (1))</w:t>
      </w:r>
    </w:p>
    <w:p w:rsidR="00456BF6" w:rsidRDefault="00456BF6" w:rsidP="00456BF6">
      <w:pPr>
        <w:pStyle w:val="Actdetails"/>
      </w:pPr>
      <w:r>
        <w:t xml:space="preserve">sch 1 pt 1.6 commenced 4 March 2013 (s 2 and see </w:t>
      </w:r>
      <w:hyperlink r:id="rId193" w:tooltip="A2012-38" w:history="1">
        <w:r w:rsidRPr="002E3D89">
          <w:rPr>
            <w:rStyle w:val="charCitHyperlinkAbbrev"/>
          </w:rPr>
          <w:t>Retirement Villages Act 2012</w:t>
        </w:r>
      </w:hyperlink>
      <w:r>
        <w:t xml:space="preserve"> A2012-38, s 2 and LA s 79)</w:t>
      </w:r>
    </w:p>
    <w:p w:rsidR="00AD39E0" w:rsidRDefault="007C2037" w:rsidP="00AD39E0">
      <w:pPr>
        <w:pStyle w:val="NewAct"/>
      </w:pPr>
      <w:hyperlink r:id="rId194" w:tooltip="A2013-44" w:history="1">
        <w:r w:rsidR="00AD39E0">
          <w:rPr>
            <w:rStyle w:val="charCitHyperlinkAbbrev"/>
          </w:rPr>
          <w:t>Statute Law Amendment Act 2013 (No 2)</w:t>
        </w:r>
      </w:hyperlink>
      <w:r w:rsidR="00AD39E0">
        <w:t xml:space="preserve"> A2013-44 sch 3 pt 3.18</w:t>
      </w:r>
    </w:p>
    <w:p w:rsidR="00AD39E0" w:rsidRDefault="00AD39E0" w:rsidP="00AD39E0">
      <w:pPr>
        <w:pStyle w:val="Actdetails"/>
        <w:keepNext/>
      </w:pPr>
      <w:r>
        <w:t>notified LR 11 November 2013</w:t>
      </w:r>
    </w:p>
    <w:p w:rsidR="00AD39E0" w:rsidRDefault="00AD39E0" w:rsidP="00AD39E0">
      <w:pPr>
        <w:pStyle w:val="Actdetails"/>
        <w:keepNext/>
      </w:pPr>
      <w:r>
        <w:t>s 1, s 2 commenced 11 November 2013 (LA s 75 (1))</w:t>
      </w:r>
    </w:p>
    <w:p w:rsidR="00AD39E0" w:rsidRPr="00F3174E" w:rsidRDefault="00AD39E0" w:rsidP="00AD39E0">
      <w:pPr>
        <w:pStyle w:val="Actdetails"/>
      </w:pPr>
      <w:r w:rsidRPr="00F3174E">
        <w:t>sch 3 pt 3.18 commence</w:t>
      </w:r>
      <w:r w:rsidR="00F3174E">
        <w:t>d</w:t>
      </w:r>
      <w:r w:rsidRPr="00F3174E">
        <w:t xml:space="preserve"> 25 November 2013 (s 2)</w:t>
      </w:r>
    </w:p>
    <w:p w:rsidR="00AD0B4C" w:rsidRDefault="007C2037" w:rsidP="00AD0B4C">
      <w:pPr>
        <w:pStyle w:val="NewAct"/>
      </w:pPr>
      <w:hyperlink r:id="rId195" w:tooltip="A2013-45" w:history="1">
        <w:r w:rsidR="00AD0B4C">
          <w:rPr>
            <w:rStyle w:val="charCitHyperlinkAbbrev"/>
          </w:rPr>
          <w:t>Justice and Community Safety Legislation Amendment Act 2013 (No</w:t>
        </w:r>
        <w:r w:rsidR="00AD0B4C">
          <w:t> </w:t>
        </w:r>
        <w:r w:rsidR="00AD0B4C">
          <w:rPr>
            <w:rStyle w:val="charCitHyperlinkAbbrev"/>
          </w:rPr>
          <w:t>4)</w:t>
        </w:r>
      </w:hyperlink>
      <w:r w:rsidR="00AD0B4C">
        <w:t xml:space="preserve"> A2013-45 sch 1 pt 1.3</w:t>
      </w:r>
    </w:p>
    <w:p w:rsidR="00AD0B4C" w:rsidRDefault="00AD0B4C" w:rsidP="00AD0B4C">
      <w:pPr>
        <w:pStyle w:val="Actdetails"/>
        <w:keepNext/>
      </w:pPr>
      <w:r>
        <w:t>notified LR 11 November 2013</w:t>
      </w:r>
    </w:p>
    <w:p w:rsidR="00AD0B4C" w:rsidRDefault="00AD0B4C" w:rsidP="00AD0B4C">
      <w:pPr>
        <w:pStyle w:val="Actdetails"/>
        <w:keepNext/>
      </w:pPr>
      <w:r>
        <w:t>s 1, s 2 commenced 11 November 2013 (LA s 75 (1))</w:t>
      </w:r>
    </w:p>
    <w:p w:rsidR="00AD0B4C" w:rsidRDefault="00AD0B4C" w:rsidP="00AD0B4C">
      <w:pPr>
        <w:pStyle w:val="Actdetails"/>
      </w:pPr>
      <w:r>
        <w:t>sch 1 pt 1.3</w:t>
      </w:r>
      <w:r w:rsidRPr="00D6142D">
        <w:t xml:space="preserve"> </w:t>
      </w:r>
      <w:r>
        <w:t>commenced 12 November 2013</w:t>
      </w:r>
      <w:r w:rsidRPr="00D6142D">
        <w:t xml:space="preserve"> (s 2)</w:t>
      </w:r>
    </w:p>
    <w:p w:rsidR="009A39F9" w:rsidRDefault="007C2037" w:rsidP="009A39F9">
      <w:pPr>
        <w:pStyle w:val="NewAct"/>
      </w:pPr>
      <w:hyperlink r:id="rId196" w:tooltip="A2014-49" w:history="1">
        <w:r w:rsidR="009A39F9">
          <w:rPr>
            <w:rStyle w:val="charCitHyperlinkAbbrev"/>
          </w:rPr>
          <w:t>Justice and Community Safety Leg</w:t>
        </w:r>
        <w:r w:rsidR="00C960AD">
          <w:rPr>
            <w:rStyle w:val="charCitHyperlinkAbbrev"/>
          </w:rPr>
          <w:t>islation Amendment Act 2014 (No </w:t>
        </w:r>
        <w:r w:rsidR="009A39F9">
          <w:rPr>
            <w:rStyle w:val="charCitHyperlinkAbbrev"/>
          </w:rPr>
          <w:t>2)</w:t>
        </w:r>
      </w:hyperlink>
      <w:r w:rsidR="009A39F9">
        <w:t xml:space="preserve"> A2014</w:t>
      </w:r>
      <w:r w:rsidR="009A39F9">
        <w:noBreakHyphen/>
        <w:t>49 sch 1 pt 1.14</w:t>
      </w:r>
    </w:p>
    <w:p w:rsidR="009A39F9" w:rsidRDefault="009A39F9" w:rsidP="009A39F9">
      <w:pPr>
        <w:pStyle w:val="Actdetails"/>
        <w:keepNext/>
      </w:pPr>
      <w:r>
        <w:t>notified LR 10 November 2014</w:t>
      </w:r>
    </w:p>
    <w:p w:rsidR="009A39F9" w:rsidRDefault="009A39F9" w:rsidP="009A39F9">
      <w:pPr>
        <w:pStyle w:val="Actdetails"/>
        <w:keepNext/>
      </w:pPr>
      <w:r>
        <w:t>s 1, s 2 commenced 10 November 2014 (LA s 75 (1))</w:t>
      </w:r>
    </w:p>
    <w:p w:rsidR="009A39F9" w:rsidRPr="00AE7C72" w:rsidRDefault="009A39F9" w:rsidP="009A39F9">
      <w:pPr>
        <w:pStyle w:val="Actdetails"/>
      </w:pPr>
      <w:r>
        <w:t xml:space="preserve">sch 1 pt 1.14 </w:t>
      </w:r>
      <w:r w:rsidRPr="00AE7C72">
        <w:t xml:space="preserve">commenced </w:t>
      </w:r>
      <w:r>
        <w:t>17 November 2014</w:t>
      </w:r>
      <w:r w:rsidRPr="00AE7C72">
        <w:t xml:space="preserve"> (</w:t>
      </w:r>
      <w:r>
        <w:t>s 2)</w:t>
      </w:r>
    </w:p>
    <w:p w:rsidR="00DD588C" w:rsidRDefault="007C2037" w:rsidP="00DD588C">
      <w:pPr>
        <w:pStyle w:val="NewAct"/>
      </w:pPr>
      <w:hyperlink r:id="rId197" w:tooltip="A2015-6" w:history="1">
        <w:r w:rsidR="00DD588C">
          <w:rPr>
            <w:rStyle w:val="charCitHyperlinkAbbrev"/>
          </w:rPr>
          <w:t>Dangerous Substances (Loose-fill Asbestos Eradication) Legislation Amendment Act 2014</w:t>
        </w:r>
      </w:hyperlink>
      <w:r w:rsidR="00DD588C">
        <w:t xml:space="preserve"> A2015-6 sch 1 pt 1.8</w:t>
      </w:r>
    </w:p>
    <w:p w:rsidR="00DD588C" w:rsidRDefault="00DD588C" w:rsidP="00DD588C">
      <w:pPr>
        <w:pStyle w:val="Actdetails"/>
        <w:keepNext/>
      </w:pPr>
      <w:r>
        <w:t>notified LR 31 March 2015</w:t>
      </w:r>
    </w:p>
    <w:p w:rsidR="00DD588C" w:rsidRDefault="00DD588C" w:rsidP="00DD588C">
      <w:pPr>
        <w:pStyle w:val="Actdetails"/>
        <w:keepNext/>
      </w:pPr>
      <w:r>
        <w:t>s 1, s 2 commenced 31 March 2015 (LA s 75 (1))</w:t>
      </w:r>
    </w:p>
    <w:p w:rsidR="00DD588C" w:rsidRDefault="000125C1" w:rsidP="00DD588C">
      <w:pPr>
        <w:pStyle w:val="Actdetails"/>
      </w:pPr>
      <w:r>
        <w:t>sch 1 pt 1.8 commenced 17</w:t>
      </w:r>
      <w:r w:rsidR="00DD588C">
        <w:t xml:space="preserve"> April</w:t>
      </w:r>
      <w:r w:rsidR="00DD588C" w:rsidRPr="00033D89">
        <w:t xml:space="preserve"> 2015 (s 2 and </w:t>
      </w:r>
      <w:hyperlink r:id="rId198" w:tooltip="CN2015-6" w:history="1">
        <w:r>
          <w:rPr>
            <w:rStyle w:val="charCitHyperlinkAbbrev"/>
          </w:rPr>
          <w:t>CN2015-6</w:t>
        </w:r>
      </w:hyperlink>
      <w:r w:rsidR="00DD588C" w:rsidRPr="00033D89">
        <w:t>)</w:t>
      </w:r>
    </w:p>
    <w:p w:rsidR="003C606A" w:rsidRDefault="007C2037" w:rsidP="003C606A">
      <w:pPr>
        <w:pStyle w:val="NewAct"/>
      </w:pPr>
      <w:hyperlink r:id="rId199" w:tooltip="A2015-42" w:history="1">
        <w:r w:rsidR="003C606A" w:rsidRPr="00F82451">
          <w:rPr>
            <w:rStyle w:val="charCitHyperlinkAbbrev"/>
          </w:rPr>
          <w:t>Building (Loose-fill Asbestos Eradication) Legislation Amendment Act 2015</w:t>
        </w:r>
      </w:hyperlink>
      <w:r w:rsidR="003C606A">
        <w:t xml:space="preserve"> A2015</w:t>
      </w:r>
      <w:r w:rsidR="003C606A">
        <w:noBreakHyphen/>
        <w:t>42 pt 12</w:t>
      </w:r>
    </w:p>
    <w:p w:rsidR="003C606A" w:rsidRDefault="003C606A" w:rsidP="003C606A">
      <w:pPr>
        <w:pStyle w:val="Actdetails"/>
        <w:keepNext/>
      </w:pPr>
      <w:r>
        <w:t>notified LR 5 November 2015</w:t>
      </w:r>
    </w:p>
    <w:p w:rsidR="003C606A" w:rsidRDefault="003C606A" w:rsidP="003C606A">
      <w:pPr>
        <w:pStyle w:val="Actdetails"/>
        <w:keepNext/>
      </w:pPr>
      <w:r>
        <w:t>s 1, s 2 commenced 5 November 2015 (LA s 75 (1))</w:t>
      </w:r>
    </w:p>
    <w:p w:rsidR="003C606A" w:rsidRPr="00AE7C72" w:rsidRDefault="003C606A" w:rsidP="003C606A">
      <w:pPr>
        <w:pStyle w:val="Actdetails"/>
      </w:pPr>
      <w:r>
        <w:t xml:space="preserve">pt 12 </w:t>
      </w:r>
      <w:r w:rsidRPr="00AE7C72">
        <w:t xml:space="preserve">commenced </w:t>
      </w:r>
      <w:r>
        <w:t>13 November 2015</w:t>
      </w:r>
      <w:r w:rsidRPr="00AE7C72">
        <w:t xml:space="preserve"> (</w:t>
      </w:r>
      <w:r>
        <w:t xml:space="preserve">s 2 (1) and </w:t>
      </w:r>
      <w:hyperlink r:id="rId200" w:tooltip="CN2015-21" w:history="1">
        <w:r w:rsidRPr="000F6A85">
          <w:rPr>
            <w:rStyle w:val="charCitHyperlinkAbbrev"/>
          </w:rPr>
          <w:t>CN2015-21</w:t>
        </w:r>
      </w:hyperlink>
      <w:r>
        <w:t>)</w:t>
      </w:r>
    </w:p>
    <w:p w:rsidR="00492E17" w:rsidRPr="00935D4E" w:rsidRDefault="007C2037" w:rsidP="00492E17">
      <w:pPr>
        <w:pStyle w:val="NewAct"/>
      </w:pPr>
      <w:hyperlink r:id="rId201" w:tooltip="A2016-42" w:history="1">
        <w:r w:rsidR="00492E17">
          <w:rPr>
            <w:rStyle w:val="charCitHyperlinkAbbrev"/>
          </w:rPr>
          <w:t>Family Violence Act 2016</w:t>
        </w:r>
      </w:hyperlink>
      <w:r w:rsidR="00492E17">
        <w:t xml:space="preserve"> A2016-42 sch 3 pt 3.18 (as am by </w:t>
      </w:r>
      <w:hyperlink r:id="rId202" w:tooltip="Family and Personal Violence Amendment Act 2017" w:history="1">
        <w:r w:rsidR="00492E17">
          <w:rPr>
            <w:rStyle w:val="charCitHyperlinkAbbrev"/>
          </w:rPr>
          <w:t>A2017</w:t>
        </w:r>
        <w:r w:rsidR="00492E17">
          <w:rPr>
            <w:rStyle w:val="charCitHyperlinkAbbrev"/>
          </w:rPr>
          <w:noBreakHyphen/>
          <w:t>10</w:t>
        </w:r>
      </w:hyperlink>
      <w:r w:rsidR="00492E17">
        <w:t xml:space="preserve"> s 7)</w:t>
      </w:r>
    </w:p>
    <w:p w:rsidR="00492E17" w:rsidRDefault="00492E17" w:rsidP="00492E17">
      <w:pPr>
        <w:pStyle w:val="Actdetails"/>
      </w:pPr>
      <w:r>
        <w:t>notified LR 18 August 2016</w:t>
      </w:r>
    </w:p>
    <w:p w:rsidR="00492E17" w:rsidRDefault="00492E17" w:rsidP="00492E17">
      <w:pPr>
        <w:pStyle w:val="Actdetails"/>
      </w:pPr>
      <w:r>
        <w:t>s 1, s 2 commenced 18 August 2016 (LA s 75 (1))</w:t>
      </w:r>
    </w:p>
    <w:p w:rsidR="00492E17" w:rsidRPr="006F3A6F" w:rsidRDefault="00492E17" w:rsidP="00492E17">
      <w:pPr>
        <w:pStyle w:val="Actdetails"/>
      </w:pPr>
      <w:r>
        <w:t>sch 3 pt 3.18</w:t>
      </w:r>
      <w:r w:rsidRPr="006F3A6F">
        <w:t xml:space="preserve"> </w:t>
      </w:r>
      <w:r>
        <w:t>commenced</w:t>
      </w:r>
      <w:r w:rsidRPr="006F3A6F">
        <w:t xml:space="preserve"> </w:t>
      </w:r>
      <w:r>
        <w:t xml:space="preserve">1 May 2017 (s 2 (2) as am by </w:t>
      </w:r>
      <w:hyperlink r:id="rId203" w:tooltip="Family and Personal Violence Amendment Act 2017" w:history="1">
        <w:r>
          <w:rPr>
            <w:rStyle w:val="charCitHyperlinkAbbrev"/>
          </w:rPr>
          <w:t>A2017</w:t>
        </w:r>
        <w:r>
          <w:rPr>
            <w:rStyle w:val="charCitHyperlinkAbbrev"/>
          </w:rPr>
          <w:noBreakHyphen/>
          <w:t>10</w:t>
        </w:r>
      </w:hyperlink>
      <w:r>
        <w:t xml:space="preserve"> s 7</w:t>
      </w:r>
      <w:r w:rsidRPr="006F3A6F">
        <w:t>)</w:t>
      </w:r>
    </w:p>
    <w:p w:rsidR="00A53457" w:rsidRPr="00F13022" w:rsidRDefault="007C2037" w:rsidP="00A53457">
      <w:pPr>
        <w:pStyle w:val="NewAct"/>
      </w:pPr>
      <w:hyperlink r:id="rId204" w:tooltip="A2016-50" w:history="1">
        <w:r w:rsidR="00A53457" w:rsidRPr="00A53457">
          <w:rPr>
            <w:rStyle w:val="Hyperlink"/>
            <w:u w:val="none"/>
          </w:rPr>
          <w:t>Residential Tenancies Legislation Amendment Act 2016</w:t>
        </w:r>
      </w:hyperlink>
      <w:r w:rsidR="0001595F">
        <w:t xml:space="preserve"> A2016</w:t>
      </w:r>
      <w:r w:rsidR="0001595F">
        <w:noBreakHyphen/>
        <w:t>50 pt </w:t>
      </w:r>
      <w:r w:rsidR="00A53457">
        <w:t>2</w:t>
      </w:r>
    </w:p>
    <w:p w:rsidR="00A53457" w:rsidRDefault="00A53457" w:rsidP="00A53457">
      <w:pPr>
        <w:pStyle w:val="Actdetails"/>
      </w:pPr>
      <w:r>
        <w:t>notified LR 24 August 2016</w:t>
      </w:r>
    </w:p>
    <w:p w:rsidR="00A53457" w:rsidRDefault="00A53457" w:rsidP="00A53457">
      <w:pPr>
        <w:pStyle w:val="Actdetails"/>
      </w:pPr>
      <w:r>
        <w:t>s 1, s 2 commenced 24 August 2016 (LA s 75 (1))</w:t>
      </w:r>
    </w:p>
    <w:p w:rsidR="00A53457" w:rsidRPr="004C78F3" w:rsidRDefault="00A53457" w:rsidP="00A53457">
      <w:pPr>
        <w:pStyle w:val="Actdetails"/>
        <w:rPr>
          <w:spacing w:val="-2"/>
        </w:rPr>
      </w:pPr>
      <w:r w:rsidRPr="004C78F3">
        <w:rPr>
          <w:spacing w:val="-2"/>
        </w:rPr>
        <w:t>s 19, s 23, s 24 and s 28 commence</w:t>
      </w:r>
      <w:r w:rsidR="008B6A1B" w:rsidRPr="004C78F3">
        <w:rPr>
          <w:spacing w:val="-2"/>
        </w:rPr>
        <w:t>d</w:t>
      </w:r>
      <w:r w:rsidRPr="004C78F3">
        <w:rPr>
          <w:spacing w:val="-2"/>
        </w:rPr>
        <w:t xml:space="preserve"> </w:t>
      </w:r>
      <w:r w:rsidR="008B6A1B" w:rsidRPr="004C78F3">
        <w:rPr>
          <w:spacing w:val="-2"/>
        </w:rPr>
        <w:t>24 August 2017</w:t>
      </w:r>
      <w:r w:rsidRPr="004C78F3">
        <w:rPr>
          <w:spacing w:val="-2"/>
        </w:rPr>
        <w:t xml:space="preserve"> (s 2 (1)</w:t>
      </w:r>
      <w:r w:rsidR="00C669D9">
        <w:rPr>
          <w:spacing w:val="-2"/>
        </w:rPr>
        <w:t xml:space="preserve"> (b)</w:t>
      </w:r>
      <w:r w:rsidRPr="004C78F3">
        <w:rPr>
          <w:spacing w:val="-2"/>
        </w:rPr>
        <w:t>)</w:t>
      </w:r>
    </w:p>
    <w:p w:rsidR="00A53457" w:rsidRPr="004C78F3" w:rsidRDefault="00A53457" w:rsidP="00A53457">
      <w:pPr>
        <w:pStyle w:val="Actdetails"/>
      </w:pPr>
      <w:r w:rsidRPr="004C78F3">
        <w:t>pt 2 remainder commence</w:t>
      </w:r>
      <w:r w:rsidR="008B6A1B" w:rsidRPr="004C78F3">
        <w:t>d 24 August 2017</w:t>
      </w:r>
      <w:r w:rsidRPr="004C78F3">
        <w:t xml:space="preserve"> (s 2</w:t>
      </w:r>
      <w:r w:rsidR="004C78F3">
        <w:t xml:space="preserve"> (3</w:t>
      </w:r>
      <w:r w:rsidRPr="004C78F3">
        <w:t>))</w:t>
      </w:r>
    </w:p>
    <w:p w:rsidR="00A53457" w:rsidRDefault="007C2037" w:rsidP="00A53457">
      <w:pPr>
        <w:pStyle w:val="NewAct"/>
      </w:pPr>
      <w:hyperlink r:id="rId205" w:tooltip="A2017-4" w:history="1">
        <w:r w:rsidR="00A53457" w:rsidRPr="00A53457">
          <w:rPr>
            <w:rStyle w:val="Hyperlink"/>
            <w:u w:val="none"/>
          </w:rPr>
          <w:t>Statute Law Amendment Act 2017</w:t>
        </w:r>
      </w:hyperlink>
      <w:r w:rsidR="00A53457">
        <w:t xml:space="preserve"> A2017-4 sch 3 pt 3.25</w:t>
      </w:r>
    </w:p>
    <w:p w:rsidR="00A53457" w:rsidRDefault="00A53457" w:rsidP="00A53457">
      <w:pPr>
        <w:pStyle w:val="Actdetails"/>
      </w:pPr>
      <w:r>
        <w:t>notified LR 23 February 2017</w:t>
      </w:r>
    </w:p>
    <w:p w:rsidR="00A53457" w:rsidRDefault="00A53457" w:rsidP="00A53457">
      <w:pPr>
        <w:pStyle w:val="Actdetails"/>
      </w:pPr>
      <w:r>
        <w:t>s 1, s 2 commenced 23 February 2017 (LA s 75 (1))</w:t>
      </w:r>
    </w:p>
    <w:p w:rsidR="00A53457" w:rsidRDefault="00A53457" w:rsidP="00A53457">
      <w:pPr>
        <w:pStyle w:val="Actdetails"/>
      </w:pPr>
      <w:r w:rsidRPr="00A53457">
        <w:t>sch 3 pt 3.25 commenced 9 March 2017 (s 2)</w:t>
      </w:r>
    </w:p>
    <w:p w:rsidR="00E942BF" w:rsidRPr="00935D4E" w:rsidRDefault="007C2037" w:rsidP="00E942BF">
      <w:pPr>
        <w:pStyle w:val="NewAct"/>
      </w:pPr>
      <w:hyperlink r:id="rId206" w:tooltip="A2017-5" w:history="1">
        <w:r w:rsidR="00E942BF" w:rsidRPr="006F3A6F">
          <w:rPr>
            <w:rStyle w:val="charCitHyperlinkAbbrev"/>
          </w:rPr>
          <w:t>Justice and Community Safety Legislation Amendment Act 2017</w:t>
        </w:r>
      </w:hyperlink>
      <w:r w:rsidR="00E942BF">
        <w:t xml:space="preserve"> A2017-5 sch 1 pt 1.8</w:t>
      </w:r>
    </w:p>
    <w:p w:rsidR="00E942BF" w:rsidRDefault="00E942BF" w:rsidP="00E942BF">
      <w:pPr>
        <w:pStyle w:val="Actdetails"/>
      </w:pPr>
      <w:r>
        <w:t>notified LR 23 February 2017</w:t>
      </w:r>
    </w:p>
    <w:p w:rsidR="00E942BF" w:rsidRDefault="00E942BF" w:rsidP="00E942BF">
      <w:pPr>
        <w:pStyle w:val="Actdetails"/>
      </w:pPr>
      <w:r>
        <w:t>s 1, s 2 commenced 23 February 2017 (LA s 75 (1))</w:t>
      </w:r>
    </w:p>
    <w:p w:rsidR="00E942BF" w:rsidRPr="00C669D9" w:rsidRDefault="00C669D9" w:rsidP="00E942BF">
      <w:pPr>
        <w:pStyle w:val="Actdetails"/>
      </w:pPr>
      <w:r w:rsidRPr="00C669D9">
        <w:t xml:space="preserve">sch 1 </w:t>
      </w:r>
      <w:r w:rsidR="00E942BF" w:rsidRPr="00C669D9">
        <w:t>amdt 1.17 commence</w:t>
      </w:r>
      <w:r w:rsidRPr="00C669D9">
        <w:t>d 24 August 2017</w:t>
      </w:r>
      <w:r w:rsidR="00E942BF" w:rsidRPr="00C669D9">
        <w:t xml:space="preserve"> (s 2 (1)</w:t>
      </w:r>
      <w:r w:rsidR="0064495E">
        <w:t xml:space="preserve"> (a)</w:t>
      </w:r>
      <w:r w:rsidR="00E942BF" w:rsidRPr="00C669D9">
        <w:t>)</w:t>
      </w:r>
    </w:p>
    <w:p w:rsidR="00E942BF" w:rsidRPr="00C669D9" w:rsidRDefault="00C669D9" w:rsidP="00E942BF">
      <w:pPr>
        <w:pStyle w:val="Actdetails"/>
      </w:pPr>
      <w:r w:rsidRPr="00C669D9">
        <w:t xml:space="preserve">sch 1 </w:t>
      </w:r>
      <w:r w:rsidR="00E942BF" w:rsidRPr="00C669D9">
        <w:t xml:space="preserve">amdt 1.18 </w:t>
      </w:r>
      <w:r w:rsidRPr="00C669D9">
        <w:t>commenced 24 August 2017</w:t>
      </w:r>
      <w:r w:rsidR="00E942BF" w:rsidRPr="00C669D9">
        <w:t xml:space="preserve"> (s 2 (2)</w:t>
      </w:r>
      <w:r w:rsidR="0064495E">
        <w:t xml:space="preserve"> (a)</w:t>
      </w:r>
      <w:r w:rsidR="00E942BF" w:rsidRPr="00C669D9">
        <w:t>)</w:t>
      </w:r>
    </w:p>
    <w:p w:rsidR="00492E17" w:rsidRPr="00935D4E" w:rsidRDefault="007C2037" w:rsidP="00492E17">
      <w:pPr>
        <w:pStyle w:val="NewAct"/>
      </w:pPr>
      <w:hyperlink r:id="rId207" w:tooltip="A2017-10" w:history="1">
        <w:r w:rsidR="00492E17">
          <w:rPr>
            <w:rStyle w:val="charCitHyperlinkAbbrev"/>
          </w:rPr>
          <w:t>Family and Personal Violence Legislation Amendment Act 2017</w:t>
        </w:r>
      </w:hyperlink>
      <w:r w:rsidR="00492E17">
        <w:t xml:space="preserve"> A2017</w:t>
      </w:r>
      <w:r w:rsidR="00492E17">
        <w:noBreakHyphen/>
        <w:t>10 s 7</w:t>
      </w:r>
    </w:p>
    <w:p w:rsidR="00492E17" w:rsidRDefault="00492E17" w:rsidP="00492E17">
      <w:pPr>
        <w:pStyle w:val="Actdetails"/>
      </w:pPr>
      <w:r>
        <w:t>notified LR 6 April 2017</w:t>
      </w:r>
    </w:p>
    <w:p w:rsidR="00492E17" w:rsidRDefault="00492E17" w:rsidP="00492E17">
      <w:pPr>
        <w:pStyle w:val="Actdetails"/>
      </w:pPr>
      <w:r>
        <w:t>s 1, s 2 commenced 6 April 2017 (LA s 75 (1))</w:t>
      </w:r>
    </w:p>
    <w:p w:rsidR="00492E17" w:rsidRDefault="00492E17" w:rsidP="00492E17">
      <w:pPr>
        <w:pStyle w:val="Actdetails"/>
      </w:pPr>
      <w:r>
        <w:t>s 7</w:t>
      </w:r>
      <w:r w:rsidRPr="006F3A6F">
        <w:t xml:space="preserve"> </w:t>
      </w:r>
      <w:r>
        <w:t>commenced</w:t>
      </w:r>
      <w:r w:rsidRPr="006F3A6F">
        <w:t xml:space="preserve"> </w:t>
      </w:r>
      <w:r>
        <w:t>30 April 2017 (s 2 (1)</w:t>
      </w:r>
      <w:r w:rsidRPr="006F3A6F">
        <w:t>)</w:t>
      </w:r>
    </w:p>
    <w:p w:rsidR="005E0852" w:rsidRDefault="00492E17" w:rsidP="005E0852">
      <w:pPr>
        <w:pStyle w:val="LegHistNote"/>
      </w:pPr>
      <w:r>
        <w:rPr>
          <w:i/>
        </w:rPr>
        <w:t>Note</w:t>
      </w:r>
      <w:r>
        <w:rPr>
          <w:i/>
        </w:rPr>
        <w:tab/>
      </w:r>
      <w:r>
        <w:t>This Act only amends the Family Violence Act 2016</w:t>
      </w:r>
      <w:r>
        <w:br/>
      </w:r>
      <w:hyperlink r:id="rId208" w:tooltip="Family Violence Act 2016" w:history="1">
        <w:r>
          <w:rPr>
            <w:rStyle w:val="charCitHyperlinkAbbrev"/>
          </w:rPr>
          <w:t>A2016</w:t>
        </w:r>
        <w:r>
          <w:rPr>
            <w:rStyle w:val="charCitHyperlinkAbbrev"/>
          </w:rPr>
          <w:noBreakHyphen/>
          <w:t>42</w:t>
        </w:r>
      </w:hyperlink>
      <w:r>
        <w:t>.</w:t>
      </w:r>
    </w:p>
    <w:p w:rsidR="00A308D1" w:rsidRPr="00935D4E" w:rsidRDefault="007C2037" w:rsidP="00A308D1">
      <w:pPr>
        <w:pStyle w:val="NewAct"/>
      </w:pPr>
      <w:hyperlink r:id="rId209" w:tooltip="A2017-28" w:history="1">
        <w:r w:rsidR="00A308D1">
          <w:rPr>
            <w:rStyle w:val="charCitHyperlinkAbbrev"/>
          </w:rPr>
          <w:t>Statute Law Amendment Act 2017 (No 2)</w:t>
        </w:r>
      </w:hyperlink>
      <w:r w:rsidR="00A308D1">
        <w:t xml:space="preserve"> A2017-28 sch 1 pt 1.3</w:t>
      </w:r>
    </w:p>
    <w:p w:rsidR="00A308D1" w:rsidRDefault="00A308D1" w:rsidP="00A308D1">
      <w:pPr>
        <w:pStyle w:val="Actdetails"/>
      </w:pPr>
      <w:r>
        <w:t>notified LR 27 September 2017</w:t>
      </w:r>
    </w:p>
    <w:p w:rsidR="00A308D1" w:rsidRDefault="00A308D1" w:rsidP="00A308D1">
      <w:pPr>
        <w:pStyle w:val="Actdetails"/>
      </w:pPr>
      <w:r>
        <w:t>s 1, s 2 commenced 27 September 2017 (LA s 75 (1))</w:t>
      </w:r>
    </w:p>
    <w:p w:rsidR="00A308D1" w:rsidRPr="00A53457" w:rsidRDefault="00A308D1" w:rsidP="00A308D1">
      <w:pPr>
        <w:pStyle w:val="Actdetails"/>
      </w:pPr>
      <w:r>
        <w:t>sch 1 pt 1.3</w:t>
      </w:r>
      <w:r w:rsidRPr="006F3A6F">
        <w:t xml:space="preserve"> </w:t>
      </w:r>
      <w:r>
        <w:t>commenced</w:t>
      </w:r>
      <w:r w:rsidRPr="006F3A6F">
        <w:t xml:space="preserve"> </w:t>
      </w:r>
      <w:r>
        <w:t>11 October 2017 (s 2</w:t>
      </w:r>
      <w:r w:rsidRPr="006F3A6F">
        <w:t>)</w:t>
      </w:r>
    </w:p>
    <w:p w:rsidR="00523523" w:rsidRPr="00935D4E" w:rsidRDefault="007C2037" w:rsidP="00523523">
      <w:pPr>
        <w:pStyle w:val="NewAct"/>
      </w:pPr>
      <w:hyperlink r:id="rId210" w:tooltip="A2017-32" w:history="1">
        <w:r w:rsidR="00523523">
          <w:rPr>
            <w:rStyle w:val="charCitHyperlinkAbbrev"/>
          </w:rPr>
          <w:t>Residential Tenancies Amendment Act 2017</w:t>
        </w:r>
      </w:hyperlink>
      <w:r w:rsidR="00523523">
        <w:t xml:space="preserve"> A2017</w:t>
      </w:r>
      <w:r w:rsidR="00523523">
        <w:noBreakHyphen/>
        <w:t>32</w:t>
      </w:r>
    </w:p>
    <w:p w:rsidR="00523523" w:rsidRDefault="00523523" w:rsidP="00523523">
      <w:pPr>
        <w:pStyle w:val="Actdetails"/>
      </w:pPr>
      <w:r>
        <w:t>notified LR 7 November 2017</w:t>
      </w:r>
    </w:p>
    <w:p w:rsidR="00523523" w:rsidRDefault="00523523" w:rsidP="00523523">
      <w:pPr>
        <w:pStyle w:val="Actdetails"/>
      </w:pPr>
      <w:r>
        <w:t>s 1, s 2 taken to have commenced 14 September 2017 (LA s 75 (2))</w:t>
      </w:r>
    </w:p>
    <w:p w:rsidR="009B798F" w:rsidRPr="001F4A50" w:rsidRDefault="009B798F" w:rsidP="009B798F">
      <w:pPr>
        <w:pStyle w:val="Actdetails"/>
        <w:rPr>
          <w:rStyle w:val="charUnderline"/>
          <w:u w:val="none"/>
        </w:rPr>
      </w:pPr>
      <w:r w:rsidRPr="001F4A50">
        <w:rPr>
          <w:rStyle w:val="charUnderline"/>
          <w:u w:val="none"/>
        </w:rPr>
        <w:t>sch 2</w:t>
      </w:r>
      <w:r w:rsidR="001F4A50">
        <w:rPr>
          <w:rStyle w:val="charUnderline"/>
          <w:u w:val="none"/>
        </w:rPr>
        <w:t xml:space="preserve"> commenced 7 May 2018 (s 2 (2) and </w:t>
      </w:r>
      <w:r w:rsidR="00B033FF">
        <w:rPr>
          <w:rStyle w:val="charUnderline"/>
          <w:u w:val="none"/>
        </w:rPr>
        <w:t>see LA s 79)</w:t>
      </w:r>
    </w:p>
    <w:p w:rsidR="007F6B13" w:rsidRDefault="007F6B13" w:rsidP="00523523">
      <w:pPr>
        <w:pStyle w:val="Actdetails"/>
      </w:pPr>
      <w:r>
        <w:t>sch 3 commenced 24 February 2018 (s 2</w:t>
      </w:r>
      <w:r w:rsidR="00115170">
        <w:t xml:space="preserve"> (2)</w:t>
      </w:r>
      <w:r>
        <w:t xml:space="preserve">, </w:t>
      </w:r>
      <w:hyperlink r:id="rId211" w:tooltip="CN2018-2" w:history="1">
        <w:r w:rsidR="006560A1" w:rsidRPr="006560A1">
          <w:rPr>
            <w:rStyle w:val="charCitHyperlinkAbbrev"/>
          </w:rPr>
          <w:t>CN2018-2</w:t>
        </w:r>
      </w:hyperlink>
      <w:r>
        <w:t xml:space="preserve"> and see LA s 77 (3))</w:t>
      </w:r>
    </w:p>
    <w:p w:rsidR="006560A1" w:rsidRDefault="00115170" w:rsidP="00523523">
      <w:pPr>
        <w:pStyle w:val="Actdetails"/>
        <w:rPr>
          <w:rStyle w:val="charUnderline"/>
          <w:u w:val="none"/>
        </w:rPr>
      </w:pPr>
      <w:r>
        <w:rPr>
          <w:rStyle w:val="charUnderline"/>
          <w:u w:val="none"/>
        </w:rPr>
        <w:t>remainder taken to have commenced 14 September 2017 (s 2 (1))</w:t>
      </w:r>
    </w:p>
    <w:p w:rsidR="00216C4C" w:rsidRPr="00935D4E" w:rsidRDefault="007C2037" w:rsidP="00216C4C">
      <w:pPr>
        <w:pStyle w:val="NewAct"/>
      </w:pPr>
      <w:hyperlink r:id="rId212" w:tooltip="A2018-20" w:history="1">
        <w:r w:rsidR="00216C4C">
          <w:rPr>
            <w:rStyle w:val="charCitHyperlinkAbbrev"/>
          </w:rPr>
          <w:t>Residential Tenancies Amendment Act 2018</w:t>
        </w:r>
      </w:hyperlink>
      <w:r w:rsidR="00216C4C">
        <w:t xml:space="preserve"> A2018</w:t>
      </w:r>
      <w:r w:rsidR="00216C4C">
        <w:noBreakHyphen/>
        <w:t>20</w:t>
      </w:r>
    </w:p>
    <w:p w:rsidR="00216C4C" w:rsidRDefault="00216C4C" w:rsidP="00216C4C">
      <w:pPr>
        <w:pStyle w:val="Actdetails"/>
        <w:keepNext/>
      </w:pPr>
      <w:r>
        <w:t>notified LR 14 June 2018</w:t>
      </w:r>
    </w:p>
    <w:p w:rsidR="00216C4C" w:rsidRDefault="00216C4C" w:rsidP="00216C4C">
      <w:pPr>
        <w:pStyle w:val="Actdetails"/>
      </w:pPr>
      <w:r>
        <w:t>s 1, s 2 commenced 14 June 2018 (LA s 75 (2))</w:t>
      </w:r>
    </w:p>
    <w:p w:rsidR="00B96D0C" w:rsidRDefault="00B96D0C" w:rsidP="00B96D0C">
      <w:pPr>
        <w:pStyle w:val="Actdetails"/>
      </w:pPr>
      <w:r>
        <w:rPr>
          <w:rStyle w:val="charUnderline"/>
          <w:u w:val="none"/>
        </w:rPr>
        <w:t>s 3 commenced 15 June 2018 (LA s 75AA)</w:t>
      </w:r>
    </w:p>
    <w:p w:rsidR="00B96D0C" w:rsidRDefault="00B96D0C" w:rsidP="00B96D0C">
      <w:pPr>
        <w:pStyle w:val="Actdetails"/>
        <w:rPr>
          <w:rStyle w:val="charUnderline"/>
          <w:u w:val="none"/>
        </w:rPr>
      </w:pPr>
      <w:r>
        <w:rPr>
          <w:rStyle w:val="charUnderline"/>
          <w:u w:val="none"/>
        </w:rPr>
        <w:t>ss 6-8 commenced 15 June 2018 (s 2 (2))</w:t>
      </w:r>
    </w:p>
    <w:p w:rsidR="00216C4C" w:rsidRDefault="008B3AA8" w:rsidP="00523523">
      <w:pPr>
        <w:pStyle w:val="Actdetails"/>
      </w:pPr>
      <w:r w:rsidRPr="008B3AA8">
        <w:t>remainder commenced 14</w:t>
      </w:r>
      <w:r>
        <w:t xml:space="preserve"> December 2018 (s 2 (1</w:t>
      </w:r>
      <w:r w:rsidRPr="008B3AA8">
        <w:t>)</w:t>
      </w:r>
      <w:r w:rsidR="006E43F6">
        <w:t xml:space="preserve"> and LA s 79</w:t>
      </w:r>
      <w:r w:rsidRPr="008B3AA8">
        <w:t>)</w:t>
      </w:r>
    </w:p>
    <w:p w:rsidR="00644243" w:rsidRPr="00935D4E" w:rsidRDefault="007C2037" w:rsidP="00644243">
      <w:pPr>
        <w:pStyle w:val="NewAct"/>
      </w:pPr>
      <w:hyperlink r:id="rId213" w:tooltip="A2019-5" w:history="1">
        <w:r w:rsidR="00644243">
          <w:rPr>
            <w:rStyle w:val="charCitHyperlinkAbbrev"/>
          </w:rPr>
          <w:t>Residential Tenancies Amendment Act 2019</w:t>
        </w:r>
      </w:hyperlink>
      <w:r w:rsidR="00644243">
        <w:t xml:space="preserve"> A2019-5 pt 2</w:t>
      </w:r>
    </w:p>
    <w:p w:rsidR="00644243" w:rsidRDefault="00644243" w:rsidP="00644243">
      <w:pPr>
        <w:pStyle w:val="Actdetails"/>
      </w:pPr>
      <w:r>
        <w:t>notified LR 4 March 2019</w:t>
      </w:r>
    </w:p>
    <w:p w:rsidR="00644243" w:rsidRDefault="00644243" w:rsidP="00644243">
      <w:pPr>
        <w:pStyle w:val="Actdetails"/>
      </w:pPr>
      <w:r>
        <w:t>s 1, s 2 commenced 4 March 2019 (LA s 75 (1))</w:t>
      </w:r>
    </w:p>
    <w:p w:rsidR="00644243" w:rsidRDefault="00644243" w:rsidP="00644243">
      <w:pPr>
        <w:pStyle w:val="Actdetails"/>
      </w:pPr>
      <w:r>
        <w:t>pt 2 commenced</w:t>
      </w:r>
      <w:r w:rsidRPr="006F3A6F">
        <w:t xml:space="preserve"> </w:t>
      </w:r>
      <w:r>
        <w:t xml:space="preserve">1 November 2019 (s 2 (1) and </w:t>
      </w:r>
      <w:hyperlink r:id="rId214" w:tooltip="CN2019-18" w:history="1">
        <w:r>
          <w:rPr>
            <w:rStyle w:val="charCitHyperlinkAbbrev"/>
          </w:rPr>
          <w:t>CN2019-18</w:t>
        </w:r>
      </w:hyperlink>
      <w:r>
        <w:t>)</w:t>
      </w:r>
    </w:p>
    <w:p w:rsidR="00424B1E" w:rsidRPr="00935D4E" w:rsidRDefault="007C2037" w:rsidP="00424B1E">
      <w:pPr>
        <w:pStyle w:val="NewAct"/>
      </w:pPr>
      <w:hyperlink r:id="rId215" w:tooltip="A2019-17" w:history="1">
        <w:r w:rsidR="00424B1E">
          <w:rPr>
            <w:rStyle w:val="charCitHyperlinkAbbrev"/>
          </w:rPr>
          <w:t>Justice and Community Safety Legislation Amendment Act 2019</w:t>
        </w:r>
      </w:hyperlink>
      <w:r w:rsidR="00424B1E">
        <w:t xml:space="preserve"> A2019-17 pt 13</w:t>
      </w:r>
    </w:p>
    <w:p w:rsidR="00424B1E" w:rsidRDefault="00424B1E" w:rsidP="00424B1E">
      <w:pPr>
        <w:pStyle w:val="Actdetails"/>
      </w:pPr>
      <w:r>
        <w:t>notified LR 14 June 2019</w:t>
      </w:r>
    </w:p>
    <w:p w:rsidR="00424B1E" w:rsidRDefault="00424B1E" w:rsidP="00424B1E">
      <w:pPr>
        <w:pStyle w:val="Actdetails"/>
      </w:pPr>
      <w:r>
        <w:t>s 1, s 2 commenced 14 June 2019 (LA s 75 (1))</w:t>
      </w:r>
    </w:p>
    <w:p w:rsidR="00424B1E" w:rsidRDefault="00424B1E" w:rsidP="00424B1E">
      <w:pPr>
        <w:pStyle w:val="Actdetails"/>
      </w:pPr>
      <w:r>
        <w:t xml:space="preserve">pt </w:t>
      </w:r>
      <w:r w:rsidR="00721DD0">
        <w:t>13</w:t>
      </w:r>
      <w:r>
        <w:t xml:space="preserve"> commenced</w:t>
      </w:r>
      <w:r w:rsidRPr="006F3A6F">
        <w:t xml:space="preserve"> </w:t>
      </w:r>
      <w:r>
        <w:t>21 June 2019 (s 2)</w:t>
      </w:r>
    </w:p>
    <w:p w:rsidR="009176A3" w:rsidRPr="009176A3" w:rsidRDefault="009176A3" w:rsidP="009176A3">
      <w:pPr>
        <w:pStyle w:val="PageBreak"/>
      </w:pPr>
      <w:r w:rsidRPr="009176A3">
        <w:br w:type="page"/>
      </w:r>
    </w:p>
    <w:p w:rsidR="00450C28" w:rsidRPr="001403E0" w:rsidRDefault="00450C28">
      <w:pPr>
        <w:pStyle w:val="Endnote2"/>
      </w:pPr>
      <w:bookmarkStart w:id="212" w:name="_Toc23418019"/>
      <w:r w:rsidRPr="001403E0">
        <w:rPr>
          <w:rStyle w:val="charTableNo"/>
        </w:rPr>
        <w:lastRenderedPageBreak/>
        <w:t>4</w:t>
      </w:r>
      <w:r>
        <w:tab/>
      </w:r>
      <w:r w:rsidRPr="001403E0">
        <w:rPr>
          <w:rStyle w:val="charTableText"/>
        </w:rPr>
        <w:t>Amendment history</w:t>
      </w:r>
      <w:bookmarkEnd w:id="212"/>
    </w:p>
    <w:p w:rsidR="00450C28" w:rsidRPr="009D74E7" w:rsidRDefault="00450C28">
      <w:pPr>
        <w:pStyle w:val="AmdtsEntryHd"/>
        <w:rPr>
          <w:rFonts w:cs="Arial"/>
        </w:rPr>
      </w:pPr>
      <w:r w:rsidRPr="009D74E7">
        <w:rPr>
          <w:rFonts w:cs="Arial"/>
        </w:rPr>
        <w:t>Title</w:t>
      </w:r>
    </w:p>
    <w:p w:rsidR="00450C28" w:rsidRPr="009D74E7" w:rsidRDefault="00450C28">
      <w:pPr>
        <w:pStyle w:val="AmdtsEntries"/>
      </w:pPr>
      <w:r>
        <w:t>title</w:t>
      </w:r>
      <w:r>
        <w:tab/>
        <w:t xml:space="preserve">sub </w:t>
      </w:r>
      <w:hyperlink r:id="rId21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w:t>
      </w:r>
    </w:p>
    <w:p w:rsidR="00450C28" w:rsidRPr="009D74E7" w:rsidRDefault="00450C28">
      <w:pPr>
        <w:pStyle w:val="AmdtsEntryHd"/>
        <w:rPr>
          <w:rFonts w:cs="Arial"/>
        </w:rPr>
      </w:pPr>
      <w:r w:rsidRPr="009D74E7">
        <w:rPr>
          <w:rFonts w:cs="Arial"/>
        </w:rPr>
        <w:t>Dictionary</w:t>
      </w:r>
    </w:p>
    <w:p w:rsidR="00450C28" w:rsidRDefault="00450C28">
      <w:pPr>
        <w:pStyle w:val="AmdtsEntries"/>
        <w:keepNext/>
      </w:pPr>
      <w:r>
        <w:t>s 2</w:t>
      </w:r>
      <w:r>
        <w:tab/>
        <w:t>om R1 LA</w:t>
      </w:r>
    </w:p>
    <w:p w:rsidR="00450C28" w:rsidRDefault="00450C28">
      <w:pPr>
        <w:pStyle w:val="AmdtsEntries"/>
      </w:pPr>
      <w:r>
        <w:tab/>
        <w:t xml:space="preserve">ins </w:t>
      </w:r>
      <w:hyperlink r:id="rId21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rsidR="00143664" w:rsidRDefault="00143664">
      <w:pPr>
        <w:pStyle w:val="AmdtsEntries"/>
        <w:rPr>
          <w:color w:val="000000"/>
        </w:rPr>
      </w:pPr>
      <w:r>
        <w:tab/>
        <w:t xml:space="preserve">am </w:t>
      </w:r>
      <w:hyperlink r:id="rId218"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38</w:t>
      </w:r>
    </w:p>
    <w:p w:rsidR="00450C28" w:rsidRPr="009D74E7" w:rsidRDefault="00450C28">
      <w:pPr>
        <w:pStyle w:val="AmdtsEntryHd"/>
        <w:rPr>
          <w:rFonts w:cs="Arial"/>
        </w:rPr>
      </w:pPr>
      <w:r>
        <w:rPr>
          <w:noProof/>
        </w:rPr>
        <w:t>Notes</w:t>
      </w:r>
    </w:p>
    <w:p w:rsidR="00450C28" w:rsidRDefault="00450C28">
      <w:pPr>
        <w:pStyle w:val="AmdtsEntries"/>
        <w:keepNext/>
      </w:pPr>
      <w:r>
        <w:t>s 3</w:t>
      </w:r>
      <w:r>
        <w:tab/>
        <w:t xml:space="preserve">sub </w:t>
      </w:r>
      <w:hyperlink r:id="rId2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7</w:t>
      </w:r>
    </w:p>
    <w:p w:rsidR="00450C28" w:rsidRDefault="00450C28">
      <w:pPr>
        <w:pStyle w:val="AmdtsEntries"/>
        <w:keepNext/>
      </w:pPr>
      <w:r>
        <w:tab/>
        <w:t xml:space="preserve">def </w:t>
      </w:r>
      <w:r w:rsidRPr="009D74E7">
        <w:rPr>
          <w:rStyle w:val="charBoldItals"/>
        </w:rPr>
        <w:t>approved mediator</w:t>
      </w:r>
      <w:r>
        <w:t xml:space="preserve"> sub </w:t>
      </w:r>
      <w:hyperlink r:id="rId220"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rsidR="00450C28" w:rsidRDefault="00450C28">
      <w:pPr>
        <w:pStyle w:val="AmdtsEntriesDefL2"/>
      </w:pPr>
      <w:r>
        <w:tab/>
        <w:t xml:space="preserve">reloc to dict </w:t>
      </w:r>
      <w:hyperlink r:id="rId2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bond</w:t>
      </w:r>
      <w:r>
        <w:t xml:space="preserve"> reloc to dict </w:t>
      </w:r>
      <w:hyperlink r:id="rId22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commissioner</w:t>
      </w:r>
      <w:r>
        <w:t xml:space="preserve"> reloc to dict </w:t>
      </w:r>
      <w:hyperlink r:id="rId2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director</w:t>
      </w:r>
      <w:r>
        <w:t xml:space="preserve"> sub </w:t>
      </w:r>
      <w:hyperlink r:id="rId224"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DefL2"/>
      </w:pPr>
      <w:r>
        <w:tab/>
        <w:t xml:space="preserve">om </w:t>
      </w:r>
      <w:hyperlink r:id="rId22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450C28" w:rsidRDefault="00450C28">
      <w:pPr>
        <w:pStyle w:val="AmdtsEntries"/>
        <w:keepNext/>
      </w:pPr>
      <w:r>
        <w:tab/>
        <w:t xml:space="preserve">def </w:t>
      </w:r>
      <w:r w:rsidRPr="009D74E7">
        <w:rPr>
          <w:rStyle w:val="charBoldItals"/>
        </w:rPr>
        <w:t>energy efficiency rating</w:t>
      </w:r>
      <w:r>
        <w:t xml:space="preserve"> ins </w:t>
      </w:r>
      <w:hyperlink r:id="rId226"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reloc to dict </w:t>
      </w:r>
      <w:hyperlink r:id="rId22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energy efficiency rating statement</w:t>
      </w:r>
      <w:r>
        <w:t xml:space="preserve"> ins </w:t>
      </w:r>
      <w:hyperlink r:id="rId228"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om </w:t>
      </w:r>
      <w:hyperlink r:id="rId2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fixed term agreement</w:t>
      </w:r>
      <w:r>
        <w:t xml:space="preserve"> reloc to dict </w:t>
      </w:r>
      <w:hyperlink r:id="rId23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lessor</w:t>
      </w:r>
      <w:r>
        <w:t xml:space="preserve"> reloc to dict </w:t>
      </w:r>
      <w:hyperlink r:id="rId2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tenant</w:t>
      </w:r>
      <w:r>
        <w:t xml:space="preserve"> reloc to dict </w:t>
      </w:r>
      <w:hyperlink r:id="rId23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lessor</w:t>
      </w:r>
      <w:r>
        <w:t xml:space="preserve"> om </w:t>
      </w:r>
      <w:hyperlink r:id="rId23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member of the tribunal</w:t>
      </w:r>
      <w:r>
        <w:t xml:space="preserve"> reloc to dict </w:t>
      </w:r>
      <w:hyperlink r:id="rId2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mobile home</w:t>
      </w:r>
      <w:r>
        <w:t xml:space="preserve"> reloc to dict </w:t>
      </w:r>
      <w:hyperlink r:id="rId2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mobile home park</w:t>
      </w:r>
      <w:r>
        <w:t xml:space="preserve"> reloc to dict </w:t>
      </w:r>
      <w:hyperlink r:id="rId23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party</w:t>
      </w:r>
      <w:r>
        <w:t xml:space="preserve"> reloc to dict </w:t>
      </w:r>
      <w:hyperlink r:id="rId23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periodic agreement</w:t>
      </w:r>
      <w:r>
        <w:t xml:space="preserve"> reloc to dict </w:t>
      </w:r>
      <w:hyperlink r:id="rId2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preliminary conference</w:t>
      </w:r>
      <w:r>
        <w:t xml:space="preserve"> reloc to dict </w:t>
      </w:r>
      <w:hyperlink r:id="rId23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premises</w:t>
      </w:r>
      <w:r>
        <w:t xml:space="preserve"> reloc to dict </w:t>
      </w:r>
      <w:hyperlink r:id="rId24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prescribed terms</w:t>
      </w:r>
      <w:r>
        <w:t xml:space="preserve"> om </w:t>
      </w:r>
      <w:hyperlink r:id="rId24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president</w:t>
      </w:r>
      <w:r>
        <w:t xml:space="preserve"> reloc to dict </w:t>
      </w:r>
      <w:hyperlink r:id="rId24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referee</w:t>
      </w:r>
      <w:r>
        <w:t xml:space="preserve"> reloc to dict </w:t>
      </w:r>
      <w:hyperlink r:id="rId24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keepNext/>
      </w:pPr>
      <w:r>
        <w:tab/>
        <w:t xml:space="preserve">def </w:t>
      </w:r>
      <w:r w:rsidRPr="009D74E7">
        <w:rPr>
          <w:rStyle w:val="charBoldItals"/>
        </w:rPr>
        <w:t>registrar</w:t>
      </w:r>
      <w:r>
        <w:t xml:space="preserve"> sub </w:t>
      </w:r>
      <w:hyperlink r:id="rId244"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DefL2"/>
      </w:pPr>
      <w:r>
        <w:tab/>
        <w:t xml:space="preserve">reloc to dict </w:t>
      </w:r>
      <w:hyperlink r:id="rId24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residential tenancy agreement</w:t>
      </w:r>
      <w:r>
        <w:t xml:space="preserve"> om </w:t>
      </w:r>
      <w:hyperlink r:id="rId24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retirement village</w:t>
      </w:r>
      <w:r>
        <w:t xml:space="preserve"> om </w:t>
      </w:r>
      <w:hyperlink r:id="rId2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tenancy dispute</w:t>
      </w:r>
      <w:r>
        <w:t xml:space="preserve"> om </w:t>
      </w:r>
      <w:hyperlink r:id="rId2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tenant</w:t>
      </w:r>
      <w:r>
        <w:t xml:space="preserve"> om </w:t>
      </w:r>
      <w:hyperlink r:id="rId24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Pr="009D74E7" w:rsidRDefault="00450C28">
      <w:pPr>
        <w:pStyle w:val="AmdtsEntries"/>
      </w:pPr>
      <w:r>
        <w:tab/>
        <w:t xml:space="preserve">def </w:t>
      </w:r>
      <w:r w:rsidRPr="009D74E7">
        <w:rPr>
          <w:rStyle w:val="charBoldItals"/>
        </w:rPr>
        <w:t>termination and possession order</w:t>
      </w:r>
      <w:r>
        <w:t xml:space="preserve"> reloc to dict </w:t>
      </w:r>
      <w:hyperlink r:id="rId25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termination notice</w:t>
      </w:r>
      <w:r>
        <w:t xml:space="preserve"> am </w:t>
      </w:r>
      <w:hyperlink r:id="rId251"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rsidR="00450C28" w:rsidRDefault="00450C28">
      <w:pPr>
        <w:pStyle w:val="AmdtsEntriesDefL2"/>
      </w:pPr>
      <w:r>
        <w:tab/>
        <w:t xml:space="preserve">reloc to dict </w:t>
      </w:r>
      <w:hyperlink r:id="rId25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rsidP="00F3378B">
      <w:pPr>
        <w:pStyle w:val="AmdtsEntries"/>
      </w:pPr>
      <w:r>
        <w:tab/>
        <w:t xml:space="preserve">def </w:t>
      </w:r>
      <w:r w:rsidRPr="009D74E7">
        <w:rPr>
          <w:rStyle w:val="charBoldItals"/>
        </w:rPr>
        <w:t>tribunal</w:t>
      </w:r>
      <w:r>
        <w:t xml:space="preserve"> reloc to dict </w:t>
      </w:r>
      <w:hyperlink r:id="rId2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lastRenderedPageBreak/>
        <w:tab/>
        <w:t xml:space="preserve">def </w:t>
      </w:r>
      <w:r w:rsidRPr="009D74E7">
        <w:rPr>
          <w:rStyle w:val="charBoldItals"/>
        </w:rPr>
        <w:t>trust account</w:t>
      </w:r>
      <w:r>
        <w:t xml:space="preserve"> reloc to dict </w:t>
      </w:r>
      <w:hyperlink r:id="rId2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working day</w:t>
      </w:r>
      <w:r>
        <w:t xml:space="preserve"> om </w:t>
      </w:r>
      <w:hyperlink r:id="rId25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5</w:t>
      </w:r>
    </w:p>
    <w:p w:rsidR="00450C28" w:rsidRDefault="00450C28">
      <w:pPr>
        <w:pStyle w:val="AmdtsEntryHd"/>
      </w:pPr>
      <w:r>
        <w:t>Offences against Act—application of Criminal Code etc</w:t>
      </w:r>
    </w:p>
    <w:p w:rsidR="00450C28" w:rsidRDefault="00450C28">
      <w:pPr>
        <w:pStyle w:val="AmdtsEntries"/>
      </w:pPr>
      <w:r>
        <w:t>s 3A</w:t>
      </w:r>
      <w:r>
        <w:tab/>
        <w:t xml:space="preserve">ins </w:t>
      </w:r>
      <w:hyperlink r:id="rId256"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1.229</w:t>
      </w:r>
    </w:p>
    <w:p w:rsidR="00450C28" w:rsidRDefault="00450C28">
      <w:pPr>
        <w:pStyle w:val="AmdtsEntryHd"/>
      </w:pPr>
      <w:r>
        <w:t>Application of Act</w:t>
      </w:r>
    </w:p>
    <w:p w:rsidR="00450C28" w:rsidRDefault="00450C28">
      <w:pPr>
        <w:pStyle w:val="AmdtsEntries"/>
        <w:keepNext/>
      </w:pPr>
      <w:r>
        <w:t>s 4</w:t>
      </w:r>
      <w:r>
        <w:tab/>
        <w:t xml:space="preserve">sub </w:t>
      </w:r>
      <w:hyperlink r:id="rId2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9D74E7" w:rsidRDefault="00450C28">
      <w:pPr>
        <w:pStyle w:val="AmdtsEntries"/>
      </w:pPr>
      <w:r>
        <w:tab/>
        <w:t xml:space="preserve">am </w:t>
      </w:r>
      <w:hyperlink r:id="rId258"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1.126</w:t>
      </w:r>
      <w:r w:rsidR="008A6A87">
        <w:t xml:space="preserve">; </w:t>
      </w:r>
      <w:hyperlink r:id="rId259" w:tooltip="Statute Law Amendment Act 2012" w:history="1">
        <w:r w:rsidR="009D74E7" w:rsidRPr="009D74E7">
          <w:rPr>
            <w:rStyle w:val="charCitHyperlinkAbbrev"/>
          </w:rPr>
          <w:t>A2012</w:t>
        </w:r>
        <w:r w:rsidR="009D74E7" w:rsidRPr="009D74E7">
          <w:rPr>
            <w:rStyle w:val="charCitHyperlinkAbbrev"/>
          </w:rPr>
          <w:noBreakHyphen/>
          <w:t>21</w:t>
        </w:r>
      </w:hyperlink>
      <w:r w:rsidR="008A6A87">
        <w:t xml:space="preserve"> amdt 3.131, amdt</w:t>
      </w:r>
      <w:r w:rsidR="00456BF6">
        <w:t> </w:t>
      </w:r>
      <w:r w:rsidR="008A6A87">
        <w:t>3.132</w:t>
      </w:r>
      <w:r w:rsidR="00456BF6">
        <w:t xml:space="preserve">; </w:t>
      </w:r>
      <w:hyperlink r:id="rId260" w:tooltip="Justice and Community Safety Legislation Amendment Act 2013" w:history="1">
        <w:r w:rsidR="00456BF6" w:rsidRPr="00E23E0A">
          <w:rPr>
            <w:rStyle w:val="charCitHyperlinkAbbrev"/>
          </w:rPr>
          <w:t>A2013</w:t>
        </w:r>
        <w:r w:rsidR="00456BF6" w:rsidRPr="00E23E0A">
          <w:rPr>
            <w:rStyle w:val="charCitHyperlinkAbbrev"/>
          </w:rPr>
          <w:noBreakHyphen/>
          <w:t>7</w:t>
        </w:r>
      </w:hyperlink>
      <w:r w:rsidR="00456BF6">
        <w:t xml:space="preserve"> amdt 1.11; pars renum R41 LA</w:t>
      </w:r>
    </w:p>
    <w:p w:rsidR="00450C28" w:rsidRDefault="00450C28">
      <w:pPr>
        <w:pStyle w:val="AmdtsEntryHd"/>
      </w:pPr>
      <w:r>
        <w:t>Meaning of residential tenancy agreement</w:t>
      </w:r>
    </w:p>
    <w:p w:rsidR="00450C28" w:rsidRDefault="00450C28">
      <w:pPr>
        <w:pStyle w:val="AmdtsEntries"/>
      </w:pPr>
      <w:r>
        <w:t>pt 1A hdg</w:t>
      </w:r>
      <w:r>
        <w:tab/>
        <w:t xml:space="preserve">ins </w:t>
      </w:r>
      <w:hyperlink r:id="rId2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Who is a </w:t>
      </w:r>
      <w:r w:rsidRPr="009D74E7">
        <w:rPr>
          <w:rStyle w:val="charItals"/>
        </w:rPr>
        <w:t>lessor</w:t>
      </w:r>
      <w:r>
        <w:t>?</w:t>
      </w:r>
    </w:p>
    <w:p w:rsidR="00450C28" w:rsidRDefault="00450C28">
      <w:pPr>
        <w:pStyle w:val="AmdtsEntries"/>
      </w:pPr>
      <w:r>
        <w:t>s 5</w:t>
      </w:r>
      <w:r>
        <w:tab/>
        <w:t xml:space="preserve">sub </w:t>
      </w:r>
      <w:hyperlink r:id="rId2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Who is a </w:t>
      </w:r>
      <w:r w:rsidRPr="009D74E7">
        <w:rPr>
          <w:rStyle w:val="charItals"/>
        </w:rPr>
        <w:t>tenant</w:t>
      </w:r>
      <w:r>
        <w:t>?</w:t>
      </w:r>
    </w:p>
    <w:p w:rsidR="00450C28" w:rsidRDefault="00450C28">
      <w:pPr>
        <w:pStyle w:val="AmdtsEntries"/>
      </w:pPr>
      <w:r>
        <w:t>s 6</w:t>
      </w:r>
      <w:r>
        <w:tab/>
        <w:t xml:space="preserve">sub </w:t>
      </w:r>
      <w:hyperlink r:id="rId26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 xml:space="preserve">What is a </w:t>
      </w:r>
      <w:r w:rsidRPr="009D74E7">
        <w:rPr>
          <w:rStyle w:val="charItals"/>
        </w:rPr>
        <w:t xml:space="preserve">residential tenancy </w:t>
      </w:r>
      <w:r>
        <w:t>agreement?</w:t>
      </w:r>
    </w:p>
    <w:p w:rsidR="00450C28" w:rsidRDefault="00450C28">
      <w:pPr>
        <w:pStyle w:val="AmdtsEntries"/>
      </w:pPr>
      <w:r>
        <w:t>s 6A</w:t>
      </w:r>
      <w:r>
        <w:tab/>
        <w:t xml:space="preserve">ins </w:t>
      </w:r>
      <w:hyperlink r:id="rId26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 if agreement written and says it is residential tenancy agreement</w:t>
      </w:r>
    </w:p>
    <w:p w:rsidR="00450C28" w:rsidRDefault="00450C28">
      <w:pPr>
        <w:pStyle w:val="AmdtsEntries"/>
      </w:pPr>
      <w:r>
        <w:t>s 6B</w:t>
      </w:r>
      <w:r>
        <w:tab/>
        <w:t xml:space="preserve">ins </w:t>
      </w:r>
      <w:hyperlink r:id="rId26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 if agreement part of employment</w:t>
      </w:r>
    </w:p>
    <w:p w:rsidR="00450C28" w:rsidRDefault="00450C28">
      <w:pPr>
        <w:pStyle w:val="AmdtsEntries"/>
      </w:pPr>
      <w:r>
        <w:t>s 6C</w:t>
      </w:r>
      <w:r>
        <w:tab/>
        <w:t xml:space="preserve">ins </w:t>
      </w:r>
      <w:hyperlink r:id="rId2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kinds of agreements not residential tenancy agreements</w:t>
      </w:r>
    </w:p>
    <w:p w:rsidR="00450C28" w:rsidRDefault="00450C28">
      <w:pPr>
        <w:pStyle w:val="AmdtsEntries"/>
      </w:pPr>
      <w:r>
        <w:t>s 6D</w:t>
      </w:r>
      <w:r>
        <w:tab/>
        <w:t xml:space="preserve">ins </w:t>
      </w:r>
      <w:hyperlink r:id="rId2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people given right of occupation not tenants</w:t>
      </w:r>
    </w:p>
    <w:p w:rsidR="00450C28" w:rsidRDefault="00450C28">
      <w:pPr>
        <w:pStyle w:val="AmdtsEntries"/>
      </w:pPr>
      <w:r>
        <w:t>s 6E</w:t>
      </w:r>
      <w:r>
        <w:tab/>
        <w:t xml:space="preserve">ins </w:t>
      </w:r>
      <w:hyperlink r:id="rId2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Certain kinds of premises mean no residential tenancy agreement</w:t>
      </w:r>
    </w:p>
    <w:p w:rsidR="00450C28" w:rsidRDefault="00450C28">
      <w:pPr>
        <w:pStyle w:val="AmdtsEntries"/>
      </w:pPr>
      <w:r>
        <w:t>s 6F</w:t>
      </w:r>
      <w:r>
        <w:tab/>
        <w:t xml:space="preserve">ins </w:t>
      </w:r>
      <w:hyperlink r:id="rId26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F3174E" w:rsidRDefault="00F3174E">
      <w:pPr>
        <w:pStyle w:val="AmdtsEntries"/>
      </w:pPr>
      <w:r>
        <w:tab/>
        <w:t xml:space="preserve">am </w:t>
      </w:r>
      <w:hyperlink r:id="rId270" w:tooltip="Statute Law Amendment Act 2013 (No 2)" w:history="1">
        <w:r>
          <w:rPr>
            <w:rStyle w:val="charCitHyperlinkAbbrev"/>
          </w:rPr>
          <w:t>A2013</w:t>
        </w:r>
        <w:r>
          <w:rPr>
            <w:rStyle w:val="charCitHyperlinkAbbrev"/>
          </w:rPr>
          <w:noBreakHyphen/>
          <w:t>44</w:t>
        </w:r>
      </w:hyperlink>
      <w:r>
        <w:t xml:space="preserve"> amdt 3.169</w:t>
      </w:r>
    </w:p>
    <w:p w:rsidR="00450C28" w:rsidRDefault="00450C28">
      <w:pPr>
        <w:pStyle w:val="AmdtsEntryHd"/>
      </w:pPr>
      <w:r>
        <w:t>When does residential tenancy agreement start?</w:t>
      </w:r>
    </w:p>
    <w:p w:rsidR="00450C28" w:rsidRDefault="00450C28">
      <w:pPr>
        <w:pStyle w:val="AmdtsEntries"/>
      </w:pPr>
      <w:r>
        <w:t>s 7</w:t>
      </w:r>
      <w:r>
        <w:tab/>
        <w:t xml:space="preserve">sub </w:t>
      </w:r>
      <w:hyperlink r:id="rId2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Residential tenancy agreements</w:t>
      </w:r>
    </w:p>
    <w:p w:rsidR="00450C28" w:rsidRDefault="00450C28">
      <w:pPr>
        <w:pStyle w:val="AmdtsEntries"/>
      </w:pPr>
      <w:r>
        <w:t>pt 2 hdg</w:t>
      </w:r>
      <w:r>
        <w:tab/>
        <w:t xml:space="preserve">sub </w:t>
      </w:r>
      <w:hyperlink r:id="rId2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pPr>
        <w:pStyle w:val="AmdtsEntryHd"/>
      </w:pPr>
      <w:r>
        <w:t>Terms of agreement</w:t>
      </w:r>
    </w:p>
    <w:p w:rsidR="00450C28" w:rsidRDefault="00450C28">
      <w:pPr>
        <w:pStyle w:val="AmdtsEntries"/>
        <w:keepNext/>
      </w:pPr>
      <w:r>
        <w:t>div 2.1 hdg</w:t>
      </w:r>
      <w:r>
        <w:tab/>
        <w:t>(prev pt 2 div 1 hdg) renum R2 LA</w:t>
      </w:r>
    </w:p>
    <w:p w:rsidR="00450C28" w:rsidRDefault="00450C28">
      <w:pPr>
        <w:pStyle w:val="AmdtsEntries"/>
      </w:pPr>
      <w:r>
        <w:tab/>
        <w:t xml:space="preserve">sub </w:t>
      </w:r>
      <w:hyperlink r:id="rId27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Default="00450C28" w:rsidP="001B7836">
      <w:pPr>
        <w:pStyle w:val="AmdtsEntryHd"/>
      </w:pPr>
      <w:r>
        <w:lastRenderedPageBreak/>
        <w:t>Standard residential tenancy terms</w:t>
      </w:r>
    </w:p>
    <w:p w:rsidR="00450C28" w:rsidRDefault="00450C28" w:rsidP="001B7836">
      <w:pPr>
        <w:pStyle w:val="AmdtsEntries"/>
        <w:keepNext/>
      </w:pPr>
      <w:r>
        <w:t>s 8</w:t>
      </w:r>
      <w:r>
        <w:tab/>
        <w:t xml:space="preserve">sub </w:t>
      </w:r>
      <w:hyperlink r:id="rId2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7D2E7B" w:rsidRDefault="00450C28">
      <w:pPr>
        <w:pStyle w:val="AmdtsEntries"/>
      </w:pPr>
      <w:r>
        <w:tab/>
        <w:t xml:space="preserve">am </w:t>
      </w:r>
      <w:hyperlink r:id="rId27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4, s 5, s 7; pars renum R18 LA (see </w:t>
      </w:r>
      <w:hyperlink r:id="rId27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6)</w:t>
      </w:r>
      <w:r w:rsidR="00403F30" w:rsidRPr="009D74E7">
        <w:rPr>
          <w:rFonts w:cs="Arial"/>
        </w:rPr>
        <w:t xml:space="preserve">; </w:t>
      </w:r>
      <w:hyperlink r:id="rId27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r w:rsidR="007D2E7B">
        <w:rPr>
          <w:rFonts w:cs="Arial"/>
        </w:rPr>
        <w:t>;</w:t>
      </w:r>
      <w:r w:rsidR="008B6A1B">
        <w:rPr>
          <w:rFonts w:cs="Arial"/>
        </w:rPr>
        <w:t xml:space="preserve"> </w:t>
      </w:r>
      <w:hyperlink r:id="rId278" w:tooltip="Residential Tenancies Legislation Amendment Act 2016" w:history="1">
        <w:r w:rsidR="008B6A1B" w:rsidRPr="008B6A1B">
          <w:rPr>
            <w:rStyle w:val="charCitHyperlinkAbbrev"/>
          </w:rPr>
          <w:t>A2016-50</w:t>
        </w:r>
      </w:hyperlink>
      <w:r w:rsidR="008B6A1B">
        <w:t xml:space="preserve"> s 4</w:t>
      </w:r>
      <w:r w:rsidR="00F05F14">
        <w:t>, s 5</w:t>
      </w:r>
      <w:r w:rsidR="008B6A1B">
        <w:t>;</w:t>
      </w:r>
      <w:r w:rsidR="006466D8">
        <w:rPr>
          <w:rFonts w:cs="Arial"/>
        </w:rPr>
        <w:t xml:space="preserve"> </w:t>
      </w:r>
      <w:hyperlink r:id="rId279" w:tooltip="Justice and Community Safety Legislation Amendment Act 2017" w:history="1">
        <w:r w:rsidR="006466D8">
          <w:rPr>
            <w:rStyle w:val="Hyperlink"/>
            <w:u w:val="none"/>
          </w:rPr>
          <w:t>A2017-5</w:t>
        </w:r>
      </w:hyperlink>
      <w:r w:rsidR="007D2E7B">
        <w:rPr>
          <w:rFonts w:cs="Arial"/>
        </w:rPr>
        <w:t xml:space="preserve"> </w:t>
      </w:r>
      <w:r w:rsidR="007B379B">
        <w:t>amdt </w:t>
      </w:r>
      <w:r w:rsidR="007D2E7B">
        <w:t>1.17</w:t>
      </w:r>
      <w:r w:rsidR="008B6A1B">
        <w:t>; pars renum R49 LA</w:t>
      </w:r>
      <w:r w:rsidR="00B31691">
        <w:rPr>
          <w:rFonts w:cs="Arial"/>
        </w:rPr>
        <w:t xml:space="preserve">; </w:t>
      </w:r>
      <w:hyperlink r:id="rId280" w:tooltip="Residential Tenancies Amendment Act 2019" w:history="1">
        <w:r w:rsidR="00B31691">
          <w:rPr>
            <w:rStyle w:val="charCitHyperlinkAbbrev"/>
          </w:rPr>
          <w:t>A2019-5</w:t>
        </w:r>
      </w:hyperlink>
      <w:r w:rsidR="00B31691">
        <w:t xml:space="preserve"> s 4</w:t>
      </w:r>
    </w:p>
    <w:p w:rsidR="00450C28" w:rsidRDefault="00450C28">
      <w:pPr>
        <w:pStyle w:val="AmdtsEntryHd"/>
      </w:pPr>
      <w:r>
        <w:t>Inconsistent tenancy terms void</w:t>
      </w:r>
    </w:p>
    <w:p w:rsidR="00450C28" w:rsidRDefault="00450C28">
      <w:pPr>
        <w:pStyle w:val="AmdtsEntries"/>
        <w:keepNext/>
      </w:pPr>
      <w:r>
        <w:t>s 9 hdg</w:t>
      </w:r>
      <w:r>
        <w:tab/>
        <w:t xml:space="preserve">sub </w:t>
      </w:r>
      <w:hyperlink r:id="rId281"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1.127</w:t>
      </w:r>
    </w:p>
    <w:p w:rsidR="00450C28" w:rsidRDefault="00450C28">
      <w:pPr>
        <w:pStyle w:val="AmdtsEntries"/>
      </w:pPr>
      <w:r>
        <w:t>s 9</w:t>
      </w:r>
      <w:r>
        <w:tab/>
        <w:t xml:space="preserve">sub </w:t>
      </w:r>
      <w:hyperlink r:id="rId2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03F30" w:rsidRDefault="00403F30">
      <w:pPr>
        <w:pStyle w:val="AmdtsEntries"/>
      </w:pPr>
      <w:r>
        <w:tab/>
        <w:t xml:space="preserve">am </w:t>
      </w:r>
      <w:hyperlink r:id="rId28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33126" w:rsidRPr="00433126" w:rsidRDefault="00450C28" w:rsidP="00433126">
      <w:pPr>
        <w:pStyle w:val="AmdtsEntryHd"/>
      </w:pPr>
      <w:r>
        <w:t xml:space="preserve">Endorsement of inconsistent tenancy terms by </w:t>
      </w:r>
      <w:r w:rsidR="00433126">
        <w:t>ACAT</w:t>
      </w:r>
    </w:p>
    <w:p w:rsidR="00450C28" w:rsidRDefault="00450C28">
      <w:pPr>
        <w:pStyle w:val="AmdtsEntries"/>
        <w:keepNext/>
      </w:pPr>
      <w:r>
        <w:t>s 10 hdg</w:t>
      </w:r>
      <w:r>
        <w:tab/>
        <w:t xml:space="preserve">sub </w:t>
      </w:r>
      <w:hyperlink r:id="rId284"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1.128</w:t>
      </w:r>
    </w:p>
    <w:p w:rsidR="00433126" w:rsidRDefault="00433126">
      <w:pPr>
        <w:pStyle w:val="AmdtsEntries"/>
        <w:keepNext/>
      </w:pPr>
      <w:r>
        <w:tab/>
        <w:t xml:space="preserve">am </w:t>
      </w:r>
      <w:hyperlink r:id="rId28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ies"/>
        <w:keepNext/>
      </w:pPr>
      <w:r>
        <w:t>s 10</w:t>
      </w:r>
      <w:r>
        <w:tab/>
        <w:t xml:space="preserve">sub </w:t>
      </w:r>
      <w:hyperlink r:id="rId2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8</w:t>
      </w:r>
    </w:p>
    <w:p w:rsidR="00450C28" w:rsidRPr="009D74E7" w:rsidRDefault="00450C28">
      <w:pPr>
        <w:pStyle w:val="AmdtsEntries"/>
        <w:rPr>
          <w:rFonts w:cs="Arial"/>
        </w:rPr>
      </w:pPr>
      <w:r>
        <w:tab/>
      </w:r>
      <w:r w:rsidRPr="009D74E7">
        <w:rPr>
          <w:rFonts w:cs="Arial"/>
        </w:rPr>
        <w:t xml:space="preserve">am </w:t>
      </w:r>
      <w:hyperlink r:id="rId28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8; </w:t>
      </w:r>
      <w:hyperlink r:id="rId288"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28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 1.595</w:t>
      </w:r>
    </w:p>
    <w:p w:rsidR="00450C28" w:rsidRDefault="00450C28">
      <w:pPr>
        <w:pStyle w:val="AmdtsEntryHd"/>
      </w:pPr>
      <w:r>
        <w:t>Precontractual obligations</w:t>
      </w:r>
    </w:p>
    <w:p w:rsidR="00450C28" w:rsidRDefault="00450C28">
      <w:pPr>
        <w:pStyle w:val="AmdtsEntries"/>
      </w:pPr>
      <w:r>
        <w:t>div 2.2 hdg</w:t>
      </w:r>
      <w:r>
        <w:tab/>
        <w:t>(prev pt 2 div 2 hdg) renum R2 LA</w:t>
      </w:r>
    </w:p>
    <w:p w:rsidR="00450C28" w:rsidRPr="009D74E7" w:rsidRDefault="00450C28">
      <w:pPr>
        <w:pStyle w:val="AmdtsEntryHd"/>
      </w:pPr>
      <w:r>
        <w:t>Energy efficiency rating—advertising</w:t>
      </w:r>
    </w:p>
    <w:p w:rsidR="00450C28" w:rsidRDefault="00450C28">
      <w:pPr>
        <w:pStyle w:val="AmdtsEntries"/>
        <w:keepNext/>
      </w:pPr>
      <w:r>
        <w:t>s 11A</w:t>
      </w:r>
      <w:r>
        <w:tab/>
        <w:t xml:space="preserve">ins </w:t>
      </w:r>
      <w:hyperlink r:id="rId290" w:tooltip="Residential Tenancies (Amendment) Act 1997" w:history="1">
        <w:r w:rsidR="009D74E7" w:rsidRPr="009D74E7">
          <w:rPr>
            <w:rStyle w:val="charCitHyperlinkAbbrev"/>
          </w:rPr>
          <w:t>A1997</w:t>
        </w:r>
        <w:r w:rsidR="009D74E7" w:rsidRPr="009D74E7">
          <w:rPr>
            <w:rStyle w:val="charCitHyperlinkAbbrev"/>
          </w:rPr>
          <w:noBreakHyphen/>
          <w:t>122</w:t>
        </w:r>
      </w:hyperlink>
    </w:p>
    <w:p w:rsidR="00450C28" w:rsidRDefault="00450C28">
      <w:pPr>
        <w:pStyle w:val="AmdtsEntries"/>
      </w:pPr>
      <w:r>
        <w:tab/>
        <w:t xml:space="preserve">sub </w:t>
      </w:r>
      <w:hyperlink r:id="rId291"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1.230</w:t>
      </w:r>
    </w:p>
    <w:p w:rsidR="00F3174E" w:rsidRDefault="00F3174E">
      <w:pPr>
        <w:pStyle w:val="AmdtsEntries"/>
      </w:pPr>
      <w:r>
        <w:tab/>
        <w:t xml:space="preserve">am </w:t>
      </w:r>
      <w:hyperlink r:id="rId292" w:tooltip="Statute Law Amendment Act 2013 (No 2)" w:history="1">
        <w:r>
          <w:rPr>
            <w:rStyle w:val="charCitHyperlinkAbbrev"/>
          </w:rPr>
          <w:t>A2013</w:t>
        </w:r>
        <w:r>
          <w:rPr>
            <w:rStyle w:val="charCitHyperlinkAbbrev"/>
          </w:rPr>
          <w:noBreakHyphen/>
          <w:t>44</w:t>
        </w:r>
      </w:hyperlink>
      <w:r>
        <w:t xml:space="preserve"> amdt 3.170</w:t>
      </w:r>
      <w:r w:rsidR="00F05F14">
        <w:t xml:space="preserve">; </w:t>
      </w:r>
      <w:hyperlink r:id="rId293" w:tooltip="Residential Tenancies Legislation Amendment Act 2016" w:history="1">
        <w:r w:rsidR="00F05F14" w:rsidRPr="008B6A1B">
          <w:rPr>
            <w:rStyle w:val="charCitHyperlinkAbbrev"/>
          </w:rPr>
          <w:t>A2016-50</w:t>
        </w:r>
      </w:hyperlink>
      <w:r w:rsidR="00F05F14">
        <w:t xml:space="preserve"> s 6</w:t>
      </w:r>
    </w:p>
    <w:p w:rsidR="00B31691" w:rsidRDefault="00B31691" w:rsidP="00B31691">
      <w:pPr>
        <w:pStyle w:val="AmdtsEntryHd"/>
      </w:pPr>
      <w:r w:rsidRPr="00604238">
        <w:t>Certain special conditions must be advertised</w:t>
      </w:r>
    </w:p>
    <w:p w:rsidR="00B31691" w:rsidRPr="00F05F14" w:rsidRDefault="00B31691">
      <w:pPr>
        <w:pStyle w:val="AmdtsEntries"/>
      </w:pPr>
      <w:r>
        <w:t>s 11AA</w:t>
      </w:r>
      <w:r>
        <w:tab/>
        <w:t xml:space="preserve">ins </w:t>
      </w:r>
      <w:hyperlink r:id="rId294" w:tooltip="Residential Tenancies Amendment Act 2019" w:history="1">
        <w:r>
          <w:rPr>
            <w:rStyle w:val="charCitHyperlinkAbbrev"/>
          </w:rPr>
          <w:t>A2019-5</w:t>
        </w:r>
      </w:hyperlink>
      <w:r>
        <w:t xml:space="preserve"> s 5</w:t>
      </w:r>
    </w:p>
    <w:p w:rsidR="00F05F14" w:rsidRDefault="00F05F14">
      <w:pPr>
        <w:pStyle w:val="AmdtsEntryHd"/>
        <w:rPr>
          <w:noProof/>
        </w:rPr>
      </w:pPr>
      <w:r w:rsidRPr="00E56DA5">
        <w:t>Smoke alarms</w:t>
      </w:r>
    </w:p>
    <w:p w:rsidR="00F05F14" w:rsidRDefault="00F05F14" w:rsidP="00F05F14">
      <w:pPr>
        <w:pStyle w:val="AmdtsEntries"/>
      </w:pPr>
      <w:r>
        <w:t>s 11B</w:t>
      </w:r>
      <w:r>
        <w:tab/>
        <w:t xml:space="preserve">ins </w:t>
      </w:r>
      <w:hyperlink r:id="rId295" w:tooltip="Residential Tenancies Legislation Amendment Act 2016" w:history="1">
        <w:r w:rsidRPr="008B6A1B">
          <w:rPr>
            <w:rStyle w:val="charCitHyperlinkAbbrev"/>
          </w:rPr>
          <w:t>A2016-50</w:t>
        </w:r>
      </w:hyperlink>
      <w:r>
        <w:t xml:space="preserve"> s 7</w:t>
      </w:r>
    </w:p>
    <w:p w:rsidR="00A308D1" w:rsidRPr="00F05F14" w:rsidRDefault="00A308D1" w:rsidP="00F05F14">
      <w:pPr>
        <w:pStyle w:val="AmdtsEntries"/>
      </w:pPr>
      <w:r>
        <w:tab/>
        <w:t xml:space="preserve">am </w:t>
      </w:r>
      <w:hyperlink r:id="rId296" w:tooltip="Statute Law Amendment Act 2017 (No 2)" w:history="1">
        <w:r>
          <w:rPr>
            <w:rStyle w:val="charCitHyperlinkAbbrev"/>
          </w:rPr>
          <w:t>A2017</w:t>
        </w:r>
        <w:r>
          <w:rPr>
            <w:rStyle w:val="charCitHyperlinkAbbrev"/>
          </w:rPr>
          <w:noBreakHyphen/>
          <w:t>28</w:t>
        </w:r>
      </w:hyperlink>
      <w:r>
        <w:t xml:space="preserve"> amdt 1.4</w:t>
      </w:r>
    </w:p>
    <w:p w:rsidR="00450C28" w:rsidRPr="009D74E7" w:rsidRDefault="00450C28">
      <w:pPr>
        <w:pStyle w:val="AmdtsEntryHd"/>
      </w:pPr>
      <w:r>
        <w:rPr>
          <w:noProof/>
        </w:rPr>
        <w:t>Lessor’s obligations</w:t>
      </w:r>
    </w:p>
    <w:p w:rsidR="00450C28" w:rsidRPr="009D74E7" w:rsidRDefault="00450C28">
      <w:pPr>
        <w:pStyle w:val="AmdtsEntries"/>
      </w:pPr>
      <w:r>
        <w:t>s 12</w:t>
      </w:r>
      <w:r>
        <w:tab/>
        <w:t xml:space="preserve">am </w:t>
      </w:r>
      <w:hyperlink r:id="rId297"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w:t>
      </w:r>
      <w:hyperlink r:id="rId298"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r w:rsidRPr="009D74E7">
        <w:rPr>
          <w:rFonts w:cs="Arial"/>
        </w:rPr>
        <w:t xml:space="preserve"> amdt 2.89; </w:t>
      </w:r>
      <w:hyperlink r:id="rId29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 amdt</w:t>
      </w:r>
      <w:r w:rsidR="00A32B33">
        <w:t> </w:t>
      </w:r>
      <w:r>
        <w:t xml:space="preserve">2.2; </w:t>
      </w:r>
      <w:hyperlink r:id="rId30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9, s 10; </w:t>
      </w:r>
      <w:hyperlink r:id="rId301" w:tooltip="Asbestos Legislation Amendment Act 2006" w:history="1">
        <w:r w:rsidR="009D74E7" w:rsidRPr="009D74E7">
          <w:rPr>
            <w:rStyle w:val="charCitHyperlinkAbbrev"/>
          </w:rPr>
          <w:t>A2006</w:t>
        </w:r>
        <w:r w:rsidR="009D74E7" w:rsidRPr="009D74E7">
          <w:rPr>
            <w:rStyle w:val="charCitHyperlinkAbbrev"/>
          </w:rPr>
          <w:noBreakHyphen/>
          <w:t>16</w:t>
        </w:r>
      </w:hyperlink>
      <w:r w:rsidRPr="009D74E7">
        <w:rPr>
          <w:rFonts w:cs="Arial"/>
        </w:rPr>
        <w:t xml:space="preserve"> amdt 1.48</w:t>
      </w:r>
      <w:r w:rsidR="00BE0E96" w:rsidRPr="009D74E7">
        <w:rPr>
          <w:rFonts w:cs="Arial"/>
        </w:rPr>
        <w:t xml:space="preserve">; </w:t>
      </w:r>
      <w:hyperlink r:id="rId302"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3.209</w:t>
      </w:r>
    </w:p>
    <w:p w:rsidR="00450C28" w:rsidRDefault="00450C28">
      <w:pPr>
        <w:pStyle w:val="AmdtsEntryHd"/>
      </w:pPr>
      <w:r>
        <w:t>Consideration</w:t>
      </w:r>
    </w:p>
    <w:p w:rsidR="00450C28" w:rsidRDefault="00450C28">
      <w:pPr>
        <w:pStyle w:val="AmdtsEntries"/>
      </w:pPr>
      <w:r>
        <w:t>div 2.3 hdg</w:t>
      </w:r>
      <w:r>
        <w:tab/>
        <w:t>(prev pt 2 div 3 hdg) renum R2 LA</w:t>
      </w:r>
    </w:p>
    <w:p w:rsidR="00450C28" w:rsidRDefault="00450C28">
      <w:pPr>
        <w:pStyle w:val="AmdtsEntryHd"/>
        <w:rPr>
          <w:szCs w:val="24"/>
        </w:rPr>
      </w:pPr>
      <w:r>
        <w:rPr>
          <w:szCs w:val="24"/>
        </w:rPr>
        <w:t>Rent or a bond only</w:t>
      </w:r>
    </w:p>
    <w:p w:rsidR="0002011C" w:rsidRPr="00AA69E9" w:rsidRDefault="00450C28">
      <w:pPr>
        <w:pStyle w:val="AmdtsEntries"/>
      </w:pPr>
      <w:r>
        <w:t>s 15</w:t>
      </w:r>
      <w:r>
        <w:tab/>
      </w:r>
      <w:r w:rsidRPr="009D74E7">
        <w:rPr>
          <w:rFonts w:cs="Arial"/>
        </w:rPr>
        <w:t xml:space="preserve">am </w:t>
      </w:r>
      <w:hyperlink r:id="rId30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11; </w:t>
      </w:r>
      <w:hyperlink r:id="rId304"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r w:rsidR="00403F30" w:rsidRPr="009D74E7">
        <w:rPr>
          <w:rFonts w:cs="Arial"/>
        </w:rPr>
        <w:t xml:space="preserve">; </w:t>
      </w:r>
      <w:hyperlink r:id="rId3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403F30" w:rsidRPr="009D74E7">
        <w:rPr>
          <w:rFonts w:cs="Arial"/>
        </w:rPr>
        <w:t xml:space="preserve"> amdt</w:t>
      </w:r>
      <w:r w:rsidR="008A6A87" w:rsidRPr="009D74E7">
        <w:rPr>
          <w:rFonts w:cs="Arial"/>
        </w:rPr>
        <w:t> </w:t>
      </w:r>
      <w:r w:rsidR="00403F30" w:rsidRPr="009D74E7">
        <w:rPr>
          <w:rFonts w:cs="Arial"/>
        </w:rPr>
        <w:t>1.595</w:t>
      </w:r>
      <w:r w:rsidR="008A6A87" w:rsidRPr="009D74E7">
        <w:rPr>
          <w:rFonts w:cs="Arial"/>
        </w:rPr>
        <w:t xml:space="preserve">; </w:t>
      </w:r>
      <w:hyperlink r:id="rId306" w:tooltip="Statute Law Amendment Act 2012" w:history="1">
        <w:r w:rsidR="009D74E7" w:rsidRPr="009D74E7">
          <w:rPr>
            <w:rStyle w:val="charCitHyperlinkAbbrev"/>
          </w:rPr>
          <w:t>A2012</w:t>
        </w:r>
        <w:r w:rsidR="009D74E7" w:rsidRPr="009D74E7">
          <w:rPr>
            <w:rStyle w:val="charCitHyperlinkAbbrev"/>
          </w:rPr>
          <w:noBreakHyphen/>
          <w:t>21</w:t>
        </w:r>
      </w:hyperlink>
      <w:r w:rsidR="008A6A87" w:rsidRPr="009D74E7">
        <w:rPr>
          <w:rFonts w:cs="Arial"/>
        </w:rPr>
        <w:t xml:space="preserve"> amdt 3.133</w:t>
      </w:r>
      <w:r w:rsidR="0061426D">
        <w:rPr>
          <w:rFonts w:cs="Arial"/>
        </w:rPr>
        <w:t xml:space="preserve">; </w:t>
      </w:r>
      <w:hyperlink r:id="rId307" w:tooltip="Residential Tenancies Amendment Act 2017" w:history="1">
        <w:r w:rsidR="0061426D">
          <w:rPr>
            <w:rStyle w:val="charCitHyperlinkAbbrev"/>
          </w:rPr>
          <w:t>A2017</w:t>
        </w:r>
        <w:r w:rsidR="0061426D">
          <w:rPr>
            <w:rStyle w:val="charCitHyperlinkAbbrev"/>
          </w:rPr>
          <w:noBreakHyphen/>
          <w:t>32</w:t>
        </w:r>
      </w:hyperlink>
      <w:r w:rsidR="0061426D">
        <w:rPr>
          <w:rFonts w:cs="Arial"/>
        </w:rPr>
        <w:t xml:space="preserve"> amdt 1.1, amdt 1.2</w:t>
      </w:r>
      <w:r w:rsidR="00AA69E9">
        <w:rPr>
          <w:rFonts w:cs="Arial"/>
        </w:rPr>
        <w:t xml:space="preserve">; </w:t>
      </w:r>
      <w:hyperlink r:id="rId308" w:tooltip="Residential Tenancies Amendment Act 2017" w:history="1">
        <w:r w:rsidR="00AA69E9">
          <w:rPr>
            <w:rStyle w:val="charCitHyperlinkAbbrev"/>
          </w:rPr>
          <w:t>A2017</w:t>
        </w:r>
        <w:r w:rsidR="00AA69E9">
          <w:rPr>
            <w:rStyle w:val="charCitHyperlinkAbbrev"/>
          </w:rPr>
          <w:noBreakHyphen/>
          <w:t>32</w:t>
        </w:r>
      </w:hyperlink>
      <w:r w:rsidR="00AA69E9">
        <w:t xml:space="preserve"> amdt 2.1, amdt 2.2</w:t>
      </w:r>
    </w:p>
    <w:p w:rsidR="0061426D" w:rsidRDefault="0061426D" w:rsidP="0061426D">
      <w:pPr>
        <w:pStyle w:val="AmdtsEntryHd"/>
      </w:pPr>
      <w:r>
        <w:t>Alternative to a bond—guarantee or indemnity</w:t>
      </w:r>
    </w:p>
    <w:p w:rsidR="0061426D" w:rsidRPr="00AA69E9" w:rsidRDefault="0061426D" w:rsidP="0061426D">
      <w:pPr>
        <w:pStyle w:val="AmdtsEntries"/>
      </w:pPr>
      <w:r>
        <w:t>s 16</w:t>
      </w:r>
      <w:r>
        <w:tab/>
        <w:t xml:space="preserve">am </w:t>
      </w:r>
      <w:hyperlink r:id="rId309" w:tooltip="Residential Tenancies Amendment Act 2017" w:history="1">
        <w:r>
          <w:rPr>
            <w:rStyle w:val="charCitHyperlinkAbbrev"/>
          </w:rPr>
          <w:t>A2017</w:t>
        </w:r>
        <w:r>
          <w:rPr>
            <w:rStyle w:val="charCitHyperlinkAbbrev"/>
          </w:rPr>
          <w:noBreakHyphen/>
          <w:t>32</w:t>
        </w:r>
      </w:hyperlink>
      <w:r>
        <w:t xml:space="preserve"> amdt 1.3</w:t>
      </w:r>
      <w:r w:rsidR="00AA69E9">
        <w:t xml:space="preserve">; </w:t>
      </w:r>
      <w:hyperlink r:id="rId310" w:tooltip="Residential Tenancies Amendment Act 2017" w:history="1">
        <w:r w:rsidR="00AA69E9">
          <w:rPr>
            <w:rStyle w:val="charCitHyperlinkAbbrev"/>
          </w:rPr>
          <w:t>A2017</w:t>
        </w:r>
        <w:r w:rsidR="00AA69E9">
          <w:rPr>
            <w:rStyle w:val="charCitHyperlinkAbbrev"/>
          </w:rPr>
          <w:noBreakHyphen/>
          <w:t>32</w:t>
        </w:r>
      </w:hyperlink>
      <w:r w:rsidR="00AA69E9">
        <w:t xml:space="preserve"> amdt 2.3</w:t>
      </w:r>
    </w:p>
    <w:p w:rsidR="00450C28" w:rsidRDefault="00450C28">
      <w:pPr>
        <w:pStyle w:val="AmdtsEntryHd"/>
      </w:pPr>
      <w:r>
        <w:t>Alternative to a bond</w:t>
      </w:r>
      <w:r>
        <w:noBreakHyphen/>
        <w:t>insurance</w:t>
      </w:r>
    </w:p>
    <w:p w:rsidR="00450C28" w:rsidRPr="009D74E7" w:rsidRDefault="00450C28">
      <w:pPr>
        <w:pStyle w:val="AmdtsEntries"/>
      </w:pPr>
      <w:r>
        <w:t>s 17</w:t>
      </w:r>
      <w:r>
        <w:tab/>
        <w:t xml:space="preserve">om </w:t>
      </w:r>
      <w:hyperlink r:id="rId31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9</w:t>
      </w:r>
    </w:p>
    <w:p w:rsidR="00450C28" w:rsidRDefault="00450C28">
      <w:pPr>
        <w:pStyle w:val="AmdtsEntryHd"/>
      </w:pPr>
      <w:r>
        <w:lastRenderedPageBreak/>
        <w:t>Lessor’s obligations on signing agreement</w:t>
      </w:r>
    </w:p>
    <w:p w:rsidR="00450C28" w:rsidRDefault="00450C28">
      <w:pPr>
        <w:pStyle w:val="AmdtsEntries"/>
      </w:pPr>
      <w:r>
        <w:t>div 2.4 hdg</w:t>
      </w:r>
      <w:r>
        <w:tab/>
        <w:t>(prev pt 2 div 4 hdg) renum R2 LA</w:t>
      </w:r>
    </w:p>
    <w:p w:rsidR="00450C28" w:rsidRDefault="00450C28">
      <w:pPr>
        <w:pStyle w:val="AmdtsEntryHd"/>
      </w:pPr>
      <w:r>
        <w:t>Copy of agreement to be given to tenant</w:t>
      </w:r>
    </w:p>
    <w:p w:rsidR="00450C28" w:rsidRPr="00BB7DB6" w:rsidRDefault="00450C28">
      <w:pPr>
        <w:pStyle w:val="AmdtsEntries"/>
      </w:pPr>
      <w:r>
        <w:t>s 19</w:t>
      </w:r>
      <w:r>
        <w:tab/>
        <w:t xml:space="preserve">am </w:t>
      </w:r>
      <w:hyperlink r:id="rId31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w:t>
      </w:r>
    </w:p>
    <w:p w:rsidR="00450C28" w:rsidRDefault="00450C28">
      <w:pPr>
        <w:pStyle w:val="AmdtsEntryHd"/>
      </w:pPr>
      <w:r>
        <w:t>Payment of bonds</w:t>
      </w:r>
    </w:p>
    <w:p w:rsidR="00450C28" w:rsidRDefault="00450C28">
      <w:pPr>
        <w:pStyle w:val="AmdtsEntries"/>
      </w:pPr>
      <w:r>
        <w:t>div 3.1 hdg</w:t>
      </w:r>
      <w:r>
        <w:tab/>
        <w:t>(prev pt 3 div 1 hdg) renum R2 LA</w:t>
      </w:r>
    </w:p>
    <w:p w:rsidR="00BB7DB6" w:rsidRDefault="00BB7DB6" w:rsidP="00BB7DB6">
      <w:pPr>
        <w:pStyle w:val="AmdtsEntryHd"/>
      </w:pPr>
      <w:r w:rsidRPr="00E56DA5">
        <w:t>Successive residential tenancy agreements</w:t>
      </w:r>
    </w:p>
    <w:p w:rsidR="00BB7DB6" w:rsidRPr="00F05F14" w:rsidRDefault="00BB7DB6" w:rsidP="00BB7DB6">
      <w:pPr>
        <w:pStyle w:val="AmdtsEntries"/>
      </w:pPr>
      <w:r>
        <w:t>s 22</w:t>
      </w:r>
      <w:r>
        <w:tab/>
        <w:t xml:space="preserve">am </w:t>
      </w:r>
      <w:hyperlink r:id="rId313" w:tooltip="Residential Tenancies Legislation Amendment Act 2016" w:history="1">
        <w:r w:rsidRPr="008B6A1B">
          <w:rPr>
            <w:rStyle w:val="charCitHyperlinkAbbrev"/>
          </w:rPr>
          <w:t>A2016-50</w:t>
        </w:r>
      </w:hyperlink>
      <w:r>
        <w:t xml:space="preserve"> s 8</w:t>
      </w:r>
    </w:p>
    <w:p w:rsidR="00BB7DB6" w:rsidRDefault="00BB7DB6" w:rsidP="00BB7DB6">
      <w:pPr>
        <w:pStyle w:val="AmdtsEntryHd"/>
      </w:pPr>
      <w:r>
        <w:t>Depositing bond</w:t>
      </w:r>
    </w:p>
    <w:p w:rsidR="00BB7DB6" w:rsidRDefault="00BB7DB6" w:rsidP="00BB7DB6">
      <w:pPr>
        <w:pStyle w:val="AmdtsEntries"/>
      </w:pPr>
      <w:r>
        <w:t>div 3.2 hdg</w:t>
      </w:r>
      <w:r>
        <w:tab/>
        <w:t>(prev pt 3 div 2 hdg) renum R2 LA</w:t>
      </w:r>
    </w:p>
    <w:p w:rsidR="00BB7DB6" w:rsidRDefault="00BB7DB6" w:rsidP="00BB7DB6">
      <w:pPr>
        <w:pStyle w:val="AmdtsEntryHd"/>
      </w:pPr>
      <w:r>
        <w:t>Deposit of bond by lessor</w:t>
      </w:r>
    </w:p>
    <w:p w:rsidR="00BB7DB6" w:rsidRDefault="00BB7DB6" w:rsidP="00BB7DB6">
      <w:pPr>
        <w:pStyle w:val="AmdtsEntries"/>
        <w:keepNext/>
      </w:pPr>
      <w:r>
        <w:t>s 23</w:t>
      </w:r>
      <w:r>
        <w:tab/>
        <w:t xml:space="preserve">am </w:t>
      </w:r>
      <w:hyperlink r:id="rId314" w:tooltip="Residential Tenancies Amendment Act 2004" w:history="1">
        <w:r w:rsidRPr="009D74E7">
          <w:rPr>
            <w:rStyle w:val="charCitHyperlinkAbbrev"/>
          </w:rPr>
          <w:t>A2004</w:t>
        </w:r>
        <w:r w:rsidRPr="009D74E7">
          <w:rPr>
            <w:rStyle w:val="charCitHyperlinkAbbrev"/>
          </w:rPr>
          <w:noBreakHyphen/>
          <w:t>58</w:t>
        </w:r>
      </w:hyperlink>
      <w:r>
        <w:t xml:space="preserve"> amdt 2.4</w:t>
      </w:r>
    </w:p>
    <w:p w:rsidR="00450C28" w:rsidRDefault="00BB7DB6">
      <w:pPr>
        <w:pStyle w:val="AmdtsEntries"/>
        <w:rPr>
          <w:rFonts w:cs="Arial"/>
        </w:rPr>
      </w:pPr>
      <w:r>
        <w:tab/>
      </w:r>
      <w:r w:rsidRPr="009D74E7">
        <w:rPr>
          <w:rFonts w:cs="Arial"/>
        </w:rPr>
        <w:t xml:space="preserve">sub </w:t>
      </w:r>
      <w:hyperlink r:id="rId315" w:tooltip="Residential Tenancies Amendment Act 2005" w:history="1">
        <w:r w:rsidRPr="009D74E7">
          <w:rPr>
            <w:rStyle w:val="charCitHyperlinkAbbrev"/>
          </w:rPr>
          <w:t>A2005</w:t>
        </w:r>
        <w:r w:rsidRPr="009D74E7">
          <w:rPr>
            <w:rStyle w:val="charCitHyperlinkAbbrev"/>
          </w:rPr>
          <w:noBreakHyphen/>
          <w:t>39</w:t>
        </w:r>
      </w:hyperlink>
      <w:r w:rsidRPr="009D74E7">
        <w:rPr>
          <w:rFonts w:cs="Arial"/>
        </w:rPr>
        <w:t xml:space="preserve"> s 12</w:t>
      </w:r>
    </w:p>
    <w:p w:rsidR="00BB7DB6" w:rsidRDefault="00BB7DB6" w:rsidP="00BB7DB6">
      <w:pPr>
        <w:pStyle w:val="AmdtsEntryHd"/>
      </w:pPr>
      <w:r w:rsidRPr="00582D10">
        <w:t>Deposit of bond by tenant</w:t>
      </w:r>
    </w:p>
    <w:p w:rsidR="00BB7DB6" w:rsidRDefault="00BB7DB6">
      <w:pPr>
        <w:pStyle w:val="AmdtsEntries"/>
      </w:pPr>
      <w:r>
        <w:t>s 24</w:t>
      </w:r>
      <w:r>
        <w:tab/>
        <w:t xml:space="preserve">sub </w:t>
      </w:r>
      <w:hyperlink r:id="rId316" w:tooltip="Residential Tenancies Amendment Act 2017" w:history="1">
        <w:r>
          <w:rPr>
            <w:rStyle w:val="charCitHyperlinkAbbrev"/>
          </w:rPr>
          <w:t>A2017</w:t>
        </w:r>
        <w:r>
          <w:rPr>
            <w:rStyle w:val="charCitHyperlinkAbbrev"/>
          </w:rPr>
          <w:noBreakHyphen/>
          <w:t>32</w:t>
        </w:r>
      </w:hyperlink>
      <w:r>
        <w:t xml:space="preserve"> amdt 3.1</w:t>
      </w:r>
    </w:p>
    <w:p w:rsidR="00450C28" w:rsidRDefault="00646CE4">
      <w:pPr>
        <w:pStyle w:val="AmdtsEntryHd"/>
      </w:pPr>
      <w:r w:rsidRPr="00582D10">
        <w:t>Notice about deposit</w:t>
      </w:r>
    </w:p>
    <w:p w:rsidR="00646CE4" w:rsidRPr="00646CE4" w:rsidRDefault="00450C28">
      <w:pPr>
        <w:pStyle w:val="AmdtsEntries"/>
      </w:pPr>
      <w:r>
        <w:t>s 25</w:t>
      </w:r>
      <w:r w:rsidR="00646CE4">
        <w:t xml:space="preserve"> hdg</w:t>
      </w:r>
      <w:r w:rsidR="00646CE4">
        <w:tab/>
        <w:t xml:space="preserve">sub </w:t>
      </w:r>
      <w:hyperlink r:id="rId317" w:tooltip="Residential Tenancies Amendment Act 2017" w:history="1">
        <w:r w:rsidR="00646CE4">
          <w:rPr>
            <w:rStyle w:val="charCitHyperlinkAbbrev"/>
          </w:rPr>
          <w:t>A2017</w:t>
        </w:r>
        <w:r w:rsidR="00646CE4">
          <w:rPr>
            <w:rStyle w:val="charCitHyperlinkAbbrev"/>
          </w:rPr>
          <w:noBreakHyphen/>
          <w:t>32</w:t>
        </w:r>
      </w:hyperlink>
      <w:r w:rsidR="00646CE4">
        <w:t xml:space="preserve"> amdt 3.2</w:t>
      </w:r>
    </w:p>
    <w:p w:rsidR="00450C28" w:rsidRDefault="00646CE4">
      <w:pPr>
        <w:pStyle w:val="AmdtsEntries"/>
      </w:pPr>
      <w:r>
        <w:t>s 25</w:t>
      </w:r>
      <w:r w:rsidR="00450C28">
        <w:tab/>
        <w:t xml:space="preserve">am </w:t>
      </w:r>
      <w:hyperlink r:id="rId318" w:tooltip="Legislation (Consequential Amendments) Act 2001" w:history="1">
        <w:r w:rsidR="009D74E7" w:rsidRPr="009D74E7">
          <w:rPr>
            <w:rStyle w:val="charCitHyperlinkAbbrev"/>
          </w:rPr>
          <w:t>A2001</w:t>
        </w:r>
        <w:r w:rsidR="009D74E7" w:rsidRPr="009D74E7">
          <w:rPr>
            <w:rStyle w:val="charCitHyperlinkAbbrev"/>
          </w:rPr>
          <w:noBreakHyphen/>
          <w:t>44</w:t>
        </w:r>
      </w:hyperlink>
      <w:r w:rsidR="00450C28">
        <w:t xml:space="preserve"> amdt 1.3633, amdt 1.3634</w:t>
      </w:r>
      <w:r w:rsidR="00E6524B">
        <w:t xml:space="preserve">; </w:t>
      </w:r>
      <w:hyperlink r:id="rId319" w:tooltip="Statute Law Amendment Act 2012" w:history="1">
        <w:r w:rsidR="009D74E7" w:rsidRPr="009D74E7">
          <w:rPr>
            <w:rStyle w:val="charCitHyperlinkAbbrev"/>
          </w:rPr>
          <w:t>A2012</w:t>
        </w:r>
        <w:r w:rsidR="009D74E7" w:rsidRPr="009D74E7">
          <w:rPr>
            <w:rStyle w:val="charCitHyperlinkAbbrev"/>
          </w:rPr>
          <w:noBreakHyphen/>
          <w:t>21</w:t>
        </w:r>
      </w:hyperlink>
      <w:r w:rsidR="00E6524B">
        <w:t xml:space="preserve"> amdt 3.134</w:t>
      </w:r>
      <w:r w:rsidR="00613CA7">
        <w:t xml:space="preserve">; am </w:t>
      </w:r>
      <w:hyperlink r:id="rId320" w:tooltip="Residential Tenancies Amendment Act 2017" w:history="1">
        <w:r w:rsidR="00613CA7">
          <w:rPr>
            <w:rStyle w:val="charCitHyperlinkAbbrev"/>
          </w:rPr>
          <w:t>A2017</w:t>
        </w:r>
        <w:r w:rsidR="00613CA7">
          <w:rPr>
            <w:rStyle w:val="charCitHyperlinkAbbrev"/>
          </w:rPr>
          <w:noBreakHyphen/>
          <w:t>32</w:t>
        </w:r>
      </w:hyperlink>
      <w:r w:rsidR="00613CA7">
        <w:t xml:space="preserve"> amdt 3.3</w:t>
      </w:r>
    </w:p>
    <w:p w:rsidR="00EB5E68" w:rsidRDefault="00EB5E68" w:rsidP="00EB5E68">
      <w:pPr>
        <w:pStyle w:val="AmdtsEntryHd"/>
      </w:pPr>
      <w:r>
        <w:t>Acknowledgment of receipt of bond money</w:t>
      </w:r>
    </w:p>
    <w:p w:rsidR="00613CA7" w:rsidRDefault="00EB5E68" w:rsidP="00EB5E68">
      <w:pPr>
        <w:pStyle w:val="AmdtsEntries"/>
      </w:pPr>
      <w:r>
        <w:t>s 26</w:t>
      </w:r>
      <w:r>
        <w:tab/>
        <w:t xml:space="preserve">am </w:t>
      </w:r>
      <w:hyperlink r:id="rId321" w:tooltip="Statute Law Amendment Act 2012" w:history="1">
        <w:r w:rsidR="009D74E7" w:rsidRPr="009D74E7">
          <w:rPr>
            <w:rStyle w:val="charCitHyperlinkAbbrev"/>
          </w:rPr>
          <w:t>A2012</w:t>
        </w:r>
        <w:r w:rsidR="009D74E7" w:rsidRPr="009D74E7">
          <w:rPr>
            <w:rStyle w:val="charCitHyperlinkAbbrev"/>
          </w:rPr>
          <w:noBreakHyphen/>
          <w:t>21</w:t>
        </w:r>
      </w:hyperlink>
      <w:r>
        <w:t xml:space="preserve"> amdt 3.135, amdt 3.136</w:t>
      </w:r>
    </w:p>
    <w:p w:rsidR="00EB5E68" w:rsidRPr="00EB5E68" w:rsidRDefault="00613CA7" w:rsidP="00EB5E68">
      <w:pPr>
        <w:pStyle w:val="AmdtsEntries"/>
      </w:pPr>
      <w:r>
        <w:tab/>
        <w:t xml:space="preserve">sub </w:t>
      </w:r>
      <w:hyperlink r:id="rId322" w:tooltip="Residential Tenancies Amendment Act 2017" w:history="1">
        <w:r w:rsidR="00646CE4">
          <w:rPr>
            <w:rStyle w:val="charCitHyperlinkAbbrev"/>
          </w:rPr>
          <w:t>A2017</w:t>
        </w:r>
        <w:r w:rsidR="00646CE4">
          <w:rPr>
            <w:rStyle w:val="charCitHyperlinkAbbrev"/>
          </w:rPr>
          <w:noBreakHyphen/>
          <w:t>32</w:t>
        </w:r>
      </w:hyperlink>
      <w:r w:rsidR="00646CE4">
        <w:t xml:space="preserve"> amdt 3.4</w:t>
      </w:r>
    </w:p>
    <w:p w:rsidR="00403F30" w:rsidRDefault="00064045" w:rsidP="00403F30">
      <w:pPr>
        <w:pStyle w:val="AmdtsEntryHd"/>
      </w:pPr>
      <w:r>
        <w:t>Payment of bond money into trust account</w:t>
      </w:r>
    </w:p>
    <w:p w:rsidR="00403F30" w:rsidRDefault="00403F30" w:rsidP="00403F30">
      <w:pPr>
        <w:pStyle w:val="AmdtsEntries"/>
      </w:pPr>
      <w:r>
        <w:t>s 27</w:t>
      </w:r>
      <w:r>
        <w:tab/>
        <w:t xml:space="preserve">am </w:t>
      </w:r>
      <w:hyperlink r:id="rId3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yHd"/>
      </w:pPr>
      <w:r>
        <w:t>Interest on amounts in trust account</w:t>
      </w:r>
    </w:p>
    <w:p w:rsidR="00450C28" w:rsidRPr="009D74E7" w:rsidRDefault="00450C28">
      <w:pPr>
        <w:pStyle w:val="AmdtsEntries"/>
        <w:keepNext/>
        <w:rPr>
          <w:rFonts w:cs="Arial"/>
        </w:rPr>
      </w:pPr>
      <w:r>
        <w:t>s 28</w:t>
      </w:r>
      <w:r>
        <w:tab/>
        <w:t xml:space="preserve">am </w:t>
      </w:r>
      <w:hyperlink r:id="rId324"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325"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r w:rsidRPr="009D74E7">
        <w:rPr>
          <w:rFonts w:cs="Arial"/>
        </w:rPr>
        <w:t xml:space="preserve"> s 62</w:t>
      </w:r>
    </w:p>
    <w:p w:rsidR="00450C28" w:rsidRPr="009D74E7" w:rsidRDefault="00450C28">
      <w:pPr>
        <w:pStyle w:val="AmdtsEntries"/>
        <w:rPr>
          <w:rFonts w:cs="Arial"/>
        </w:rPr>
      </w:pPr>
      <w:r w:rsidRPr="009D74E7">
        <w:rPr>
          <w:rFonts w:cs="Arial"/>
        </w:rPr>
        <w:tab/>
        <w:t xml:space="preserve">sub </w:t>
      </w:r>
      <w:hyperlink r:id="rId326"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rsidRPr="009D74E7">
        <w:rPr>
          <w:rFonts w:cs="Arial"/>
        </w:rPr>
        <w:t xml:space="preserve"> amdt 1.129</w:t>
      </w:r>
    </w:p>
    <w:p w:rsidR="00450C28" w:rsidRDefault="00450C28">
      <w:pPr>
        <w:pStyle w:val="AmdtsEntries"/>
      </w:pPr>
      <w:r>
        <w:tab/>
        <w:t>(4)-(7) exp 22 March 2006 (s 28 (7))</w:t>
      </w:r>
    </w:p>
    <w:p w:rsidR="00EA4201" w:rsidRDefault="00EA4201">
      <w:pPr>
        <w:pStyle w:val="AmdtsEntries"/>
      </w:pPr>
      <w:r>
        <w:tab/>
        <w:t xml:space="preserve">sub </w:t>
      </w:r>
      <w:hyperlink r:id="rId327"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1.424</w:t>
      </w:r>
    </w:p>
    <w:p w:rsidR="00E55764" w:rsidRDefault="00E55764">
      <w:pPr>
        <w:pStyle w:val="AmdtsEntries"/>
      </w:pPr>
      <w:r>
        <w:tab/>
        <w:t xml:space="preserve">am </w:t>
      </w:r>
      <w:hyperlink r:id="rId328"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1.382</w:t>
      </w:r>
    </w:p>
    <w:p w:rsidR="00450C28" w:rsidRDefault="00450C28">
      <w:pPr>
        <w:pStyle w:val="AmdtsEntryHd"/>
        <w:keepNext w:val="0"/>
      </w:pPr>
      <w:r>
        <w:t>Condition of premises and deductions from bond</w:t>
      </w:r>
    </w:p>
    <w:p w:rsidR="00450C28" w:rsidRDefault="00450C28">
      <w:pPr>
        <w:pStyle w:val="AmdtsEntries"/>
      </w:pPr>
      <w:r>
        <w:t>div 3.3 hdg</w:t>
      </w:r>
      <w:r>
        <w:tab/>
        <w:t>(prev pt 3 div 3 hdg) renum R2 LA</w:t>
      </w:r>
    </w:p>
    <w:p w:rsidR="00450C28" w:rsidRDefault="00EE2FFB">
      <w:pPr>
        <w:pStyle w:val="AmdtsEntryHd"/>
      </w:pPr>
      <w:r w:rsidRPr="00E56DA5">
        <w:t>Condition report—start of tenancy</w:t>
      </w:r>
    </w:p>
    <w:p w:rsidR="00EE2FFB" w:rsidRDefault="00EE2FFB">
      <w:pPr>
        <w:pStyle w:val="AmdtsEntries"/>
      </w:pPr>
      <w:r>
        <w:t>s 29 hdg</w:t>
      </w:r>
      <w:r>
        <w:tab/>
        <w:t xml:space="preserve">sub </w:t>
      </w:r>
      <w:hyperlink r:id="rId329" w:tooltip="Residential Tenancies Legislation Amendment Act 2016" w:history="1">
        <w:r w:rsidRPr="008B6A1B">
          <w:rPr>
            <w:rStyle w:val="charCitHyperlinkAbbrev"/>
          </w:rPr>
          <w:t>A2016-50</w:t>
        </w:r>
      </w:hyperlink>
      <w:r>
        <w:t xml:space="preserve"> s 9</w:t>
      </w:r>
    </w:p>
    <w:p w:rsidR="00450C28" w:rsidRPr="009D74E7" w:rsidRDefault="00450C28">
      <w:pPr>
        <w:pStyle w:val="AmdtsEntries"/>
        <w:rPr>
          <w:rFonts w:cs="Arial"/>
        </w:rPr>
      </w:pPr>
      <w:r>
        <w:t>s 29</w:t>
      </w:r>
      <w:r>
        <w:tab/>
        <w:t xml:space="preserve">am </w:t>
      </w:r>
      <w:hyperlink r:id="rId33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1.3635, amdt 1.3636; </w:t>
      </w:r>
      <w:hyperlink r:id="rId331" w:tooltip="Residential Tenancies Amendment Act 2004" w:history="1">
        <w:r w:rsidR="009D74E7" w:rsidRPr="009D74E7">
          <w:rPr>
            <w:rStyle w:val="charCitHyperlinkAbbrev"/>
          </w:rPr>
          <w:t>A2004</w:t>
        </w:r>
        <w:r w:rsidR="009D74E7" w:rsidRPr="009D74E7">
          <w:rPr>
            <w:rStyle w:val="charCitHyperlinkAbbrev"/>
          </w:rPr>
          <w:noBreakHyphen/>
          <w:t>58</w:t>
        </w:r>
      </w:hyperlink>
      <w:r w:rsidR="00EA4201">
        <w:t xml:space="preserve"> </w:t>
      </w:r>
      <w:r>
        <w:t>ss</w:t>
      </w:r>
      <w:r w:rsidR="00EA4201">
        <w:t> </w:t>
      </w:r>
      <w:r>
        <w:t>10</w:t>
      </w:r>
      <w:r w:rsidR="00EA4201">
        <w:noBreakHyphen/>
      </w:r>
      <w:r>
        <w:t xml:space="preserve">13, amdt 2.5; </w:t>
      </w:r>
      <w:hyperlink r:id="rId33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13</w:t>
      </w:r>
    </w:p>
    <w:p w:rsidR="00EE2FFB" w:rsidRDefault="00EE2FFB" w:rsidP="00064045">
      <w:pPr>
        <w:pStyle w:val="AmdtsEntryHd"/>
        <w:rPr>
          <w:szCs w:val="24"/>
        </w:rPr>
      </w:pPr>
      <w:r w:rsidRPr="00E56DA5">
        <w:t>Final inspection and condition report—end of tenancy</w:t>
      </w:r>
    </w:p>
    <w:p w:rsidR="00EE2FFB" w:rsidRPr="00EE2FFB" w:rsidRDefault="00EE2FFB" w:rsidP="00EE2FFB">
      <w:pPr>
        <w:pStyle w:val="AmdtsEntries"/>
      </w:pPr>
      <w:r>
        <w:t>s 30A</w:t>
      </w:r>
      <w:r>
        <w:tab/>
        <w:t xml:space="preserve">ins </w:t>
      </w:r>
      <w:hyperlink r:id="rId333" w:tooltip="Residential Tenancies Legislation Amendment Act 2016" w:history="1">
        <w:r w:rsidRPr="008B6A1B">
          <w:rPr>
            <w:rStyle w:val="charCitHyperlinkAbbrev"/>
          </w:rPr>
          <w:t>A2016-50</w:t>
        </w:r>
      </w:hyperlink>
      <w:r>
        <w:t xml:space="preserve"> s 10</w:t>
      </w:r>
    </w:p>
    <w:p w:rsidR="00064045" w:rsidRDefault="00064045" w:rsidP="00064045">
      <w:pPr>
        <w:pStyle w:val="AmdtsEntryHd"/>
      </w:pPr>
      <w:r>
        <w:rPr>
          <w:szCs w:val="24"/>
        </w:rPr>
        <w:lastRenderedPageBreak/>
        <w:t>Deductions from bond</w:t>
      </w:r>
    </w:p>
    <w:p w:rsidR="00064045" w:rsidRDefault="00064045" w:rsidP="00064045">
      <w:pPr>
        <w:pStyle w:val="AmdtsEntries"/>
      </w:pPr>
      <w:r>
        <w:t>s 31</w:t>
      </w:r>
      <w:r>
        <w:tab/>
        <w:t xml:space="preserve">am </w:t>
      </w:r>
      <w:hyperlink r:id="rId33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A53457">
        <w:t xml:space="preserve">; </w:t>
      </w:r>
      <w:hyperlink r:id="rId335" w:tooltip="Statute Law Amendment Act 2017" w:history="1">
        <w:r w:rsidR="00A53457" w:rsidRPr="0038160B">
          <w:rPr>
            <w:rStyle w:val="charCitHyperlinkAbbrev"/>
          </w:rPr>
          <w:t>A2017</w:t>
        </w:r>
        <w:r w:rsidR="00A53457" w:rsidRPr="0038160B">
          <w:rPr>
            <w:rStyle w:val="charCitHyperlinkAbbrev"/>
          </w:rPr>
          <w:noBreakHyphen/>
          <w:t>4</w:t>
        </w:r>
      </w:hyperlink>
      <w:r w:rsidR="00A53457">
        <w:t xml:space="preserve"> amdt 3.168, amdt 3.169</w:t>
      </w:r>
      <w:r w:rsidR="00EE2FFB">
        <w:t xml:space="preserve">; </w:t>
      </w:r>
      <w:hyperlink r:id="rId336" w:tooltip="Residential Tenancies Legislation Amendment Act 2016" w:history="1">
        <w:r w:rsidR="00EE2FFB" w:rsidRPr="008B6A1B">
          <w:rPr>
            <w:rStyle w:val="charCitHyperlinkAbbrev"/>
          </w:rPr>
          <w:t>A2016-50</w:t>
        </w:r>
      </w:hyperlink>
      <w:r w:rsidR="00EE2FFB">
        <w:t xml:space="preserve"> ss 11-13; pars renum R49 LA</w:t>
      </w:r>
    </w:p>
    <w:p w:rsidR="00450C28" w:rsidRDefault="00450C28">
      <w:pPr>
        <w:pStyle w:val="AmdtsEntryHd"/>
      </w:pPr>
      <w:r>
        <w:t>Release of bond money</w:t>
      </w:r>
    </w:p>
    <w:p w:rsidR="00450C28" w:rsidRDefault="00450C28">
      <w:pPr>
        <w:pStyle w:val="AmdtsEntries"/>
      </w:pPr>
      <w:r>
        <w:t>div 3.4 hdg</w:t>
      </w:r>
      <w:r>
        <w:tab/>
        <w:t>(prev pt 3 div 4 hdg) renum R2 LA</w:t>
      </w:r>
    </w:p>
    <w:p w:rsidR="00450C28" w:rsidRPr="009D74E7" w:rsidRDefault="00EE2FFB">
      <w:pPr>
        <w:pStyle w:val="AmdtsEntryHd"/>
      </w:pPr>
      <w:r w:rsidRPr="00E56DA5">
        <w:t>Definitions—div 3.4</w:t>
      </w:r>
    </w:p>
    <w:p w:rsidR="00450C28" w:rsidRDefault="00450C28">
      <w:pPr>
        <w:pStyle w:val="AmdtsEntries"/>
      </w:pPr>
      <w:r>
        <w:t>s 32</w:t>
      </w:r>
      <w:r>
        <w:tab/>
        <w:t xml:space="preserve">am </w:t>
      </w:r>
      <w:hyperlink r:id="rId337"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38"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1.3637, amdt 1.3638; R2 LA</w:t>
      </w:r>
      <w:r w:rsidR="00D52C57">
        <w:t xml:space="preserve">; </w:t>
      </w:r>
      <w:hyperlink r:id="rId33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1.583</w:t>
      </w:r>
      <w:r w:rsidR="00CE249E">
        <w:t>, amdt 1.595</w:t>
      </w:r>
      <w:r w:rsidR="00E55764">
        <w:t xml:space="preserve">; </w:t>
      </w:r>
      <w:hyperlink r:id="rId340"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55764">
        <w:t xml:space="preserve"> amdt</w:t>
      </w:r>
      <w:r w:rsidR="007B43B4">
        <w:t> </w:t>
      </w:r>
      <w:r w:rsidR="008C5FA2">
        <w:t>1.383</w:t>
      </w:r>
    </w:p>
    <w:p w:rsidR="00EE2FFB" w:rsidRDefault="00EE2FFB">
      <w:pPr>
        <w:pStyle w:val="AmdtsEntries"/>
      </w:pPr>
      <w:r>
        <w:tab/>
        <w:t xml:space="preserve">sub </w:t>
      </w:r>
      <w:hyperlink r:id="rId341" w:tooltip="Residential Tenancies Legislation Amendment Act 2016" w:history="1">
        <w:r w:rsidRPr="008B6A1B">
          <w:rPr>
            <w:rStyle w:val="charCitHyperlinkAbbrev"/>
          </w:rPr>
          <w:t>A2016-50</w:t>
        </w:r>
      </w:hyperlink>
      <w:r>
        <w:t xml:space="preserve"> s 14</w:t>
      </w:r>
    </w:p>
    <w:p w:rsidR="00EE2FFB" w:rsidRDefault="00EE2FFB">
      <w:pPr>
        <w:pStyle w:val="AmdtsEntries"/>
      </w:pPr>
      <w:r>
        <w:tab/>
        <w:t xml:space="preserve">def </w:t>
      </w:r>
      <w:r w:rsidRPr="00E56DA5">
        <w:rPr>
          <w:rStyle w:val="charBoldItals"/>
        </w:rPr>
        <w:t>bond release application</w:t>
      </w:r>
      <w:r>
        <w:t xml:space="preserve"> ins </w:t>
      </w:r>
      <w:hyperlink r:id="rId342" w:tooltip="Residential Tenancies Legislation Amendment Act 2016" w:history="1">
        <w:r w:rsidRPr="008B6A1B">
          <w:rPr>
            <w:rStyle w:val="charCitHyperlinkAbbrev"/>
          </w:rPr>
          <w:t>A2016-50</w:t>
        </w:r>
      </w:hyperlink>
      <w:r>
        <w:t xml:space="preserve"> s 14</w:t>
      </w:r>
    </w:p>
    <w:p w:rsidR="00EE2FFB" w:rsidRDefault="00EE2FFB">
      <w:pPr>
        <w:pStyle w:val="AmdtsEntryHd"/>
        <w:rPr>
          <w:noProof/>
        </w:rPr>
      </w:pPr>
      <w:r w:rsidRPr="00E56DA5">
        <w:t>Bond release application—general</w:t>
      </w:r>
    </w:p>
    <w:p w:rsidR="00EE2FFB" w:rsidRPr="00EE2FFB" w:rsidRDefault="00EE2FFB" w:rsidP="00EE2FFB">
      <w:pPr>
        <w:pStyle w:val="AmdtsEntries"/>
      </w:pPr>
      <w:r>
        <w:t>s 33</w:t>
      </w:r>
      <w:r>
        <w:tab/>
        <w:t xml:space="preserve">sub </w:t>
      </w:r>
      <w:hyperlink r:id="rId343" w:tooltip="Residential Tenancies Legislation Amendment Act 2016" w:history="1">
        <w:r w:rsidRPr="008B6A1B">
          <w:rPr>
            <w:rStyle w:val="charCitHyperlinkAbbrev"/>
          </w:rPr>
          <w:t>A2016-50</w:t>
        </w:r>
      </w:hyperlink>
      <w:r>
        <w:t xml:space="preserve"> s 14</w:t>
      </w:r>
    </w:p>
    <w:p w:rsidR="00450C28" w:rsidRPr="009D74E7" w:rsidRDefault="0057511F">
      <w:pPr>
        <w:pStyle w:val="AmdtsEntryHd"/>
      </w:pPr>
      <w:r w:rsidRPr="00E56DA5">
        <w:t>Bond release application—lessor’s obligations</w:t>
      </w:r>
    </w:p>
    <w:p w:rsidR="00450C28" w:rsidRDefault="00450C28">
      <w:pPr>
        <w:pStyle w:val="AmdtsEntries"/>
      </w:pPr>
      <w:r>
        <w:t>s 34</w:t>
      </w:r>
      <w:r>
        <w:tab/>
        <w:t xml:space="preserve">am </w:t>
      </w:r>
      <w:hyperlink r:id="rId344"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34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2.6</w:t>
      </w:r>
      <w:r w:rsidR="00CE249E">
        <w:t xml:space="preserve">; </w:t>
      </w:r>
      <w:hyperlink r:id="rId34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p>
    <w:p w:rsidR="0057511F" w:rsidRDefault="0057511F">
      <w:pPr>
        <w:pStyle w:val="AmdtsEntries"/>
      </w:pPr>
      <w:r>
        <w:tab/>
        <w:t xml:space="preserve">sub </w:t>
      </w:r>
      <w:hyperlink r:id="rId347"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application—joint application</w:t>
      </w:r>
    </w:p>
    <w:p w:rsidR="0057511F" w:rsidRPr="0057511F" w:rsidRDefault="0057511F" w:rsidP="0057511F">
      <w:pPr>
        <w:pStyle w:val="AmdtsEntries"/>
      </w:pPr>
      <w:r>
        <w:t>s 34A</w:t>
      </w:r>
      <w:r>
        <w:tab/>
        <w:t xml:space="preserve">ins </w:t>
      </w:r>
      <w:hyperlink r:id="rId348"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application—application by tenant</w:t>
      </w:r>
    </w:p>
    <w:p w:rsidR="0057511F" w:rsidRPr="0057511F" w:rsidRDefault="0057511F" w:rsidP="0057511F">
      <w:pPr>
        <w:pStyle w:val="AmdtsEntries"/>
      </w:pPr>
      <w:r>
        <w:t>s 34B</w:t>
      </w:r>
      <w:r>
        <w:tab/>
        <w:t xml:space="preserve">ins </w:t>
      </w:r>
      <w:hyperlink r:id="rId349"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application—application by lessor</w:t>
      </w:r>
    </w:p>
    <w:p w:rsidR="0057511F" w:rsidRPr="0057511F" w:rsidRDefault="0057511F" w:rsidP="0057511F">
      <w:pPr>
        <w:pStyle w:val="AmdtsEntries"/>
      </w:pPr>
      <w:r>
        <w:t>s 34C</w:t>
      </w:r>
      <w:r>
        <w:tab/>
        <w:t xml:space="preserve">ins </w:t>
      </w:r>
      <w:hyperlink r:id="rId350"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 before end of agreement</w:t>
      </w:r>
    </w:p>
    <w:p w:rsidR="0057511F" w:rsidRPr="0057511F" w:rsidRDefault="0057511F" w:rsidP="0057511F">
      <w:pPr>
        <w:pStyle w:val="AmdtsEntries"/>
      </w:pPr>
      <w:r>
        <w:t>s 34D</w:t>
      </w:r>
      <w:r>
        <w:tab/>
        <w:t xml:space="preserve">ins </w:t>
      </w:r>
      <w:hyperlink r:id="rId351" w:tooltip="Residential Tenancies Legislation Amendment Act 2016" w:history="1">
        <w:r w:rsidRPr="008B6A1B">
          <w:rPr>
            <w:rStyle w:val="charCitHyperlinkAbbrev"/>
          </w:rPr>
          <w:t>A2016-50</w:t>
        </w:r>
      </w:hyperlink>
      <w:r>
        <w:t xml:space="preserve"> s 14</w:t>
      </w:r>
    </w:p>
    <w:p w:rsidR="0057511F" w:rsidRDefault="0057511F">
      <w:pPr>
        <w:pStyle w:val="AmdtsEntryHd"/>
      </w:pPr>
      <w:r w:rsidRPr="00E56DA5">
        <w:t>Bond release application—ACAT order</w:t>
      </w:r>
    </w:p>
    <w:p w:rsidR="0057511F" w:rsidRPr="0057511F" w:rsidRDefault="0057511F" w:rsidP="0057511F">
      <w:pPr>
        <w:pStyle w:val="AmdtsEntries"/>
      </w:pPr>
      <w:r>
        <w:t>s 34E</w:t>
      </w:r>
      <w:r>
        <w:tab/>
        <w:t xml:space="preserve">ins </w:t>
      </w:r>
      <w:hyperlink r:id="rId352" w:tooltip="Residential Tenancies Legislation Amendment Act 2016" w:history="1">
        <w:r w:rsidRPr="008B6A1B">
          <w:rPr>
            <w:rStyle w:val="charCitHyperlinkAbbrev"/>
          </w:rPr>
          <w:t>A2016-50</w:t>
        </w:r>
      </w:hyperlink>
      <w:r>
        <w:t xml:space="preserve"> s 14</w:t>
      </w:r>
    </w:p>
    <w:p w:rsidR="00450C28" w:rsidRDefault="00D52C57">
      <w:pPr>
        <w:pStyle w:val="AmdtsEntryHd"/>
      </w:pPr>
      <w:r>
        <w:t>Disputes about all or part of bond</w:t>
      </w:r>
    </w:p>
    <w:p w:rsidR="00450C28" w:rsidRDefault="00450C28">
      <w:pPr>
        <w:pStyle w:val="AmdtsEntries"/>
      </w:pPr>
      <w:r>
        <w:t>s 35</w:t>
      </w:r>
      <w:r>
        <w:tab/>
        <w:t xml:space="preserve">am </w:t>
      </w:r>
      <w:hyperlink r:id="rId35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2.7</w:t>
      </w:r>
    </w:p>
    <w:p w:rsidR="00D52C57" w:rsidRDefault="00D52C57">
      <w:pPr>
        <w:pStyle w:val="AmdtsEntries"/>
      </w:pPr>
      <w:r>
        <w:tab/>
        <w:t xml:space="preserve">sub </w:t>
      </w:r>
      <w:hyperlink r:id="rId35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1.584</w:t>
      </w:r>
    </w:p>
    <w:p w:rsidR="0057511F" w:rsidRDefault="0057511F">
      <w:pPr>
        <w:pStyle w:val="AmdtsEntries"/>
      </w:pPr>
      <w:r>
        <w:tab/>
        <w:t xml:space="preserve">am </w:t>
      </w:r>
      <w:hyperlink r:id="rId355" w:tooltip="Residential Tenancies Legislation Amendment Act 2016" w:history="1">
        <w:r w:rsidRPr="008B6A1B">
          <w:rPr>
            <w:rStyle w:val="charCitHyperlinkAbbrev"/>
          </w:rPr>
          <w:t>A2016-50</w:t>
        </w:r>
      </w:hyperlink>
      <w:r>
        <w:t xml:space="preserve"> s 15</w:t>
      </w:r>
    </w:p>
    <w:p w:rsidR="00450C28" w:rsidRDefault="00450C28">
      <w:pPr>
        <w:pStyle w:val="AmdtsEntryHd"/>
      </w:pPr>
      <w:r>
        <w:t>General</w:t>
      </w:r>
    </w:p>
    <w:p w:rsidR="00450C28" w:rsidRDefault="00450C28">
      <w:pPr>
        <w:pStyle w:val="AmdtsEntries"/>
      </w:pPr>
      <w:r>
        <w:t>div 4.1 hdg</w:t>
      </w:r>
      <w:r>
        <w:tab/>
        <w:t>(prev pt 4 div 1 hdg) renum R2 LA</w:t>
      </w:r>
    </w:p>
    <w:p w:rsidR="00450C28" w:rsidRDefault="00450C28">
      <w:pPr>
        <w:pStyle w:val="AmdtsEntryHd"/>
      </w:pPr>
      <w:r>
        <w:t>Termination</w:t>
      </w:r>
    </w:p>
    <w:p w:rsidR="00450C28" w:rsidRPr="003C606A" w:rsidRDefault="00450C28">
      <w:pPr>
        <w:pStyle w:val="AmdtsEntries"/>
      </w:pPr>
      <w:r>
        <w:t>s 36</w:t>
      </w:r>
      <w:r>
        <w:tab/>
        <w:t xml:space="preserve">am </w:t>
      </w:r>
      <w:hyperlink r:id="rId35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1.3639; pars renum R15 LA; </w:t>
      </w:r>
      <w:hyperlink r:id="rId35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14</w:t>
      </w:r>
      <w:r w:rsidR="00CE249E">
        <w:t xml:space="preserve">; </w:t>
      </w:r>
      <w:hyperlink r:id="rId35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E249E">
        <w:t xml:space="preserve"> amdt 1.595</w:t>
      </w:r>
      <w:r w:rsidR="00BE11A8">
        <w:t xml:space="preserve">; </w:t>
      </w:r>
      <w:hyperlink r:id="rId359" w:tooltip="Dangerous Substances (Loose-fill Asbestos Eradication) Legislation Amendment Act 2015" w:history="1">
        <w:r w:rsidR="00BE11A8">
          <w:rPr>
            <w:rStyle w:val="charCitHyperlinkAbbrev"/>
          </w:rPr>
          <w:t>A2015</w:t>
        </w:r>
        <w:r w:rsidR="00BE11A8">
          <w:rPr>
            <w:rStyle w:val="charCitHyperlinkAbbrev"/>
          </w:rPr>
          <w:noBreakHyphen/>
          <w:t>6</w:t>
        </w:r>
      </w:hyperlink>
      <w:r w:rsidR="00BE11A8">
        <w:t xml:space="preserve"> amdt 1.15</w:t>
      </w:r>
      <w:r w:rsidR="003C606A">
        <w:t xml:space="preserve">; </w:t>
      </w:r>
      <w:hyperlink r:id="rId360" w:tooltip="Building (Loose-fill Asbestos Eradication) Legislation Amendment Act 2015" w:history="1">
        <w:r w:rsidR="003C606A">
          <w:rPr>
            <w:rStyle w:val="charCitHyperlinkAbbrev"/>
          </w:rPr>
          <w:t>A2015</w:t>
        </w:r>
        <w:r w:rsidR="003C606A">
          <w:rPr>
            <w:rStyle w:val="charCitHyperlinkAbbrev"/>
          </w:rPr>
          <w:noBreakHyphen/>
          <w:t>42</w:t>
        </w:r>
      </w:hyperlink>
      <w:r w:rsidR="007B379B">
        <w:t xml:space="preserve"> s </w:t>
      </w:r>
      <w:r w:rsidR="003C606A">
        <w:t>52</w:t>
      </w:r>
      <w:r w:rsidR="007D2E7B">
        <w:t xml:space="preserve">; </w:t>
      </w:r>
      <w:hyperlink r:id="rId361" w:tooltip="Residential Tenancies Legislation Amendment Act 2016" w:history="1">
        <w:r w:rsidR="0057511F" w:rsidRPr="008B6A1B">
          <w:rPr>
            <w:rStyle w:val="charCitHyperlinkAbbrev"/>
          </w:rPr>
          <w:t>A2016-50</w:t>
        </w:r>
      </w:hyperlink>
      <w:r w:rsidR="008155CA">
        <w:t xml:space="preserve"> s 16,</w:t>
      </w:r>
      <w:r w:rsidR="0057511F">
        <w:t xml:space="preserve"> s 17</w:t>
      </w:r>
      <w:r w:rsidR="008155CA">
        <w:t xml:space="preserve">; </w:t>
      </w:r>
      <w:hyperlink r:id="rId362" w:tooltip="Justice and Community Safety Legislation Amendment Act 2017" w:history="1">
        <w:r w:rsidR="008155CA">
          <w:rPr>
            <w:rStyle w:val="Hyperlink"/>
            <w:u w:val="none"/>
          </w:rPr>
          <w:t>A2017-5</w:t>
        </w:r>
      </w:hyperlink>
      <w:r w:rsidR="008155CA">
        <w:t xml:space="preserve"> amdt 1.18</w:t>
      </w:r>
      <w:r w:rsidR="00B828ED">
        <w:t xml:space="preserve">; </w:t>
      </w:r>
      <w:hyperlink r:id="rId363" w:tooltip="Residential Tenancies Amendment Act 2019" w:history="1">
        <w:r w:rsidR="00B828ED">
          <w:rPr>
            <w:rStyle w:val="charCitHyperlinkAbbrev"/>
          </w:rPr>
          <w:t>A2019-5</w:t>
        </w:r>
      </w:hyperlink>
      <w:r w:rsidR="00B828ED">
        <w:t xml:space="preserve"> s 6</w:t>
      </w:r>
    </w:p>
    <w:p w:rsidR="00CE249E" w:rsidRPr="009D74E7" w:rsidRDefault="0034402F" w:rsidP="00CE249E">
      <w:pPr>
        <w:pStyle w:val="AmdtsEntryHd"/>
      </w:pPr>
      <w:r>
        <w:rPr>
          <w:szCs w:val="24"/>
        </w:rPr>
        <w:t>Entry for eviction purposes</w:t>
      </w:r>
    </w:p>
    <w:p w:rsidR="00CE249E" w:rsidRPr="00CE249E" w:rsidRDefault="00CE249E" w:rsidP="00CE249E">
      <w:pPr>
        <w:pStyle w:val="AmdtsEntries"/>
      </w:pPr>
      <w:r>
        <w:t>s 37</w:t>
      </w:r>
      <w:r>
        <w:tab/>
        <w:t xml:space="preserve">am </w:t>
      </w:r>
      <w:hyperlink r:id="rId3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57511F">
        <w:t xml:space="preserve">; </w:t>
      </w:r>
      <w:hyperlink r:id="rId365" w:tooltip="Residential Tenancies Legislation Amendment Act 2016" w:history="1">
        <w:r w:rsidR="0057511F" w:rsidRPr="008B6A1B">
          <w:rPr>
            <w:rStyle w:val="charCitHyperlinkAbbrev"/>
          </w:rPr>
          <w:t>A2016-50</w:t>
        </w:r>
      </w:hyperlink>
      <w:r w:rsidR="0057511F">
        <w:t xml:space="preserve"> s 18</w:t>
      </w:r>
    </w:p>
    <w:p w:rsidR="00CE249E" w:rsidRPr="009D74E7" w:rsidRDefault="0034402F" w:rsidP="00CE249E">
      <w:pPr>
        <w:pStyle w:val="AmdtsEntryHd"/>
      </w:pPr>
      <w:r>
        <w:rPr>
          <w:szCs w:val="24"/>
        </w:rPr>
        <w:lastRenderedPageBreak/>
        <w:t>General duty to mitigate</w:t>
      </w:r>
    </w:p>
    <w:p w:rsidR="00CE249E" w:rsidRPr="00CE249E" w:rsidRDefault="00CE249E" w:rsidP="00CE249E">
      <w:pPr>
        <w:pStyle w:val="AmdtsEntries"/>
      </w:pPr>
      <w:r>
        <w:t>s 38</w:t>
      </w:r>
      <w:r>
        <w:tab/>
        <w:t xml:space="preserve">am </w:t>
      </w:r>
      <w:hyperlink r:id="rId36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CE249E" w:rsidRPr="009D74E7" w:rsidRDefault="0034402F" w:rsidP="00CE249E">
      <w:pPr>
        <w:pStyle w:val="AmdtsEntryHd"/>
      </w:pPr>
      <w:r>
        <w:t>Content of termination and possession orders</w:t>
      </w:r>
    </w:p>
    <w:p w:rsidR="00CE249E" w:rsidRPr="00CE249E" w:rsidRDefault="00CE249E" w:rsidP="00CE249E">
      <w:pPr>
        <w:pStyle w:val="AmdtsEntries"/>
      </w:pPr>
      <w:r>
        <w:t>s 39</w:t>
      </w:r>
      <w:r>
        <w:tab/>
        <w:t xml:space="preserve">am </w:t>
      </w:r>
      <w:hyperlink r:id="rId36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yHd"/>
      </w:pPr>
      <w:r>
        <w:t>Warrants for eviction</w:t>
      </w:r>
    </w:p>
    <w:p w:rsidR="00450C28" w:rsidRDefault="00450C28">
      <w:pPr>
        <w:pStyle w:val="AmdtsEntries"/>
      </w:pPr>
      <w:r>
        <w:t>div 4.2 hdg</w:t>
      </w:r>
      <w:r>
        <w:tab/>
        <w:t>(prev pt 4 div 2 hdg) renum R2 LA</w:t>
      </w:r>
    </w:p>
    <w:p w:rsidR="00450C28" w:rsidRPr="009D74E7" w:rsidRDefault="00450C28">
      <w:pPr>
        <w:pStyle w:val="AmdtsEntryHd"/>
        <w:rPr>
          <w:rFonts w:cs="Arial"/>
        </w:rPr>
      </w:pPr>
      <w:r w:rsidRPr="009D74E7">
        <w:rPr>
          <w:rFonts w:cs="Arial"/>
        </w:rPr>
        <w:t>Content of warrant</w:t>
      </w:r>
    </w:p>
    <w:p w:rsidR="00450C28" w:rsidRPr="009D74E7" w:rsidRDefault="00450C28">
      <w:pPr>
        <w:pStyle w:val="AmdtsEntries"/>
      </w:pPr>
      <w:r>
        <w:t>s 40</w:t>
      </w:r>
      <w:r>
        <w:tab/>
      </w:r>
      <w:r w:rsidRPr="009D74E7">
        <w:rPr>
          <w:rFonts w:cs="Arial"/>
        </w:rPr>
        <w:t xml:space="preserve">sub </w:t>
      </w:r>
      <w:hyperlink r:id="rId36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15</w:t>
      </w:r>
    </w:p>
    <w:p w:rsidR="00DA243A" w:rsidRPr="009D74E7" w:rsidRDefault="008B3AA8" w:rsidP="00DA243A">
      <w:pPr>
        <w:pStyle w:val="AmdtsEntryHd"/>
      </w:pPr>
      <w:r w:rsidRPr="00483A42">
        <w:t>Warrant—termination and possession order</w:t>
      </w:r>
    </w:p>
    <w:p w:rsidR="00DA243A" w:rsidRDefault="00DA243A" w:rsidP="00DA243A">
      <w:pPr>
        <w:pStyle w:val="AmdtsEntries"/>
      </w:pPr>
      <w:r>
        <w:t>s 41</w:t>
      </w:r>
      <w:r>
        <w:tab/>
        <w:t xml:space="preserve">am </w:t>
      </w:r>
      <w:hyperlink r:id="rId36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8B3AA8" w:rsidRPr="008B3AA8" w:rsidRDefault="008B3AA8" w:rsidP="00DA243A">
      <w:pPr>
        <w:pStyle w:val="AmdtsEntries"/>
      </w:pPr>
      <w:r>
        <w:tab/>
        <w:t xml:space="preserve">sub </w:t>
      </w:r>
      <w:hyperlink r:id="rId370" w:tooltip="Residential Tenancies Amendment Act 2018" w:history="1">
        <w:r>
          <w:rPr>
            <w:rStyle w:val="charCitHyperlinkAbbrev"/>
          </w:rPr>
          <w:t>A2018</w:t>
        </w:r>
        <w:r>
          <w:rPr>
            <w:rStyle w:val="charCitHyperlinkAbbrev"/>
          </w:rPr>
          <w:noBreakHyphen/>
          <w:t>20</w:t>
        </w:r>
      </w:hyperlink>
      <w:r>
        <w:t xml:space="preserve"> s 4</w:t>
      </w:r>
    </w:p>
    <w:p w:rsidR="00450C28" w:rsidRDefault="00450C28">
      <w:pPr>
        <w:pStyle w:val="AmdtsEntryHd"/>
      </w:pPr>
      <w:r>
        <w:t>Conditional orders</w:t>
      </w:r>
    </w:p>
    <w:p w:rsidR="00450C28" w:rsidRPr="009D74E7" w:rsidRDefault="00450C28" w:rsidP="003036E6">
      <w:pPr>
        <w:pStyle w:val="AmdtsEntries"/>
        <w:keepNext/>
        <w:rPr>
          <w:rFonts w:cs="Arial"/>
        </w:rPr>
      </w:pPr>
      <w:r>
        <w:t>s 42</w:t>
      </w:r>
      <w:r>
        <w:tab/>
      </w:r>
      <w:r w:rsidRPr="009D74E7">
        <w:rPr>
          <w:rFonts w:cs="Arial"/>
        </w:rPr>
        <w:t xml:space="preserve">sub </w:t>
      </w:r>
      <w:hyperlink r:id="rId37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Default="00450C28">
      <w:pPr>
        <w:pStyle w:val="AmdtsEntries"/>
        <w:rPr>
          <w:rFonts w:cs="Arial"/>
        </w:rPr>
      </w:pPr>
      <w:r w:rsidRPr="009D74E7">
        <w:rPr>
          <w:rFonts w:cs="Arial"/>
        </w:rPr>
        <w:tab/>
        <w:t xml:space="preserve">am </w:t>
      </w:r>
      <w:hyperlink r:id="rId372"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1.47; ss renum R28 LA</w:t>
      </w:r>
      <w:r w:rsidR="00A43A92" w:rsidRPr="009D74E7">
        <w:rPr>
          <w:rFonts w:cs="Arial"/>
        </w:rPr>
        <w:t xml:space="preserve">; </w:t>
      </w:r>
      <w:hyperlink r:id="rId3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BE0E96" w:rsidRPr="009D74E7">
        <w:rPr>
          <w:rFonts w:cs="Arial"/>
        </w:rPr>
        <w:t xml:space="preserve">; </w:t>
      </w:r>
      <w:hyperlink r:id="rId374"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rsidRPr="009D74E7">
        <w:rPr>
          <w:rFonts w:cs="Arial"/>
        </w:rPr>
        <w:t xml:space="preserve"> amdt 3.210</w:t>
      </w:r>
    </w:p>
    <w:p w:rsidR="008B3AA8" w:rsidRPr="008B3AA8" w:rsidRDefault="008B3AA8">
      <w:pPr>
        <w:pStyle w:val="AmdtsEntries"/>
      </w:pPr>
      <w:r>
        <w:rPr>
          <w:rFonts w:cs="Arial"/>
        </w:rPr>
        <w:tab/>
        <w:t xml:space="preserve">om </w:t>
      </w:r>
      <w:hyperlink r:id="rId375" w:tooltip="Residential Tenancies Amendment Act 2018" w:history="1">
        <w:r>
          <w:rPr>
            <w:rStyle w:val="charCitHyperlinkAbbrev"/>
          </w:rPr>
          <w:t>A2018</w:t>
        </w:r>
        <w:r>
          <w:rPr>
            <w:rStyle w:val="charCitHyperlinkAbbrev"/>
          </w:rPr>
          <w:noBreakHyphen/>
          <w:t>20</w:t>
        </w:r>
      </w:hyperlink>
      <w:r>
        <w:t xml:space="preserve"> s 4</w:t>
      </w:r>
    </w:p>
    <w:p w:rsidR="00450C28" w:rsidRDefault="00450C28">
      <w:pPr>
        <w:pStyle w:val="AmdtsEntryHd"/>
      </w:pPr>
      <w:r>
        <w:t>Failure to comply with conditional order</w:t>
      </w:r>
    </w:p>
    <w:p w:rsidR="00450C28" w:rsidRPr="009D74E7" w:rsidRDefault="00450C28">
      <w:pPr>
        <w:pStyle w:val="AmdtsEntries"/>
        <w:rPr>
          <w:rFonts w:cs="Arial"/>
        </w:rPr>
      </w:pPr>
      <w:r>
        <w:t>s 42A</w:t>
      </w:r>
      <w:r>
        <w:tab/>
      </w:r>
      <w:r w:rsidRPr="009D74E7">
        <w:rPr>
          <w:rFonts w:cs="Arial"/>
        </w:rPr>
        <w:t xml:space="preserve">ins </w:t>
      </w:r>
      <w:hyperlink r:id="rId37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Default="00450C28">
      <w:pPr>
        <w:pStyle w:val="AmdtsEntries"/>
        <w:rPr>
          <w:rFonts w:cs="Arial"/>
        </w:rPr>
      </w:pPr>
      <w:r w:rsidRPr="009D74E7">
        <w:rPr>
          <w:rFonts w:cs="Arial"/>
        </w:rPr>
        <w:tab/>
        <w:t xml:space="preserve">am </w:t>
      </w:r>
      <w:hyperlink r:id="rId377"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amdts 1.48-1.50</w:t>
      </w:r>
      <w:r w:rsidR="00A43A92" w:rsidRPr="009D74E7">
        <w:rPr>
          <w:rFonts w:cs="Arial"/>
        </w:rPr>
        <w:t xml:space="preserve">; </w:t>
      </w:r>
      <w:hyperlink r:id="rId37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8B3AA8" w:rsidRPr="009D74E7" w:rsidRDefault="008B3AA8">
      <w:pPr>
        <w:pStyle w:val="AmdtsEntries"/>
        <w:rPr>
          <w:rFonts w:cs="Arial"/>
        </w:rPr>
      </w:pPr>
      <w:r>
        <w:rPr>
          <w:rFonts w:cs="Arial"/>
        </w:rPr>
        <w:tab/>
        <w:t xml:space="preserve">om </w:t>
      </w:r>
      <w:hyperlink r:id="rId379" w:tooltip="Residential Tenancies Amendment Act 2018" w:history="1">
        <w:r>
          <w:rPr>
            <w:rStyle w:val="charCitHyperlinkAbbrev"/>
          </w:rPr>
          <w:t>A2018</w:t>
        </w:r>
        <w:r>
          <w:rPr>
            <w:rStyle w:val="charCitHyperlinkAbbrev"/>
          </w:rPr>
          <w:noBreakHyphen/>
          <w:t>20</w:t>
        </w:r>
      </w:hyperlink>
      <w:r>
        <w:rPr>
          <w:rStyle w:val="charCitHyperlinkAbbrev"/>
        </w:rPr>
        <w:t xml:space="preserve"> </w:t>
      </w:r>
      <w:r w:rsidRPr="008B3AA8">
        <w:t>s 4</w:t>
      </w:r>
    </w:p>
    <w:p w:rsidR="00450C28" w:rsidRDefault="00450C28">
      <w:pPr>
        <w:pStyle w:val="AmdtsEntryHd"/>
      </w:pPr>
      <w:r>
        <w:t>Hearing of application</w:t>
      </w:r>
    </w:p>
    <w:p w:rsidR="00450C28" w:rsidRPr="009D74E7" w:rsidRDefault="00450C28" w:rsidP="00A0346A">
      <w:pPr>
        <w:pStyle w:val="AmdtsEntries"/>
        <w:keepNext/>
        <w:rPr>
          <w:rFonts w:cs="Arial"/>
        </w:rPr>
      </w:pPr>
      <w:r>
        <w:t>s 42B</w:t>
      </w:r>
      <w:r>
        <w:tab/>
      </w:r>
      <w:r w:rsidRPr="009D74E7">
        <w:rPr>
          <w:rFonts w:cs="Arial"/>
        </w:rPr>
        <w:t xml:space="preserve">ins </w:t>
      </w:r>
      <w:hyperlink r:id="rId380"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16</w:t>
      </w:r>
    </w:p>
    <w:p w:rsidR="00450C28" w:rsidRDefault="00450C28">
      <w:pPr>
        <w:pStyle w:val="AmdtsEntries"/>
        <w:rPr>
          <w:rFonts w:cs="Arial"/>
        </w:rPr>
      </w:pPr>
      <w:r w:rsidRPr="009D74E7">
        <w:rPr>
          <w:rFonts w:cs="Arial"/>
        </w:rPr>
        <w:tab/>
        <w:t xml:space="preserve">am </w:t>
      </w:r>
      <w:hyperlink r:id="rId381"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1.51</w:t>
      </w:r>
      <w:r w:rsidR="00A43A92" w:rsidRPr="009D74E7">
        <w:rPr>
          <w:rFonts w:cs="Arial"/>
        </w:rPr>
        <w:t xml:space="preserve">; </w:t>
      </w:r>
      <w:hyperlink r:id="rId38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8B3AA8" w:rsidRPr="008B3AA8" w:rsidRDefault="008B3AA8">
      <w:pPr>
        <w:pStyle w:val="AmdtsEntries"/>
      </w:pPr>
      <w:r>
        <w:rPr>
          <w:rFonts w:cs="Arial"/>
        </w:rPr>
        <w:tab/>
        <w:t xml:space="preserve">om </w:t>
      </w:r>
      <w:hyperlink r:id="rId383" w:tooltip="Residential Tenancies Amendment Act 2018" w:history="1">
        <w:r>
          <w:rPr>
            <w:rStyle w:val="charCitHyperlinkAbbrev"/>
          </w:rPr>
          <w:t>A2018</w:t>
        </w:r>
        <w:r>
          <w:rPr>
            <w:rStyle w:val="charCitHyperlinkAbbrev"/>
          </w:rPr>
          <w:noBreakHyphen/>
          <w:t>20</w:t>
        </w:r>
      </w:hyperlink>
      <w:r>
        <w:t xml:space="preserve"> s 4</w:t>
      </w:r>
    </w:p>
    <w:p w:rsidR="00450C28" w:rsidRDefault="00450C28">
      <w:pPr>
        <w:pStyle w:val="AmdtsEntryHd"/>
      </w:pPr>
      <w:r>
        <w:t>Termination initiated by tenant</w:t>
      </w:r>
    </w:p>
    <w:p w:rsidR="00450C28" w:rsidRDefault="00450C28">
      <w:pPr>
        <w:pStyle w:val="AmdtsEntries"/>
      </w:pPr>
      <w:r>
        <w:t>div 4.3 hdg</w:t>
      </w:r>
      <w:r>
        <w:tab/>
        <w:t>(prev pt 4 div 3 hdg) renum R2 LA</w:t>
      </w:r>
    </w:p>
    <w:p w:rsidR="00450C28" w:rsidRDefault="00450C28">
      <w:pPr>
        <w:pStyle w:val="AmdtsEntryHd"/>
      </w:pPr>
      <w:r>
        <w:t>Breach of standard residential tenancy terms</w:t>
      </w:r>
    </w:p>
    <w:p w:rsidR="00450C28" w:rsidRDefault="00450C28">
      <w:pPr>
        <w:pStyle w:val="AmdtsEntries"/>
        <w:keepNext/>
      </w:pPr>
      <w:r>
        <w:t>s 43 hdg</w:t>
      </w:r>
      <w:r>
        <w:tab/>
        <w:t xml:space="preserve">sub </w:t>
      </w:r>
      <w:hyperlink r:id="rId3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2.8</w:t>
      </w:r>
    </w:p>
    <w:p w:rsidR="00450C28" w:rsidRDefault="00450C28">
      <w:pPr>
        <w:pStyle w:val="AmdtsEntries"/>
      </w:pPr>
      <w:r>
        <w:t>s 43</w:t>
      </w:r>
      <w:r>
        <w:tab/>
        <w:t xml:space="preserve">am </w:t>
      </w:r>
      <w:hyperlink r:id="rId38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2.9</w:t>
      </w:r>
      <w:r w:rsidR="00A43A92" w:rsidRPr="009D74E7">
        <w:rPr>
          <w:rFonts w:cs="Arial"/>
        </w:rPr>
        <w:t xml:space="preserve">; </w:t>
      </w:r>
      <w:hyperlink r:id="rId38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p>
    <w:p w:rsidR="00450C28" w:rsidRDefault="00450C28">
      <w:pPr>
        <w:pStyle w:val="AmdtsEntryHd"/>
      </w:pPr>
      <w:r>
        <w:t>Significant hardship</w:t>
      </w:r>
    </w:p>
    <w:p w:rsidR="00450C28" w:rsidRPr="006466D8" w:rsidRDefault="00450C28">
      <w:pPr>
        <w:pStyle w:val="AmdtsEntries"/>
      </w:pPr>
      <w:r>
        <w:t>s 44</w:t>
      </w:r>
      <w:r>
        <w:tab/>
        <w:t xml:space="preserve">am </w:t>
      </w:r>
      <w:hyperlink r:id="rId387" w:tooltip="Statute Law Amendment Act 2002" w:history="1">
        <w:r w:rsidR="009D74E7" w:rsidRPr="009D74E7">
          <w:rPr>
            <w:rStyle w:val="charCitHyperlinkAbbrev"/>
          </w:rPr>
          <w:t>A2002</w:t>
        </w:r>
        <w:r w:rsidR="009D74E7" w:rsidRPr="009D74E7">
          <w:rPr>
            <w:rStyle w:val="charCitHyperlinkAbbrev"/>
          </w:rPr>
          <w:noBreakHyphen/>
          <w:t>30</w:t>
        </w:r>
      </w:hyperlink>
      <w:r>
        <w:t xml:space="preserve"> amdt 3.662</w:t>
      </w:r>
      <w:r w:rsidR="00A43A92" w:rsidRPr="009D74E7">
        <w:rPr>
          <w:rFonts w:cs="Arial"/>
        </w:rPr>
        <w:t xml:space="preserve">; </w:t>
      </w:r>
      <w:hyperlink r:id="rId38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43A92" w:rsidRPr="009D74E7">
        <w:rPr>
          <w:rFonts w:cs="Arial"/>
        </w:rPr>
        <w:t xml:space="preserve"> amdt 1.595</w:t>
      </w:r>
      <w:r w:rsidR="006466D8">
        <w:rPr>
          <w:rFonts w:cs="Arial"/>
        </w:rPr>
        <w:t xml:space="preserve">; </w:t>
      </w:r>
      <w:hyperlink r:id="rId389" w:tooltip="Residential Tenancies Legislation Amendment Act 2016" w:history="1">
        <w:r w:rsidR="006466D8">
          <w:rPr>
            <w:rStyle w:val="Hyperlink"/>
            <w:u w:val="none"/>
          </w:rPr>
          <w:t>A2016-50</w:t>
        </w:r>
      </w:hyperlink>
      <w:r w:rsidR="006466D8">
        <w:t xml:space="preserve"> s 19</w:t>
      </w:r>
    </w:p>
    <w:p w:rsidR="00A43A92" w:rsidRDefault="00A43A92" w:rsidP="00A43A92">
      <w:pPr>
        <w:pStyle w:val="AmdtsEntryHd"/>
      </w:pPr>
      <w:r>
        <w:t>Damage, injury or intention to damage or injure</w:t>
      </w:r>
    </w:p>
    <w:p w:rsidR="00A43A92" w:rsidRDefault="00A43A92" w:rsidP="00A43A92">
      <w:pPr>
        <w:pStyle w:val="AmdtsEntries"/>
      </w:pPr>
      <w:r>
        <w:t>s 45</w:t>
      </w:r>
      <w:r>
        <w:tab/>
        <w:t xml:space="preserve">am </w:t>
      </w:r>
      <w:hyperlink r:id="rId3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12511B" w:rsidRDefault="0012511B" w:rsidP="0012511B">
      <w:pPr>
        <w:pStyle w:val="AmdtsEntryHd"/>
      </w:pPr>
      <w:r>
        <w:t>False or misleading statements</w:t>
      </w:r>
    </w:p>
    <w:p w:rsidR="0012511B" w:rsidRDefault="0012511B" w:rsidP="0012511B">
      <w:pPr>
        <w:pStyle w:val="AmdtsEntries"/>
      </w:pPr>
      <w:r>
        <w:t>s 46</w:t>
      </w:r>
      <w:r>
        <w:tab/>
        <w:t xml:space="preserve">am </w:t>
      </w:r>
      <w:hyperlink r:id="rId39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Termination initiated by lessor</w:t>
      </w:r>
    </w:p>
    <w:p w:rsidR="00450C28" w:rsidRDefault="00450C28">
      <w:pPr>
        <w:pStyle w:val="AmdtsEntries"/>
      </w:pPr>
      <w:r>
        <w:t>div 4.4 hdg</w:t>
      </w:r>
      <w:r>
        <w:tab/>
        <w:t>(prev pt 4 div 4 hdg) renum R2 LA</w:t>
      </w:r>
    </w:p>
    <w:p w:rsidR="00450C28" w:rsidRDefault="00450C28">
      <w:pPr>
        <w:pStyle w:val="AmdtsEntryHd"/>
      </w:pPr>
      <w:r>
        <w:lastRenderedPageBreak/>
        <w:t>No breach of standard residential tenancy terms</w:t>
      </w:r>
    </w:p>
    <w:p w:rsidR="00450C28" w:rsidRDefault="00450C28">
      <w:pPr>
        <w:pStyle w:val="AmdtsEntries"/>
        <w:keepNext/>
      </w:pPr>
      <w:r>
        <w:t>s 47 hdg</w:t>
      </w:r>
      <w:r>
        <w:tab/>
        <w:t xml:space="preserve">sub </w:t>
      </w:r>
      <w:hyperlink r:id="rId3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2.10</w:t>
      </w:r>
    </w:p>
    <w:p w:rsidR="00450C28" w:rsidRDefault="00450C28">
      <w:pPr>
        <w:pStyle w:val="AmdtsEntries"/>
      </w:pPr>
      <w:r>
        <w:t>s 47</w:t>
      </w:r>
      <w:r>
        <w:tab/>
        <w:t xml:space="preserve">am </w:t>
      </w:r>
      <w:hyperlink r:id="rId393"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3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2.11, amdt 2.12</w:t>
      </w:r>
      <w:r w:rsidR="00E06178" w:rsidRPr="009D74E7">
        <w:rPr>
          <w:rFonts w:cs="Arial"/>
        </w:rPr>
        <w:t xml:space="preserve">; </w:t>
      </w:r>
      <w:hyperlink r:id="rId3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rsidR="00450C28" w:rsidRDefault="00450C28">
      <w:pPr>
        <w:pStyle w:val="AmdtsEntryHd"/>
      </w:pPr>
      <w:r>
        <w:t>Certain breaches of standard residential tenancy terms</w:t>
      </w:r>
    </w:p>
    <w:p w:rsidR="00450C28" w:rsidRDefault="00450C28">
      <w:pPr>
        <w:pStyle w:val="AmdtsEntries"/>
        <w:keepNext/>
      </w:pPr>
      <w:r>
        <w:t>s 48 hdg</w:t>
      </w:r>
      <w:r>
        <w:tab/>
        <w:t xml:space="preserve">sub </w:t>
      </w:r>
      <w:hyperlink r:id="rId3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2.13</w:t>
      </w:r>
    </w:p>
    <w:p w:rsidR="00450C28" w:rsidRDefault="00450C28">
      <w:pPr>
        <w:pStyle w:val="AmdtsEntries"/>
      </w:pPr>
      <w:r>
        <w:t>s 48</w:t>
      </w:r>
      <w:r>
        <w:tab/>
        <w:t xml:space="preserve">am </w:t>
      </w:r>
      <w:hyperlink r:id="rId39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3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2.14, amdt 2.15; </w:t>
      </w:r>
      <w:hyperlink r:id="rId399"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1.52; </w:t>
      </w:r>
      <w:hyperlink r:id="rId400"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3.148</w:t>
      </w:r>
      <w:r w:rsidR="00E06178" w:rsidRPr="009D74E7">
        <w:rPr>
          <w:rFonts w:cs="Arial"/>
        </w:rPr>
        <w:t xml:space="preserve">; </w:t>
      </w:r>
      <w:hyperlink r:id="rId4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r w:rsidR="008B6365" w:rsidRPr="009D74E7">
        <w:rPr>
          <w:rFonts w:cs="Arial"/>
        </w:rPr>
        <w:t xml:space="preserve">; </w:t>
      </w:r>
      <w:hyperlink r:id="rId402"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r w:rsidR="008B6365" w:rsidRPr="009D74E7">
        <w:rPr>
          <w:rFonts w:cs="Arial"/>
        </w:rPr>
        <w:t xml:space="preserve"> amdt 1.34</w:t>
      </w:r>
    </w:p>
    <w:p w:rsidR="00450C28" w:rsidRDefault="00542426">
      <w:pPr>
        <w:pStyle w:val="AmdtsEntryHd"/>
      </w:pPr>
      <w:r w:rsidRPr="00483A42">
        <w:t>Failure to pay rent—termination and possession order</w:t>
      </w:r>
    </w:p>
    <w:p w:rsidR="00450C28" w:rsidRDefault="00450C28">
      <w:pPr>
        <w:pStyle w:val="AmdtsEntries"/>
        <w:rPr>
          <w:rFonts w:cs="Arial"/>
        </w:rPr>
      </w:pPr>
      <w:r>
        <w:t>s 49</w:t>
      </w:r>
      <w:r>
        <w:tab/>
        <w:t xml:space="preserve">am </w:t>
      </w:r>
      <w:hyperlink r:id="rId403"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2.16; </w:t>
      </w:r>
      <w:hyperlink r:id="rId405"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1.53; </w:t>
      </w:r>
      <w:hyperlink r:id="rId406"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amdts 3.149-3.151; ss renum R29 LA</w:t>
      </w:r>
      <w:r w:rsidR="00E06178" w:rsidRPr="009D74E7">
        <w:rPr>
          <w:rFonts w:cs="Arial"/>
        </w:rPr>
        <w:t xml:space="preserve">; </w:t>
      </w:r>
      <w:hyperlink r:id="rId4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06178" w:rsidRPr="009D74E7">
        <w:rPr>
          <w:rFonts w:cs="Arial"/>
        </w:rPr>
        <w:t xml:space="preserve"> amdt 1.595</w:t>
      </w:r>
    </w:p>
    <w:p w:rsidR="00542426" w:rsidRDefault="00542426">
      <w:pPr>
        <w:pStyle w:val="AmdtsEntries"/>
      </w:pPr>
      <w:r>
        <w:rPr>
          <w:rFonts w:cs="Arial"/>
        </w:rPr>
        <w:tab/>
        <w:t xml:space="preserve">sub </w:t>
      </w:r>
      <w:hyperlink r:id="rId408" w:tooltip="Residential Tenancies Amendment Act 2018" w:history="1">
        <w:r>
          <w:rPr>
            <w:rStyle w:val="charCitHyperlinkAbbrev"/>
          </w:rPr>
          <w:t>A2018</w:t>
        </w:r>
        <w:r>
          <w:rPr>
            <w:rStyle w:val="charCitHyperlinkAbbrev"/>
          </w:rPr>
          <w:noBreakHyphen/>
          <w:t>20</w:t>
        </w:r>
      </w:hyperlink>
      <w:r>
        <w:t xml:space="preserve"> s 5</w:t>
      </w:r>
    </w:p>
    <w:p w:rsidR="00542426" w:rsidRDefault="00542426" w:rsidP="00542426">
      <w:pPr>
        <w:pStyle w:val="AmdtsEntryHd"/>
      </w:pPr>
      <w:r w:rsidRPr="00483A42">
        <w:t>Failure to pay rent—payment order</w:t>
      </w:r>
    </w:p>
    <w:p w:rsidR="00542426" w:rsidRDefault="00542426">
      <w:pPr>
        <w:pStyle w:val="AmdtsEntries"/>
      </w:pPr>
      <w:r>
        <w:t>s 49A</w:t>
      </w:r>
      <w:r>
        <w:tab/>
        <w:t xml:space="preserve">ins </w:t>
      </w:r>
      <w:hyperlink r:id="rId409" w:tooltip="Residential Tenancies Amendment Act 2018" w:history="1">
        <w:r>
          <w:rPr>
            <w:rStyle w:val="charCitHyperlinkAbbrev"/>
          </w:rPr>
          <w:t>A2018</w:t>
        </w:r>
        <w:r>
          <w:rPr>
            <w:rStyle w:val="charCitHyperlinkAbbrev"/>
          </w:rPr>
          <w:noBreakHyphen/>
          <w:t>20</w:t>
        </w:r>
      </w:hyperlink>
      <w:r>
        <w:t xml:space="preserve"> s 5</w:t>
      </w:r>
    </w:p>
    <w:p w:rsidR="003D0A13" w:rsidRPr="003D0A13" w:rsidRDefault="003D0A13">
      <w:pPr>
        <w:pStyle w:val="AmdtsEntries"/>
      </w:pPr>
      <w:r>
        <w:tab/>
        <w:t xml:space="preserve">am </w:t>
      </w:r>
      <w:hyperlink r:id="rId410" w:tooltip="Justice and Community Safety Legislation Amendment Act 2019" w:history="1">
        <w:r>
          <w:rPr>
            <w:rStyle w:val="charCitHyperlinkAbbrev"/>
          </w:rPr>
          <w:t>A2019</w:t>
        </w:r>
        <w:r>
          <w:rPr>
            <w:rStyle w:val="charCitHyperlinkAbbrev"/>
          </w:rPr>
          <w:noBreakHyphen/>
          <w:t>17</w:t>
        </w:r>
      </w:hyperlink>
      <w:r>
        <w:t xml:space="preserve"> s 32</w:t>
      </w:r>
      <w:r w:rsidR="00C9545F">
        <w:t>; ss renum R57 LA</w:t>
      </w:r>
    </w:p>
    <w:p w:rsidR="00542426" w:rsidRDefault="00542426" w:rsidP="00542426">
      <w:pPr>
        <w:pStyle w:val="AmdtsEntryHd"/>
      </w:pPr>
      <w:r w:rsidRPr="00483A42">
        <w:t>Failure to comply with payment order</w:t>
      </w:r>
    </w:p>
    <w:p w:rsidR="00542426" w:rsidRPr="00542426" w:rsidRDefault="00542426">
      <w:pPr>
        <w:pStyle w:val="AmdtsEntries"/>
      </w:pPr>
      <w:r>
        <w:t>s 49B</w:t>
      </w:r>
      <w:r>
        <w:tab/>
        <w:t xml:space="preserve">ins </w:t>
      </w:r>
      <w:hyperlink r:id="rId411" w:tooltip="Residential Tenancies Amendment Act 2018" w:history="1">
        <w:r>
          <w:rPr>
            <w:rStyle w:val="charCitHyperlinkAbbrev"/>
          </w:rPr>
          <w:t>A2018</w:t>
        </w:r>
        <w:r>
          <w:rPr>
            <w:rStyle w:val="charCitHyperlinkAbbrev"/>
          </w:rPr>
          <w:noBreakHyphen/>
          <w:t>20</w:t>
        </w:r>
      </w:hyperlink>
      <w:r>
        <w:t xml:space="preserve"> s 5</w:t>
      </w:r>
    </w:p>
    <w:p w:rsidR="00542426" w:rsidRDefault="00542426" w:rsidP="00542426">
      <w:pPr>
        <w:pStyle w:val="AmdtsEntryHd"/>
      </w:pPr>
      <w:r w:rsidRPr="00483A42">
        <w:t>Hearing of application—failure to comply with payment order</w:t>
      </w:r>
    </w:p>
    <w:p w:rsidR="00542426" w:rsidRPr="00542426" w:rsidRDefault="00542426">
      <w:pPr>
        <w:pStyle w:val="AmdtsEntries"/>
      </w:pPr>
      <w:r>
        <w:t>s 49C</w:t>
      </w:r>
      <w:r>
        <w:tab/>
        <w:t xml:space="preserve">ins </w:t>
      </w:r>
      <w:hyperlink r:id="rId412" w:tooltip="Residential Tenancies Amendment Act 2018" w:history="1">
        <w:r>
          <w:rPr>
            <w:rStyle w:val="charCitHyperlinkAbbrev"/>
          </w:rPr>
          <w:t>A2018</w:t>
        </w:r>
        <w:r>
          <w:rPr>
            <w:rStyle w:val="charCitHyperlinkAbbrev"/>
          </w:rPr>
          <w:noBreakHyphen/>
          <w:t>20</w:t>
        </w:r>
      </w:hyperlink>
      <w:r>
        <w:t xml:space="preserve"> s 5</w:t>
      </w:r>
    </w:p>
    <w:p w:rsidR="00E06178" w:rsidRDefault="00E06178" w:rsidP="00E06178">
      <w:pPr>
        <w:pStyle w:val="AmdtsEntryHd"/>
      </w:pPr>
      <w:r>
        <w:rPr>
          <w:szCs w:val="24"/>
        </w:rPr>
        <w:t>Significant hardship</w:t>
      </w:r>
    </w:p>
    <w:p w:rsidR="00E06178" w:rsidRDefault="00E06178" w:rsidP="00E06178">
      <w:pPr>
        <w:pStyle w:val="AmdtsEntries"/>
      </w:pPr>
      <w:r>
        <w:t>s 50</w:t>
      </w:r>
      <w:r>
        <w:tab/>
        <w:t xml:space="preserve">am </w:t>
      </w:r>
      <w:hyperlink r:id="rId4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Damage, injury or intention to damage or injure</w:t>
      </w:r>
    </w:p>
    <w:p w:rsidR="00450C28" w:rsidRDefault="00450C28">
      <w:pPr>
        <w:pStyle w:val="AmdtsEntries"/>
        <w:keepNext/>
      </w:pPr>
      <w:r>
        <w:t>s 51</w:t>
      </w:r>
      <w:r>
        <w:tab/>
        <w:t xml:space="preserve">sub </w:t>
      </w:r>
      <w:hyperlink r:id="rId4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14</w:t>
      </w:r>
    </w:p>
    <w:p w:rsidR="00450C28" w:rsidRPr="009D74E7" w:rsidRDefault="00450C28">
      <w:pPr>
        <w:pStyle w:val="AmdtsEntries"/>
      </w:pPr>
      <w:r>
        <w:tab/>
        <w:t xml:space="preserve">am </w:t>
      </w:r>
      <w:hyperlink r:id="rId415"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1.31; </w:t>
      </w:r>
      <w:hyperlink r:id="rId41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17</w:t>
      </w:r>
      <w:r w:rsidR="00CB3162" w:rsidRPr="009D74E7">
        <w:rPr>
          <w:rFonts w:cs="Arial"/>
        </w:rPr>
        <w:t xml:space="preserve">; </w:t>
      </w:r>
      <w:hyperlink r:id="rId41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CB3162" w:rsidRPr="009D74E7">
        <w:rPr>
          <w:rFonts w:cs="Arial"/>
        </w:rPr>
        <w:t xml:space="preserve"> amdt 1.595</w:t>
      </w:r>
    </w:p>
    <w:p w:rsidR="00CB3162" w:rsidRDefault="00CB3162" w:rsidP="00CB3162">
      <w:pPr>
        <w:pStyle w:val="AmdtsEntryHd"/>
      </w:pPr>
      <w:r>
        <w:t>False or misleading statements</w:t>
      </w:r>
    </w:p>
    <w:p w:rsidR="00CB3162" w:rsidRDefault="00CB3162" w:rsidP="00CB3162">
      <w:pPr>
        <w:pStyle w:val="AmdtsEntries"/>
      </w:pPr>
      <w:r>
        <w:t>s 52</w:t>
      </w:r>
      <w:r>
        <w:tab/>
        <w:t xml:space="preserve">am </w:t>
      </w:r>
      <w:hyperlink r:id="rId4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CB3162" w:rsidRDefault="00CB3162" w:rsidP="00CB3162">
      <w:pPr>
        <w:pStyle w:val="AmdtsEntryHd"/>
      </w:pPr>
      <w:r>
        <w:t>Employer-provided accommodation</w:t>
      </w:r>
    </w:p>
    <w:p w:rsidR="00CB3162" w:rsidRDefault="00CB3162" w:rsidP="00CB3162">
      <w:pPr>
        <w:pStyle w:val="AmdtsEntries"/>
      </w:pPr>
      <w:r>
        <w:t>s 53</w:t>
      </w:r>
      <w:r>
        <w:tab/>
        <w:t xml:space="preserve">am </w:t>
      </w:r>
      <w:hyperlink r:id="rId41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450C28" w:rsidRDefault="00450C28">
      <w:pPr>
        <w:pStyle w:val="AmdtsEntryHd"/>
      </w:pPr>
      <w:r>
        <w:t>Purported assignment or subletting</w:t>
      </w:r>
    </w:p>
    <w:p w:rsidR="00450C28" w:rsidRDefault="00450C28">
      <w:pPr>
        <w:pStyle w:val="AmdtsEntries"/>
      </w:pPr>
      <w:r>
        <w:t>s 54</w:t>
      </w:r>
      <w:r>
        <w:tab/>
        <w:t xml:space="preserve">am </w:t>
      </w:r>
      <w:hyperlink r:id="rId42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1.3640; </w:t>
      </w:r>
      <w:hyperlink r:id="rId4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2.17, amdt 2.18</w:t>
      </w:r>
      <w:r w:rsidR="00B015CA" w:rsidRPr="009D74E7">
        <w:rPr>
          <w:rFonts w:cs="Arial"/>
        </w:rPr>
        <w:t xml:space="preserve">; </w:t>
      </w:r>
      <w:hyperlink r:id="rId42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p>
    <w:p w:rsidR="00B015CA" w:rsidRDefault="00B015CA" w:rsidP="00B015CA">
      <w:pPr>
        <w:pStyle w:val="AmdtsEntryHd"/>
      </w:pPr>
      <w:r>
        <w:rPr>
          <w:szCs w:val="24"/>
        </w:rPr>
        <w:t>Repudiation without vacation</w:t>
      </w:r>
    </w:p>
    <w:p w:rsidR="00B015CA" w:rsidRDefault="00B015CA" w:rsidP="00B015CA">
      <w:pPr>
        <w:pStyle w:val="AmdtsEntries"/>
      </w:pPr>
      <w:r>
        <w:t>s 55</w:t>
      </w:r>
      <w:r>
        <w:tab/>
        <w:t xml:space="preserve">am </w:t>
      </w:r>
      <w:hyperlink r:id="rId4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2D5F39" w:rsidRDefault="002D5F39">
      <w:pPr>
        <w:pStyle w:val="AmdtsEntryHd"/>
      </w:pPr>
      <w:r w:rsidRPr="00E17C2E">
        <w:t>Affected residential premises</w:t>
      </w:r>
    </w:p>
    <w:p w:rsidR="002D5F39" w:rsidRPr="002D5F39" w:rsidRDefault="002D5F39" w:rsidP="002D5F39">
      <w:pPr>
        <w:pStyle w:val="AmdtsEntries"/>
      </w:pPr>
      <w:r>
        <w:t>s 55A</w:t>
      </w:r>
      <w:r>
        <w:tab/>
        <w:t xml:space="preserve">ins </w:t>
      </w:r>
      <w:hyperlink r:id="rId424" w:tooltip="Dangerous Substances (Loose-fill Asbestos Eradication) Legislation Amendment Act 2015" w:history="1">
        <w:r>
          <w:rPr>
            <w:rStyle w:val="charCitHyperlinkAbbrev"/>
          </w:rPr>
          <w:t>A2015</w:t>
        </w:r>
        <w:r>
          <w:rPr>
            <w:rStyle w:val="charCitHyperlinkAbbrev"/>
          </w:rPr>
          <w:noBreakHyphen/>
          <w:t>6</w:t>
        </w:r>
      </w:hyperlink>
      <w:r>
        <w:t xml:space="preserve"> amdt 1.16</w:t>
      </w:r>
    </w:p>
    <w:p w:rsidR="003C606A" w:rsidRDefault="003C606A">
      <w:pPr>
        <w:pStyle w:val="AmdtsEntryHd"/>
      </w:pPr>
      <w:r w:rsidRPr="00667352">
        <w:t>Eligible impacted property</w:t>
      </w:r>
    </w:p>
    <w:p w:rsidR="003C606A" w:rsidRPr="003C606A" w:rsidRDefault="003C606A" w:rsidP="003C606A">
      <w:pPr>
        <w:pStyle w:val="AmdtsEntries"/>
      </w:pPr>
      <w:r>
        <w:t>s 55B</w:t>
      </w:r>
      <w:r>
        <w:tab/>
        <w:t xml:space="preserve">ins </w:t>
      </w:r>
      <w:hyperlink r:id="rId425" w:tooltip="Building (Loose-fill Asbestos Eradication) Legislation Amendment Act 2015" w:history="1">
        <w:r>
          <w:rPr>
            <w:rStyle w:val="charCitHyperlinkAbbrev"/>
          </w:rPr>
          <w:t>A2015</w:t>
        </w:r>
        <w:r>
          <w:rPr>
            <w:rStyle w:val="charCitHyperlinkAbbrev"/>
          </w:rPr>
          <w:noBreakHyphen/>
          <w:t>42</w:t>
        </w:r>
      </w:hyperlink>
      <w:r>
        <w:t xml:space="preserve"> s 53</w:t>
      </w:r>
    </w:p>
    <w:p w:rsidR="00450C28" w:rsidRDefault="00450C28">
      <w:pPr>
        <w:pStyle w:val="AmdtsEntryHd"/>
      </w:pPr>
      <w:r>
        <w:lastRenderedPageBreak/>
        <w:t>Compensation to lessor</w:t>
      </w:r>
    </w:p>
    <w:p w:rsidR="00450C28" w:rsidRDefault="00450C28">
      <w:pPr>
        <w:pStyle w:val="AmdtsEntries"/>
      </w:pPr>
      <w:r>
        <w:t>s 56</w:t>
      </w:r>
      <w:r>
        <w:tab/>
        <w:t xml:space="preserve">am </w:t>
      </w:r>
      <w:hyperlink r:id="rId42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2.19</w:t>
      </w:r>
      <w:r w:rsidR="00B015CA" w:rsidRPr="009D74E7">
        <w:rPr>
          <w:rFonts w:cs="Arial"/>
        </w:rPr>
        <w:t xml:space="preserve">; </w:t>
      </w:r>
      <w:hyperlink r:id="rId4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B015CA" w:rsidRPr="009D74E7">
        <w:rPr>
          <w:rFonts w:cs="Arial"/>
        </w:rPr>
        <w:t xml:space="preserve"> amdt 1.595</w:t>
      </w:r>
    </w:p>
    <w:p w:rsidR="00450C28" w:rsidRDefault="00450C28">
      <w:pPr>
        <w:pStyle w:val="AmdtsEntryHd"/>
      </w:pPr>
      <w:r>
        <w:t>Retaliatory applications</w:t>
      </w:r>
    </w:p>
    <w:p w:rsidR="00450C28" w:rsidRDefault="00450C28" w:rsidP="00256F51">
      <w:pPr>
        <w:pStyle w:val="AmdtsEntries"/>
        <w:keepNext/>
      </w:pPr>
      <w:r>
        <w:t>s 57</w:t>
      </w:r>
      <w:r>
        <w:tab/>
        <w:t xml:space="preserve">sub </w:t>
      </w:r>
      <w:hyperlink r:id="rId42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15</w:t>
      </w:r>
    </w:p>
    <w:p w:rsidR="00B015CA" w:rsidRPr="009D74E7" w:rsidRDefault="00B015CA">
      <w:pPr>
        <w:pStyle w:val="AmdtsEntries"/>
      </w:pPr>
      <w:r>
        <w:tab/>
        <w:t xml:space="preserve">am </w:t>
      </w:r>
      <w:hyperlink r:id="rId42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Default="00450C28">
      <w:pPr>
        <w:pStyle w:val="AmdtsEntryHd"/>
      </w:pPr>
      <w:r>
        <w:t>Defective termination notices</w:t>
      </w:r>
    </w:p>
    <w:p w:rsidR="00450C28" w:rsidRDefault="00450C28">
      <w:pPr>
        <w:pStyle w:val="AmdtsEntries"/>
      </w:pPr>
      <w:r>
        <w:t>div 4.5 hdg</w:t>
      </w:r>
      <w:r>
        <w:tab/>
        <w:t>(prev pt 4 div 5 hdg) renum R2 LA</w:t>
      </w:r>
    </w:p>
    <w:p w:rsidR="00450C28" w:rsidRDefault="00450C28">
      <w:pPr>
        <w:pStyle w:val="AmdtsEntryHd"/>
      </w:pPr>
      <w:r>
        <w:t>Lessor’s defective notice if tenant vacates</w:t>
      </w:r>
    </w:p>
    <w:p w:rsidR="00450C28" w:rsidRDefault="00450C28">
      <w:pPr>
        <w:pStyle w:val="AmdtsEntries"/>
      </w:pPr>
      <w:r>
        <w:t>s 58</w:t>
      </w:r>
      <w:r>
        <w:tab/>
        <w:t xml:space="preserve">am </w:t>
      </w:r>
      <w:hyperlink r:id="rId43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1.3641, amdt 1.3642</w:t>
      </w:r>
      <w:r w:rsidR="00161866" w:rsidRPr="009D74E7">
        <w:rPr>
          <w:rFonts w:cs="Arial"/>
        </w:rPr>
        <w:t xml:space="preserve">; </w:t>
      </w:r>
      <w:hyperlink r:id="rId43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432"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rsidR="00450C28" w:rsidRDefault="00450C28">
      <w:pPr>
        <w:pStyle w:val="AmdtsEntryHd"/>
      </w:pPr>
      <w:r>
        <w:t>Lessor’s defective notice if tenant does not vacate</w:t>
      </w:r>
    </w:p>
    <w:p w:rsidR="00450C28" w:rsidRDefault="00450C28">
      <w:pPr>
        <w:pStyle w:val="AmdtsEntries"/>
      </w:pPr>
      <w:r>
        <w:t>s 59</w:t>
      </w:r>
      <w:r>
        <w:tab/>
        <w:t xml:space="preserve">am </w:t>
      </w:r>
      <w:hyperlink r:id="rId433"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1.3643; </w:t>
      </w:r>
      <w:hyperlink r:id="rId4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2.20</w:t>
      </w:r>
      <w:r w:rsidR="00161866" w:rsidRPr="009D74E7">
        <w:rPr>
          <w:rFonts w:cs="Arial"/>
        </w:rPr>
        <w:t xml:space="preserve">; </w:t>
      </w:r>
      <w:hyperlink r:id="rId43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r w:rsidR="00A53457">
        <w:rPr>
          <w:rFonts w:cs="Arial"/>
        </w:rPr>
        <w:t xml:space="preserve">; </w:t>
      </w:r>
      <w:hyperlink r:id="rId436" w:tooltip="Statute Law Amendment Act 2017" w:history="1">
        <w:r w:rsidR="00A53457" w:rsidRPr="0038160B">
          <w:rPr>
            <w:rStyle w:val="charCitHyperlinkAbbrev"/>
          </w:rPr>
          <w:t>A2017</w:t>
        </w:r>
        <w:r w:rsidR="00A53457" w:rsidRPr="0038160B">
          <w:rPr>
            <w:rStyle w:val="charCitHyperlinkAbbrev"/>
          </w:rPr>
          <w:noBreakHyphen/>
          <w:t>4</w:t>
        </w:r>
      </w:hyperlink>
      <w:r w:rsidR="00A53457">
        <w:rPr>
          <w:rFonts w:cs="Arial"/>
        </w:rPr>
        <w:t xml:space="preserve"> amdt 3.170</w:t>
      </w:r>
    </w:p>
    <w:p w:rsidR="00450C28" w:rsidRDefault="00450C28">
      <w:pPr>
        <w:pStyle w:val="AmdtsEntryHd"/>
        <w:keepNext w:val="0"/>
      </w:pPr>
      <w:r>
        <w:t>Tenant’s defective termination notice</w:t>
      </w:r>
    </w:p>
    <w:p w:rsidR="00450C28" w:rsidRDefault="00450C28">
      <w:pPr>
        <w:pStyle w:val="AmdtsEntries"/>
      </w:pPr>
      <w:r>
        <w:t>s 60</w:t>
      </w:r>
      <w:r>
        <w:tab/>
        <w:t xml:space="preserve">am </w:t>
      </w:r>
      <w:hyperlink r:id="rId43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1.3644, 1.3646</w:t>
      </w:r>
      <w:r w:rsidR="00161866" w:rsidRPr="009D74E7">
        <w:rPr>
          <w:rFonts w:cs="Arial"/>
        </w:rPr>
        <w:t xml:space="preserve">; </w:t>
      </w:r>
      <w:hyperlink r:id="rId43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450C28" w:rsidRDefault="00450C28">
      <w:pPr>
        <w:pStyle w:val="AmdtsEntryHd"/>
      </w:pPr>
      <w:r>
        <w:t>Abandonment of premises</w:t>
      </w:r>
    </w:p>
    <w:p w:rsidR="00450C28" w:rsidRDefault="00450C28">
      <w:pPr>
        <w:pStyle w:val="AmdtsEntries"/>
      </w:pPr>
      <w:r>
        <w:t>div 4.6 hdg</w:t>
      </w:r>
      <w:r>
        <w:tab/>
        <w:t>(prev pt 4 div 6 hdg) renum R2 LA</w:t>
      </w:r>
    </w:p>
    <w:p w:rsidR="00450C28" w:rsidRDefault="00450C28">
      <w:pPr>
        <w:pStyle w:val="AmdtsEntryHd"/>
        <w:rPr>
          <w:noProof/>
        </w:rPr>
      </w:pPr>
      <w:r>
        <w:rPr>
          <w:noProof/>
        </w:rPr>
        <w:t>Effect of abandonment</w:t>
      </w:r>
    </w:p>
    <w:p w:rsidR="00450C28" w:rsidRPr="009D74E7" w:rsidRDefault="00450C28">
      <w:pPr>
        <w:pStyle w:val="AmdtsEntries"/>
      </w:pPr>
      <w:r>
        <w:t>s 61</w:t>
      </w:r>
      <w:r>
        <w:tab/>
        <w:t xml:space="preserve">am </w:t>
      </w:r>
      <w:hyperlink r:id="rId43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16</w:t>
      </w:r>
      <w:r w:rsidR="00D52C57">
        <w:t xml:space="preserve">; </w:t>
      </w:r>
      <w:hyperlink r:id="rId44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D52C57">
        <w:t xml:space="preserve"> amdt 1.585</w:t>
      </w:r>
    </w:p>
    <w:p w:rsidR="0057511F" w:rsidRDefault="0057511F">
      <w:pPr>
        <w:pStyle w:val="AmdtsEntryHd"/>
        <w:rPr>
          <w:noProof/>
        </w:rPr>
      </w:pPr>
      <w:r w:rsidRPr="00E56DA5">
        <w:t>Lessor may enter premises to confirm abandonment</w:t>
      </w:r>
    </w:p>
    <w:p w:rsidR="0057511F" w:rsidRPr="0057511F" w:rsidRDefault="0057511F" w:rsidP="0057511F">
      <w:pPr>
        <w:pStyle w:val="AmdtsEntries"/>
      </w:pPr>
      <w:r>
        <w:t>s 61A</w:t>
      </w:r>
      <w:r>
        <w:tab/>
        <w:t xml:space="preserve">ins </w:t>
      </w:r>
      <w:hyperlink r:id="rId441" w:tooltip="Residential Tenancies Legislation Amendment Act 2016" w:history="1">
        <w:r w:rsidRPr="008B6A1B">
          <w:rPr>
            <w:rStyle w:val="charCitHyperlinkAbbrev"/>
          </w:rPr>
          <w:t>A2016-50</w:t>
        </w:r>
      </w:hyperlink>
      <w:r>
        <w:t xml:space="preserve"> s 20</w:t>
      </w:r>
    </w:p>
    <w:p w:rsidR="00450C28" w:rsidRPr="009D74E7" w:rsidRDefault="00450C28">
      <w:pPr>
        <w:pStyle w:val="AmdtsEntryHd"/>
      </w:pPr>
      <w:r>
        <w:rPr>
          <w:noProof/>
        </w:rPr>
        <w:t>Abandonment during fixed term</w:t>
      </w:r>
    </w:p>
    <w:p w:rsidR="00450C28" w:rsidRDefault="00450C28">
      <w:pPr>
        <w:pStyle w:val="AmdtsEntries"/>
      </w:pPr>
      <w:r>
        <w:t>s 62</w:t>
      </w:r>
      <w:r>
        <w:tab/>
        <w:t xml:space="preserve">am </w:t>
      </w:r>
      <w:hyperlink r:id="rId442" w:tooltip="Residential Tenancies (Amendment) Act 1998" w:history="1">
        <w:r w:rsidR="009D74E7" w:rsidRPr="009D74E7">
          <w:rPr>
            <w:rStyle w:val="charCitHyperlinkAbbrev"/>
          </w:rPr>
          <w:t>A1998</w:t>
        </w:r>
        <w:r w:rsidR="009D74E7" w:rsidRPr="009D74E7">
          <w:rPr>
            <w:rStyle w:val="charCitHyperlinkAbbrev"/>
          </w:rPr>
          <w:noBreakHyphen/>
          <w:t>5</w:t>
        </w:r>
      </w:hyperlink>
      <w:r w:rsidR="00161866" w:rsidRPr="009D74E7">
        <w:rPr>
          <w:rFonts w:cs="Arial"/>
        </w:rPr>
        <w:t xml:space="preserve">; </w:t>
      </w:r>
      <w:hyperlink r:id="rId44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E03C18" w:rsidRDefault="00E03C18">
      <w:pPr>
        <w:pStyle w:val="AmdtsEntryHd"/>
      </w:pPr>
      <w:r>
        <w:t>Abandonment during periodic agreement</w:t>
      </w:r>
    </w:p>
    <w:p w:rsidR="00E03C18" w:rsidRPr="00E03C18" w:rsidRDefault="00E03C18" w:rsidP="00E03C18">
      <w:pPr>
        <w:pStyle w:val="AmdtsEntries"/>
      </w:pPr>
      <w:r>
        <w:t>s 63</w:t>
      </w:r>
      <w:r>
        <w:tab/>
        <w:t xml:space="preserve">am </w:t>
      </w:r>
      <w:hyperlink r:id="rId444" w:tooltip="Statute Law Amendment Act 2017" w:history="1">
        <w:r w:rsidRPr="0038160B">
          <w:rPr>
            <w:rStyle w:val="charCitHyperlinkAbbrev"/>
          </w:rPr>
          <w:t>A2017</w:t>
        </w:r>
        <w:r w:rsidRPr="0038160B">
          <w:rPr>
            <w:rStyle w:val="charCitHyperlinkAbbrev"/>
          </w:rPr>
          <w:noBreakHyphen/>
          <w:t>4</w:t>
        </w:r>
      </w:hyperlink>
      <w:r>
        <w:t xml:space="preserve"> amdt 3.171</w:t>
      </w:r>
    </w:p>
    <w:p w:rsidR="00450C28" w:rsidRDefault="00450C28">
      <w:pPr>
        <w:pStyle w:val="AmdtsEntryHd"/>
      </w:pPr>
      <w:r>
        <w:t>Miscellaneous</w:t>
      </w:r>
    </w:p>
    <w:p w:rsidR="00450C28" w:rsidRDefault="00450C28">
      <w:pPr>
        <w:pStyle w:val="AmdtsEntries"/>
      </w:pPr>
      <w:r>
        <w:t>div 4.7 hdg</w:t>
      </w:r>
      <w:r>
        <w:tab/>
        <w:t>(prev pt 4 div 7 hdg) renum R2 LA</w:t>
      </w:r>
    </w:p>
    <w:p w:rsidR="00450C28" w:rsidRPr="009D74E7" w:rsidRDefault="00450C28">
      <w:pPr>
        <w:pStyle w:val="AmdtsEntryHd"/>
      </w:pPr>
      <w:r>
        <w:rPr>
          <w:noProof/>
        </w:rPr>
        <w:t>Successor in title to lessor</w:t>
      </w:r>
    </w:p>
    <w:p w:rsidR="00450C28" w:rsidRPr="009D74E7" w:rsidRDefault="00450C28">
      <w:pPr>
        <w:pStyle w:val="AmdtsEntries"/>
      </w:pPr>
      <w:r>
        <w:t>s 64</w:t>
      </w:r>
      <w:r>
        <w:tab/>
        <w:t xml:space="preserve">am </w:t>
      </w:r>
      <w:hyperlink r:id="rId445"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446"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1.3646-1.</w:t>
      </w:r>
      <w:r>
        <w:t xml:space="preserve">3648, </w:t>
      </w:r>
      <w:hyperlink r:id="rId4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17, s 18; ss renum R10 LA (see </w:t>
      </w:r>
      <w:hyperlink r:id="rId44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19)</w:t>
      </w:r>
    </w:p>
    <w:p w:rsidR="001D7131" w:rsidRDefault="001D7131">
      <w:pPr>
        <w:pStyle w:val="AmdtsEntryHd"/>
      </w:pPr>
      <w:r w:rsidRPr="00496449">
        <w:t>Standard residential tenancy term—increase in rent</w:t>
      </w:r>
    </w:p>
    <w:p w:rsidR="001D7131" w:rsidRDefault="001D7131" w:rsidP="001D7131">
      <w:pPr>
        <w:pStyle w:val="AmdtsEntries"/>
      </w:pPr>
      <w:r>
        <w:t>s 64A</w:t>
      </w:r>
      <w:r>
        <w:tab/>
        <w:t xml:space="preserve">ins </w:t>
      </w:r>
      <w:hyperlink r:id="rId449"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r>
        <w:t xml:space="preserve"> s 66</w:t>
      </w:r>
    </w:p>
    <w:p w:rsidR="007D3982" w:rsidRDefault="007D3982" w:rsidP="007D3982">
      <w:pPr>
        <w:pStyle w:val="AmdtsEntryHd"/>
      </w:pPr>
      <w:r w:rsidRPr="00604238">
        <w:t>Limitation on rent increases</w:t>
      </w:r>
    </w:p>
    <w:p w:rsidR="007D3982" w:rsidRDefault="007D3982" w:rsidP="001D7131">
      <w:pPr>
        <w:pStyle w:val="AmdtsEntries"/>
      </w:pPr>
      <w:r>
        <w:t>s 64B</w:t>
      </w:r>
      <w:r>
        <w:tab/>
        <w:t xml:space="preserve">ins </w:t>
      </w:r>
      <w:hyperlink r:id="rId450" w:tooltip="Residential Tenancies Amendment Act 2019" w:history="1">
        <w:r>
          <w:rPr>
            <w:rStyle w:val="charCitHyperlinkAbbrev"/>
          </w:rPr>
          <w:t>A2019-5</w:t>
        </w:r>
      </w:hyperlink>
      <w:r>
        <w:t xml:space="preserve"> s 7</w:t>
      </w:r>
    </w:p>
    <w:p w:rsidR="007D3982" w:rsidRDefault="007D3982" w:rsidP="007D3982">
      <w:pPr>
        <w:pStyle w:val="AmdtsEntryHd"/>
      </w:pPr>
      <w:r w:rsidRPr="00604238">
        <w:t>Tenant may apply for review</w:t>
      </w:r>
    </w:p>
    <w:p w:rsidR="007D3982" w:rsidRPr="001D7131" w:rsidRDefault="007D3982" w:rsidP="001D7131">
      <w:pPr>
        <w:pStyle w:val="AmdtsEntries"/>
      </w:pPr>
      <w:r>
        <w:t>s 64C</w:t>
      </w:r>
      <w:r>
        <w:tab/>
        <w:t xml:space="preserve">ins </w:t>
      </w:r>
      <w:hyperlink r:id="rId451" w:tooltip="Residential Tenancies Amendment Act 2019" w:history="1">
        <w:r>
          <w:rPr>
            <w:rStyle w:val="charCitHyperlinkAbbrev"/>
          </w:rPr>
          <w:t>A2019-5</w:t>
        </w:r>
      </w:hyperlink>
      <w:r>
        <w:t xml:space="preserve"> s 7</w:t>
      </w:r>
    </w:p>
    <w:p w:rsidR="002D5F39" w:rsidRDefault="002D5F39" w:rsidP="002D5F39">
      <w:pPr>
        <w:pStyle w:val="AmdtsEntryHd"/>
      </w:pPr>
      <w:r w:rsidRPr="00E17C2E">
        <w:t>Termination—affected residential premises</w:t>
      </w:r>
    </w:p>
    <w:p w:rsidR="002D5F39" w:rsidRPr="002D5F39" w:rsidRDefault="002D5F39" w:rsidP="002D5F39">
      <w:pPr>
        <w:pStyle w:val="AmdtsEntries"/>
      </w:pPr>
      <w:r>
        <w:t>s 64AA</w:t>
      </w:r>
      <w:r>
        <w:tab/>
        <w:t xml:space="preserve">ins </w:t>
      </w:r>
      <w:hyperlink r:id="rId452" w:tooltip="Dangerous Substances (Loose-fill Asbestos Eradication) Legislation Amendment Act 2015" w:history="1">
        <w:r>
          <w:rPr>
            <w:rStyle w:val="charCitHyperlinkAbbrev"/>
          </w:rPr>
          <w:t>A2015</w:t>
        </w:r>
        <w:r>
          <w:rPr>
            <w:rStyle w:val="charCitHyperlinkAbbrev"/>
          </w:rPr>
          <w:noBreakHyphen/>
          <w:t>6</w:t>
        </w:r>
      </w:hyperlink>
      <w:r>
        <w:t xml:space="preserve"> amdt 1.17</w:t>
      </w:r>
    </w:p>
    <w:p w:rsidR="003C606A" w:rsidRDefault="003C606A">
      <w:pPr>
        <w:pStyle w:val="AmdtsEntryHd"/>
      </w:pPr>
      <w:r w:rsidRPr="00667352">
        <w:lastRenderedPageBreak/>
        <w:t>Termination—eligible impacted property</w:t>
      </w:r>
    </w:p>
    <w:p w:rsidR="003C606A" w:rsidRPr="003C606A" w:rsidRDefault="003C606A" w:rsidP="003C606A">
      <w:pPr>
        <w:pStyle w:val="AmdtsEntries"/>
      </w:pPr>
      <w:r>
        <w:t>s 64AB</w:t>
      </w:r>
      <w:r>
        <w:tab/>
        <w:t xml:space="preserve">ins </w:t>
      </w:r>
      <w:hyperlink r:id="rId453" w:tooltip="Building (Loose-fill Asbestos Eradication) Legislation Amendment Act 2015" w:history="1">
        <w:r>
          <w:rPr>
            <w:rStyle w:val="charCitHyperlinkAbbrev"/>
          </w:rPr>
          <w:t>A2015</w:t>
        </w:r>
        <w:r>
          <w:rPr>
            <w:rStyle w:val="charCitHyperlinkAbbrev"/>
          </w:rPr>
          <w:noBreakHyphen/>
          <w:t>42</w:t>
        </w:r>
      </w:hyperlink>
      <w:r>
        <w:t xml:space="preserve"> s 54</w:t>
      </w:r>
    </w:p>
    <w:p w:rsidR="00450C28" w:rsidRPr="009D74E7" w:rsidRDefault="00450C28">
      <w:pPr>
        <w:pStyle w:val="AmdtsEntryHd"/>
      </w:pPr>
      <w:r>
        <w:t>Waiver of notice requirements</w:t>
      </w:r>
    </w:p>
    <w:p w:rsidR="00450C28" w:rsidRDefault="00450C28">
      <w:pPr>
        <w:pStyle w:val="AmdtsEntries"/>
      </w:pPr>
      <w:r>
        <w:t>s 65</w:t>
      </w:r>
      <w:r>
        <w:tab/>
        <w:t xml:space="preserve">am </w:t>
      </w:r>
      <w:hyperlink r:id="rId45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6A6D55">
        <w:t>1.3649-1.</w:t>
      </w:r>
      <w:r>
        <w:t xml:space="preserve">3651; </w:t>
      </w:r>
      <w:hyperlink r:id="rId45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2.21</w:t>
      </w:r>
      <w:r w:rsidR="00161866" w:rsidRPr="009D74E7">
        <w:rPr>
          <w:rFonts w:cs="Arial"/>
        </w:rPr>
        <w:t xml:space="preserve">; </w:t>
      </w:r>
      <w:hyperlink r:id="rId45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161866" w:rsidRPr="009D74E7">
        <w:rPr>
          <w:rFonts w:cs="Arial"/>
        </w:rPr>
        <w:t xml:space="preserve"> amdt 1.595</w:t>
      </w:r>
    </w:p>
    <w:p w:rsidR="00161866" w:rsidRDefault="00161866" w:rsidP="00161866">
      <w:pPr>
        <w:pStyle w:val="AmdtsEntryHd"/>
        <w:rPr>
          <w:noProof/>
        </w:rPr>
      </w:pPr>
      <w:r>
        <w:rPr>
          <w:szCs w:val="24"/>
        </w:rPr>
        <w:t>Freezing rents</w:t>
      </w:r>
    </w:p>
    <w:p w:rsidR="00161866" w:rsidRPr="009D74E7" w:rsidRDefault="00161866" w:rsidP="00161866">
      <w:pPr>
        <w:pStyle w:val="AmdtsEntries"/>
      </w:pPr>
      <w:r>
        <w:t>s 66</w:t>
      </w:r>
      <w:r>
        <w:tab/>
        <w:t xml:space="preserve">am </w:t>
      </w:r>
      <w:hyperlink r:id="rId45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rsidR="00161866" w:rsidRDefault="00506A5D" w:rsidP="00161866">
      <w:pPr>
        <w:pStyle w:val="AmdtsEntryHd"/>
        <w:rPr>
          <w:noProof/>
        </w:rPr>
      </w:pPr>
      <w:r>
        <w:rPr>
          <w:szCs w:val="24"/>
        </w:rPr>
        <w:t>Orders</w:t>
      </w:r>
    </w:p>
    <w:p w:rsidR="00161866" w:rsidRPr="009D74E7" w:rsidRDefault="00506A5D" w:rsidP="00161866">
      <w:pPr>
        <w:pStyle w:val="AmdtsEntries"/>
      </w:pPr>
      <w:r>
        <w:t>s 67</w:t>
      </w:r>
      <w:r w:rsidR="00161866">
        <w:tab/>
      </w:r>
      <w:r w:rsidR="00E84120">
        <w:t>reloc as s 68A</w:t>
      </w:r>
    </w:p>
    <w:p w:rsidR="00450C28" w:rsidRDefault="00450C28">
      <w:pPr>
        <w:pStyle w:val="AmdtsEntryHd"/>
      </w:pPr>
      <w:r>
        <w:t>Guideline for orders</w:t>
      </w:r>
    </w:p>
    <w:p w:rsidR="00450C28" w:rsidRDefault="00450C28">
      <w:pPr>
        <w:pStyle w:val="AmdtsEntries"/>
        <w:rPr>
          <w:rFonts w:cs="Arial"/>
        </w:rPr>
      </w:pPr>
      <w:r>
        <w:t>s 68</w:t>
      </w:r>
      <w:r>
        <w:tab/>
        <w:t xml:space="preserve">am </w:t>
      </w:r>
      <w:hyperlink r:id="rId4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20, amdt 2.22; pars renum R15 LA</w:t>
      </w:r>
      <w:r w:rsidR="005077BB" w:rsidRPr="009D74E7">
        <w:rPr>
          <w:rFonts w:cs="Arial"/>
        </w:rPr>
        <w:t xml:space="preserve">; </w:t>
      </w:r>
      <w:hyperlink r:id="rId4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r w:rsidR="00E55F83">
        <w:rPr>
          <w:rFonts w:cs="Arial"/>
        </w:rPr>
        <w:t>;</w:t>
      </w:r>
      <w:r w:rsidR="00E55F83">
        <w:t xml:space="preserve"> </w:t>
      </w:r>
      <w:hyperlink r:id="rId460" w:tooltip="Residential Tenancies Amendment Act 2019" w:history="1">
        <w:r w:rsidR="00E55F83">
          <w:rPr>
            <w:rStyle w:val="charCitHyperlinkAbbrev"/>
          </w:rPr>
          <w:t>A2019-5</w:t>
        </w:r>
      </w:hyperlink>
      <w:r w:rsidR="00E55F83">
        <w:t xml:space="preserve"> s 10, s </w:t>
      </w:r>
      <w:r w:rsidR="00A5347A">
        <w:t>11</w:t>
      </w:r>
      <w:r w:rsidR="006C03F1">
        <w:t>; ss renum R58 LA</w:t>
      </w:r>
    </w:p>
    <w:p w:rsidR="00E84120" w:rsidRDefault="00E84120" w:rsidP="00E84120">
      <w:pPr>
        <w:pStyle w:val="AmdtsEntryHd"/>
        <w:rPr>
          <w:noProof/>
        </w:rPr>
      </w:pPr>
      <w:r>
        <w:rPr>
          <w:szCs w:val="24"/>
        </w:rPr>
        <w:t>Orders</w:t>
      </w:r>
    </w:p>
    <w:p w:rsidR="00E84120" w:rsidRDefault="00E84120" w:rsidP="00E84120">
      <w:pPr>
        <w:pStyle w:val="AmdtsEntries"/>
      </w:pPr>
      <w:r>
        <w:t>s 68A</w:t>
      </w:r>
      <w:r>
        <w:tab/>
        <w:t xml:space="preserve">(prev s 67) am </w:t>
      </w:r>
      <w:hyperlink r:id="rId461" w:tooltip="ACT Civil and Administrative Tribunal Legislation Amendment Act 2008" w:history="1">
        <w:r w:rsidRPr="009D74E7">
          <w:rPr>
            <w:rStyle w:val="charCitHyperlinkAbbrev"/>
          </w:rPr>
          <w:t>A2008</w:t>
        </w:r>
        <w:r w:rsidRPr="009D74E7">
          <w:rPr>
            <w:rStyle w:val="charCitHyperlinkAbbrev"/>
          </w:rPr>
          <w:noBreakHyphen/>
          <w:t>36</w:t>
        </w:r>
      </w:hyperlink>
      <w:r>
        <w:t xml:space="preserve"> amdt 1.585; </w:t>
      </w:r>
      <w:hyperlink r:id="rId462" w:tooltip="Residential Tenancies Amendment Act 2019" w:history="1">
        <w:r>
          <w:rPr>
            <w:rStyle w:val="charCitHyperlinkAbbrev"/>
          </w:rPr>
          <w:t>A2019-5</w:t>
        </w:r>
      </w:hyperlink>
      <w:r>
        <w:t xml:space="preserve"> s 8</w:t>
      </w:r>
    </w:p>
    <w:p w:rsidR="00E84120" w:rsidRPr="009D74E7" w:rsidRDefault="00E84120" w:rsidP="00E84120">
      <w:pPr>
        <w:pStyle w:val="AmdtsEntries"/>
      </w:pPr>
      <w:r>
        <w:tab/>
        <w:t xml:space="preserve">reloc as s 68A </w:t>
      </w:r>
      <w:hyperlink r:id="rId463" w:tooltip="Residential Tenancies Amendment Act 2019" w:history="1">
        <w:r>
          <w:rPr>
            <w:rStyle w:val="charCitHyperlinkAbbrev"/>
          </w:rPr>
          <w:t>A2019-5</w:t>
        </w:r>
      </w:hyperlink>
      <w:r>
        <w:t xml:space="preserve"> s 9</w:t>
      </w:r>
    </w:p>
    <w:p w:rsidR="005077BB" w:rsidRDefault="005077BB" w:rsidP="005077BB">
      <w:pPr>
        <w:pStyle w:val="AmdtsEntryHd"/>
        <w:rPr>
          <w:noProof/>
        </w:rPr>
      </w:pPr>
      <w:r>
        <w:rPr>
          <w:szCs w:val="24"/>
        </w:rPr>
        <w:t>Effect of orders</w:t>
      </w:r>
    </w:p>
    <w:p w:rsidR="005077BB" w:rsidRPr="009D74E7" w:rsidRDefault="005077BB" w:rsidP="005077BB">
      <w:pPr>
        <w:pStyle w:val="AmdtsEntries"/>
      </w:pPr>
      <w:r>
        <w:t>s 69</w:t>
      </w:r>
      <w:r>
        <w:tab/>
        <w:t xml:space="preserve">am </w:t>
      </w:r>
      <w:hyperlink r:id="rId4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r w:rsidR="006613E9">
        <w:t xml:space="preserve">; </w:t>
      </w:r>
      <w:hyperlink r:id="rId465" w:tooltip="Residential Tenancies Amendment Act 2019" w:history="1">
        <w:r w:rsidR="006613E9">
          <w:rPr>
            <w:rStyle w:val="charCitHyperlinkAbbrev"/>
          </w:rPr>
          <w:t>A2019-5</w:t>
        </w:r>
      </w:hyperlink>
      <w:r w:rsidR="006613E9">
        <w:t xml:space="preserve"> s 12, s 13</w:t>
      </w:r>
    </w:p>
    <w:p w:rsidR="005077BB" w:rsidRDefault="005077BB" w:rsidP="005077BB">
      <w:pPr>
        <w:pStyle w:val="AmdtsEntryHd"/>
        <w:rPr>
          <w:noProof/>
        </w:rPr>
      </w:pPr>
      <w:r>
        <w:rPr>
          <w:szCs w:val="24"/>
        </w:rPr>
        <w:t>Further increases</w:t>
      </w:r>
    </w:p>
    <w:p w:rsidR="005077BB" w:rsidRPr="009D74E7" w:rsidRDefault="005077BB" w:rsidP="005077BB">
      <w:pPr>
        <w:pStyle w:val="AmdtsEntries"/>
      </w:pPr>
      <w:r>
        <w:t>s 70</w:t>
      </w:r>
      <w:r>
        <w:tab/>
        <w:t xml:space="preserve">am </w:t>
      </w:r>
      <w:hyperlink r:id="rId46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1.585</w:t>
      </w:r>
    </w:p>
    <w:p w:rsidR="00450C28" w:rsidRDefault="00450C28">
      <w:pPr>
        <w:pStyle w:val="AmdtsEntryHd"/>
      </w:pPr>
      <w:r>
        <w:t>Reduction of existing rent</w:t>
      </w:r>
    </w:p>
    <w:p w:rsidR="00450C28" w:rsidRDefault="00450C28">
      <w:pPr>
        <w:pStyle w:val="AmdtsEntries"/>
        <w:rPr>
          <w:rFonts w:cs="Arial"/>
        </w:rPr>
      </w:pPr>
      <w:r>
        <w:t>s 71</w:t>
      </w:r>
      <w:r>
        <w:tab/>
        <w:t xml:space="preserve">am </w:t>
      </w:r>
      <w:hyperlink r:id="rId4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21; ss renum R10 LA (see </w:t>
      </w:r>
      <w:hyperlink r:id="rId4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22)</w:t>
      </w:r>
      <w:r w:rsidR="005077BB" w:rsidRPr="009D74E7">
        <w:rPr>
          <w:rFonts w:cs="Arial"/>
        </w:rPr>
        <w:t xml:space="preserve">; </w:t>
      </w:r>
      <w:hyperlink r:id="rId46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5077BB" w:rsidRPr="009D74E7">
        <w:rPr>
          <w:rFonts w:cs="Arial"/>
        </w:rPr>
        <w:t xml:space="preserve"> amdt 1.595</w:t>
      </w:r>
    </w:p>
    <w:p w:rsidR="005D08CF" w:rsidRDefault="005D08CF" w:rsidP="005D08CF">
      <w:pPr>
        <w:pStyle w:val="AmdtsEntryHd"/>
      </w:pPr>
      <w:r w:rsidRPr="00604238">
        <w:t>Lessor’s consent in certain matters</w:t>
      </w:r>
    </w:p>
    <w:p w:rsidR="005D08CF" w:rsidRDefault="005D08CF">
      <w:pPr>
        <w:pStyle w:val="AmdtsEntries"/>
      </w:pPr>
      <w:r>
        <w:t>pt 5AA hdg</w:t>
      </w:r>
      <w:r>
        <w:tab/>
        <w:t xml:space="preserve">ins </w:t>
      </w:r>
      <w:hyperlink r:id="rId470" w:tooltip="Residential Tenancies Amendment Act 2019" w:history="1">
        <w:r>
          <w:rPr>
            <w:rStyle w:val="charCitHyperlinkAbbrev"/>
          </w:rPr>
          <w:t>A2019-5</w:t>
        </w:r>
      </w:hyperlink>
      <w:r>
        <w:t xml:space="preserve"> s 14</w:t>
      </w:r>
    </w:p>
    <w:p w:rsidR="00557277" w:rsidRDefault="00557277" w:rsidP="00D22D42">
      <w:pPr>
        <w:pStyle w:val="AmdtsEntryHd"/>
      </w:pPr>
      <w:r w:rsidRPr="00604238">
        <w:t>Definitions—pt 5AA</w:t>
      </w:r>
    </w:p>
    <w:p w:rsidR="00557277" w:rsidRDefault="00557277">
      <w:pPr>
        <w:pStyle w:val="AmdtsEntries"/>
      </w:pPr>
      <w:r>
        <w:t>s 71AA</w:t>
      </w:r>
      <w:r>
        <w:tab/>
        <w:t xml:space="preserve">ins </w:t>
      </w:r>
      <w:hyperlink r:id="rId471" w:tooltip="Residential Tenancies Amendment Act 2019" w:history="1">
        <w:r>
          <w:rPr>
            <w:rStyle w:val="charCitHyperlinkAbbrev"/>
          </w:rPr>
          <w:t>A2019-5</w:t>
        </w:r>
      </w:hyperlink>
      <w:r>
        <w:t xml:space="preserve"> s 14</w:t>
      </w:r>
    </w:p>
    <w:p w:rsidR="00F02179" w:rsidRDefault="00F02179">
      <w:pPr>
        <w:pStyle w:val="AmdtsEntries"/>
      </w:pPr>
      <w:r>
        <w:tab/>
        <w:t xml:space="preserve">def </w:t>
      </w:r>
      <w:r w:rsidRPr="00F02179">
        <w:rPr>
          <w:b/>
          <w:bCs/>
          <w:i/>
          <w:iCs/>
        </w:rPr>
        <w:t>minor modification</w:t>
      </w:r>
      <w:r>
        <w:t xml:space="preserve"> ins </w:t>
      </w:r>
      <w:hyperlink r:id="rId472" w:tooltip="Residential Tenancies Amendment Act 2019" w:history="1">
        <w:r>
          <w:rPr>
            <w:rStyle w:val="charCitHyperlinkAbbrev"/>
          </w:rPr>
          <w:t>A2019-5</w:t>
        </w:r>
      </w:hyperlink>
      <w:r>
        <w:t xml:space="preserve"> s 14</w:t>
      </w:r>
    </w:p>
    <w:p w:rsidR="00F02179" w:rsidRDefault="00F02179">
      <w:pPr>
        <w:pStyle w:val="AmdtsEntries"/>
      </w:pPr>
      <w:r>
        <w:tab/>
        <w:t xml:space="preserve">def </w:t>
      </w:r>
      <w:r w:rsidRPr="00F02179">
        <w:rPr>
          <w:b/>
          <w:bCs/>
          <w:i/>
          <w:iCs/>
        </w:rPr>
        <w:t>special modification</w:t>
      </w:r>
      <w:r>
        <w:t xml:space="preserve"> ins </w:t>
      </w:r>
      <w:hyperlink r:id="rId473" w:tooltip="Residential Tenancies Amendment Act 2019" w:history="1">
        <w:r>
          <w:rPr>
            <w:rStyle w:val="charCitHyperlinkAbbrev"/>
          </w:rPr>
          <w:t>A2019-5</w:t>
        </w:r>
      </w:hyperlink>
      <w:r>
        <w:t xml:space="preserve"> s 14</w:t>
      </w:r>
    </w:p>
    <w:p w:rsidR="00557277" w:rsidRDefault="00557277" w:rsidP="00D22D42">
      <w:pPr>
        <w:pStyle w:val="AmdtsEntryHd"/>
      </w:pPr>
      <w:r w:rsidRPr="00604238">
        <w:t>Process for tenant seeking consent—modifications generally</w:t>
      </w:r>
    </w:p>
    <w:p w:rsidR="00557277" w:rsidRDefault="00D22D42">
      <w:pPr>
        <w:pStyle w:val="AmdtsEntries"/>
      </w:pPr>
      <w:r>
        <w:t>s 71AB</w:t>
      </w:r>
      <w:r w:rsidR="00557277">
        <w:tab/>
        <w:t xml:space="preserve">ins </w:t>
      </w:r>
      <w:hyperlink r:id="rId474" w:tooltip="Residential Tenancies Amendment Act 2019" w:history="1">
        <w:r w:rsidR="00557277">
          <w:rPr>
            <w:rStyle w:val="charCitHyperlinkAbbrev"/>
          </w:rPr>
          <w:t>A2019-5</w:t>
        </w:r>
      </w:hyperlink>
      <w:r w:rsidR="00557277">
        <w:t xml:space="preserve"> s 14</w:t>
      </w:r>
    </w:p>
    <w:p w:rsidR="00557277" w:rsidRDefault="00557277" w:rsidP="00D22D42">
      <w:pPr>
        <w:pStyle w:val="AmdtsEntryHd"/>
      </w:pPr>
      <w:r w:rsidRPr="00604238">
        <w:t>Lessor to apply to ACAT for refusal—special modifications</w:t>
      </w:r>
    </w:p>
    <w:p w:rsidR="00557277" w:rsidRDefault="00D22D42">
      <w:pPr>
        <w:pStyle w:val="AmdtsEntries"/>
      </w:pPr>
      <w:r>
        <w:t>s 71AC</w:t>
      </w:r>
      <w:r w:rsidR="00557277">
        <w:tab/>
        <w:t xml:space="preserve">ins </w:t>
      </w:r>
      <w:hyperlink r:id="rId475" w:tooltip="Residential Tenancies Amendment Act 2019" w:history="1">
        <w:r w:rsidR="00557277">
          <w:rPr>
            <w:rStyle w:val="charCitHyperlinkAbbrev"/>
          </w:rPr>
          <w:t>A2019-5</w:t>
        </w:r>
      </w:hyperlink>
      <w:r w:rsidR="00557277">
        <w:t xml:space="preserve"> s 14</w:t>
      </w:r>
    </w:p>
    <w:p w:rsidR="00557277" w:rsidRDefault="00557277" w:rsidP="00D22D42">
      <w:pPr>
        <w:pStyle w:val="AmdtsEntryHd"/>
      </w:pPr>
      <w:r w:rsidRPr="00604238">
        <w:t>Tenant may apply to ACAT for review of refusal—other modifications</w:t>
      </w:r>
    </w:p>
    <w:p w:rsidR="00557277" w:rsidRDefault="00D22D42">
      <w:pPr>
        <w:pStyle w:val="AmdtsEntries"/>
      </w:pPr>
      <w:r>
        <w:t>s 71AD</w:t>
      </w:r>
      <w:r w:rsidR="00557277">
        <w:tab/>
        <w:t xml:space="preserve">ins </w:t>
      </w:r>
      <w:hyperlink r:id="rId476" w:tooltip="Residential Tenancies Amendment Act 2019" w:history="1">
        <w:r w:rsidR="00557277">
          <w:rPr>
            <w:rStyle w:val="charCitHyperlinkAbbrev"/>
          </w:rPr>
          <w:t>A2019-5</w:t>
        </w:r>
      </w:hyperlink>
      <w:r w:rsidR="00557277">
        <w:t xml:space="preserve"> s 14</w:t>
      </w:r>
    </w:p>
    <w:p w:rsidR="00557277" w:rsidRDefault="00D22D42" w:rsidP="00D22D42">
      <w:pPr>
        <w:pStyle w:val="AmdtsEntryHd"/>
      </w:pPr>
      <w:r w:rsidRPr="00604238">
        <w:t>Process for tenant seeking consent—animals</w:t>
      </w:r>
    </w:p>
    <w:p w:rsidR="00557277" w:rsidRDefault="00D22D42">
      <w:pPr>
        <w:pStyle w:val="AmdtsEntries"/>
      </w:pPr>
      <w:r>
        <w:t>s 71AE</w:t>
      </w:r>
      <w:r w:rsidR="00557277">
        <w:tab/>
        <w:t xml:space="preserve">ins </w:t>
      </w:r>
      <w:hyperlink r:id="rId477" w:tooltip="Residential Tenancies Amendment Act 2019" w:history="1">
        <w:r w:rsidR="00557277">
          <w:rPr>
            <w:rStyle w:val="charCitHyperlinkAbbrev"/>
          </w:rPr>
          <w:t>A2019-5</w:t>
        </w:r>
      </w:hyperlink>
      <w:r w:rsidR="00557277">
        <w:t xml:space="preserve"> s 14</w:t>
      </w:r>
    </w:p>
    <w:p w:rsidR="00557277" w:rsidRDefault="00D22D42" w:rsidP="00D22D42">
      <w:pPr>
        <w:pStyle w:val="AmdtsEntryHd"/>
      </w:pPr>
      <w:r w:rsidRPr="00604238">
        <w:t>Lessor to apply to ACAT for refusal—animals</w:t>
      </w:r>
    </w:p>
    <w:p w:rsidR="00557277" w:rsidRDefault="00D22D42">
      <w:pPr>
        <w:pStyle w:val="AmdtsEntries"/>
      </w:pPr>
      <w:r>
        <w:t>s 71AF</w:t>
      </w:r>
      <w:r w:rsidR="00557277">
        <w:tab/>
        <w:t xml:space="preserve">ins </w:t>
      </w:r>
      <w:hyperlink r:id="rId478" w:tooltip="Residential Tenancies Amendment Act 2019" w:history="1">
        <w:r w:rsidR="00557277">
          <w:rPr>
            <w:rStyle w:val="charCitHyperlinkAbbrev"/>
          </w:rPr>
          <w:t>A2019-5</w:t>
        </w:r>
      </w:hyperlink>
      <w:r w:rsidR="00557277">
        <w:t xml:space="preserve"> s 14</w:t>
      </w:r>
    </w:p>
    <w:p w:rsidR="00557277" w:rsidRDefault="00D22D42" w:rsidP="00D22D42">
      <w:pPr>
        <w:pStyle w:val="AmdtsEntryHd"/>
      </w:pPr>
      <w:r w:rsidRPr="00604238">
        <w:lastRenderedPageBreak/>
        <w:t>Limitation on lessor’s liability</w:t>
      </w:r>
    </w:p>
    <w:p w:rsidR="00557277" w:rsidRPr="009D74E7" w:rsidRDefault="00D22D42">
      <w:pPr>
        <w:pStyle w:val="AmdtsEntries"/>
      </w:pPr>
      <w:r>
        <w:t>s 71AG</w:t>
      </w:r>
      <w:r w:rsidR="00557277">
        <w:tab/>
        <w:t xml:space="preserve">ins </w:t>
      </w:r>
      <w:hyperlink r:id="rId479" w:tooltip="Residential Tenancies Amendment Act 2019" w:history="1">
        <w:r w:rsidR="00557277">
          <w:rPr>
            <w:rStyle w:val="charCitHyperlinkAbbrev"/>
          </w:rPr>
          <w:t>A2019-5</w:t>
        </w:r>
      </w:hyperlink>
      <w:r w:rsidR="00557277">
        <w:t xml:space="preserve"> s 14</w:t>
      </w:r>
    </w:p>
    <w:p w:rsidR="00450C28" w:rsidRDefault="00450C28">
      <w:pPr>
        <w:pStyle w:val="AmdtsEntryHd"/>
      </w:pPr>
      <w:r>
        <w:t>Occupancy agreements</w:t>
      </w:r>
    </w:p>
    <w:p w:rsidR="00450C28" w:rsidRDefault="00450C28">
      <w:pPr>
        <w:pStyle w:val="AmdtsEntries"/>
      </w:pPr>
      <w:r>
        <w:t>pt 5A hdg</w:t>
      </w:r>
      <w:r>
        <w:tab/>
        <w:t xml:space="preserve">ins </w:t>
      </w:r>
      <w:hyperlink r:id="rId4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Pr="009D74E7" w:rsidRDefault="00450C28">
      <w:pPr>
        <w:pStyle w:val="AmdtsEntryHd"/>
        <w:rPr>
          <w:rStyle w:val="charItals"/>
        </w:rPr>
      </w:pPr>
      <w:r>
        <w:t xml:space="preserve">Who is </w:t>
      </w:r>
      <w:r w:rsidRPr="009D74E7">
        <w:rPr>
          <w:rStyle w:val="charItals"/>
        </w:rPr>
        <w:t>grantor?</w:t>
      </w:r>
    </w:p>
    <w:p w:rsidR="00450C28" w:rsidRDefault="00450C28">
      <w:pPr>
        <w:pStyle w:val="AmdtsEntries"/>
      </w:pPr>
      <w:r>
        <w:t>s 71A</w:t>
      </w:r>
      <w:r>
        <w:tab/>
        <w:t xml:space="preserve">ins </w:t>
      </w:r>
      <w:hyperlink r:id="rId48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Pr="009D74E7" w:rsidRDefault="00450C28">
      <w:pPr>
        <w:pStyle w:val="AmdtsEntryHd"/>
        <w:rPr>
          <w:rStyle w:val="charItals"/>
        </w:rPr>
      </w:pPr>
      <w:r>
        <w:t xml:space="preserve">Who is an </w:t>
      </w:r>
      <w:r w:rsidRPr="009D74E7">
        <w:rPr>
          <w:rStyle w:val="charItals"/>
        </w:rPr>
        <w:t>occupant?</w:t>
      </w:r>
    </w:p>
    <w:p w:rsidR="00450C28" w:rsidRDefault="00450C28">
      <w:pPr>
        <w:pStyle w:val="AmdtsEntries"/>
      </w:pPr>
      <w:r>
        <w:t>s 71B</w:t>
      </w:r>
      <w:r>
        <w:tab/>
        <w:t xml:space="preserve">ins </w:t>
      </w:r>
      <w:hyperlink r:id="rId48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What is an occupancy agreement?</w:t>
      </w:r>
    </w:p>
    <w:p w:rsidR="00450C28" w:rsidRDefault="00450C28">
      <w:pPr>
        <w:pStyle w:val="AmdtsEntries"/>
        <w:keepNext/>
      </w:pPr>
      <w:r>
        <w:t>s 71C</w:t>
      </w:r>
      <w:r>
        <w:tab/>
        <w:t xml:space="preserve">ins </w:t>
      </w:r>
      <w:hyperlink r:id="rId4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ies"/>
      </w:pPr>
      <w:r>
        <w:tab/>
        <w:t xml:space="preserve">am </w:t>
      </w:r>
      <w:hyperlink r:id="rId484"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1.32</w:t>
      </w:r>
      <w:r w:rsidR="00F3174E">
        <w:t xml:space="preserve">; </w:t>
      </w:r>
      <w:hyperlink r:id="rId485" w:tooltip="Statute Law Amendment Act 2013 (No 2)" w:history="1">
        <w:r w:rsidR="00F3174E">
          <w:rPr>
            <w:rStyle w:val="charCitHyperlinkAbbrev"/>
          </w:rPr>
          <w:t>A2013</w:t>
        </w:r>
        <w:r w:rsidR="00F3174E">
          <w:rPr>
            <w:rStyle w:val="charCitHyperlinkAbbrev"/>
          </w:rPr>
          <w:noBreakHyphen/>
          <w:t>44</w:t>
        </w:r>
      </w:hyperlink>
      <w:r w:rsidR="00F3174E">
        <w:t xml:space="preserve"> amdt 3.171</w:t>
      </w:r>
    </w:p>
    <w:p w:rsidR="00450C28" w:rsidRDefault="00450C28">
      <w:pPr>
        <w:pStyle w:val="AmdtsEntryHd"/>
      </w:pPr>
      <w:r>
        <w:t>When does an occupancy agreement start?</w:t>
      </w:r>
    </w:p>
    <w:p w:rsidR="00450C28" w:rsidRDefault="00450C28">
      <w:pPr>
        <w:pStyle w:val="AmdtsEntries"/>
      </w:pPr>
      <w:r>
        <w:t>s 71D</w:t>
      </w:r>
      <w:r>
        <w:tab/>
        <w:t xml:space="preserve">ins </w:t>
      </w:r>
      <w:hyperlink r:id="rId4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Occupancy principles</w:t>
      </w:r>
    </w:p>
    <w:p w:rsidR="00450C28" w:rsidRDefault="00450C28">
      <w:pPr>
        <w:pStyle w:val="AmdtsEntries"/>
      </w:pPr>
      <w:r>
        <w:t>s 71E</w:t>
      </w:r>
      <w:r>
        <w:tab/>
        <w:t xml:space="preserve">ins </w:t>
      </w:r>
      <w:hyperlink r:id="rId48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Regulations about occupancy agreements</w:t>
      </w:r>
    </w:p>
    <w:p w:rsidR="00450C28" w:rsidRDefault="00450C28">
      <w:pPr>
        <w:pStyle w:val="AmdtsEntries"/>
      </w:pPr>
      <w:r>
        <w:t>s 71F</w:t>
      </w:r>
      <w:r>
        <w:tab/>
        <w:t xml:space="preserve">ins </w:t>
      </w:r>
      <w:hyperlink r:id="rId48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Standard occupancy terms</w:t>
      </w:r>
    </w:p>
    <w:p w:rsidR="00450C28" w:rsidRDefault="00450C28">
      <w:pPr>
        <w:pStyle w:val="AmdtsEntries"/>
      </w:pPr>
      <w:r>
        <w:t>s 71G</w:t>
      </w:r>
      <w:r>
        <w:tab/>
        <w:t xml:space="preserve">ins </w:t>
      </w:r>
      <w:hyperlink r:id="rId4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23</w:t>
      </w:r>
    </w:p>
    <w:p w:rsidR="00450C28" w:rsidRDefault="00450C28">
      <w:pPr>
        <w:pStyle w:val="AmdtsEntryHd"/>
      </w:pPr>
      <w:r>
        <w:t>Occupant may deposit bond with Territory</w:t>
      </w:r>
    </w:p>
    <w:p w:rsidR="00450C28" w:rsidRDefault="00450C28">
      <w:pPr>
        <w:pStyle w:val="AmdtsEntries"/>
      </w:pPr>
      <w:r>
        <w:t>s 71GA</w:t>
      </w:r>
      <w:r>
        <w:tab/>
        <w:t xml:space="preserve">ins </w:t>
      </w:r>
      <w:hyperlink r:id="rId490"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r>
        <w:t xml:space="preserve"> amdt 1.32</w:t>
      </w:r>
    </w:p>
    <w:p w:rsidR="00901504" w:rsidRDefault="00901504">
      <w:pPr>
        <w:pStyle w:val="AmdtsEntries"/>
      </w:pPr>
      <w:r>
        <w:tab/>
        <w:t xml:space="preserve">am </w:t>
      </w:r>
      <w:hyperlink r:id="rId491"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1.425</w:t>
      </w:r>
    </w:p>
    <w:p w:rsidR="00450C28" w:rsidRDefault="009E34B9">
      <w:pPr>
        <w:pStyle w:val="AmdtsEntryHd"/>
      </w:pPr>
      <w:r>
        <w:t>Resolution of residential tenancy and occupancy disputes</w:t>
      </w:r>
    </w:p>
    <w:p w:rsidR="00450C28" w:rsidRDefault="00450C28">
      <w:pPr>
        <w:pStyle w:val="AmdtsEntries"/>
      </w:pPr>
      <w:r>
        <w:t>pt 6 hdg</w:t>
      </w:r>
      <w:r>
        <w:tab/>
        <w:t xml:space="preserve">sub </w:t>
      </w:r>
      <w:hyperlink r:id="rId4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r w:rsidR="009E34B9">
        <w:t xml:space="preserve">; </w:t>
      </w:r>
      <w:hyperlink r:id="rId49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9E34B9">
        <w:t xml:space="preserve"> amdt 1.586</w:t>
      </w:r>
    </w:p>
    <w:p w:rsidR="00450C28" w:rsidRDefault="00450C28">
      <w:pPr>
        <w:pStyle w:val="AmdtsEntryHd"/>
      </w:pPr>
      <w:r>
        <w:t>Important concepts</w:t>
      </w:r>
    </w:p>
    <w:p w:rsidR="00450C28" w:rsidRDefault="00450C28" w:rsidP="00256F51">
      <w:pPr>
        <w:pStyle w:val="AmdtsEntries"/>
        <w:keepNext/>
      </w:pPr>
      <w:r>
        <w:t>div 6.1A hdg</w:t>
      </w:r>
      <w:r>
        <w:tab/>
        <w:t xml:space="preserve">ins </w:t>
      </w:r>
      <w:hyperlink r:id="rId49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pPr>
        <w:pStyle w:val="AmdtsEntries"/>
      </w:pPr>
      <w:r>
        <w:tab/>
        <w:t xml:space="preserve">om </w:t>
      </w:r>
      <w:hyperlink r:id="rId4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450C28">
      <w:pPr>
        <w:pStyle w:val="AmdtsEntryHd"/>
        <w:rPr>
          <w:rStyle w:val="charItals"/>
        </w:rPr>
      </w:pPr>
      <w:r>
        <w:t xml:space="preserve">What is a </w:t>
      </w:r>
      <w:r w:rsidRPr="009D74E7">
        <w:rPr>
          <w:rStyle w:val="charItals"/>
        </w:rPr>
        <w:t>tenancy dispute?</w:t>
      </w:r>
    </w:p>
    <w:p w:rsidR="00450C28" w:rsidRDefault="00450C28">
      <w:pPr>
        <w:pStyle w:val="AmdtsEntries"/>
      </w:pPr>
      <w:r>
        <w:t>s 71H</w:t>
      </w:r>
      <w:r>
        <w:tab/>
        <w:t xml:space="preserve">ins </w:t>
      </w:r>
      <w:hyperlink r:id="rId4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4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 xml:space="preserve">What is an </w:t>
      </w:r>
      <w:r w:rsidRPr="009D74E7">
        <w:rPr>
          <w:rStyle w:val="charItals"/>
        </w:rPr>
        <w:t>occupancy dispute</w:t>
      </w:r>
      <w:r>
        <w:t>?</w:t>
      </w:r>
    </w:p>
    <w:p w:rsidR="00450C28" w:rsidRDefault="00450C28">
      <w:pPr>
        <w:pStyle w:val="AmdtsEntries"/>
      </w:pPr>
      <w:r>
        <w:t>s 71I</w:t>
      </w:r>
      <w:r>
        <w:tab/>
        <w:t xml:space="preserve">ins </w:t>
      </w:r>
      <w:hyperlink r:id="rId4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4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Tribunal to have regard to occupancy principles</w:t>
      </w:r>
    </w:p>
    <w:p w:rsidR="00450C28" w:rsidRDefault="00450C28">
      <w:pPr>
        <w:pStyle w:val="AmdtsEntries"/>
      </w:pPr>
      <w:r>
        <w:t>s 71J</w:t>
      </w:r>
      <w:r>
        <w:tab/>
        <w:t xml:space="preserve">ins </w:t>
      </w:r>
      <w:hyperlink r:id="rId5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24</w:t>
      </w:r>
    </w:p>
    <w:p w:rsidR="00B47063" w:rsidRDefault="00B47063" w:rsidP="00B47063">
      <w:pPr>
        <w:pStyle w:val="AmdtsEntries"/>
      </w:pPr>
      <w:r>
        <w:tab/>
        <w:t xml:space="preserve">om </w:t>
      </w:r>
      <w:hyperlink r:id="rId50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E131FE">
      <w:pPr>
        <w:pStyle w:val="AmdtsEntryHd"/>
      </w:pPr>
      <w:r>
        <w:t>Important concepts</w:t>
      </w:r>
    </w:p>
    <w:p w:rsidR="00450C28" w:rsidRDefault="00450C28" w:rsidP="0001595F">
      <w:pPr>
        <w:pStyle w:val="AmdtsEntries"/>
        <w:keepNext/>
      </w:pPr>
      <w:r>
        <w:t>div 6.1 hdg</w:t>
      </w:r>
      <w:r>
        <w:tab/>
        <w:t>(prev pt 6 div 1 hdg) renum R2 LA</w:t>
      </w:r>
    </w:p>
    <w:p w:rsidR="00B47063" w:rsidRDefault="00B47063" w:rsidP="00B47063">
      <w:pPr>
        <w:pStyle w:val="AmdtsEntries"/>
      </w:pPr>
      <w:r>
        <w:tab/>
        <w:t xml:space="preserve">sub </w:t>
      </w:r>
      <w:hyperlink r:id="rId50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C75A3B">
      <w:pPr>
        <w:pStyle w:val="AmdtsEntryHd"/>
      </w:pPr>
      <w:r>
        <w:lastRenderedPageBreak/>
        <w:t xml:space="preserve">Meaning of </w:t>
      </w:r>
      <w:r w:rsidRPr="009D74E7">
        <w:rPr>
          <w:rStyle w:val="charItals"/>
        </w:rPr>
        <w:t>tenancy dispute</w:t>
      </w:r>
    </w:p>
    <w:p w:rsidR="00450C28" w:rsidRPr="009D74E7" w:rsidRDefault="00450C28">
      <w:pPr>
        <w:pStyle w:val="AmdtsEntries"/>
      </w:pPr>
      <w:r>
        <w:t>s 72</w:t>
      </w:r>
      <w:r>
        <w:tab/>
        <w:t xml:space="preserve">sub </w:t>
      </w:r>
      <w:hyperlink r:id="rId50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25</w:t>
      </w:r>
      <w:r w:rsidR="00E131FE">
        <w:t xml:space="preserve">; </w:t>
      </w:r>
      <w:hyperlink r:id="rId5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E131FE">
        <w:t xml:space="preserve"> amdt 1.586</w:t>
      </w:r>
    </w:p>
    <w:p w:rsidR="00450C28" w:rsidRPr="009D74E7" w:rsidRDefault="00C75A3B">
      <w:pPr>
        <w:pStyle w:val="AmdtsEntryHd"/>
      </w:pPr>
      <w:r>
        <w:t xml:space="preserve">Meaning of </w:t>
      </w:r>
      <w:r w:rsidRPr="009D74E7">
        <w:rPr>
          <w:rStyle w:val="charItals"/>
        </w:rPr>
        <w:t>occupancy dispute</w:t>
      </w:r>
    </w:p>
    <w:p w:rsidR="00450C28" w:rsidRPr="009D74E7" w:rsidRDefault="00450C28">
      <w:pPr>
        <w:pStyle w:val="AmdtsEntries"/>
      </w:pPr>
      <w:r>
        <w:t>s 73</w:t>
      </w:r>
      <w:r>
        <w:tab/>
        <w:t xml:space="preserve">am </w:t>
      </w:r>
      <w:hyperlink r:id="rId505"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w:t>
      </w:r>
      <w:hyperlink r:id="rId506"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hyperlink r:id="rId507"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1.3652, amdt 1.3653, </w:t>
      </w:r>
      <w:hyperlink r:id="rId50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26, amdt 2.23; ss renum R10 LA (see </w:t>
      </w:r>
      <w:hyperlink r:id="rId50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27)</w:t>
      </w:r>
    </w:p>
    <w:p w:rsidR="00C75A3B" w:rsidRDefault="00C75A3B" w:rsidP="00C75A3B">
      <w:pPr>
        <w:pStyle w:val="AmdtsEntries"/>
      </w:pPr>
      <w:r>
        <w:tab/>
        <w:t xml:space="preserve">sub </w:t>
      </w:r>
      <w:hyperlink r:id="rId51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C75A3B">
      <w:pPr>
        <w:pStyle w:val="AmdtsEntryHd"/>
      </w:pPr>
      <w:r>
        <w:t>ACAT to have regard to occupancy principles</w:t>
      </w:r>
    </w:p>
    <w:p w:rsidR="00450C28" w:rsidRDefault="00450C28">
      <w:pPr>
        <w:pStyle w:val="AmdtsEntries"/>
      </w:pPr>
      <w:r>
        <w:t>s 74</w:t>
      </w:r>
      <w:r>
        <w:tab/>
        <w:t xml:space="preserve">am </w:t>
      </w:r>
      <w:hyperlink r:id="rId51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2.24</w:t>
      </w:r>
    </w:p>
    <w:p w:rsidR="00C75A3B" w:rsidRDefault="00C75A3B" w:rsidP="00C75A3B">
      <w:pPr>
        <w:pStyle w:val="AmdtsEntries"/>
      </w:pPr>
      <w:r>
        <w:tab/>
        <w:t xml:space="preserve">sub </w:t>
      </w:r>
      <w:hyperlink r:id="rId51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C75A3B" w:rsidRDefault="00447433" w:rsidP="00C75A3B">
      <w:pPr>
        <w:pStyle w:val="AmdtsEntryHd"/>
      </w:pPr>
      <w:r>
        <w:t>Action by registrar</w:t>
      </w:r>
    </w:p>
    <w:p w:rsidR="00C75A3B" w:rsidRDefault="00C75A3B" w:rsidP="006A6D55">
      <w:pPr>
        <w:pStyle w:val="AmdtsEntries"/>
        <w:keepNext/>
      </w:pPr>
      <w:r>
        <w:t>div 6.2 hdg</w:t>
      </w:r>
      <w:r>
        <w:tab/>
        <w:t>(prev pt 6 div 2 hdg) renum R2 LA</w:t>
      </w:r>
    </w:p>
    <w:p w:rsidR="00C75A3B" w:rsidRDefault="00C75A3B" w:rsidP="00C75A3B">
      <w:pPr>
        <w:pStyle w:val="AmdtsEntries"/>
      </w:pPr>
      <w:r>
        <w:tab/>
        <w:t xml:space="preserve">sub </w:t>
      </w:r>
      <w:hyperlink r:id="rId51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t>Assistance with inquiries about residential tenancy and occupancy agreements</w:t>
      </w:r>
    </w:p>
    <w:p w:rsidR="00450C28" w:rsidRDefault="00450C28">
      <w:pPr>
        <w:pStyle w:val="AmdtsEntries"/>
      </w:pPr>
      <w:r>
        <w:t>s 75</w:t>
      </w:r>
      <w:r>
        <w:tab/>
        <w:t xml:space="preserve">am </w:t>
      </w:r>
      <w:hyperlink r:id="rId5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2.25, amdt 2.26</w:t>
      </w:r>
    </w:p>
    <w:p w:rsidR="00F50771" w:rsidRDefault="00F50771" w:rsidP="00F50771">
      <w:pPr>
        <w:pStyle w:val="AmdtsEntries"/>
      </w:pPr>
      <w:r>
        <w:tab/>
        <w:t xml:space="preserve">sub </w:t>
      </w:r>
      <w:hyperlink r:id="rId51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7E451A" w:rsidRDefault="007E451A" w:rsidP="007E451A">
      <w:pPr>
        <w:pStyle w:val="AmdtsEntryHd"/>
      </w:pPr>
      <w:r>
        <w:t>Jurisdiction of ACAT—this Act, standard residential tenancy terms and standard occupancy terms</w:t>
      </w:r>
    </w:p>
    <w:p w:rsidR="007E451A" w:rsidRDefault="007E451A" w:rsidP="007E451A">
      <w:pPr>
        <w:pStyle w:val="AmdtsEntries"/>
      </w:pPr>
      <w:r>
        <w:t>div 6.3 hdg</w:t>
      </w:r>
      <w:r>
        <w:tab/>
        <w:t>(prev pt 6 div 4 hdg) renum R2 LA</w:t>
      </w:r>
    </w:p>
    <w:p w:rsidR="007E451A" w:rsidRDefault="007E451A" w:rsidP="007E451A">
      <w:pPr>
        <w:pStyle w:val="AmdtsEntries"/>
      </w:pPr>
      <w:r>
        <w:tab/>
        <w:t xml:space="preserve">sub </w:t>
      </w:r>
      <w:hyperlink r:id="rId51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t>Jurisdiction of ACAT under this Act etc</w:t>
      </w:r>
    </w:p>
    <w:p w:rsidR="00450C28" w:rsidRDefault="00450C28">
      <w:pPr>
        <w:pStyle w:val="AmdtsEntries"/>
      </w:pPr>
      <w:r>
        <w:t>s 76</w:t>
      </w:r>
      <w:r>
        <w:tab/>
        <w:t xml:space="preserve">am </w:t>
      </w:r>
      <w:hyperlink r:id="rId51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2.27</w:t>
      </w:r>
    </w:p>
    <w:p w:rsidR="00F50771" w:rsidRDefault="00F50771" w:rsidP="00F50771">
      <w:pPr>
        <w:pStyle w:val="AmdtsEntries"/>
      </w:pPr>
      <w:r>
        <w:tab/>
        <w:t xml:space="preserve">sub </w:t>
      </w:r>
      <w:hyperlink r:id="rId5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F50771">
      <w:pPr>
        <w:pStyle w:val="AmdtsEntryHd"/>
      </w:pPr>
      <w:r>
        <w:t>Saving of court jurisdiction</w:t>
      </w:r>
    </w:p>
    <w:p w:rsidR="00450C28" w:rsidRDefault="00450C28">
      <w:pPr>
        <w:pStyle w:val="AmdtsEntries"/>
      </w:pPr>
      <w:r>
        <w:t>s 77</w:t>
      </w:r>
      <w:r>
        <w:tab/>
        <w:t xml:space="preserve">am </w:t>
      </w:r>
      <w:hyperlink r:id="rId5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2.28-2.30</w:t>
      </w:r>
    </w:p>
    <w:p w:rsidR="00F50771" w:rsidRDefault="00F50771" w:rsidP="00F50771">
      <w:pPr>
        <w:pStyle w:val="AmdtsEntries"/>
      </w:pPr>
      <w:r>
        <w:tab/>
        <w:t xml:space="preserve">sub </w:t>
      </w:r>
      <w:hyperlink r:id="rId52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F50771" w:rsidRDefault="00F50771" w:rsidP="00F50771">
      <w:pPr>
        <w:pStyle w:val="AmdtsEntryHd"/>
      </w:pPr>
      <w:r>
        <w:t>Extended jurisdiction of ACAT with agreement of parties</w:t>
      </w:r>
    </w:p>
    <w:p w:rsidR="00F50771" w:rsidRDefault="00F50771" w:rsidP="00F50771">
      <w:pPr>
        <w:pStyle w:val="AmdtsEntries"/>
      </w:pPr>
      <w:r>
        <w:t>s 78</w:t>
      </w:r>
      <w:r>
        <w:tab/>
        <w:t xml:space="preserve">sub </w:t>
      </w:r>
      <w:hyperlink r:id="rId5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AD0B4C" w:rsidRDefault="00AD0B4C" w:rsidP="00F50771">
      <w:pPr>
        <w:pStyle w:val="AmdtsEntries"/>
      </w:pPr>
      <w:r>
        <w:tab/>
        <w:t xml:space="preserve">am </w:t>
      </w:r>
      <w:hyperlink r:id="rId522" w:tooltip="Justice and Community Safety Legislation Amendment Act 2013 (No 4)" w:history="1">
        <w:r>
          <w:rPr>
            <w:rStyle w:val="charCitHyperlinkAbbrev"/>
          </w:rPr>
          <w:t>A2013</w:t>
        </w:r>
        <w:r>
          <w:rPr>
            <w:rStyle w:val="charCitHyperlinkAbbrev"/>
          </w:rPr>
          <w:noBreakHyphen/>
          <w:t>45</w:t>
        </w:r>
      </w:hyperlink>
      <w:r>
        <w:t xml:space="preserve"> amdt 1.11</w:t>
      </w:r>
    </w:p>
    <w:p w:rsidR="00447B92" w:rsidRDefault="00447B92" w:rsidP="00447B92">
      <w:pPr>
        <w:pStyle w:val="AmdtsEntryHd"/>
      </w:pPr>
      <w:r>
        <w:t>Applications to ACAT</w:t>
      </w:r>
    </w:p>
    <w:p w:rsidR="00447B92" w:rsidRDefault="00447B92" w:rsidP="00A0346A">
      <w:pPr>
        <w:pStyle w:val="AmdtsEntries"/>
        <w:keepNext/>
      </w:pPr>
      <w:r>
        <w:t>div 6.4 hdg</w:t>
      </w:r>
      <w:r>
        <w:tab/>
        <w:t>(prev pt 6 div 5 hdg) renum R2 LA</w:t>
      </w:r>
    </w:p>
    <w:p w:rsidR="00447B92" w:rsidRDefault="00447B92" w:rsidP="00447B92">
      <w:pPr>
        <w:pStyle w:val="AmdtsEntries"/>
      </w:pPr>
      <w:r>
        <w:tab/>
        <w:t xml:space="preserve">sub </w:t>
      </w:r>
      <w:hyperlink r:id="rId52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255366">
      <w:pPr>
        <w:pStyle w:val="AmdtsEntryHd"/>
        <w:rPr>
          <w:rFonts w:cs="Arial"/>
        </w:rPr>
      </w:pPr>
      <w:r>
        <w:t>Who may apply to ACAT?</w:t>
      </w:r>
    </w:p>
    <w:p w:rsidR="00450C28" w:rsidRDefault="00450C28">
      <w:pPr>
        <w:pStyle w:val="AmdtsEntries"/>
      </w:pPr>
      <w:r>
        <w:t>s 79</w:t>
      </w:r>
      <w:r>
        <w:tab/>
        <w:t xml:space="preserve">om </w:t>
      </w:r>
      <w:hyperlink r:id="rId524" w:tooltip="Residential Tenancies (Amendment) Act 1998" w:history="1">
        <w:r w:rsidR="009D74E7" w:rsidRPr="009D74E7">
          <w:rPr>
            <w:rStyle w:val="charCitHyperlinkAbbrev"/>
          </w:rPr>
          <w:t>A1998</w:t>
        </w:r>
        <w:r w:rsidR="009D74E7" w:rsidRPr="009D74E7">
          <w:rPr>
            <w:rStyle w:val="charCitHyperlinkAbbrev"/>
          </w:rPr>
          <w:noBreakHyphen/>
          <w:t>5</w:t>
        </w:r>
      </w:hyperlink>
    </w:p>
    <w:p w:rsidR="00255366" w:rsidRDefault="00255366" w:rsidP="00255366">
      <w:pPr>
        <w:pStyle w:val="AmdtsEntries"/>
      </w:pPr>
      <w:r>
        <w:tab/>
        <w:t xml:space="preserve">ins </w:t>
      </w:r>
      <w:hyperlink r:id="rId52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Pr="009D74E7" w:rsidRDefault="00255366">
      <w:pPr>
        <w:pStyle w:val="AmdtsEntryHd"/>
        <w:rPr>
          <w:rFonts w:cs="Arial"/>
        </w:rPr>
      </w:pPr>
      <w:r>
        <w:t>Applications to ACAT by children—application of this Act etc</w:t>
      </w:r>
    </w:p>
    <w:p w:rsidR="00450C28" w:rsidRDefault="00450C28">
      <w:pPr>
        <w:pStyle w:val="AmdtsEntries"/>
      </w:pPr>
      <w:r>
        <w:t>s 80</w:t>
      </w:r>
      <w:r>
        <w:tab/>
        <w:t xml:space="preserve">om </w:t>
      </w:r>
      <w:hyperlink r:id="rId526" w:tooltip="Residential Tenancies (Amendment) Act 1998" w:history="1">
        <w:r w:rsidR="009D74E7" w:rsidRPr="009D74E7">
          <w:rPr>
            <w:rStyle w:val="charCitHyperlinkAbbrev"/>
          </w:rPr>
          <w:t>A1998</w:t>
        </w:r>
        <w:r w:rsidR="009D74E7" w:rsidRPr="009D74E7">
          <w:rPr>
            <w:rStyle w:val="charCitHyperlinkAbbrev"/>
          </w:rPr>
          <w:noBreakHyphen/>
          <w:t>5</w:t>
        </w:r>
      </w:hyperlink>
    </w:p>
    <w:p w:rsidR="00255366" w:rsidRDefault="00255366" w:rsidP="00255366">
      <w:pPr>
        <w:pStyle w:val="AmdtsEntries"/>
      </w:pPr>
      <w:r>
        <w:tab/>
        <w:t xml:space="preserve">ins </w:t>
      </w:r>
      <w:hyperlink r:id="rId52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142DE4" w:rsidP="001F3679">
      <w:pPr>
        <w:pStyle w:val="AmdtsEntryHd"/>
      </w:pPr>
      <w:r>
        <w:lastRenderedPageBreak/>
        <w:t>Powers and decisions of ACAT</w:t>
      </w:r>
    </w:p>
    <w:p w:rsidR="00611B22" w:rsidRDefault="00611B22" w:rsidP="00611B22">
      <w:pPr>
        <w:pStyle w:val="AmdtsEntries"/>
      </w:pPr>
      <w:r>
        <w:t>div 6.5 hdg</w:t>
      </w:r>
      <w:r>
        <w:tab/>
        <w:t>(prev pt 6 div 6 hdg) renum R2 LA</w:t>
      </w:r>
    </w:p>
    <w:p w:rsidR="00611B22" w:rsidRDefault="00611B22" w:rsidP="00611B22">
      <w:pPr>
        <w:pStyle w:val="AmdtsEntries"/>
      </w:pPr>
      <w:r>
        <w:tab/>
        <w:t xml:space="preserve">sub </w:t>
      </w:r>
      <w:hyperlink r:id="rId5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5E1833">
      <w:pPr>
        <w:pStyle w:val="AmdtsEntryHd"/>
      </w:pPr>
      <w:r>
        <w:t>ACAT to assist parties to tenancy and occupancy disputes</w:t>
      </w:r>
    </w:p>
    <w:p w:rsidR="00450C28" w:rsidRDefault="00450C28">
      <w:pPr>
        <w:pStyle w:val="AmdtsEntries"/>
      </w:pPr>
      <w:r>
        <w:t>s 81</w:t>
      </w:r>
      <w:r>
        <w:tab/>
        <w:t xml:space="preserve">am </w:t>
      </w:r>
      <w:hyperlink r:id="rId52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2.31</w:t>
      </w:r>
    </w:p>
    <w:p w:rsidR="000A04DC" w:rsidRDefault="000A04DC" w:rsidP="000A04DC">
      <w:pPr>
        <w:pStyle w:val="AmdtsEntries"/>
      </w:pPr>
      <w:r>
        <w:tab/>
        <w:t xml:space="preserve">sub </w:t>
      </w:r>
      <w:hyperlink r:id="rId53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5E1833" w:rsidP="00611B22">
      <w:pPr>
        <w:pStyle w:val="AmdtsEntryHd"/>
      </w:pPr>
      <w:r>
        <w:t>Disputes about agreements no longer in force</w:t>
      </w:r>
    </w:p>
    <w:p w:rsidR="00611B22" w:rsidRDefault="00611B22" w:rsidP="00611B22">
      <w:pPr>
        <w:pStyle w:val="AmdtsEntries"/>
      </w:pPr>
      <w:r>
        <w:t>s 82</w:t>
      </w:r>
      <w:r>
        <w:tab/>
        <w:t xml:space="preserve">sub </w:t>
      </w:r>
      <w:hyperlink r:id="rId53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611B22" w:rsidRDefault="005E1833" w:rsidP="00611B22">
      <w:pPr>
        <w:pStyle w:val="AmdtsEntryHd"/>
      </w:pPr>
      <w:r>
        <w:t>Orders by ACAT</w:t>
      </w:r>
    </w:p>
    <w:p w:rsidR="00611B22" w:rsidRDefault="00611B22" w:rsidP="00611B22">
      <w:pPr>
        <w:pStyle w:val="AmdtsEntries"/>
      </w:pPr>
      <w:r>
        <w:t>s 83</w:t>
      </w:r>
      <w:r>
        <w:tab/>
        <w:t xml:space="preserve">sub </w:t>
      </w:r>
      <w:hyperlink r:id="rId532"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1.135</w:t>
      </w:r>
      <w:r w:rsidR="000A04DC">
        <w:t xml:space="preserve">; </w:t>
      </w:r>
      <w:hyperlink r:id="rId53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rsidR="00450C28" w:rsidRDefault="005E1833">
      <w:pPr>
        <w:pStyle w:val="AmdtsEntryHd"/>
        <w:rPr>
          <w:noProof/>
        </w:rPr>
      </w:pPr>
      <w:r>
        <w:t>Notice of intention to vacate—award of compensation</w:t>
      </w:r>
    </w:p>
    <w:p w:rsidR="00450C28" w:rsidRDefault="00450C28" w:rsidP="008A0960">
      <w:pPr>
        <w:pStyle w:val="AmdtsEntries"/>
        <w:keepNext/>
      </w:pPr>
      <w:r>
        <w:t>s 84</w:t>
      </w:r>
      <w:r>
        <w:tab/>
        <w:t xml:space="preserve">am </w:t>
      </w:r>
      <w:hyperlink r:id="rId53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0A04DC">
      <w:pPr>
        <w:pStyle w:val="AmdtsEntries"/>
      </w:pPr>
      <w:r>
        <w:tab/>
        <w:t xml:space="preserve">sub </w:t>
      </w:r>
      <w:hyperlink r:id="rId53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951423" w:rsidRDefault="00951423" w:rsidP="000A04DC">
      <w:pPr>
        <w:pStyle w:val="AmdtsEntries"/>
      </w:pPr>
      <w:r>
        <w:tab/>
        <w:t xml:space="preserve">am </w:t>
      </w:r>
      <w:hyperlink r:id="rId536" w:tooltip="Residential Tenancies Legislation Amendment Act 2016" w:history="1">
        <w:r w:rsidRPr="008B6A1B">
          <w:rPr>
            <w:rStyle w:val="charCitHyperlinkAbbrev"/>
          </w:rPr>
          <w:t>A2016-50</w:t>
        </w:r>
      </w:hyperlink>
      <w:r>
        <w:t xml:space="preserve"> s 21, s 22</w:t>
      </w:r>
    </w:p>
    <w:p w:rsidR="006466D8" w:rsidRDefault="004C3CAF">
      <w:pPr>
        <w:pStyle w:val="AmdtsEntryHd"/>
      </w:pPr>
      <w:r w:rsidRPr="00E56DA5">
        <w:t>Powers and decisions of ACAT—protection orders</w:t>
      </w:r>
    </w:p>
    <w:p w:rsidR="006466D8" w:rsidRPr="006466D8" w:rsidRDefault="006466D8" w:rsidP="006466D8">
      <w:pPr>
        <w:pStyle w:val="AmdtsEntries"/>
      </w:pPr>
      <w:r>
        <w:t>div 6.5A</w:t>
      </w:r>
      <w:r w:rsidR="003036E6">
        <w:t xml:space="preserve"> hdg</w:t>
      </w:r>
      <w:r>
        <w:tab/>
      </w:r>
      <w:r w:rsidR="004C3CAF">
        <w:t xml:space="preserve">ins </w:t>
      </w:r>
      <w:hyperlink r:id="rId537" w:tooltip="Residential Tenancies Legislation Amendment Act 2016" w:history="1">
        <w:r w:rsidR="004C3CAF">
          <w:rPr>
            <w:rStyle w:val="Hyperlink"/>
            <w:u w:val="none"/>
          </w:rPr>
          <w:t>A2016-50</w:t>
        </w:r>
      </w:hyperlink>
      <w:r w:rsidR="004C3CAF">
        <w:t xml:space="preserve"> s 23</w:t>
      </w:r>
    </w:p>
    <w:p w:rsidR="00450C28" w:rsidRDefault="004C3CAF">
      <w:pPr>
        <w:pStyle w:val="AmdtsEntryHd"/>
        <w:rPr>
          <w:noProof/>
        </w:rPr>
      </w:pPr>
      <w:r w:rsidRPr="00E56DA5">
        <w:t>Definitions—div 6.5A</w:t>
      </w:r>
    </w:p>
    <w:p w:rsidR="00450C28" w:rsidRDefault="00450C28" w:rsidP="006A6D55">
      <w:pPr>
        <w:pStyle w:val="AmdtsEntries"/>
        <w:keepNext/>
      </w:pPr>
      <w:r>
        <w:t>s 85</w:t>
      </w:r>
      <w:r>
        <w:tab/>
        <w:t xml:space="preserve">am </w:t>
      </w:r>
      <w:hyperlink r:id="rId5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951423" w:rsidRDefault="000A04DC" w:rsidP="000A04DC">
      <w:pPr>
        <w:pStyle w:val="AmdtsEntries"/>
      </w:pPr>
      <w:r>
        <w:tab/>
        <w:t xml:space="preserve">sub </w:t>
      </w:r>
      <w:hyperlink r:id="rId53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r w:rsidR="004C3CAF">
        <w:t xml:space="preserve">; </w:t>
      </w:r>
      <w:hyperlink r:id="rId540" w:tooltip="Residential Tenancies Legislation Amendment Act 2016" w:history="1">
        <w:r w:rsidR="004C3CAF">
          <w:rPr>
            <w:rStyle w:val="Hyperlink"/>
            <w:u w:val="none"/>
          </w:rPr>
          <w:t>A2016-50</w:t>
        </w:r>
      </w:hyperlink>
      <w:r w:rsidR="004C3CAF">
        <w:t xml:space="preserve"> s 24</w:t>
      </w:r>
    </w:p>
    <w:p w:rsidR="004C3CAF" w:rsidRDefault="004C3CAF" w:rsidP="000A04DC">
      <w:pPr>
        <w:pStyle w:val="AmdtsEntries"/>
      </w:pPr>
      <w:r>
        <w:tab/>
        <w:t xml:space="preserve">def </w:t>
      </w:r>
      <w:r w:rsidRPr="00E56DA5">
        <w:rPr>
          <w:rStyle w:val="charBoldItals"/>
        </w:rPr>
        <w:t>FV Act</w:t>
      </w:r>
      <w:r>
        <w:t xml:space="preserve"> ins </w:t>
      </w:r>
      <w:hyperlink r:id="rId541"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protected person</w:t>
      </w:r>
      <w:r>
        <w:t xml:space="preserve"> ins </w:t>
      </w:r>
      <w:hyperlink r:id="rId542"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protection order</w:t>
      </w:r>
      <w:r>
        <w:t xml:space="preserve"> ins </w:t>
      </w:r>
      <w:hyperlink r:id="rId543" w:tooltip="Residential Tenancies Legislation Amendment Act 2016" w:history="1">
        <w:r>
          <w:rPr>
            <w:rStyle w:val="Hyperlink"/>
            <w:u w:val="none"/>
          </w:rPr>
          <w:t>A2016-50</w:t>
        </w:r>
      </w:hyperlink>
      <w:r>
        <w:t xml:space="preserve"> s 24</w:t>
      </w:r>
    </w:p>
    <w:p w:rsidR="004C3CAF" w:rsidRDefault="004C3CAF" w:rsidP="004C3CAF">
      <w:pPr>
        <w:pStyle w:val="AmdtsEntries"/>
      </w:pPr>
      <w:r>
        <w:tab/>
        <w:t xml:space="preserve">def </w:t>
      </w:r>
      <w:r w:rsidRPr="00E56DA5">
        <w:rPr>
          <w:rStyle w:val="charBoldItals"/>
        </w:rPr>
        <w:t>PV Act</w:t>
      </w:r>
      <w:r>
        <w:t xml:space="preserve"> ins </w:t>
      </w:r>
      <w:hyperlink r:id="rId544" w:tooltip="Residential Tenancies Legislation Amendment Act 2016" w:history="1">
        <w:r>
          <w:rPr>
            <w:rStyle w:val="Hyperlink"/>
            <w:u w:val="none"/>
          </w:rPr>
          <w:t>A2016-50</w:t>
        </w:r>
      </w:hyperlink>
      <w:r>
        <w:t xml:space="preserve"> s 24</w:t>
      </w:r>
    </w:p>
    <w:p w:rsidR="004C3CAF" w:rsidRDefault="004C3CAF" w:rsidP="000A04DC">
      <w:pPr>
        <w:pStyle w:val="AmdtsEntries"/>
      </w:pPr>
      <w:r>
        <w:tab/>
        <w:t xml:space="preserve">def </w:t>
      </w:r>
      <w:r w:rsidRPr="00E56DA5">
        <w:rPr>
          <w:rStyle w:val="charBoldItals"/>
        </w:rPr>
        <w:t>respondent</w:t>
      </w:r>
      <w:r>
        <w:t xml:space="preserve"> ins </w:t>
      </w:r>
      <w:hyperlink r:id="rId545" w:tooltip="Residential Tenancies Legislation Amendment Act 2016" w:history="1">
        <w:r>
          <w:rPr>
            <w:rStyle w:val="Hyperlink"/>
            <w:u w:val="none"/>
          </w:rPr>
          <w:t>A2016-50</w:t>
        </w:r>
      </w:hyperlink>
      <w:r>
        <w:t xml:space="preserve"> s 24</w:t>
      </w:r>
    </w:p>
    <w:p w:rsidR="004C3CAF" w:rsidRDefault="00E07264" w:rsidP="00A24CD7">
      <w:pPr>
        <w:pStyle w:val="AmdtsEntryHd"/>
      </w:pPr>
      <w:r w:rsidRPr="00E56DA5">
        <w:t>New tenancy agreement—family violence and protection orders</w:t>
      </w:r>
    </w:p>
    <w:p w:rsidR="004C3CAF" w:rsidRDefault="004C3CAF" w:rsidP="004C3CAF">
      <w:pPr>
        <w:pStyle w:val="AmdtsEntries"/>
      </w:pPr>
      <w:r>
        <w:t>s 85A</w:t>
      </w:r>
      <w:r w:rsidR="00E07264">
        <w:tab/>
        <w:t xml:space="preserve">ins </w:t>
      </w:r>
      <w:hyperlink r:id="rId546" w:tooltip="Residential Tenancies Legislation Amendment Act 2016" w:history="1">
        <w:r w:rsidR="00E07264">
          <w:rPr>
            <w:rStyle w:val="Hyperlink"/>
            <w:u w:val="none"/>
          </w:rPr>
          <w:t>A2016-50</w:t>
        </w:r>
      </w:hyperlink>
      <w:r w:rsidR="00E07264">
        <w:t xml:space="preserve"> s 24</w:t>
      </w:r>
    </w:p>
    <w:p w:rsidR="00C47C92" w:rsidRPr="004C3CAF" w:rsidRDefault="00C47C92" w:rsidP="004C3CAF">
      <w:pPr>
        <w:pStyle w:val="AmdtsEntries"/>
      </w:pPr>
      <w:r>
        <w:tab/>
        <w:t xml:space="preserve">am </w:t>
      </w:r>
      <w:hyperlink r:id="rId547" w:tooltip="Residential Tenancies Amendment Act 2019" w:history="1">
        <w:r>
          <w:rPr>
            <w:rStyle w:val="charCitHyperlinkAbbrev"/>
          </w:rPr>
          <w:t>A2019-5</w:t>
        </w:r>
      </w:hyperlink>
      <w:r>
        <w:t xml:space="preserve"> s 15</w:t>
      </w:r>
      <w:r w:rsidR="004A551B">
        <w:t>, s 16</w:t>
      </w:r>
    </w:p>
    <w:p w:rsidR="004C3CAF" w:rsidRDefault="00E07264" w:rsidP="00A24CD7">
      <w:pPr>
        <w:pStyle w:val="AmdtsEntryHd"/>
      </w:pPr>
      <w:r w:rsidRPr="00E56DA5">
        <w:t>Applications under s 85A—ACAT orders</w:t>
      </w:r>
    </w:p>
    <w:p w:rsidR="004C3CAF" w:rsidRPr="004C3CAF" w:rsidRDefault="004C3CAF" w:rsidP="004C3CAF">
      <w:pPr>
        <w:pStyle w:val="AmdtsEntries"/>
      </w:pPr>
      <w:r>
        <w:t>s 85B</w:t>
      </w:r>
      <w:r w:rsidR="00E07264">
        <w:tab/>
        <w:t xml:space="preserve">ins </w:t>
      </w:r>
      <w:hyperlink r:id="rId548" w:tooltip="Residential Tenancies Legislation Amendment Act 2016" w:history="1">
        <w:r w:rsidR="00E07264">
          <w:rPr>
            <w:rStyle w:val="Hyperlink"/>
            <w:u w:val="none"/>
          </w:rPr>
          <w:t>A2016-50</w:t>
        </w:r>
      </w:hyperlink>
      <w:r w:rsidR="00E07264">
        <w:t xml:space="preserve"> s 24</w:t>
      </w:r>
    </w:p>
    <w:p w:rsidR="000A04DC" w:rsidRDefault="005E1833" w:rsidP="00A24CD7">
      <w:pPr>
        <w:pStyle w:val="AmdtsEntryHd"/>
      </w:pPr>
      <w:r>
        <w:t>Enforcement of ACAT orders</w:t>
      </w:r>
    </w:p>
    <w:p w:rsidR="00AA6500" w:rsidRDefault="000A04DC" w:rsidP="00A24CD7">
      <w:pPr>
        <w:pStyle w:val="AmdtsEntries"/>
        <w:keepNext/>
      </w:pPr>
      <w:r>
        <w:t>div 6.6 hdg</w:t>
      </w:r>
      <w:r>
        <w:tab/>
      </w:r>
      <w:r w:rsidR="00AA6500" w:rsidRPr="00AA6500">
        <w:rPr>
          <w:rStyle w:val="charBold"/>
        </w:rPr>
        <w:t>orig div 6.6 hdg</w:t>
      </w:r>
    </w:p>
    <w:p w:rsidR="00AA4E71" w:rsidRPr="00AA4E71" w:rsidRDefault="00AA6500" w:rsidP="00AA4E71">
      <w:pPr>
        <w:pStyle w:val="AmdtsEntries"/>
      </w:pPr>
      <w:r>
        <w:tab/>
      </w:r>
      <w:r w:rsidR="00AA4E71">
        <w:t>(prev pt 6 div 7 hdg) renum as div 6.6 hdg and then sub as</w:t>
      </w:r>
      <w:r w:rsidR="00B814D7">
        <w:t> </w:t>
      </w:r>
      <w:r w:rsidR="00AA4E71">
        <w:t>pt 6B hdg</w:t>
      </w:r>
    </w:p>
    <w:p w:rsidR="007C6BCB" w:rsidRPr="007C6BCB" w:rsidRDefault="00AA4E71" w:rsidP="000A04DC">
      <w:pPr>
        <w:pStyle w:val="AmdtsEntries"/>
      </w:pPr>
      <w:r>
        <w:rPr>
          <w:rStyle w:val="charBold"/>
        </w:rPr>
        <w:tab/>
      </w:r>
      <w:r w:rsidR="007C6BCB">
        <w:rPr>
          <w:rStyle w:val="charBold"/>
        </w:rPr>
        <w:t>pres div 6.6 hdg</w:t>
      </w:r>
    </w:p>
    <w:p w:rsidR="000A04DC" w:rsidRDefault="00AA6500" w:rsidP="000A04DC">
      <w:pPr>
        <w:pStyle w:val="AmdtsEntries"/>
      </w:pPr>
      <w:r>
        <w:tab/>
      </w:r>
      <w:r w:rsidR="000A04DC">
        <w:t xml:space="preserve">ins </w:t>
      </w:r>
      <w:hyperlink r:id="rId54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0A04DC">
        <w:t xml:space="preserve"> amdt 1.586</w:t>
      </w:r>
    </w:p>
    <w:p w:rsidR="000A04DC" w:rsidRDefault="005E1833" w:rsidP="000A04DC">
      <w:pPr>
        <w:pStyle w:val="AmdtsEntryHd"/>
      </w:pPr>
      <w:r>
        <w:t>Failure to comply with ACAT orders</w:t>
      </w:r>
    </w:p>
    <w:p w:rsidR="000A04DC" w:rsidRDefault="000A04DC" w:rsidP="000A04DC">
      <w:pPr>
        <w:pStyle w:val="AmdtsEntries"/>
      </w:pPr>
      <w:r>
        <w:t>s 86</w:t>
      </w:r>
      <w:r>
        <w:tab/>
        <w:t xml:space="preserve">sub </w:t>
      </w:r>
      <w:hyperlink r:id="rId55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141743" w:rsidRPr="009D74E7" w:rsidRDefault="00141743" w:rsidP="00141743">
      <w:pPr>
        <w:pStyle w:val="AmdtsEntryHd"/>
      </w:pPr>
      <w:r>
        <w:t>Tenancy databases</w:t>
      </w:r>
    </w:p>
    <w:p w:rsidR="00141743" w:rsidRPr="009D74E7" w:rsidRDefault="00141743" w:rsidP="00141743">
      <w:pPr>
        <w:pStyle w:val="AmdtsEntries"/>
        <w:rPr>
          <w:rFonts w:cs="Arial"/>
        </w:rPr>
      </w:pPr>
      <w:r>
        <w:t>pt 6A hdg</w:t>
      </w:r>
      <w:r>
        <w:tab/>
      </w:r>
      <w:r w:rsidRPr="009D74E7">
        <w:rPr>
          <w:rFonts w:cs="Arial"/>
        </w:rPr>
        <w:t xml:space="preserve">ins </w:t>
      </w:r>
      <w:hyperlink r:id="rId55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141743" w:rsidRPr="009D74E7" w:rsidRDefault="00141743" w:rsidP="00141743">
      <w:pPr>
        <w:pStyle w:val="AmdtsEntries"/>
        <w:rPr>
          <w:rFonts w:cs="Arial"/>
        </w:rPr>
      </w:pPr>
      <w:r w:rsidRPr="009D74E7">
        <w:rPr>
          <w:rFonts w:cs="Arial"/>
        </w:rPr>
        <w:tab/>
        <w:t xml:space="preserve">om </w:t>
      </w:r>
      <w:hyperlink r:id="rId55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141743" w:rsidRDefault="00141743" w:rsidP="00141743">
      <w:pPr>
        <w:pStyle w:val="AmdtsEntryHd"/>
      </w:pPr>
      <w:r>
        <w:lastRenderedPageBreak/>
        <w:t>Enforcement</w:t>
      </w:r>
    </w:p>
    <w:p w:rsidR="00141743" w:rsidRDefault="00141743" w:rsidP="00141743">
      <w:pPr>
        <w:pStyle w:val="AmdtsEntries"/>
        <w:keepNext/>
      </w:pPr>
      <w:r w:rsidRPr="009D74E7">
        <w:rPr>
          <w:rFonts w:cs="Arial"/>
        </w:rPr>
        <w:t>pt 6B hdg</w:t>
      </w:r>
      <w:r>
        <w:tab/>
        <w:t>(prev pt 6 div 7 hdg) renum as div 6.6 hdg R2 LA</w:t>
      </w:r>
    </w:p>
    <w:p w:rsidR="00141743" w:rsidRPr="009D74E7" w:rsidRDefault="00141743" w:rsidP="00141743">
      <w:pPr>
        <w:pStyle w:val="AmdtsEntries"/>
        <w:rPr>
          <w:rFonts w:cs="Arial"/>
        </w:rPr>
      </w:pPr>
      <w:r>
        <w:tab/>
      </w:r>
      <w:r w:rsidRPr="009D74E7">
        <w:rPr>
          <w:rFonts w:cs="Arial"/>
        </w:rPr>
        <w:t xml:space="preserve">sub as pt 6B hdg </w:t>
      </w:r>
      <w:hyperlink r:id="rId55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20</w:t>
      </w:r>
    </w:p>
    <w:p w:rsidR="00141743" w:rsidRDefault="00141743" w:rsidP="00141743">
      <w:pPr>
        <w:pStyle w:val="AmdtsEntries"/>
      </w:pPr>
      <w:r>
        <w:tab/>
        <w:t xml:space="preserve">om </w:t>
      </w:r>
      <w:hyperlink r:id="rId55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F3AE5" w:rsidRDefault="008F3AE5" w:rsidP="008F3AE5">
      <w:pPr>
        <w:pStyle w:val="AmdtsEntryHd"/>
      </w:pPr>
      <w:r w:rsidRPr="00A32059">
        <w:t>Residential tenancy databases</w:t>
      </w:r>
    </w:p>
    <w:p w:rsidR="008F3AE5" w:rsidRDefault="008F3AE5" w:rsidP="008F3AE5">
      <w:pPr>
        <w:pStyle w:val="AmdtsEntries"/>
      </w:pPr>
      <w:r w:rsidRPr="009D74E7">
        <w:rPr>
          <w:rFonts w:cs="Arial"/>
        </w:rPr>
        <w:t>pt 7 hdg</w:t>
      </w:r>
      <w:r>
        <w:tab/>
        <w:t xml:space="preserve">om </w:t>
      </w:r>
      <w:hyperlink r:id="rId55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F3AE5" w:rsidRDefault="008F3AE5" w:rsidP="008F3AE5">
      <w:pPr>
        <w:pStyle w:val="AmdtsEntries"/>
      </w:pPr>
      <w:r>
        <w:tab/>
        <w:t xml:space="preserve">ins </w:t>
      </w:r>
      <w:hyperlink r:id="rId55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8F3AE5" w:rsidRDefault="008F3AE5" w:rsidP="008F3AE5">
      <w:pPr>
        <w:pStyle w:val="AmdtsEntryHd"/>
      </w:pPr>
      <w:r>
        <w:t>Residential tenancies tribunal</w:t>
      </w:r>
    </w:p>
    <w:p w:rsidR="008F3AE5" w:rsidRDefault="008F3AE5" w:rsidP="008F3AE5">
      <w:pPr>
        <w:pStyle w:val="AmdtsEntries"/>
      </w:pPr>
      <w:r>
        <w:t>div 7.1 hdg</w:t>
      </w:r>
      <w:r>
        <w:tab/>
        <w:t>(prev pt 7 div 1 hdg) renum R2 LA</w:t>
      </w:r>
    </w:p>
    <w:p w:rsidR="008F3AE5" w:rsidRDefault="008F3AE5" w:rsidP="008F3AE5">
      <w:pPr>
        <w:pStyle w:val="AmdtsEntries"/>
      </w:pPr>
      <w:r>
        <w:tab/>
        <w:t xml:space="preserve">om </w:t>
      </w:r>
      <w:hyperlink r:id="rId55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8F3AE5">
      <w:pPr>
        <w:pStyle w:val="AmdtsEntryHd"/>
        <w:rPr>
          <w:noProof/>
        </w:rPr>
      </w:pPr>
      <w:r w:rsidRPr="00A32059">
        <w:rPr>
          <w:lang w:eastAsia="en-AU"/>
        </w:rPr>
        <w:t>Definitions—pt 7</w:t>
      </w:r>
    </w:p>
    <w:p w:rsidR="00450C28" w:rsidRDefault="00450C28">
      <w:pPr>
        <w:pStyle w:val="AmdtsEntries"/>
      </w:pPr>
      <w:r>
        <w:t>s 87</w:t>
      </w:r>
      <w:r>
        <w:tab/>
        <w:t xml:space="preserve">am </w:t>
      </w:r>
      <w:hyperlink r:id="rId55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0A04DC">
      <w:pPr>
        <w:pStyle w:val="AmdtsEntries"/>
      </w:pPr>
      <w:r>
        <w:tab/>
        <w:t xml:space="preserve">om </w:t>
      </w:r>
      <w:hyperlink r:id="rId55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8F3AE5" w:rsidRDefault="008F3AE5" w:rsidP="000A04DC">
      <w:pPr>
        <w:pStyle w:val="AmdtsEntries"/>
      </w:pPr>
      <w:r>
        <w:tab/>
        <w:t xml:space="preserve">ins </w:t>
      </w:r>
      <w:hyperlink r:id="rId56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8F3AE5" w:rsidRPr="008F3AE5" w:rsidRDefault="008F3AE5" w:rsidP="000A04DC">
      <w:pPr>
        <w:pStyle w:val="AmdtsEntries"/>
      </w:pPr>
      <w:r>
        <w:tab/>
        <w:t xml:space="preserve">def </w:t>
      </w:r>
      <w:r w:rsidRPr="009D74E7">
        <w:rPr>
          <w:rStyle w:val="charBoldItals"/>
        </w:rPr>
        <w:t xml:space="preserve">agent </w:t>
      </w:r>
      <w:r>
        <w:t xml:space="preserve">ins </w:t>
      </w:r>
      <w:hyperlink r:id="rId56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database </w:t>
      </w:r>
      <w:r>
        <w:t xml:space="preserve">ins </w:t>
      </w:r>
      <w:hyperlink r:id="rId56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database operator </w:t>
      </w:r>
      <w:r>
        <w:t xml:space="preserve">ins </w:t>
      </w:r>
      <w:hyperlink r:id="rId56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Pr="009D74E7">
        <w:rPr>
          <w:rStyle w:val="charBoldItals"/>
        </w:rPr>
        <w:t xml:space="preserve">inaccurate </w:t>
      </w:r>
      <w:r>
        <w:t xml:space="preserve">ins </w:t>
      </w:r>
      <w:hyperlink r:id="rId56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list </w:t>
      </w:r>
      <w:r>
        <w:t xml:space="preserve">ins </w:t>
      </w:r>
      <w:hyperlink r:id="rId56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out of date </w:t>
      </w:r>
      <w:r>
        <w:t xml:space="preserve">ins </w:t>
      </w:r>
      <w:hyperlink r:id="rId56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personal information </w:t>
      </w:r>
      <w:r>
        <w:t xml:space="preserve">ins </w:t>
      </w:r>
      <w:hyperlink r:id="rId56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rental bond </w:t>
      </w:r>
      <w:r>
        <w:t xml:space="preserve">ins </w:t>
      </w:r>
      <w:hyperlink r:id="rId56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9B5A09" w:rsidRPr="008F3AE5" w:rsidRDefault="009B5A09" w:rsidP="009B5A09">
      <w:pPr>
        <w:pStyle w:val="AmdtsEntries"/>
      </w:pPr>
      <w:r>
        <w:tab/>
        <w:t xml:space="preserve">def </w:t>
      </w:r>
      <w:r w:rsidR="00BA1D79" w:rsidRPr="009D74E7">
        <w:rPr>
          <w:rStyle w:val="charBoldItals"/>
        </w:rPr>
        <w:t xml:space="preserve">residential tenancy database </w:t>
      </w:r>
      <w:r>
        <w:t xml:space="preserve">ins </w:t>
      </w:r>
      <w:hyperlink r:id="rId56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BA1D79">
      <w:pPr>
        <w:pStyle w:val="AmdtsEntryHd"/>
      </w:pPr>
      <w:r w:rsidRPr="00A32059">
        <w:rPr>
          <w:lang w:eastAsia="en-AU"/>
        </w:rPr>
        <w:t>Application—pt 7</w:t>
      </w:r>
    </w:p>
    <w:p w:rsidR="00450C28" w:rsidRDefault="00450C28" w:rsidP="008A0960">
      <w:pPr>
        <w:pStyle w:val="AmdtsEntries"/>
        <w:keepNext/>
      </w:pPr>
      <w:r>
        <w:t>s 88</w:t>
      </w:r>
      <w:r>
        <w:tab/>
        <w:t xml:space="preserve">am </w:t>
      </w:r>
      <w:hyperlink r:id="rId570"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57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0A04DC" w:rsidRDefault="000A04DC" w:rsidP="008A0960">
      <w:pPr>
        <w:pStyle w:val="AmdtsEntries"/>
        <w:keepNext/>
      </w:pPr>
      <w:r>
        <w:tab/>
        <w:t xml:space="preserve">om </w:t>
      </w:r>
      <w:hyperlink r:id="rId57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BA1D79">
      <w:pPr>
        <w:pStyle w:val="AmdtsEntryHd"/>
      </w:pPr>
      <w:r w:rsidRPr="00A32059">
        <w:t>Notice of usual use of database</w:t>
      </w:r>
    </w:p>
    <w:p w:rsidR="00450C28" w:rsidRDefault="00450C28">
      <w:pPr>
        <w:pStyle w:val="AmdtsEntries"/>
        <w:keepNext/>
      </w:pPr>
      <w:r>
        <w:t>s 89 hdg</w:t>
      </w:r>
      <w:r>
        <w:tab/>
        <w:t xml:space="preserve">am </w:t>
      </w:r>
      <w:hyperlink r:id="rId574"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450C28" w:rsidRDefault="00450C28">
      <w:pPr>
        <w:pStyle w:val="AmdtsEntries"/>
      </w:pPr>
      <w:r>
        <w:t>s 89</w:t>
      </w:r>
      <w:r>
        <w:tab/>
        <w:t xml:space="preserve">am </w:t>
      </w:r>
      <w:hyperlink r:id="rId57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w:t>
      </w:r>
    </w:p>
    <w:p w:rsidR="000A04DC" w:rsidRDefault="000A04DC" w:rsidP="000A04DC">
      <w:pPr>
        <w:pStyle w:val="AmdtsEntries"/>
      </w:pPr>
      <w:r>
        <w:tab/>
        <w:t xml:space="preserve">om </w:t>
      </w:r>
      <w:hyperlink r:id="rId57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0A04DC" w:rsidRDefault="00BA1D79" w:rsidP="000A04DC">
      <w:pPr>
        <w:pStyle w:val="AmdtsEntryHd"/>
        <w:rPr>
          <w:noProof/>
        </w:rPr>
      </w:pPr>
      <w:r w:rsidRPr="00A32059">
        <w:t>Notice of listing if database used</w:t>
      </w:r>
    </w:p>
    <w:p w:rsidR="000A04DC" w:rsidRDefault="000A04DC" w:rsidP="000A04DC">
      <w:pPr>
        <w:pStyle w:val="AmdtsEntries"/>
      </w:pPr>
      <w:r>
        <w:t>s 90</w:t>
      </w:r>
      <w:r>
        <w:tab/>
        <w:t xml:space="preserve">om </w:t>
      </w:r>
      <w:hyperlink r:id="rId57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7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t>Listing can be made only for certain breaches by certain people</w:t>
      </w:r>
    </w:p>
    <w:p w:rsidR="00450C28" w:rsidRDefault="00450C28">
      <w:pPr>
        <w:pStyle w:val="AmdtsEntries"/>
      </w:pPr>
      <w:r>
        <w:t>s 91</w:t>
      </w:r>
      <w:r>
        <w:tab/>
        <w:t xml:space="preserve">am </w:t>
      </w:r>
      <w:hyperlink r:id="rId5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7015FF" w:rsidRDefault="007015FF" w:rsidP="007015FF">
      <w:pPr>
        <w:pStyle w:val="AmdtsEntries"/>
      </w:pPr>
      <w:r>
        <w:tab/>
        <w:t xml:space="preserve">om </w:t>
      </w:r>
      <w:hyperlink r:id="rId58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8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rPr>
          <w:lang w:eastAsia="en-AU"/>
        </w:rPr>
        <w:t>Further restriction on listing</w:t>
      </w:r>
    </w:p>
    <w:p w:rsidR="00450C28" w:rsidRDefault="00450C28">
      <w:pPr>
        <w:pStyle w:val="AmdtsEntries"/>
      </w:pPr>
      <w:r>
        <w:t>s 92</w:t>
      </w:r>
      <w:r>
        <w:tab/>
        <w:t xml:space="preserve">am </w:t>
      </w:r>
      <w:hyperlink r:id="rId5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2.32</w:t>
      </w:r>
    </w:p>
    <w:p w:rsidR="007015FF" w:rsidRDefault="007015FF" w:rsidP="007015FF">
      <w:pPr>
        <w:pStyle w:val="AmdtsEntries"/>
      </w:pPr>
      <w:r>
        <w:tab/>
        <w:t xml:space="preserve">om </w:t>
      </w:r>
      <w:hyperlink r:id="rId58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8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lastRenderedPageBreak/>
        <w:t>Ensuring quality of listing—lessor’s or agent’s obligation</w:t>
      </w:r>
    </w:p>
    <w:p w:rsidR="007015FF" w:rsidRDefault="007015FF" w:rsidP="007015FF">
      <w:pPr>
        <w:pStyle w:val="AmdtsEntries"/>
      </w:pPr>
      <w:r>
        <w:t>s 93</w:t>
      </w:r>
      <w:r>
        <w:tab/>
        <w:t xml:space="preserve">om </w:t>
      </w:r>
      <w:hyperlink r:id="rId58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8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t>Ensuring quality of listing—database operator’s obligation</w:t>
      </w:r>
    </w:p>
    <w:p w:rsidR="007015FF" w:rsidRDefault="007015FF" w:rsidP="007015FF">
      <w:pPr>
        <w:pStyle w:val="AmdtsEntries"/>
      </w:pPr>
      <w:r>
        <w:t>s 94</w:t>
      </w:r>
      <w:r>
        <w:tab/>
        <w:t xml:space="preserve">om </w:t>
      </w:r>
      <w:hyperlink r:id="rId58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8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7015FF" w:rsidRDefault="00BA1D79" w:rsidP="007015FF">
      <w:pPr>
        <w:pStyle w:val="AmdtsEntryHd"/>
        <w:rPr>
          <w:noProof/>
        </w:rPr>
      </w:pPr>
      <w:r w:rsidRPr="00A32059">
        <w:rPr>
          <w:lang w:eastAsia="en-AU"/>
        </w:rPr>
        <w:t>Providing copy of personal information listed</w:t>
      </w:r>
    </w:p>
    <w:p w:rsidR="007015FF" w:rsidRDefault="007015FF" w:rsidP="007015FF">
      <w:pPr>
        <w:pStyle w:val="AmdtsEntries"/>
      </w:pPr>
      <w:r>
        <w:t>s 95</w:t>
      </w:r>
      <w:r>
        <w:tab/>
        <w:t xml:space="preserve">om </w:t>
      </w:r>
      <w:hyperlink r:id="rId5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9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BA1D79">
      <w:pPr>
        <w:pStyle w:val="AmdtsEntryHd"/>
      </w:pPr>
      <w:r w:rsidRPr="00A32059">
        <w:rPr>
          <w:lang w:eastAsia="en-AU"/>
        </w:rPr>
        <w:t>Notifying relevant non-parties of tribunal order about listing</w:t>
      </w:r>
    </w:p>
    <w:p w:rsidR="00450C28" w:rsidRDefault="00450C28">
      <w:pPr>
        <w:pStyle w:val="AmdtsEntries"/>
        <w:keepNext/>
      </w:pPr>
      <w:r>
        <w:t>s 96</w:t>
      </w:r>
      <w:r>
        <w:tab/>
        <w:t xml:space="preserve">sub </w:t>
      </w:r>
      <w:hyperlink r:id="rId592"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1.36</w:t>
      </w:r>
    </w:p>
    <w:p w:rsidR="00450C28" w:rsidRDefault="00450C28">
      <w:pPr>
        <w:pStyle w:val="AmdtsEntries"/>
      </w:pPr>
      <w:r>
        <w:tab/>
        <w:t>(4), (5) exp 23 November 2006 (s 96 (5))</w:t>
      </w:r>
    </w:p>
    <w:p w:rsidR="00D45431" w:rsidRDefault="00D45431" w:rsidP="00D45431">
      <w:pPr>
        <w:pStyle w:val="AmdtsEntries"/>
      </w:pPr>
      <w:r>
        <w:tab/>
        <w:t xml:space="preserve">om </w:t>
      </w:r>
      <w:hyperlink r:id="rId59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BA1D79" w:rsidRDefault="00BA1D79" w:rsidP="00BA1D79">
      <w:pPr>
        <w:pStyle w:val="AmdtsEntries"/>
      </w:pPr>
      <w:r>
        <w:tab/>
        <w:t xml:space="preserve">ins </w:t>
      </w:r>
      <w:hyperlink r:id="rId59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Pr="009D74E7" w:rsidRDefault="00450C28">
      <w:pPr>
        <w:pStyle w:val="AmdtsEntryHd"/>
      </w:pPr>
      <w:r>
        <w:t>Appearance by audiovisual or audio links</w:t>
      </w:r>
    </w:p>
    <w:p w:rsidR="00450C28" w:rsidRDefault="00B814D7">
      <w:pPr>
        <w:pStyle w:val="AmdtsEntries"/>
        <w:keepNext/>
      </w:pPr>
      <w:r>
        <w:t>s 96A</w:t>
      </w:r>
      <w:r>
        <w:tab/>
        <w:t xml:space="preserve">ins </w:t>
      </w:r>
      <w:hyperlink r:id="rId595" w:tooltip="Courts and Tribunals (Audio Visual and Audio Linking) Act 1999" w:history="1">
        <w:r w:rsidRPr="00B814D7">
          <w:rPr>
            <w:rStyle w:val="charCitHyperlinkAbbrev"/>
          </w:rPr>
          <w:t>A1999-22</w:t>
        </w:r>
      </w:hyperlink>
      <w:r w:rsidR="00450C28">
        <w:t xml:space="preserve"> s 34</w:t>
      </w:r>
    </w:p>
    <w:p w:rsidR="00450C28" w:rsidRDefault="00450C28">
      <w:pPr>
        <w:pStyle w:val="AmdtsEntries"/>
      </w:pPr>
      <w:r>
        <w:tab/>
        <w:t xml:space="preserve">am </w:t>
      </w:r>
      <w:hyperlink r:id="rId596"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597"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r>
        <w:t xml:space="preserve"> amdt 2.17</w:t>
      </w:r>
    </w:p>
    <w:p w:rsidR="00D45431" w:rsidRDefault="00D45431" w:rsidP="00D45431">
      <w:pPr>
        <w:pStyle w:val="AmdtsEntries"/>
      </w:pPr>
      <w:r>
        <w:tab/>
        <w:t xml:space="preserve">om </w:t>
      </w:r>
      <w:hyperlink r:id="rId5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231D4A">
      <w:pPr>
        <w:pStyle w:val="AmdtsEntryHd"/>
      </w:pPr>
      <w:r w:rsidRPr="00A32059">
        <w:rPr>
          <w:lang w:eastAsia="en-AU"/>
        </w:rPr>
        <w:t>Keeping personal information listed</w:t>
      </w:r>
    </w:p>
    <w:p w:rsidR="00450C28" w:rsidRDefault="00450C28">
      <w:pPr>
        <w:pStyle w:val="AmdtsEntries"/>
      </w:pPr>
      <w:r>
        <w:t>s 97</w:t>
      </w:r>
      <w:r>
        <w:tab/>
        <w:t xml:space="preserve">sub </w:t>
      </w:r>
      <w:hyperlink r:id="rId599"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1.37</w:t>
      </w:r>
    </w:p>
    <w:p w:rsidR="00D45431" w:rsidRDefault="00D45431" w:rsidP="00D45431">
      <w:pPr>
        <w:pStyle w:val="AmdtsEntries"/>
      </w:pPr>
      <w:r>
        <w:tab/>
        <w:t xml:space="preserve">om </w:t>
      </w:r>
      <w:hyperlink r:id="rId60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60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20FF" w:rsidRDefault="004520FF" w:rsidP="00231D4A">
      <w:pPr>
        <w:pStyle w:val="AmdtsEntries"/>
      </w:pPr>
      <w:r>
        <w:tab/>
        <w:t xml:space="preserve">am </w:t>
      </w:r>
      <w:hyperlink r:id="rId602" w:tooltip="Justice and Community Safety Legislation Amendment Act 2014 (No 2)" w:history="1">
        <w:r>
          <w:rPr>
            <w:rStyle w:val="charCitHyperlinkAbbrev"/>
          </w:rPr>
          <w:t>A2014</w:t>
        </w:r>
        <w:r>
          <w:rPr>
            <w:rStyle w:val="charCitHyperlinkAbbrev"/>
          </w:rPr>
          <w:noBreakHyphen/>
          <w:t>49</w:t>
        </w:r>
      </w:hyperlink>
      <w:r>
        <w:t xml:space="preserve"> amdt 1.31, amdt 1.32</w:t>
      </w:r>
    </w:p>
    <w:p w:rsidR="00D45431" w:rsidRDefault="00231D4A" w:rsidP="00D45431">
      <w:pPr>
        <w:pStyle w:val="AmdtsEntryHd"/>
        <w:rPr>
          <w:noProof/>
        </w:rPr>
      </w:pPr>
      <w:r w:rsidRPr="00A32059">
        <w:rPr>
          <w:lang w:eastAsia="en-AU"/>
        </w:rPr>
        <w:t>Application to ACAT about contravention</w:t>
      </w:r>
    </w:p>
    <w:p w:rsidR="00D45431" w:rsidRDefault="00D45431" w:rsidP="008A0960">
      <w:pPr>
        <w:pStyle w:val="AmdtsEntries"/>
        <w:keepNext/>
      </w:pPr>
      <w:r>
        <w:t>s 98</w:t>
      </w:r>
      <w:r>
        <w:tab/>
        <w:t xml:space="preserve">om </w:t>
      </w:r>
      <w:hyperlink r:id="rId60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60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D45431" w:rsidRDefault="00231D4A" w:rsidP="00D45431">
      <w:pPr>
        <w:pStyle w:val="AmdtsEntryHd"/>
        <w:rPr>
          <w:noProof/>
        </w:rPr>
      </w:pPr>
      <w:r w:rsidRPr="00A32059">
        <w:rPr>
          <w:lang w:eastAsia="en-AU"/>
        </w:rPr>
        <w:t xml:space="preserve">Application to ACAT about certain personal information listed in residential tenancy </w:t>
      </w:r>
      <w:r w:rsidRPr="00A32059">
        <w:rPr>
          <w:rFonts w:cs="Arial"/>
          <w:bCs/>
          <w:szCs w:val="24"/>
          <w:lang w:eastAsia="en-AU"/>
        </w:rPr>
        <w:t>database</w:t>
      </w:r>
    </w:p>
    <w:p w:rsidR="00D45431" w:rsidRDefault="00D45431" w:rsidP="00D45431">
      <w:pPr>
        <w:pStyle w:val="AmdtsEntries"/>
      </w:pPr>
      <w:r>
        <w:t>s 99</w:t>
      </w:r>
      <w:r>
        <w:tab/>
        <w:t xml:space="preserve">om </w:t>
      </w:r>
      <w:hyperlink r:id="rId6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60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CA3D67" w:rsidRDefault="00CA3D67" w:rsidP="00231D4A">
      <w:pPr>
        <w:pStyle w:val="AmdtsEntries"/>
      </w:pPr>
      <w:r>
        <w:tab/>
        <w:t xml:space="preserve">am </w:t>
      </w:r>
      <w:hyperlink r:id="rId607" w:tooltip="Family Violence Act 2016" w:history="1">
        <w:r>
          <w:rPr>
            <w:rStyle w:val="charCitHyperlinkAbbrev"/>
          </w:rPr>
          <w:t>A2016</w:t>
        </w:r>
        <w:r>
          <w:rPr>
            <w:rStyle w:val="charCitHyperlinkAbbrev"/>
          </w:rPr>
          <w:noBreakHyphen/>
          <w:t>42</w:t>
        </w:r>
      </w:hyperlink>
      <w:r>
        <w:t xml:space="preserve"> amdt 3.90</w:t>
      </w:r>
    </w:p>
    <w:p w:rsidR="00D45431" w:rsidRDefault="00231D4A" w:rsidP="00D45431">
      <w:pPr>
        <w:pStyle w:val="AmdtsEntryHd"/>
        <w:rPr>
          <w:noProof/>
        </w:rPr>
      </w:pPr>
      <w:r w:rsidRPr="00A32059">
        <w:rPr>
          <w:lang w:eastAsia="en-AU"/>
        </w:rPr>
        <w:t xml:space="preserve">Application to ACAT about proposed listing of </w:t>
      </w:r>
      <w:r w:rsidRPr="00A32059">
        <w:rPr>
          <w:rFonts w:cs="Arial"/>
          <w:bCs/>
          <w:szCs w:val="24"/>
          <w:lang w:eastAsia="en-AU"/>
        </w:rPr>
        <w:t>personal information</w:t>
      </w:r>
    </w:p>
    <w:p w:rsidR="00D45431" w:rsidRDefault="00D45431" w:rsidP="00D45431">
      <w:pPr>
        <w:pStyle w:val="AmdtsEntries"/>
      </w:pPr>
      <w:r>
        <w:t>s 100</w:t>
      </w:r>
      <w:r>
        <w:tab/>
        <w:t xml:space="preserve">om </w:t>
      </w:r>
      <w:hyperlink r:id="rId60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60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450C28" w:rsidRDefault="00231D4A">
      <w:pPr>
        <w:pStyle w:val="AmdtsEntryHd"/>
      </w:pPr>
      <w:r w:rsidRPr="00A32059">
        <w:rPr>
          <w:lang w:eastAsia="en-AU"/>
        </w:rPr>
        <w:t>Order for compensation</w:t>
      </w:r>
    </w:p>
    <w:p w:rsidR="00450C28" w:rsidRDefault="00450C28">
      <w:pPr>
        <w:pStyle w:val="AmdtsEntries"/>
      </w:pPr>
      <w:r>
        <w:t>s 101</w:t>
      </w:r>
      <w:r>
        <w:tab/>
        <w:t xml:space="preserve">am </w:t>
      </w:r>
      <w:hyperlink r:id="rId61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2.33</w:t>
      </w:r>
    </w:p>
    <w:p w:rsidR="00683679" w:rsidRDefault="00683679" w:rsidP="00683679">
      <w:pPr>
        <w:pStyle w:val="AmdtsEntries"/>
      </w:pPr>
      <w:r>
        <w:tab/>
        <w:t xml:space="preserve">om </w:t>
      </w:r>
      <w:hyperlink r:id="rId61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231D4A" w:rsidRDefault="00231D4A" w:rsidP="00231D4A">
      <w:pPr>
        <w:pStyle w:val="AmdtsEntries"/>
      </w:pPr>
      <w:r>
        <w:tab/>
        <w:t xml:space="preserve">ins </w:t>
      </w:r>
      <w:hyperlink r:id="rId61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5</w:t>
      </w:r>
    </w:p>
    <w:p w:rsidR="00502642" w:rsidRDefault="00502642">
      <w:pPr>
        <w:pStyle w:val="AmdtsEntryHd"/>
      </w:pPr>
      <w:r w:rsidRPr="00582D10">
        <w:t>Registration of standard guarantee contract for commercial guarantee</w:t>
      </w:r>
    </w:p>
    <w:p w:rsidR="00502642" w:rsidRPr="00502642" w:rsidRDefault="00502642" w:rsidP="00502642">
      <w:pPr>
        <w:pStyle w:val="AmdtsEntries"/>
      </w:pPr>
      <w:r>
        <w:t>pt 8 hdg</w:t>
      </w:r>
      <w:r>
        <w:tab/>
        <w:t xml:space="preserve">ins </w:t>
      </w:r>
      <w:hyperlink r:id="rId613" w:tooltip="Residential Tenancies Amendment Act 2017" w:history="1">
        <w:r>
          <w:rPr>
            <w:rStyle w:val="charCitHyperlinkAbbrev"/>
          </w:rPr>
          <w:t>A2017</w:t>
        </w:r>
        <w:r>
          <w:rPr>
            <w:rStyle w:val="charCitHyperlinkAbbrev"/>
          </w:rPr>
          <w:noBreakHyphen/>
          <w:t>32</w:t>
        </w:r>
      </w:hyperlink>
      <w:r>
        <w:t xml:space="preserve"> amdt 2.4</w:t>
      </w:r>
    </w:p>
    <w:p w:rsidR="00450C28" w:rsidRDefault="00502642">
      <w:pPr>
        <w:pStyle w:val="AmdtsEntryHd"/>
      </w:pPr>
      <w:r w:rsidRPr="00582D10">
        <w:lastRenderedPageBreak/>
        <w:t xml:space="preserve">Meaning of </w:t>
      </w:r>
      <w:r w:rsidRPr="00582D10">
        <w:rPr>
          <w:rStyle w:val="charItals"/>
        </w:rPr>
        <w:t xml:space="preserve">commercial guarantee </w:t>
      </w:r>
      <w:r w:rsidRPr="00582D10">
        <w:t>and</w:t>
      </w:r>
      <w:r w:rsidRPr="00582D10">
        <w:rPr>
          <w:rStyle w:val="charItals"/>
        </w:rPr>
        <w:t xml:space="preserve"> standard guarantee</w:t>
      </w:r>
      <w:r w:rsidRPr="00582D10">
        <w:t xml:space="preserve"> </w:t>
      </w:r>
      <w:r w:rsidRPr="00582D10">
        <w:rPr>
          <w:rStyle w:val="charItals"/>
        </w:rPr>
        <w:t>contract</w:t>
      </w:r>
    </w:p>
    <w:p w:rsidR="00450C28" w:rsidRPr="009D74E7" w:rsidRDefault="00450C28">
      <w:pPr>
        <w:pStyle w:val="AmdtsEntries"/>
      </w:pPr>
      <w:r>
        <w:t>s 102</w:t>
      </w:r>
      <w:r>
        <w:tab/>
        <w:t xml:space="preserve">am </w:t>
      </w:r>
      <w:hyperlink r:id="rId61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1</w:t>
      </w:r>
      <w:r w:rsidRPr="00B814D7">
        <w:t>.3654-1.3</w:t>
      </w:r>
      <w:r>
        <w:t xml:space="preserve">656; </w:t>
      </w:r>
      <w:hyperlink r:id="rId61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ss 28-30; pars renum R10 LA (see </w:t>
      </w:r>
      <w:hyperlink r:id="rId61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31); </w:t>
      </w:r>
      <w:hyperlink r:id="rId617"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1.54</w:t>
      </w:r>
    </w:p>
    <w:p w:rsidR="00683679" w:rsidRDefault="00683679" w:rsidP="00683679">
      <w:pPr>
        <w:pStyle w:val="AmdtsEntries"/>
      </w:pPr>
      <w:r>
        <w:tab/>
        <w:t xml:space="preserve">om </w:t>
      </w:r>
      <w:hyperlink r:id="rId6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19" w:tooltip="Residential Tenancies Amendment Act 2017" w:history="1">
        <w:r>
          <w:rPr>
            <w:rStyle w:val="charCitHyperlinkAbbrev"/>
          </w:rPr>
          <w:t>A2017</w:t>
        </w:r>
        <w:r>
          <w:rPr>
            <w:rStyle w:val="charCitHyperlinkAbbrev"/>
          </w:rPr>
          <w:noBreakHyphen/>
          <w:t>32</w:t>
        </w:r>
      </w:hyperlink>
      <w:r>
        <w:t xml:space="preserve"> amdt 2.4</w:t>
      </w:r>
    </w:p>
    <w:p w:rsidR="00450C28" w:rsidRDefault="00502642">
      <w:pPr>
        <w:pStyle w:val="AmdtsEntryHd"/>
      </w:pPr>
      <w:r w:rsidRPr="00582D10">
        <w:t>Application for registration of standard guarantee contract</w:t>
      </w:r>
    </w:p>
    <w:p w:rsidR="00450C28" w:rsidRDefault="00450C28">
      <w:pPr>
        <w:pStyle w:val="AmdtsEntries"/>
      </w:pPr>
      <w:r>
        <w:t>s 103</w:t>
      </w:r>
      <w:r>
        <w:tab/>
        <w:t xml:space="preserve">am </w:t>
      </w:r>
      <w:hyperlink r:id="rId62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amdts </w:t>
      </w:r>
      <w:r w:rsidRPr="00B814D7">
        <w:t>1.3657-1.36</w:t>
      </w:r>
      <w:r>
        <w:t xml:space="preserve">59; </w:t>
      </w:r>
      <w:hyperlink r:id="rId6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2.34</w:t>
      </w:r>
    </w:p>
    <w:p w:rsidR="00683679" w:rsidRDefault="00683679" w:rsidP="00683679">
      <w:pPr>
        <w:pStyle w:val="AmdtsEntries"/>
      </w:pPr>
      <w:r>
        <w:tab/>
        <w:t xml:space="preserve">om </w:t>
      </w:r>
      <w:hyperlink r:id="rId62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23" w:tooltip="Residential Tenancies Amendment Act 2017" w:history="1">
        <w:r>
          <w:rPr>
            <w:rStyle w:val="charCitHyperlinkAbbrev"/>
          </w:rPr>
          <w:t>A2017</w:t>
        </w:r>
        <w:r>
          <w:rPr>
            <w:rStyle w:val="charCitHyperlinkAbbrev"/>
          </w:rPr>
          <w:noBreakHyphen/>
          <w:t>32</w:t>
        </w:r>
      </w:hyperlink>
      <w:r>
        <w:t xml:space="preserve"> amdt 2.4</w:t>
      </w:r>
    </w:p>
    <w:p w:rsidR="00B902FE" w:rsidRPr="00B902FE" w:rsidRDefault="00B902FE" w:rsidP="00683679">
      <w:pPr>
        <w:pStyle w:val="AmdtsEntries"/>
      </w:pPr>
      <w:r>
        <w:tab/>
        <w:t xml:space="preserve">am </w:t>
      </w:r>
      <w:hyperlink r:id="rId624" w:tooltip="Residential Tenancies Amendment Act 2018" w:history="1">
        <w:r>
          <w:rPr>
            <w:rStyle w:val="charCitHyperlinkAbbrev"/>
          </w:rPr>
          <w:t>A2018</w:t>
        </w:r>
        <w:r>
          <w:rPr>
            <w:rStyle w:val="charCitHyperlinkAbbrev"/>
          </w:rPr>
          <w:noBreakHyphen/>
          <w:t>20</w:t>
        </w:r>
      </w:hyperlink>
      <w:r>
        <w:t xml:space="preserve"> s 6, s 7</w:t>
      </w:r>
    </w:p>
    <w:p w:rsidR="00450C28" w:rsidRDefault="00502642">
      <w:pPr>
        <w:pStyle w:val="AmdtsEntryHd"/>
      </w:pPr>
      <w:r w:rsidRPr="00582D10">
        <w:t>Commissioner must decide application</w:t>
      </w:r>
    </w:p>
    <w:p w:rsidR="00450C28" w:rsidRPr="009D74E7" w:rsidRDefault="00450C28">
      <w:pPr>
        <w:pStyle w:val="AmdtsEntries"/>
      </w:pPr>
      <w:r>
        <w:t>s 104</w:t>
      </w:r>
      <w:r>
        <w:tab/>
        <w:t xml:space="preserve">am </w:t>
      </w:r>
      <w:hyperlink r:id="rId625"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1.3660, </w:t>
      </w:r>
      <w:hyperlink r:id="rId62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32, amdts 2.35-2.38; pars renum R10 LA (see </w:t>
      </w:r>
      <w:hyperlink r:id="rId62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33); </w:t>
      </w:r>
      <w:hyperlink r:id="rId628"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r>
        <w:t xml:space="preserve"> amdt 1.130</w:t>
      </w:r>
    </w:p>
    <w:p w:rsidR="00683679" w:rsidRDefault="00683679" w:rsidP="00683679">
      <w:pPr>
        <w:pStyle w:val="AmdtsEntries"/>
      </w:pPr>
      <w:r>
        <w:tab/>
        <w:t xml:space="preserve">om </w:t>
      </w:r>
      <w:hyperlink r:id="rId62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30" w:tooltip="Residential Tenancies Amendment Act 2017" w:history="1">
        <w:r>
          <w:rPr>
            <w:rStyle w:val="charCitHyperlinkAbbrev"/>
          </w:rPr>
          <w:t>A2017</w:t>
        </w:r>
        <w:r>
          <w:rPr>
            <w:rStyle w:val="charCitHyperlinkAbbrev"/>
          </w:rPr>
          <w:noBreakHyphen/>
          <w:t>32</w:t>
        </w:r>
      </w:hyperlink>
      <w:r>
        <w:t xml:space="preserve"> amdt 2.4</w:t>
      </w:r>
    </w:p>
    <w:p w:rsidR="00450C28" w:rsidRDefault="00450C28">
      <w:pPr>
        <w:pStyle w:val="AmdtsEntryHd"/>
      </w:pPr>
      <w:r>
        <w:t>Tribunal may refer matters to other entities</w:t>
      </w:r>
    </w:p>
    <w:p w:rsidR="00450C28" w:rsidRDefault="00450C28" w:rsidP="0001595F">
      <w:pPr>
        <w:pStyle w:val="AmdtsEntries"/>
        <w:keepNext/>
      </w:pPr>
      <w:r>
        <w:t>s 104A</w:t>
      </w:r>
      <w:r>
        <w:tab/>
        <w:t xml:space="preserve">ins </w:t>
      </w:r>
      <w:hyperlink r:id="rId63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3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Tribunal to record details of order</w:t>
      </w:r>
    </w:p>
    <w:p w:rsidR="00450C28" w:rsidRDefault="00450C28">
      <w:pPr>
        <w:pStyle w:val="AmdtsEntries"/>
      </w:pPr>
      <w:r>
        <w:t>s 104B</w:t>
      </w:r>
      <w:r>
        <w:tab/>
        <w:t xml:space="preserve">ins </w:t>
      </w:r>
      <w:hyperlink r:id="rId63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3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502642">
      <w:pPr>
        <w:pStyle w:val="AmdtsEntryHd"/>
      </w:pPr>
      <w:r w:rsidRPr="00582D10">
        <w:t>Register of standard guarantee contracts</w:t>
      </w:r>
    </w:p>
    <w:p w:rsidR="00450C28" w:rsidRDefault="00450C28">
      <w:pPr>
        <w:pStyle w:val="AmdtsEntries"/>
      </w:pPr>
      <w:r>
        <w:t>s 105</w:t>
      </w:r>
      <w:r>
        <w:tab/>
        <w:t xml:space="preserve">sub </w:t>
      </w:r>
      <w:hyperlink r:id="rId63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34</w:t>
      </w:r>
    </w:p>
    <w:p w:rsidR="00683679" w:rsidRDefault="00683679" w:rsidP="00683679">
      <w:pPr>
        <w:pStyle w:val="AmdtsEntries"/>
      </w:pPr>
      <w:r>
        <w:tab/>
        <w:t xml:space="preserve">om </w:t>
      </w:r>
      <w:hyperlink r:id="rId63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37" w:tooltip="Residential Tenancies Amendment Act 2017" w:history="1">
        <w:r>
          <w:rPr>
            <w:rStyle w:val="charCitHyperlinkAbbrev"/>
          </w:rPr>
          <w:t>A2017</w:t>
        </w:r>
        <w:r>
          <w:rPr>
            <w:rStyle w:val="charCitHyperlinkAbbrev"/>
          </w:rPr>
          <w:noBreakHyphen/>
          <w:t>32</w:t>
        </w:r>
      </w:hyperlink>
      <w:r>
        <w:t xml:space="preserve"> amdt 2.4</w:t>
      </w:r>
    </w:p>
    <w:p w:rsidR="00450C28" w:rsidRDefault="003B30A5">
      <w:pPr>
        <w:pStyle w:val="AmdtsEntryHd"/>
      </w:pPr>
      <w:r w:rsidRPr="00582D10">
        <w:t>Relationship to Australian Consumer Law (ACT)</w:t>
      </w:r>
    </w:p>
    <w:p w:rsidR="00450C28" w:rsidRDefault="00450C28" w:rsidP="00256F51">
      <w:pPr>
        <w:pStyle w:val="AmdtsEntries"/>
        <w:keepNext/>
      </w:pPr>
      <w:r>
        <w:t>s 106</w:t>
      </w:r>
      <w:r>
        <w:tab/>
        <w:t xml:space="preserve">am </w:t>
      </w:r>
      <w:hyperlink r:id="rId63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2.39</w:t>
      </w:r>
    </w:p>
    <w:p w:rsidR="00683679" w:rsidRDefault="00683679" w:rsidP="00683679">
      <w:pPr>
        <w:pStyle w:val="AmdtsEntries"/>
      </w:pPr>
      <w:r>
        <w:tab/>
        <w:t xml:space="preserve">om </w:t>
      </w:r>
      <w:hyperlink r:id="rId63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502642" w:rsidRDefault="00502642" w:rsidP="00683679">
      <w:pPr>
        <w:pStyle w:val="AmdtsEntries"/>
      </w:pPr>
      <w:r>
        <w:tab/>
        <w:t xml:space="preserve">ins </w:t>
      </w:r>
      <w:hyperlink r:id="rId640" w:tooltip="Residential Tenancies Amendment Act 2017" w:history="1">
        <w:r>
          <w:rPr>
            <w:rStyle w:val="charCitHyperlinkAbbrev"/>
          </w:rPr>
          <w:t>A2017</w:t>
        </w:r>
        <w:r>
          <w:rPr>
            <w:rStyle w:val="charCitHyperlinkAbbrev"/>
          </w:rPr>
          <w:noBreakHyphen/>
          <w:t>32</w:t>
        </w:r>
      </w:hyperlink>
      <w:r>
        <w:t xml:space="preserve"> amdt 2.4</w:t>
      </w:r>
    </w:p>
    <w:p w:rsidR="00D45431" w:rsidRDefault="00683679" w:rsidP="00D45431">
      <w:pPr>
        <w:pStyle w:val="AmdtsEntryHd"/>
        <w:rPr>
          <w:noProof/>
        </w:rPr>
      </w:pPr>
      <w:r>
        <w:t>Notice of intention to vacate—award of compensation</w:t>
      </w:r>
    </w:p>
    <w:p w:rsidR="00D45431" w:rsidRDefault="00D45431" w:rsidP="00D45431">
      <w:pPr>
        <w:pStyle w:val="AmdtsEntries"/>
      </w:pPr>
      <w:r>
        <w:t>s 107</w:t>
      </w:r>
      <w:r>
        <w:tab/>
        <w:t xml:space="preserve">om </w:t>
      </w:r>
      <w:hyperlink r:id="rId64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t>Substitution of tenant</w:t>
      </w:r>
    </w:p>
    <w:p w:rsidR="00450C28" w:rsidRPr="009D74E7" w:rsidRDefault="00450C28" w:rsidP="008A0960">
      <w:pPr>
        <w:pStyle w:val="AmdtsEntries"/>
        <w:keepNext/>
        <w:rPr>
          <w:rFonts w:cs="Arial"/>
        </w:rPr>
      </w:pPr>
      <w:r>
        <w:t>s 107A</w:t>
      </w:r>
      <w:r>
        <w:tab/>
      </w:r>
      <w:r w:rsidRPr="009D74E7">
        <w:rPr>
          <w:rFonts w:cs="Arial"/>
        </w:rPr>
        <w:t xml:space="preserve">ins </w:t>
      </w:r>
      <w:hyperlink r:id="rId642"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18</w:t>
      </w:r>
    </w:p>
    <w:p w:rsidR="00450C28" w:rsidRPr="009D74E7" w:rsidRDefault="00450C28" w:rsidP="008A0960">
      <w:pPr>
        <w:pStyle w:val="AmdtsEntries"/>
        <w:keepNext/>
        <w:rPr>
          <w:rFonts w:cs="Arial"/>
        </w:rPr>
      </w:pPr>
      <w:r>
        <w:tab/>
      </w:r>
      <w:r w:rsidRPr="009D74E7">
        <w:rPr>
          <w:rFonts w:cs="Arial"/>
        </w:rPr>
        <w:t xml:space="preserve">am </w:t>
      </w:r>
      <w:hyperlink r:id="rId643"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1.16</w:t>
      </w:r>
    </w:p>
    <w:p w:rsidR="00683679" w:rsidRDefault="00683679" w:rsidP="00683679">
      <w:pPr>
        <w:pStyle w:val="AmdtsEntries"/>
      </w:pPr>
      <w:r>
        <w:tab/>
        <w:t xml:space="preserve">om </w:t>
      </w:r>
      <w:hyperlink r:id="rId64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1.586</w:t>
      </w:r>
    </w:p>
    <w:p w:rsidR="00450C28" w:rsidRDefault="00450C28">
      <w:pPr>
        <w:pStyle w:val="AmdtsEntryHd"/>
      </w:pPr>
      <w:r>
        <w:lastRenderedPageBreak/>
        <w:t>Definitions for pt 6A</w:t>
      </w:r>
    </w:p>
    <w:p w:rsidR="00450C28" w:rsidRPr="009D74E7" w:rsidRDefault="00450C28">
      <w:pPr>
        <w:pStyle w:val="AmdtsEntries"/>
        <w:keepNext/>
        <w:rPr>
          <w:rFonts w:cs="Arial"/>
        </w:rPr>
      </w:pPr>
      <w:r>
        <w:t>s 107B</w:t>
      </w:r>
      <w:r>
        <w:tab/>
      </w:r>
      <w:r w:rsidRPr="009D74E7">
        <w:rPr>
          <w:rFonts w:cs="Arial"/>
        </w:rPr>
        <w:t xml:space="preserve">ins </w:t>
      </w:r>
      <w:hyperlink r:id="rId64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1F3679">
      <w:pPr>
        <w:pStyle w:val="AmdtsEntries"/>
        <w:keepNext/>
        <w:rPr>
          <w:rFonts w:cs="Arial"/>
        </w:rPr>
      </w:pPr>
      <w:r w:rsidRPr="009D74E7">
        <w:rPr>
          <w:rFonts w:cs="Arial"/>
        </w:rPr>
        <w:tab/>
        <w:t xml:space="preserve">om </w:t>
      </w:r>
      <w:hyperlink r:id="rId64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Pr="009D74E7" w:rsidRDefault="00450C28" w:rsidP="001F3679">
      <w:pPr>
        <w:pStyle w:val="AmdtsEntries"/>
        <w:keepNext/>
        <w:rPr>
          <w:rFonts w:cs="Arial"/>
        </w:rPr>
      </w:pPr>
      <w:r w:rsidRPr="009D74E7">
        <w:rPr>
          <w:rFonts w:cs="Arial"/>
        </w:rPr>
        <w:tab/>
        <w:t xml:space="preserve">def </w:t>
      </w:r>
      <w:r w:rsidRPr="00B814D7">
        <w:rPr>
          <w:rStyle w:val="charBoldItals"/>
        </w:rPr>
        <w:t>personal information</w:t>
      </w:r>
      <w:r w:rsidRPr="009D74E7">
        <w:rPr>
          <w:rFonts w:cs="Arial"/>
        </w:rPr>
        <w:t xml:space="preserve"> ins </w:t>
      </w:r>
      <w:hyperlink r:id="rId64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1F3679">
      <w:pPr>
        <w:pStyle w:val="AmdtsEntriesDefL2"/>
        <w:keepNext/>
        <w:rPr>
          <w:rFonts w:cs="Arial"/>
        </w:rPr>
      </w:pPr>
      <w:r w:rsidRPr="009D74E7">
        <w:rPr>
          <w:rFonts w:cs="Arial"/>
        </w:rPr>
        <w:tab/>
        <w:t xml:space="preserve">om </w:t>
      </w:r>
      <w:hyperlink r:id="rId64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Pr="009D74E7" w:rsidRDefault="00450C28" w:rsidP="001F3679">
      <w:pPr>
        <w:pStyle w:val="AmdtsEntries"/>
        <w:keepNext/>
        <w:rPr>
          <w:rFonts w:cs="Arial"/>
        </w:rPr>
      </w:pPr>
      <w:r w:rsidRPr="009D74E7">
        <w:rPr>
          <w:rFonts w:cs="Arial"/>
        </w:rPr>
        <w:tab/>
        <w:t xml:space="preserve">def </w:t>
      </w:r>
      <w:r w:rsidRPr="00B814D7">
        <w:rPr>
          <w:rStyle w:val="charBoldItals"/>
        </w:rPr>
        <w:t>tenancy database</w:t>
      </w:r>
      <w:r w:rsidRPr="009D74E7">
        <w:rPr>
          <w:rFonts w:cs="Arial"/>
        </w:rPr>
        <w:t xml:space="preserve"> ins </w:t>
      </w:r>
      <w:hyperlink r:id="rId649"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DefL2"/>
        <w:rPr>
          <w:rFonts w:cs="Arial"/>
        </w:rPr>
      </w:pPr>
      <w:r w:rsidRPr="009D74E7">
        <w:rPr>
          <w:rFonts w:cs="Arial"/>
        </w:rPr>
        <w:tab/>
        <w:t xml:space="preserve">om </w:t>
      </w:r>
      <w:hyperlink r:id="rId65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Non-application to internal databases</w:t>
      </w:r>
    </w:p>
    <w:p w:rsidR="00450C28" w:rsidRPr="009D74E7" w:rsidRDefault="00450C28">
      <w:pPr>
        <w:pStyle w:val="AmdtsEntries"/>
        <w:rPr>
          <w:rFonts w:cs="Arial"/>
        </w:rPr>
      </w:pPr>
      <w:r>
        <w:t>s 107C</w:t>
      </w:r>
      <w:r>
        <w:tab/>
      </w:r>
      <w:r w:rsidRPr="009D74E7">
        <w:rPr>
          <w:rFonts w:cs="Arial"/>
        </w:rPr>
        <w:t xml:space="preserve">ins </w:t>
      </w:r>
      <w:hyperlink r:id="rId65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450C28" w:rsidRPr="009D74E7" w:rsidRDefault="00450C28">
      <w:pPr>
        <w:pStyle w:val="AmdtsEntries"/>
        <w:rPr>
          <w:rFonts w:cs="Arial"/>
        </w:rPr>
      </w:pPr>
      <w:r w:rsidRPr="009D74E7">
        <w:rPr>
          <w:rFonts w:cs="Arial"/>
        </w:rPr>
        <w:tab/>
        <w:t xml:space="preserve">am </w:t>
      </w:r>
      <w:hyperlink r:id="rId652"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1.19</w:t>
      </w:r>
    </w:p>
    <w:p w:rsidR="008F3AE5" w:rsidRPr="009D74E7" w:rsidRDefault="008F3AE5" w:rsidP="008F3AE5">
      <w:pPr>
        <w:pStyle w:val="AmdtsEntries"/>
        <w:rPr>
          <w:rFonts w:cs="Arial"/>
        </w:rPr>
      </w:pPr>
      <w:r w:rsidRPr="009D74E7">
        <w:rPr>
          <w:rFonts w:cs="Arial"/>
        </w:rPr>
        <w:tab/>
        <w:t xml:space="preserve">om </w:t>
      </w:r>
      <w:hyperlink r:id="rId65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Restriction on inclusion of personal information</w:t>
      </w:r>
    </w:p>
    <w:p w:rsidR="00450C28" w:rsidRPr="009D74E7" w:rsidRDefault="00450C28">
      <w:pPr>
        <w:pStyle w:val="AmdtsEntries"/>
      </w:pPr>
      <w:r>
        <w:t>s 107D</w:t>
      </w:r>
      <w:r>
        <w:tab/>
      </w:r>
      <w:r w:rsidRPr="009D74E7">
        <w:rPr>
          <w:rFonts w:cs="Arial"/>
        </w:rPr>
        <w:t xml:space="preserve">ins </w:t>
      </w:r>
      <w:hyperlink r:id="rId65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8F3AE5" w:rsidRPr="009D74E7" w:rsidRDefault="008F3AE5" w:rsidP="008F3AE5">
      <w:pPr>
        <w:pStyle w:val="AmdtsEntries"/>
        <w:rPr>
          <w:rFonts w:cs="Arial"/>
        </w:rPr>
      </w:pPr>
      <w:r w:rsidRPr="009D74E7">
        <w:rPr>
          <w:rFonts w:cs="Arial"/>
        </w:rPr>
        <w:tab/>
        <w:t xml:space="preserve">om </w:t>
      </w:r>
      <w:hyperlink r:id="rId65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ACAT</w:t>
      </w:r>
      <w:r>
        <w:t xml:space="preserve"> about contravention</w:t>
      </w:r>
    </w:p>
    <w:p w:rsidR="000B6B69" w:rsidRPr="000B6B69" w:rsidRDefault="000B6B69" w:rsidP="000B6B69">
      <w:pPr>
        <w:pStyle w:val="AmdtsEntries"/>
      </w:pPr>
      <w:r>
        <w:t>s 107E hdg</w:t>
      </w:r>
      <w:r>
        <w:tab/>
        <w:t xml:space="preserve">am </w:t>
      </w:r>
      <w:hyperlink r:id="rId65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ies"/>
        <w:rPr>
          <w:rFonts w:cs="Arial"/>
        </w:rPr>
      </w:pPr>
      <w:r>
        <w:t>s 107E</w:t>
      </w:r>
      <w:r>
        <w:tab/>
      </w:r>
      <w:r w:rsidRPr="009D74E7">
        <w:rPr>
          <w:rFonts w:cs="Arial"/>
        </w:rPr>
        <w:t xml:space="preserve">ins </w:t>
      </w:r>
      <w:hyperlink r:id="rId657"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pPr>
        <w:pStyle w:val="AmdtsEntries"/>
        <w:rPr>
          <w:rFonts w:cs="Arial"/>
        </w:rPr>
      </w:pPr>
      <w:r w:rsidRPr="009D74E7">
        <w:rPr>
          <w:rFonts w:cs="Arial"/>
        </w:rPr>
        <w:tab/>
        <w:t xml:space="preserve">am </w:t>
      </w:r>
      <w:hyperlink r:id="rId65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5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 xml:space="preserve">ACAT </w:t>
      </w:r>
      <w:r>
        <w:t>about incorrect or unjust inclusion in database</w:t>
      </w:r>
    </w:p>
    <w:p w:rsidR="000B6B69" w:rsidRPr="000B6B69" w:rsidRDefault="000B6B69" w:rsidP="000B6B69">
      <w:pPr>
        <w:pStyle w:val="AmdtsEntries"/>
      </w:pPr>
      <w:r>
        <w:t>s 107F hdg</w:t>
      </w:r>
      <w:r>
        <w:tab/>
        <w:t xml:space="preserve">am </w:t>
      </w:r>
      <w:hyperlink r:id="rId66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pPr>
        <w:pStyle w:val="AmdtsEntries"/>
      </w:pPr>
      <w:r>
        <w:t>s 107F</w:t>
      </w:r>
      <w:r>
        <w:tab/>
      </w:r>
      <w:r w:rsidRPr="009D74E7">
        <w:rPr>
          <w:rFonts w:cs="Arial"/>
        </w:rPr>
        <w:t xml:space="preserve">ins </w:t>
      </w:r>
      <w:hyperlink r:id="rId66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A106DF">
      <w:pPr>
        <w:pStyle w:val="AmdtsEntries"/>
        <w:rPr>
          <w:rFonts w:cs="Arial"/>
        </w:rPr>
      </w:pPr>
      <w:r w:rsidRPr="009D74E7">
        <w:rPr>
          <w:rFonts w:cs="Arial"/>
        </w:rPr>
        <w:tab/>
        <w:t xml:space="preserve">am </w:t>
      </w:r>
      <w:hyperlink r:id="rId66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6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 xml:space="preserve">Application to </w:t>
      </w:r>
      <w:r w:rsidR="00DE2C3A">
        <w:t xml:space="preserve">ACAT </w:t>
      </w:r>
      <w:r>
        <w:t>about proposed inclusion of personal information</w:t>
      </w:r>
    </w:p>
    <w:p w:rsidR="000B6B69" w:rsidRPr="000B6B69" w:rsidRDefault="000B6B69" w:rsidP="00DE5B91">
      <w:pPr>
        <w:pStyle w:val="AmdtsEntries"/>
        <w:keepNext/>
      </w:pPr>
      <w:r>
        <w:t>s 107G hdg</w:t>
      </w:r>
      <w:r>
        <w:tab/>
        <w:t xml:space="preserve">am </w:t>
      </w:r>
      <w:hyperlink r:id="rId66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p>
    <w:p w:rsidR="00450C28" w:rsidRPr="009D74E7" w:rsidRDefault="00450C28" w:rsidP="00DE5B91">
      <w:pPr>
        <w:pStyle w:val="AmdtsEntries"/>
        <w:keepNext/>
      </w:pPr>
      <w:r>
        <w:t>s 107G</w:t>
      </w:r>
      <w:r>
        <w:tab/>
      </w:r>
      <w:r w:rsidRPr="009D74E7">
        <w:rPr>
          <w:rFonts w:cs="Arial"/>
        </w:rPr>
        <w:t xml:space="preserve">ins </w:t>
      </w:r>
      <w:hyperlink r:id="rId665"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A106DF">
      <w:pPr>
        <w:pStyle w:val="AmdtsEntries"/>
        <w:rPr>
          <w:rFonts w:cs="Arial"/>
        </w:rPr>
      </w:pPr>
      <w:r w:rsidRPr="009D74E7">
        <w:rPr>
          <w:rFonts w:cs="Arial"/>
        </w:rPr>
        <w:tab/>
        <w:t xml:space="preserve">am </w:t>
      </w:r>
      <w:hyperlink r:id="rId66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6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450C28" w:rsidRDefault="00450C28">
      <w:pPr>
        <w:pStyle w:val="AmdtsEntryHd"/>
      </w:pPr>
      <w:r>
        <w:t>Order for compensation</w:t>
      </w:r>
    </w:p>
    <w:p w:rsidR="00450C28" w:rsidRDefault="00450C28" w:rsidP="00256F51">
      <w:pPr>
        <w:pStyle w:val="AmdtsEntries"/>
        <w:keepNext/>
      </w:pPr>
      <w:r>
        <w:t>s 107H</w:t>
      </w:r>
      <w:r>
        <w:tab/>
      </w:r>
      <w:r w:rsidRPr="009D74E7">
        <w:rPr>
          <w:rFonts w:cs="Arial"/>
        </w:rPr>
        <w:t xml:space="preserve">ins </w:t>
      </w:r>
      <w:hyperlink r:id="rId668"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19</w:t>
      </w:r>
    </w:p>
    <w:p w:rsidR="00A106DF" w:rsidRPr="009D74E7" w:rsidRDefault="00A106DF" w:rsidP="00256F51">
      <w:pPr>
        <w:pStyle w:val="AmdtsEntries"/>
        <w:keepNext/>
        <w:rPr>
          <w:rFonts w:cs="Arial"/>
        </w:rPr>
      </w:pPr>
      <w:r w:rsidRPr="009D74E7">
        <w:rPr>
          <w:rFonts w:cs="Arial"/>
        </w:rPr>
        <w:tab/>
        <w:t xml:space="preserve">am </w:t>
      </w:r>
      <w:hyperlink r:id="rId66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Pr="009D74E7">
        <w:rPr>
          <w:rFonts w:cs="Arial"/>
        </w:rPr>
        <w:t xml:space="preserve"> amdt 1.595</w:t>
      </w:r>
    </w:p>
    <w:p w:rsidR="008F3AE5" w:rsidRPr="009D74E7" w:rsidRDefault="008F3AE5" w:rsidP="008F3AE5">
      <w:pPr>
        <w:pStyle w:val="AmdtsEntries"/>
        <w:rPr>
          <w:rFonts w:cs="Arial"/>
        </w:rPr>
      </w:pPr>
      <w:r w:rsidRPr="009D74E7">
        <w:rPr>
          <w:rFonts w:cs="Arial"/>
        </w:rPr>
        <w:tab/>
        <w:t xml:space="preserve">om </w:t>
      </w:r>
      <w:hyperlink r:id="rId670"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4</w:t>
      </w:r>
    </w:p>
    <w:p w:rsidR="003F3049" w:rsidRDefault="003F3049" w:rsidP="003F3049">
      <w:pPr>
        <w:pStyle w:val="AmdtsEntryHd"/>
      </w:pPr>
      <w:r>
        <w:t>Failure to comply with tribunal orders</w:t>
      </w:r>
    </w:p>
    <w:p w:rsidR="003F3049" w:rsidRDefault="003F3049" w:rsidP="003F3049">
      <w:pPr>
        <w:pStyle w:val="AmdtsEntries"/>
      </w:pPr>
      <w:r>
        <w:t>s 108</w:t>
      </w:r>
      <w:r>
        <w:tab/>
        <w:t xml:space="preserve">sub </w:t>
      </w:r>
      <w:hyperlink r:id="rId671"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1.231</w:t>
      </w:r>
    </w:p>
    <w:p w:rsidR="003F3049" w:rsidRDefault="003F3049" w:rsidP="003F3049">
      <w:pPr>
        <w:pStyle w:val="AmdtsEntries"/>
      </w:pPr>
      <w:r>
        <w:tab/>
        <w:t xml:space="preserve">om </w:t>
      </w:r>
      <w:hyperlink r:id="rId67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A3F2B" w:rsidRDefault="000A3F2B" w:rsidP="000A3F2B">
      <w:pPr>
        <w:pStyle w:val="AmdtsEntryHd"/>
      </w:pPr>
      <w:r>
        <w:rPr>
          <w:szCs w:val="24"/>
        </w:rPr>
        <w:t>Orders for payment of money</w:t>
      </w:r>
    </w:p>
    <w:p w:rsidR="000A3F2B" w:rsidRDefault="000A3F2B" w:rsidP="000A3F2B">
      <w:pPr>
        <w:pStyle w:val="AmdtsEntries"/>
      </w:pPr>
      <w:r w:rsidRPr="009D74E7">
        <w:rPr>
          <w:rFonts w:cs="Arial"/>
        </w:rPr>
        <w:t>s 109</w:t>
      </w:r>
      <w:r>
        <w:tab/>
        <w:t xml:space="preserve">om </w:t>
      </w:r>
      <w:hyperlink r:id="rId67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65580A" w:rsidRDefault="00DE4BB5" w:rsidP="0065580A">
      <w:pPr>
        <w:pStyle w:val="AmdtsEntryHd"/>
      </w:pPr>
      <w:r>
        <w:rPr>
          <w:szCs w:val="24"/>
        </w:rPr>
        <w:t>Establishment</w:t>
      </w:r>
    </w:p>
    <w:p w:rsidR="0065580A" w:rsidRDefault="0065580A" w:rsidP="0065580A">
      <w:pPr>
        <w:pStyle w:val="AmdtsEntries"/>
      </w:pPr>
      <w:r w:rsidRPr="009D74E7">
        <w:rPr>
          <w:rFonts w:cs="Arial"/>
        </w:rPr>
        <w:t>s 110</w:t>
      </w:r>
      <w:r>
        <w:tab/>
        <w:t xml:space="preserve">om </w:t>
      </w:r>
      <w:hyperlink r:id="rId67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65580A" w:rsidRDefault="00DE4BB5" w:rsidP="0065580A">
      <w:pPr>
        <w:pStyle w:val="AmdtsEntryHd"/>
      </w:pPr>
      <w:r>
        <w:rPr>
          <w:szCs w:val="24"/>
        </w:rPr>
        <w:t>Constitution</w:t>
      </w:r>
    </w:p>
    <w:p w:rsidR="0065580A" w:rsidRDefault="0065580A" w:rsidP="0065580A">
      <w:pPr>
        <w:pStyle w:val="AmdtsEntries"/>
      </w:pPr>
      <w:r w:rsidRPr="009D74E7">
        <w:rPr>
          <w:rFonts w:cs="Arial"/>
        </w:rPr>
        <w:t>s 111</w:t>
      </w:r>
      <w:r>
        <w:tab/>
        <w:t xml:space="preserve">om </w:t>
      </w:r>
      <w:hyperlink r:id="rId67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lastRenderedPageBreak/>
        <w:t>Membership</w:t>
      </w:r>
    </w:p>
    <w:p w:rsidR="00450C28" w:rsidRDefault="00450C28">
      <w:pPr>
        <w:pStyle w:val="AmdtsEntries"/>
      </w:pPr>
      <w:r>
        <w:t>s 112</w:t>
      </w:r>
      <w:r>
        <w:tab/>
        <w:t xml:space="preserve">am </w:t>
      </w:r>
      <w:hyperlink r:id="rId676" w:tooltip="Legislation Amendment Act 2002" w:history="1">
        <w:r w:rsidR="009D74E7" w:rsidRPr="009D74E7">
          <w:rPr>
            <w:rStyle w:val="charCitHyperlinkAbbrev"/>
          </w:rPr>
          <w:t>A2002</w:t>
        </w:r>
        <w:r w:rsidR="009D74E7" w:rsidRPr="009D74E7">
          <w:rPr>
            <w:rStyle w:val="charCitHyperlinkAbbrev"/>
          </w:rPr>
          <w:noBreakHyphen/>
          <w:t>11</w:t>
        </w:r>
      </w:hyperlink>
      <w:r>
        <w:t xml:space="preserve"> amdt 2.87; </w:t>
      </w:r>
      <w:hyperlink r:id="rId67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35; </w:t>
      </w:r>
      <w:hyperlink r:id="rId678"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1.55; </w:t>
      </w:r>
      <w:hyperlink r:id="rId679"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3.152, amdt 3.153</w:t>
      </w:r>
    </w:p>
    <w:p w:rsidR="000835A9" w:rsidRDefault="000835A9" w:rsidP="000835A9">
      <w:pPr>
        <w:pStyle w:val="AmdtsEntries"/>
      </w:pPr>
      <w:r>
        <w:tab/>
        <w:t xml:space="preserve">om </w:t>
      </w:r>
      <w:hyperlink r:id="rId68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rPr>
          <w:szCs w:val="24"/>
        </w:rPr>
        <w:t>Acting president</w:t>
      </w:r>
    </w:p>
    <w:p w:rsidR="00450C28" w:rsidRDefault="00450C28">
      <w:pPr>
        <w:pStyle w:val="AmdtsEntries"/>
      </w:pPr>
      <w:r>
        <w:t>s 113</w:t>
      </w:r>
      <w:r>
        <w:tab/>
        <w:t xml:space="preserve">om </w:t>
      </w:r>
      <w:hyperlink r:id="rId681"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3.154</w:t>
      </w:r>
    </w:p>
    <w:p w:rsidR="00450C28" w:rsidRPr="009D74E7" w:rsidRDefault="00450C28">
      <w:pPr>
        <w:pStyle w:val="AmdtsEntryHd"/>
      </w:pPr>
      <w:r>
        <w:t>Registrar and deputy registrar</w:t>
      </w:r>
    </w:p>
    <w:p w:rsidR="00450C28" w:rsidRDefault="00450C28">
      <w:pPr>
        <w:pStyle w:val="AmdtsEntries"/>
        <w:keepNext/>
      </w:pPr>
      <w:r>
        <w:t>s 114</w:t>
      </w:r>
      <w:r>
        <w:tab/>
        <w:t xml:space="preserve">sub </w:t>
      </w:r>
      <w:hyperlink r:id="rId682"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pPr>
        <w:pStyle w:val="AmdtsEntries"/>
      </w:pPr>
      <w:r>
        <w:tab/>
        <w:t xml:space="preserve">am </w:t>
      </w:r>
      <w:hyperlink r:id="rId683"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1.33</w:t>
      </w:r>
    </w:p>
    <w:p w:rsidR="000835A9" w:rsidRDefault="000835A9" w:rsidP="000835A9">
      <w:pPr>
        <w:pStyle w:val="AmdtsEntries"/>
      </w:pPr>
      <w:r>
        <w:tab/>
        <w:t xml:space="preserve">om </w:t>
      </w:r>
      <w:hyperlink r:id="rId68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Jurisdiction of tribunal generally</w:t>
      </w:r>
    </w:p>
    <w:p w:rsidR="00450C28" w:rsidRDefault="00450C28">
      <w:pPr>
        <w:pStyle w:val="AmdtsEntries"/>
        <w:keepNext/>
      </w:pPr>
      <w:r>
        <w:t>s 115</w:t>
      </w:r>
      <w:r>
        <w:tab/>
        <w:t xml:space="preserve">am </w:t>
      </w:r>
      <w:hyperlink r:id="rId685"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6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2.40, amdt 2.41</w:t>
      </w:r>
    </w:p>
    <w:p w:rsidR="00450C28" w:rsidRDefault="00450C28">
      <w:pPr>
        <w:pStyle w:val="AmdtsEntries"/>
      </w:pPr>
      <w:r>
        <w:tab/>
        <w:t xml:space="preserve">sub </w:t>
      </w:r>
      <w:hyperlink r:id="rId687"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8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Saving of court jurisdiction</w:t>
      </w:r>
    </w:p>
    <w:p w:rsidR="00450C28" w:rsidRDefault="00450C28">
      <w:pPr>
        <w:pStyle w:val="AmdtsEntries"/>
      </w:pPr>
      <w:r>
        <w:t>s 115A</w:t>
      </w:r>
      <w:r>
        <w:tab/>
        <w:t>orig s 115A renum as s 115C</w:t>
      </w:r>
    </w:p>
    <w:p w:rsidR="00450C28" w:rsidRDefault="00450C28">
      <w:pPr>
        <w:pStyle w:val="AmdtsEntries"/>
      </w:pPr>
      <w:r>
        <w:tab/>
        <w:t xml:space="preserve">ins </w:t>
      </w:r>
      <w:hyperlink r:id="rId689"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9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Extended jurisdiction of tribunal with agreement of parties</w:t>
      </w:r>
    </w:p>
    <w:p w:rsidR="00450C28" w:rsidRDefault="00450C28">
      <w:pPr>
        <w:pStyle w:val="AmdtsEntries"/>
      </w:pPr>
      <w:r>
        <w:t>s 115B</w:t>
      </w:r>
      <w:r>
        <w:tab/>
        <w:t xml:space="preserve">ins </w:t>
      </w:r>
      <w:hyperlink r:id="rId691"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1.34</w:t>
      </w:r>
    </w:p>
    <w:p w:rsidR="000835A9" w:rsidRDefault="000835A9" w:rsidP="000835A9">
      <w:pPr>
        <w:pStyle w:val="AmdtsEntries"/>
      </w:pPr>
      <w:r>
        <w:tab/>
        <w:t xml:space="preserve">om </w:t>
      </w:r>
      <w:hyperlink r:id="rId69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Disputes about agreements no longer in force</w:t>
      </w:r>
    </w:p>
    <w:p w:rsidR="00450C28" w:rsidRDefault="00450C28">
      <w:pPr>
        <w:pStyle w:val="AmdtsEntries"/>
      </w:pPr>
      <w:r>
        <w:t>s 115C</w:t>
      </w:r>
      <w:r>
        <w:tab/>
        <w:t xml:space="preserve">(prev s 115A) ins </w:t>
      </w:r>
      <w:hyperlink r:id="rId6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36</w:t>
      </w:r>
    </w:p>
    <w:p w:rsidR="00450C28" w:rsidRDefault="00450C28">
      <w:pPr>
        <w:pStyle w:val="AmdtsEntries"/>
      </w:pPr>
      <w:r>
        <w:tab/>
        <w:t xml:space="preserve">renum </w:t>
      </w:r>
      <w:hyperlink r:id="rId694"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1.35</w:t>
      </w:r>
    </w:p>
    <w:p w:rsidR="000835A9" w:rsidRDefault="000835A9" w:rsidP="000835A9">
      <w:pPr>
        <w:pStyle w:val="AmdtsEntries"/>
      </w:pPr>
      <w:r>
        <w:tab/>
        <w:t xml:space="preserve">om </w:t>
      </w:r>
      <w:hyperlink r:id="rId69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rPr>
          <w:lang w:val="en-US"/>
        </w:rPr>
        <w:t>Decisions on matters agreed to by parties</w:t>
      </w:r>
    </w:p>
    <w:p w:rsidR="00450C28" w:rsidRDefault="00450C28" w:rsidP="00256F51">
      <w:pPr>
        <w:pStyle w:val="AmdtsEntries"/>
        <w:keepNext/>
      </w:pPr>
      <w:r>
        <w:t>s 115D</w:t>
      </w:r>
      <w:r>
        <w:tab/>
        <w:t xml:space="preserve">ins </w:t>
      </w:r>
      <w:hyperlink r:id="rId696"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r>
        <w:t xml:space="preserve"> amdt 1.75</w:t>
      </w:r>
    </w:p>
    <w:p w:rsidR="000835A9" w:rsidRDefault="000835A9" w:rsidP="000835A9">
      <w:pPr>
        <w:pStyle w:val="AmdtsEntries"/>
      </w:pPr>
      <w:r>
        <w:tab/>
        <w:t xml:space="preserve">om </w:t>
      </w:r>
      <w:hyperlink r:id="rId6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Referees</w:t>
      </w:r>
    </w:p>
    <w:p w:rsidR="00450C28" w:rsidRDefault="00450C28">
      <w:pPr>
        <w:pStyle w:val="AmdtsEntries"/>
      </w:pPr>
      <w:r>
        <w:t>div 7.2 hdg</w:t>
      </w:r>
      <w:r>
        <w:tab/>
        <w:t>(prev pt 7 div 2 hdg) renum R2 LA</w:t>
      </w:r>
    </w:p>
    <w:p w:rsidR="000835A9" w:rsidRDefault="000835A9" w:rsidP="000835A9">
      <w:pPr>
        <w:pStyle w:val="AmdtsEntries"/>
      </w:pPr>
      <w:r>
        <w:tab/>
        <w:t xml:space="preserve">om </w:t>
      </w:r>
      <w:hyperlink r:id="rId69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Pr="009D74E7" w:rsidRDefault="00450C28">
      <w:pPr>
        <w:pStyle w:val="AmdtsEntryHd"/>
      </w:pPr>
      <w:r>
        <w:t>Referees</w:t>
      </w:r>
    </w:p>
    <w:p w:rsidR="00450C28" w:rsidRPr="009D74E7" w:rsidRDefault="00450C28">
      <w:pPr>
        <w:pStyle w:val="AmdtsEntries"/>
      </w:pPr>
      <w:r>
        <w:t>s 116</w:t>
      </w:r>
      <w:r>
        <w:tab/>
        <w:t xml:space="preserve">am </w:t>
      </w:r>
      <w:hyperlink r:id="rId699"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sch 1; </w:t>
      </w:r>
      <w:hyperlink r:id="rId7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2.42; </w:t>
      </w:r>
      <w:hyperlink r:id="rId70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21; </w:t>
      </w:r>
      <w:hyperlink r:id="rId702" w:tooltip="Statute Law Amendment Act 2008" w:history="1">
        <w:r w:rsidR="009D74E7" w:rsidRPr="009D74E7">
          <w:rPr>
            <w:rStyle w:val="charCitHyperlinkAbbrev"/>
          </w:rPr>
          <w:t>A2008</w:t>
        </w:r>
        <w:r w:rsidR="009D74E7" w:rsidRPr="009D74E7">
          <w:rPr>
            <w:rStyle w:val="charCitHyperlinkAbbrev"/>
          </w:rPr>
          <w:noBreakHyphen/>
          <w:t>28</w:t>
        </w:r>
      </w:hyperlink>
      <w:r w:rsidRPr="009D74E7">
        <w:rPr>
          <w:rFonts w:cs="Arial"/>
        </w:rPr>
        <w:t xml:space="preserve"> amdt 3.155, amdt 3.156; ss renum R29 LA</w:t>
      </w:r>
    </w:p>
    <w:p w:rsidR="000835A9" w:rsidRDefault="000835A9" w:rsidP="000835A9">
      <w:pPr>
        <w:pStyle w:val="AmdtsEntries"/>
      </w:pPr>
      <w:r>
        <w:tab/>
        <w:t xml:space="preserve">om </w:t>
      </w:r>
      <w:hyperlink r:id="rId703"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Registrar and deputy registrars</w:t>
      </w:r>
    </w:p>
    <w:p w:rsidR="00450C28" w:rsidRDefault="00450C28">
      <w:pPr>
        <w:pStyle w:val="AmdtsEntries"/>
      </w:pPr>
      <w:r>
        <w:t>div 7.3 hdg</w:t>
      </w:r>
      <w:r>
        <w:tab/>
        <w:t>(prev pt 7 div 3 hdg) renum R2 LA</w:t>
      </w:r>
    </w:p>
    <w:p w:rsidR="000835A9" w:rsidRDefault="000835A9" w:rsidP="000835A9">
      <w:pPr>
        <w:pStyle w:val="AmdtsEntries"/>
      </w:pPr>
      <w:r>
        <w:tab/>
        <w:t xml:space="preserve">om </w:t>
      </w:r>
      <w:hyperlink r:id="rId70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Functions and powers</w:t>
      </w:r>
    </w:p>
    <w:p w:rsidR="00450C28" w:rsidRDefault="00450C28" w:rsidP="00B814D7">
      <w:pPr>
        <w:pStyle w:val="AmdtsEntries"/>
        <w:keepNext/>
      </w:pPr>
      <w:r>
        <w:t>s 117</w:t>
      </w:r>
      <w:r>
        <w:tab/>
        <w:t xml:space="preserve">am </w:t>
      </w:r>
      <w:hyperlink r:id="rId7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37, amdt 2.43, amdt 2.44</w:t>
      </w:r>
    </w:p>
    <w:p w:rsidR="000835A9" w:rsidRDefault="000835A9" w:rsidP="000835A9">
      <w:pPr>
        <w:pStyle w:val="AmdtsEntries"/>
      </w:pPr>
      <w:r>
        <w:tab/>
        <w:t xml:space="preserve">om </w:t>
      </w:r>
      <w:hyperlink r:id="rId706"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835A9" w:rsidRDefault="000835A9" w:rsidP="000835A9">
      <w:pPr>
        <w:pStyle w:val="AmdtsEntryHd"/>
      </w:pPr>
      <w:r>
        <w:rPr>
          <w:szCs w:val="24"/>
        </w:rPr>
        <w:lastRenderedPageBreak/>
        <w:t>President’s involvement</w:t>
      </w:r>
    </w:p>
    <w:p w:rsidR="000835A9" w:rsidRDefault="000835A9" w:rsidP="000835A9">
      <w:pPr>
        <w:pStyle w:val="AmdtsEntries"/>
      </w:pPr>
      <w:r w:rsidRPr="009D74E7">
        <w:rPr>
          <w:rFonts w:cs="Arial"/>
        </w:rPr>
        <w:t>s 118</w:t>
      </w:r>
      <w:r>
        <w:tab/>
        <w:t xml:space="preserve">om </w:t>
      </w:r>
      <w:hyperlink r:id="rId70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rPr>
          <w:szCs w:val="24"/>
        </w:rPr>
      </w:pPr>
      <w:r>
        <w:rPr>
          <w:szCs w:val="24"/>
        </w:rPr>
        <w:t>Deputy registrars</w:t>
      </w:r>
    </w:p>
    <w:p w:rsidR="00450C28" w:rsidRDefault="00450C28">
      <w:pPr>
        <w:pStyle w:val="AmdtsEntries"/>
      </w:pPr>
      <w:r>
        <w:t>s 119</w:t>
      </w:r>
      <w:r>
        <w:tab/>
        <w:t xml:space="preserve">om </w:t>
      </w:r>
      <w:hyperlink r:id="rId708"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Pr="009D74E7" w:rsidRDefault="00450C28">
      <w:pPr>
        <w:pStyle w:val="AmdtsEntryHd"/>
      </w:pPr>
      <w:r>
        <w:t>Other matters about tribunal</w:t>
      </w:r>
    </w:p>
    <w:p w:rsidR="00450C28" w:rsidRDefault="00450C28">
      <w:pPr>
        <w:pStyle w:val="AmdtsEntries"/>
        <w:keepNext/>
      </w:pPr>
      <w:r>
        <w:t>div 7.4 hdg</w:t>
      </w:r>
      <w:r>
        <w:tab/>
        <w:t>(prev pt 7 div 3 hdg) renum R1 LRA</w:t>
      </w:r>
    </w:p>
    <w:p w:rsidR="00450C28" w:rsidRDefault="00450C28">
      <w:pPr>
        <w:pStyle w:val="AmdtsEntries"/>
      </w:pPr>
      <w:r>
        <w:tab/>
        <w:t>renum R2 LA</w:t>
      </w:r>
    </w:p>
    <w:p w:rsidR="00881FD4" w:rsidRDefault="00881FD4" w:rsidP="00881FD4">
      <w:pPr>
        <w:pStyle w:val="AmdtsEntries"/>
      </w:pPr>
      <w:r>
        <w:tab/>
        <w:t xml:space="preserve">om </w:t>
      </w:r>
      <w:hyperlink r:id="rId70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Procedure generally</w:t>
      </w:r>
    </w:p>
    <w:p w:rsidR="00450C28" w:rsidRDefault="00450C28">
      <w:pPr>
        <w:pStyle w:val="AmdtsEntries"/>
        <w:keepNext/>
      </w:pPr>
      <w:r>
        <w:t>s 120</w:t>
      </w:r>
      <w:r>
        <w:tab/>
        <w:t xml:space="preserve">am </w:t>
      </w:r>
      <w:hyperlink r:id="rId71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1.3661, amdt 1.3662</w:t>
      </w:r>
    </w:p>
    <w:p w:rsidR="00450C28" w:rsidRDefault="00450C28">
      <w:pPr>
        <w:pStyle w:val="AmdtsEntries"/>
      </w:pPr>
      <w:r>
        <w:tab/>
        <w:t xml:space="preserve">sub </w:t>
      </w:r>
      <w:hyperlink r:id="rId71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38</w:t>
      </w:r>
    </w:p>
    <w:p w:rsidR="00881FD4" w:rsidRDefault="00881FD4" w:rsidP="00881FD4">
      <w:pPr>
        <w:pStyle w:val="AmdtsEntries"/>
      </w:pPr>
      <w:r>
        <w:tab/>
        <w:t xml:space="preserve">om </w:t>
      </w:r>
      <w:hyperlink r:id="rId71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81FD4" w:rsidRDefault="00881FD4" w:rsidP="00881FD4">
      <w:pPr>
        <w:pStyle w:val="AmdtsEntryHd"/>
        <w:rPr>
          <w:szCs w:val="24"/>
        </w:rPr>
      </w:pPr>
      <w:r>
        <w:rPr>
          <w:szCs w:val="24"/>
        </w:rPr>
        <w:t>Informality of procedures</w:t>
      </w:r>
    </w:p>
    <w:p w:rsidR="00881FD4" w:rsidRDefault="00881FD4" w:rsidP="00881FD4">
      <w:pPr>
        <w:pStyle w:val="AmdtsEntries"/>
      </w:pPr>
      <w:r>
        <w:t>s 121</w:t>
      </w:r>
      <w:r>
        <w:tab/>
        <w:t xml:space="preserve">om </w:t>
      </w:r>
      <w:hyperlink r:id="rId713"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Default="00450C28">
      <w:pPr>
        <w:pStyle w:val="AmdtsEntryHd"/>
      </w:pPr>
      <w:r>
        <w:t>Contempt of tribunal</w:t>
      </w:r>
    </w:p>
    <w:p w:rsidR="00450C28" w:rsidRDefault="00450C28">
      <w:pPr>
        <w:pStyle w:val="AmdtsEntries"/>
      </w:pPr>
      <w:r>
        <w:t>s 122</w:t>
      </w:r>
      <w:r>
        <w:tab/>
        <w:t xml:space="preserve">sub </w:t>
      </w:r>
      <w:hyperlink r:id="rId714"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rsidR="00881FD4" w:rsidRDefault="00881FD4" w:rsidP="00881FD4">
      <w:pPr>
        <w:pStyle w:val="AmdtsEntries"/>
      </w:pPr>
      <w:r>
        <w:tab/>
        <w:t xml:space="preserve">om </w:t>
      </w:r>
      <w:hyperlink r:id="rId71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Application of Criminal Code, ch 7</w:t>
      </w:r>
    </w:p>
    <w:p w:rsidR="00450C28" w:rsidRDefault="00450C28">
      <w:pPr>
        <w:pStyle w:val="AmdtsEntries"/>
      </w:pPr>
      <w:r>
        <w:t>s 122A</w:t>
      </w:r>
      <w:r>
        <w:tab/>
        <w:t xml:space="preserve">ins </w:t>
      </w:r>
      <w:hyperlink r:id="rId716"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1.38</w:t>
      </w:r>
    </w:p>
    <w:p w:rsidR="00881FD4" w:rsidRDefault="00881FD4" w:rsidP="00881FD4">
      <w:pPr>
        <w:pStyle w:val="AmdtsEntries"/>
      </w:pPr>
      <w:r>
        <w:tab/>
        <w:t xml:space="preserve">om </w:t>
      </w:r>
      <w:hyperlink r:id="rId71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881FD4" w:rsidRDefault="00881FD4" w:rsidP="00881FD4">
      <w:pPr>
        <w:pStyle w:val="AmdtsEntryHd"/>
        <w:rPr>
          <w:szCs w:val="24"/>
        </w:rPr>
      </w:pPr>
      <w:r>
        <w:rPr>
          <w:szCs w:val="24"/>
        </w:rPr>
        <w:t>Protection of members etc</w:t>
      </w:r>
    </w:p>
    <w:p w:rsidR="00881FD4" w:rsidRDefault="00881FD4" w:rsidP="00881FD4">
      <w:pPr>
        <w:pStyle w:val="AmdtsEntries"/>
      </w:pPr>
      <w:r>
        <w:t>s 123</w:t>
      </w:r>
      <w:r>
        <w:tab/>
        <w:t xml:space="preserve">om </w:t>
      </w:r>
      <w:hyperlink r:id="rId718"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3.157</w:t>
      </w:r>
    </w:p>
    <w:p w:rsidR="00450C28" w:rsidRDefault="00450C28">
      <w:pPr>
        <w:pStyle w:val="AmdtsEntryHd"/>
      </w:pPr>
      <w:r>
        <w:t>Approved forms—registrar</w:t>
      </w:r>
    </w:p>
    <w:p w:rsidR="00450C28" w:rsidRDefault="00450C28" w:rsidP="00256F51">
      <w:pPr>
        <w:pStyle w:val="AmdtsEntries"/>
        <w:keepNext/>
      </w:pPr>
      <w:r>
        <w:t>s 123A</w:t>
      </w:r>
      <w:r>
        <w:tab/>
        <w:t xml:space="preserve">ins </w:t>
      </w:r>
      <w:hyperlink r:id="rId719"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1.3663</w:t>
      </w:r>
    </w:p>
    <w:p w:rsidR="00450C28" w:rsidRDefault="00450C28">
      <w:pPr>
        <w:pStyle w:val="AmdtsEntries"/>
      </w:pPr>
      <w:r>
        <w:tab/>
        <w:t xml:space="preserve">am </w:t>
      </w:r>
      <w:hyperlink r:id="rId720" w:tooltip="Statute Law Amendment Act 2008" w:history="1">
        <w:r w:rsidR="009D74E7" w:rsidRPr="009D74E7">
          <w:rPr>
            <w:rStyle w:val="charCitHyperlinkAbbrev"/>
          </w:rPr>
          <w:t>A2008</w:t>
        </w:r>
        <w:r w:rsidR="009D74E7" w:rsidRPr="009D74E7">
          <w:rPr>
            <w:rStyle w:val="charCitHyperlinkAbbrev"/>
          </w:rPr>
          <w:noBreakHyphen/>
          <w:t>28</w:t>
        </w:r>
      </w:hyperlink>
      <w:r>
        <w:t xml:space="preserve"> amdt 3.158</w:t>
      </w:r>
    </w:p>
    <w:p w:rsidR="000A55E2" w:rsidRDefault="000A55E2" w:rsidP="000A55E2">
      <w:pPr>
        <w:pStyle w:val="AmdtsEntries"/>
      </w:pPr>
      <w:r>
        <w:tab/>
        <w:t xml:space="preserve">om </w:t>
      </w:r>
      <w:hyperlink r:id="rId72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0A55E2" w:rsidRDefault="000A55E2" w:rsidP="000A55E2">
      <w:pPr>
        <w:pStyle w:val="AmdtsEntryHd"/>
      </w:pPr>
      <w:r>
        <w:t>Referrals and appeals to Supreme Court</w:t>
      </w:r>
    </w:p>
    <w:p w:rsidR="000A55E2" w:rsidRDefault="000A55E2" w:rsidP="000A55E2">
      <w:pPr>
        <w:pStyle w:val="AmdtsEntries"/>
      </w:pPr>
      <w:r w:rsidRPr="009D74E7">
        <w:rPr>
          <w:rFonts w:cs="Arial"/>
        </w:rPr>
        <w:t>pt 8 hdg</w:t>
      </w:r>
      <w:r>
        <w:tab/>
        <w:t xml:space="preserve">om </w:t>
      </w:r>
      <w:hyperlink r:id="rId72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Referral of questions of law</w:t>
      </w:r>
    </w:p>
    <w:p w:rsidR="00450C28" w:rsidRDefault="00450C28" w:rsidP="00A24CD7">
      <w:pPr>
        <w:pStyle w:val="AmdtsEntries"/>
        <w:keepNext/>
      </w:pPr>
      <w:r>
        <w:t>s 124</w:t>
      </w:r>
      <w:r>
        <w:tab/>
        <w:t xml:space="preserve">sub </w:t>
      </w:r>
      <w:hyperlink r:id="rId723"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FF4B1F" w:rsidRDefault="00FF4B1F" w:rsidP="00FF4B1F">
      <w:pPr>
        <w:pStyle w:val="AmdtsEntries"/>
      </w:pPr>
      <w:r>
        <w:tab/>
        <w:t xml:space="preserve">om </w:t>
      </w:r>
      <w:hyperlink r:id="rId72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Default="00450C28">
      <w:pPr>
        <w:pStyle w:val="AmdtsEntryHd"/>
      </w:pPr>
      <w:r>
        <w:t>Appeals from tribunal decisions</w:t>
      </w:r>
    </w:p>
    <w:p w:rsidR="00450C28" w:rsidRDefault="00450C28">
      <w:pPr>
        <w:pStyle w:val="AmdtsEntries"/>
        <w:keepNext/>
      </w:pPr>
      <w:r>
        <w:t>s 125</w:t>
      </w:r>
      <w:r>
        <w:tab/>
        <w:t xml:space="preserve">sub </w:t>
      </w:r>
      <w:hyperlink r:id="rId725"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450C28" w:rsidRDefault="00450C28">
      <w:pPr>
        <w:pStyle w:val="AmdtsEntries"/>
        <w:keepNext/>
      </w:pPr>
      <w:r>
        <w:tab/>
        <w:t xml:space="preserve">am </w:t>
      </w:r>
      <w:hyperlink r:id="rId72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39 (as am by </w:t>
      </w:r>
      <w:hyperlink r:id="rId727" w:tooltip="Statute Law Amendment Act 2005" w:history="1">
        <w:r w:rsidR="009D74E7" w:rsidRPr="009D74E7">
          <w:rPr>
            <w:rStyle w:val="charCitHyperlinkAbbrev"/>
          </w:rPr>
          <w:t>A2005</w:t>
        </w:r>
        <w:r w:rsidR="009D74E7" w:rsidRPr="009D74E7">
          <w:rPr>
            <w:rStyle w:val="charCitHyperlinkAbbrev"/>
          </w:rPr>
          <w:noBreakHyphen/>
          <w:t>20</w:t>
        </w:r>
      </w:hyperlink>
      <w:r>
        <w:t xml:space="preserve"> amdt 3.340)</w:t>
      </w:r>
    </w:p>
    <w:p w:rsidR="00450C28" w:rsidRDefault="00450C28">
      <w:pPr>
        <w:pStyle w:val="AmdtsEntries"/>
        <w:keepNext/>
      </w:pPr>
      <w:r>
        <w:tab/>
        <w:t>(5), (6) exp 10 January 2006 (s 125 (6))</w:t>
      </w:r>
    </w:p>
    <w:p w:rsidR="00450C28" w:rsidRDefault="00450C28">
      <w:pPr>
        <w:pStyle w:val="AmdtsEntries"/>
      </w:pPr>
      <w:r>
        <w:tab/>
        <w:t xml:space="preserve">sub </w:t>
      </w:r>
      <w:hyperlink r:id="rId728"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r>
        <w:t xml:space="preserve"> amdt 2.170</w:t>
      </w:r>
    </w:p>
    <w:p w:rsidR="00FF4B1F" w:rsidRDefault="00FF4B1F" w:rsidP="00FF4B1F">
      <w:pPr>
        <w:pStyle w:val="AmdtsEntries"/>
      </w:pPr>
      <w:r>
        <w:tab/>
        <w:t xml:space="preserve">om </w:t>
      </w:r>
      <w:hyperlink r:id="rId72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1.587</w:t>
      </w:r>
    </w:p>
    <w:p w:rsidR="00450C28" w:rsidRPr="009D74E7" w:rsidRDefault="00450C28">
      <w:pPr>
        <w:pStyle w:val="AmdtsEntryHd"/>
        <w:rPr>
          <w:rFonts w:cs="Arial"/>
        </w:rPr>
      </w:pPr>
      <w:r w:rsidRPr="009D74E7">
        <w:rPr>
          <w:rFonts w:cs="Arial"/>
        </w:rPr>
        <w:lastRenderedPageBreak/>
        <w:t>Declared crisis accommodation provider</w:t>
      </w:r>
    </w:p>
    <w:p w:rsidR="00450C28" w:rsidRDefault="00450C28">
      <w:pPr>
        <w:pStyle w:val="AmdtsEntries"/>
        <w:keepNext/>
      </w:pPr>
      <w:r>
        <w:t>s 126</w:t>
      </w:r>
      <w:r>
        <w:tab/>
        <w:t xml:space="preserve">om </w:t>
      </w:r>
      <w:hyperlink r:id="rId73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1.626</w:t>
      </w:r>
    </w:p>
    <w:p w:rsidR="00450C28" w:rsidRPr="009D74E7" w:rsidRDefault="00450C28" w:rsidP="008A0960">
      <w:pPr>
        <w:pStyle w:val="AmdtsEntries"/>
        <w:keepNext/>
        <w:rPr>
          <w:rFonts w:cs="Arial"/>
        </w:rPr>
      </w:pPr>
      <w:r>
        <w:tab/>
      </w:r>
      <w:r w:rsidRPr="009D74E7">
        <w:rPr>
          <w:rFonts w:cs="Arial"/>
        </w:rPr>
        <w:t xml:space="preserve">ins </w:t>
      </w:r>
      <w:hyperlink r:id="rId73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22</w:t>
      </w:r>
    </w:p>
    <w:p w:rsidR="00BE0E96" w:rsidRPr="009D74E7" w:rsidRDefault="00BE0E96">
      <w:pPr>
        <w:pStyle w:val="AmdtsEntries"/>
        <w:rPr>
          <w:rFonts w:cs="Arial"/>
        </w:rPr>
      </w:pPr>
      <w:r w:rsidRPr="009D74E7">
        <w:rPr>
          <w:rFonts w:cs="Arial"/>
        </w:rPr>
        <w:tab/>
        <w:t xml:space="preserve">am </w:t>
      </w:r>
      <w:hyperlink r:id="rId732" w:tooltip="Statute Law Amendment Act 2011 (No 2)" w:history="1">
        <w:r w:rsidR="009D74E7" w:rsidRPr="009D74E7">
          <w:rPr>
            <w:rStyle w:val="charCitHyperlinkAbbrev"/>
          </w:rPr>
          <w:t>A2011</w:t>
        </w:r>
        <w:r w:rsidR="009D74E7" w:rsidRPr="009D74E7">
          <w:rPr>
            <w:rStyle w:val="charCitHyperlinkAbbrev"/>
          </w:rPr>
          <w:noBreakHyphen/>
          <w:t>28</w:t>
        </w:r>
      </w:hyperlink>
      <w:r w:rsidRPr="009D74E7">
        <w:rPr>
          <w:rFonts w:cs="Arial"/>
        </w:rPr>
        <w:t xml:space="preserve"> amdt 3.211</w:t>
      </w:r>
    </w:p>
    <w:p w:rsidR="00450C28" w:rsidRDefault="00450C28">
      <w:pPr>
        <w:pStyle w:val="AmdtsEntryHd"/>
      </w:pPr>
      <w:r>
        <w:t>Transfer of public housing under will</w:t>
      </w:r>
    </w:p>
    <w:p w:rsidR="00450C28" w:rsidRPr="009D74E7" w:rsidRDefault="00450C28" w:rsidP="00A0346A">
      <w:pPr>
        <w:pStyle w:val="AmdtsEntries"/>
        <w:keepNext/>
        <w:rPr>
          <w:rFonts w:cs="Arial"/>
        </w:rPr>
      </w:pPr>
      <w:r>
        <w:t>s 127A</w:t>
      </w:r>
      <w:r>
        <w:tab/>
      </w:r>
      <w:r w:rsidRPr="009D74E7">
        <w:rPr>
          <w:rFonts w:cs="Arial"/>
        </w:rPr>
        <w:t xml:space="preserve">ins </w:t>
      </w:r>
      <w:hyperlink r:id="rId733"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23</w:t>
      </w:r>
    </w:p>
    <w:p w:rsidR="00450C28" w:rsidRPr="009D74E7" w:rsidRDefault="00450C28">
      <w:pPr>
        <w:pStyle w:val="AmdtsEntries"/>
        <w:rPr>
          <w:rFonts w:cs="Arial"/>
        </w:rPr>
      </w:pPr>
      <w:r>
        <w:tab/>
      </w:r>
      <w:r w:rsidRPr="009D74E7">
        <w:rPr>
          <w:rFonts w:cs="Arial"/>
        </w:rPr>
        <w:t xml:space="preserve">am </w:t>
      </w:r>
      <w:hyperlink r:id="rId734"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1.17, amdt 1.19</w:t>
      </w:r>
      <w:r w:rsidR="00A106DF" w:rsidRPr="009D74E7">
        <w:rPr>
          <w:rFonts w:cs="Arial"/>
        </w:rPr>
        <w:t xml:space="preserve">; </w:t>
      </w:r>
      <w:hyperlink r:id="rId73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rsidR="00450C28" w:rsidRDefault="00450C28">
      <w:pPr>
        <w:pStyle w:val="AmdtsEntryHd"/>
      </w:pPr>
      <w:r>
        <w:t>Purported assignment or subletting</w:t>
      </w:r>
    </w:p>
    <w:p w:rsidR="00450C28" w:rsidRDefault="00450C28">
      <w:pPr>
        <w:pStyle w:val="AmdtsEntries"/>
      </w:pPr>
      <w:r>
        <w:t>s 128</w:t>
      </w:r>
      <w:r>
        <w:tab/>
        <w:t xml:space="preserve">am </w:t>
      </w:r>
      <w:hyperlink r:id="rId73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2.45</w:t>
      </w:r>
      <w:r w:rsidR="00A106DF" w:rsidRPr="009D74E7">
        <w:rPr>
          <w:rFonts w:cs="Arial"/>
        </w:rPr>
        <w:t xml:space="preserve">; </w:t>
      </w:r>
      <w:hyperlink r:id="rId73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A106DF" w:rsidRPr="009D74E7">
        <w:rPr>
          <w:rFonts w:cs="Arial"/>
        </w:rPr>
        <w:t xml:space="preserve"> amdt 1.595</w:t>
      </w:r>
    </w:p>
    <w:p w:rsidR="00450C28" w:rsidRDefault="00450C28">
      <w:pPr>
        <w:pStyle w:val="AmdtsEntryHd"/>
      </w:pPr>
      <w:r>
        <w:t>Admissibility of evidence given before approved mediator etc</w:t>
      </w:r>
    </w:p>
    <w:p w:rsidR="00450C28" w:rsidRDefault="00450C28">
      <w:pPr>
        <w:pStyle w:val="AmdtsEntries"/>
        <w:keepNext/>
      </w:pPr>
      <w:r>
        <w:t>s 129</w:t>
      </w:r>
      <w:r>
        <w:tab/>
        <w:t xml:space="preserve">am </w:t>
      </w:r>
      <w:hyperlink r:id="rId738"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1.39</w:t>
      </w:r>
    </w:p>
    <w:p w:rsidR="00450C28" w:rsidRDefault="00450C28">
      <w:pPr>
        <w:pStyle w:val="AmdtsEntries"/>
      </w:pPr>
      <w:r>
        <w:tab/>
        <w:t xml:space="preserve">sub </w:t>
      </w:r>
      <w:hyperlink r:id="rId739"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1.232</w:t>
      </w:r>
    </w:p>
    <w:p w:rsidR="00332238" w:rsidRDefault="00332238" w:rsidP="00332238">
      <w:pPr>
        <w:pStyle w:val="AmdtsEntries"/>
      </w:pPr>
      <w:r>
        <w:tab/>
        <w:t xml:space="preserve">om </w:t>
      </w:r>
      <w:hyperlink r:id="rId740"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1.588</w:t>
      </w:r>
    </w:p>
    <w:p w:rsidR="00450C28" w:rsidRDefault="00450C28">
      <w:pPr>
        <w:pStyle w:val="AmdtsEntryHd"/>
      </w:pPr>
      <w:r>
        <w:rPr>
          <w:szCs w:val="24"/>
        </w:rPr>
        <w:t>False information</w:t>
      </w:r>
    </w:p>
    <w:p w:rsidR="00450C28" w:rsidRDefault="00450C28">
      <w:pPr>
        <w:pStyle w:val="AmdtsEntries"/>
      </w:pPr>
      <w:r>
        <w:t>s 130</w:t>
      </w:r>
      <w:r>
        <w:tab/>
        <w:t xml:space="preserve">om </w:t>
      </w:r>
      <w:hyperlink r:id="rId741"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r>
        <w:t xml:space="preserve"> amdt 1.40 (see also </w:t>
      </w:r>
      <w:hyperlink r:id="rId742" w:tooltip="Criminal Code Harmonisation Act 2005" w:history="1">
        <w:r w:rsidR="009D74E7" w:rsidRPr="009D74E7">
          <w:rPr>
            <w:rStyle w:val="charCitHyperlinkAbbrev"/>
          </w:rPr>
          <w:t>A2005</w:t>
        </w:r>
        <w:r w:rsidR="009D74E7" w:rsidRPr="009D74E7">
          <w:rPr>
            <w:rStyle w:val="charCitHyperlinkAbbrev"/>
          </w:rPr>
          <w:noBreakHyphen/>
          <w:t>54</w:t>
        </w:r>
      </w:hyperlink>
      <w:r>
        <w:t xml:space="preserve"> amdt 1.233)</w:t>
      </w:r>
    </w:p>
    <w:p w:rsidR="00450C28" w:rsidRDefault="00450C28">
      <w:pPr>
        <w:pStyle w:val="AmdtsEntryHd"/>
      </w:pPr>
      <w:r>
        <w:t>Proceedings by children</w:t>
      </w:r>
    </w:p>
    <w:p w:rsidR="00450C28" w:rsidRDefault="00450C28">
      <w:pPr>
        <w:pStyle w:val="AmdtsEntries"/>
      </w:pPr>
      <w:r>
        <w:t>s 131</w:t>
      </w:r>
      <w:r>
        <w:tab/>
        <w:t xml:space="preserve">sub </w:t>
      </w:r>
      <w:hyperlink r:id="rId743"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r>
        <w:t xml:space="preserve"> amdt 1.627</w:t>
      </w:r>
    </w:p>
    <w:p w:rsidR="00450C28" w:rsidRPr="009D74E7" w:rsidRDefault="00450C28">
      <w:pPr>
        <w:pStyle w:val="AmdtsEntryHd"/>
      </w:pPr>
      <w:r>
        <w:t>Approved forms—Minister</w:t>
      </w:r>
    </w:p>
    <w:p w:rsidR="00450C28" w:rsidRDefault="00450C28">
      <w:pPr>
        <w:pStyle w:val="AmdtsEntries"/>
        <w:keepNext/>
      </w:pPr>
      <w:r>
        <w:t>s 133</w:t>
      </w:r>
      <w:r>
        <w:tab/>
        <w:t xml:space="preserve">sub </w:t>
      </w:r>
      <w:hyperlink r:id="rId744"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1.3664</w:t>
      </w:r>
    </w:p>
    <w:p w:rsidR="00450C28" w:rsidRDefault="00450C28" w:rsidP="009B798F">
      <w:pPr>
        <w:pStyle w:val="AmdtsEntries"/>
        <w:keepNext/>
      </w:pPr>
      <w:r>
        <w:tab/>
        <w:t>(4)-(7) exp 12 September 2002 (s 133 (7))</w:t>
      </w:r>
    </w:p>
    <w:p w:rsidR="00A106DF" w:rsidRDefault="00A106DF">
      <w:pPr>
        <w:pStyle w:val="AmdtsEntries"/>
      </w:pPr>
      <w:r>
        <w:tab/>
        <w:t xml:space="preserve">am </w:t>
      </w:r>
      <w:hyperlink r:id="rId74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1.595</w:t>
      </w:r>
      <w:r w:rsidR="009B222A">
        <w:t xml:space="preserve">; </w:t>
      </w:r>
      <w:hyperlink r:id="rId746" w:tooltip="Statute Law Amendment Act 2011 (No 2)" w:history="1">
        <w:r w:rsidR="009D74E7" w:rsidRPr="009D74E7">
          <w:rPr>
            <w:rStyle w:val="charCitHyperlinkAbbrev"/>
          </w:rPr>
          <w:t>A2011</w:t>
        </w:r>
        <w:r w:rsidR="009D74E7" w:rsidRPr="009D74E7">
          <w:rPr>
            <w:rStyle w:val="charCitHyperlinkAbbrev"/>
          </w:rPr>
          <w:noBreakHyphen/>
          <w:t>28</w:t>
        </w:r>
      </w:hyperlink>
      <w:r w:rsidR="009B222A" w:rsidRPr="009D74E7">
        <w:rPr>
          <w:rFonts w:cs="Arial"/>
        </w:rPr>
        <w:t xml:space="preserve"> amdt 3.211</w:t>
      </w:r>
    </w:p>
    <w:p w:rsidR="00450C28" w:rsidRPr="009D74E7" w:rsidRDefault="009D747D">
      <w:pPr>
        <w:pStyle w:val="AmdtsEntryHd"/>
        <w:rPr>
          <w:rFonts w:cs="Arial"/>
        </w:rPr>
      </w:pPr>
      <w:r w:rsidRPr="00582D10">
        <w:t>Determination of fees</w:t>
      </w:r>
    </w:p>
    <w:p w:rsidR="00450C28" w:rsidRDefault="00450C28">
      <w:pPr>
        <w:pStyle w:val="AmdtsEntries"/>
      </w:pPr>
      <w:r>
        <w:t>s 134</w:t>
      </w:r>
      <w:r>
        <w:tab/>
        <w:t xml:space="preserve">om </w:t>
      </w:r>
      <w:hyperlink r:id="rId7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40</w:t>
      </w:r>
    </w:p>
    <w:p w:rsidR="00EF5A29" w:rsidRPr="009D74E7" w:rsidRDefault="00EF5A29">
      <w:pPr>
        <w:pStyle w:val="AmdtsEntries"/>
      </w:pPr>
      <w:r>
        <w:tab/>
        <w:t xml:space="preserve">ins </w:t>
      </w:r>
      <w:hyperlink r:id="rId748" w:tooltip="Residential Tenancies Amendment Act 2017" w:history="1">
        <w:r>
          <w:rPr>
            <w:rStyle w:val="charCitHyperlinkAbbrev"/>
          </w:rPr>
          <w:t>A2017</w:t>
        </w:r>
        <w:r>
          <w:rPr>
            <w:rStyle w:val="charCitHyperlinkAbbrev"/>
          </w:rPr>
          <w:noBreakHyphen/>
          <w:t>32</w:t>
        </w:r>
      </w:hyperlink>
      <w:r>
        <w:t xml:space="preserve"> amdt 2.5</w:t>
      </w:r>
    </w:p>
    <w:p w:rsidR="00450C28" w:rsidRPr="009D74E7" w:rsidRDefault="00450C28" w:rsidP="00BD5479">
      <w:pPr>
        <w:pStyle w:val="AmdtsEntryHd"/>
        <w:rPr>
          <w:rFonts w:cs="Arial"/>
        </w:rPr>
      </w:pPr>
      <w:r w:rsidRPr="009D74E7">
        <w:rPr>
          <w:rFonts w:cs="Arial"/>
        </w:rPr>
        <w:t>Determined fees</w:t>
      </w:r>
    </w:p>
    <w:p w:rsidR="00450C28" w:rsidRDefault="00450C28">
      <w:pPr>
        <w:pStyle w:val="AmdtsEntries"/>
      </w:pPr>
      <w:r>
        <w:t>s 135</w:t>
      </w:r>
      <w:r>
        <w:tab/>
        <w:t xml:space="preserve">om </w:t>
      </w:r>
      <w:hyperlink r:id="rId749"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r>
        <w:t xml:space="preserve"> sch </w:t>
      </w:r>
    </w:p>
    <w:p w:rsidR="00450C28" w:rsidRDefault="00450C28">
      <w:pPr>
        <w:pStyle w:val="AmdtsEntryHd"/>
        <w:keepNext w:val="0"/>
      </w:pPr>
      <w:r>
        <w:t>Regulation-making power</w:t>
      </w:r>
    </w:p>
    <w:p w:rsidR="00450C28" w:rsidRPr="009D74E7" w:rsidRDefault="00450C28">
      <w:pPr>
        <w:pStyle w:val="AmdtsEntries"/>
      </w:pPr>
      <w:r>
        <w:t>s 136</w:t>
      </w:r>
      <w:r>
        <w:tab/>
        <w:t xml:space="preserve">am </w:t>
      </w:r>
      <w:hyperlink r:id="rId750"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amdt 1.3665, amdt 1.3666; </w:t>
      </w:r>
      <w:hyperlink r:id="rId75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24</w:t>
      </w:r>
      <w:r w:rsidR="00332238" w:rsidRPr="009D74E7">
        <w:rPr>
          <w:rFonts w:cs="Arial"/>
        </w:rPr>
        <w:t xml:space="preserve">; </w:t>
      </w:r>
      <w:hyperlink r:id="rId75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rsidR="00332238" w:rsidRPr="009D74E7">
        <w:rPr>
          <w:rFonts w:cs="Arial"/>
        </w:rPr>
        <w:t xml:space="preserve"> amdt 1.589</w:t>
      </w:r>
      <w:r w:rsidR="00EF5A29">
        <w:rPr>
          <w:rFonts w:cs="Arial"/>
        </w:rPr>
        <w:t>;</w:t>
      </w:r>
      <w:r w:rsidR="00EF5A29">
        <w:t xml:space="preserve"> </w:t>
      </w:r>
      <w:hyperlink r:id="rId753" w:tooltip="Residential Tenancies Amendment Act 2017" w:history="1">
        <w:r w:rsidR="00EF5A29">
          <w:rPr>
            <w:rStyle w:val="charCitHyperlinkAbbrev"/>
          </w:rPr>
          <w:t>A2017</w:t>
        </w:r>
        <w:r w:rsidR="00EF5A29">
          <w:rPr>
            <w:rStyle w:val="charCitHyperlinkAbbrev"/>
          </w:rPr>
          <w:noBreakHyphen/>
          <w:t>32</w:t>
        </w:r>
      </w:hyperlink>
      <w:r w:rsidR="00EF5A29">
        <w:t xml:space="preserve"> amdt 2.</w:t>
      </w:r>
      <w:r w:rsidR="00F9506B">
        <w:t>6</w:t>
      </w:r>
    </w:p>
    <w:p w:rsidR="00450C28" w:rsidRPr="009D74E7" w:rsidRDefault="00450C28">
      <w:pPr>
        <w:pStyle w:val="AmdtsEntryHd"/>
        <w:rPr>
          <w:rFonts w:cs="Arial"/>
        </w:rPr>
      </w:pPr>
      <w:r w:rsidRPr="009D74E7">
        <w:rPr>
          <w:rFonts w:cs="Arial"/>
        </w:rPr>
        <w:t>Transitional</w:t>
      </w:r>
    </w:p>
    <w:p w:rsidR="00450C28" w:rsidRDefault="00450C28">
      <w:pPr>
        <w:pStyle w:val="AmdtsEntries"/>
        <w:keepNext/>
      </w:pPr>
      <w:r>
        <w:t>pt 10 hdg</w:t>
      </w:r>
      <w:r>
        <w:tab/>
        <w:t xml:space="preserve">ins </w:t>
      </w:r>
      <w:hyperlink r:id="rId75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Pr="009D74E7" w:rsidRDefault="00450C28">
      <w:pPr>
        <w:pStyle w:val="AmdtsEntryHd"/>
        <w:rPr>
          <w:rFonts w:cs="Arial"/>
        </w:rPr>
      </w:pPr>
      <w:r w:rsidRPr="009D74E7">
        <w:rPr>
          <w:rFonts w:cs="Arial"/>
        </w:rPr>
        <w:t>Occupancy agreements</w:t>
      </w:r>
    </w:p>
    <w:p w:rsidR="00450C28" w:rsidRDefault="00450C28">
      <w:pPr>
        <w:pStyle w:val="AmdtsEntries"/>
        <w:keepNext/>
      </w:pPr>
      <w:r>
        <w:t>s 137</w:t>
      </w:r>
      <w:r>
        <w:tab/>
        <w:t xml:space="preserve">ins </w:t>
      </w:r>
      <w:hyperlink r:id="rId75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Pr="009D74E7" w:rsidRDefault="00450C28">
      <w:pPr>
        <w:pStyle w:val="AmdtsEntryHd"/>
        <w:rPr>
          <w:rFonts w:cs="Arial"/>
        </w:rPr>
      </w:pPr>
      <w:r w:rsidRPr="009D74E7">
        <w:rPr>
          <w:rFonts w:cs="Arial"/>
        </w:rPr>
        <w:t>Disposal of condition reports held by Territory</w:t>
      </w:r>
    </w:p>
    <w:p w:rsidR="00450C28" w:rsidRDefault="00450C28">
      <w:pPr>
        <w:pStyle w:val="AmdtsEntries"/>
        <w:keepNext/>
      </w:pPr>
      <w:r>
        <w:t>s 138</w:t>
      </w:r>
      <w:r>
        <w:tab/>
        <w:t xml:space="preserve">ins </w:t>
      </w:r>
      <w:hyperlink r:id="rId75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April 2005 (s 139)</w:t>
      </w:r>
    </w:p>
    <w:p w:rsidR="00450C28" w:rsidRPr="009D74E7" w:rsidRDefault="00450C28">
      <w:pPr>
        <w:pStyle w:val="AmdtsEntryHd"/>
        <w:rPr>
          <w:rFonts w:cs="Arial"/>
        </w:rPr>
      </w:pPr>
      <w:r w:rsidRPr="009D74E7">
        <w:rPr>
          <w:rFonts w:cs="Arial"/>
        </w:rPr>
        <w:lastRenderedPageBreak/>
        <w:t>Expiry of pt 10</w:t>
      </w:r>
    </w:p>
    <w:p w:rsidR="00450C28" w:rsidRDefault="00450C28">
      <w:pPr>
        <w:pStyle w:val="AmdtsEntries"/>
        <w:keepNext/>
      </w:pPr>
      <w:r>
        <w:t>s 139</w:t>
      </w:r>
      <w:r>
        <w:tab/>
        <w:t xml:space="preserve">ins </w:t>
      </w:r>
      <w:hyperlink r:id="rId75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41</w:t>
      </w:r>
    </w:p>
    <w:p w:rsidR="00450C28" w:rsidRDefault="00450C28">
      <w:pPr>
        <w:pStyle w:val="AmdtsEntries"/>
      </w:pPr>
      <w:r>
        <w:tab/>
        <w:t>exp 8 March 2006 (s 139)</w:t>
      </w:r>
    </w:p>
    <w:p w:rsidR="00450C28" w:rsidRDefault="00450C28">
      <w:pPr>
        <w:pStyle w:val="AmdtsEntryHd"/>
      </w:pPr>
      <w:r>
        <w:t>Transitional—Asbestos Legislation Amendment Act 2006</w:t>
      </w:r>
    </w:p>
    <w:p w:rsidR="00450C28" w:rsidRDefault="00450C28">
      <w:pPr>
        <w:pStyle w:val="AmdtsEntries"/>
        <w:keepNext/>
      </w:pPr>
      <w:r>
        <w:t>pt 11 hdg</w:t>
      </w:r>
      <w:r>
        <w:tab/>
        <w:t xml:space="preserve">ins </w:t>
      </w:r>
      <w:hyperlink r:id="rId758"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50C28" w:rsidRDefault="00450C28">
      <w:pPr>
        <w:pStyle w:val="AmdtsEntryHd"/>
      </w:pPr>
      <w:r>
        <w:t>Existing residential tenancy agreements—lessor must provide asbestos information</w:t>
      </w:r>
    </w:p>
    <w:p w:rsidR="00450C28" w:rsidRDefault="00450C28">
      <w:pPr>
        <w:pStyle w:val="AmdtsEntries"/>
        <w:keepNext/>
      </w:pPr>
      <w:r>
        <w:t>s 140</w:t>
      </w:r>
      <w:r>
        <w:tab/>
        <w:t xml:space="preserve">ins </w:t>
      </w:r>
      <w:hyperlink r:id="rId759"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50C28" w:rsidRDefault="00450C28">
      <w:pPr>
        <w:pStyle w:val="AmdtsEntryHd"/>
      </w:pPr>
      <w:r>
        <w:t>Expiry—pt 11</w:t>
      </w:r>
    </w:p>
    <w:p w:rsidR="00450C28" w:rsidRDefault="00450C28">
      <w:pPr>
        <w:pStyle w:val="AmdtsEntries"/>
        <w:keepNext/>
      </w:pPr>
      <w:r>
        <w:t>s 141</w:t>
      </w:r>
      <w:r>
        <w:tab/>
        <w:t xml:space="preserve">ins </w:t>
      </w:r>
      <w:hyperlink r:id="rId760"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1.49</w:t>
      </w:r>
    </w:p>
    <w:p w:rsidR="00450C28" w:rsidRDefault="00450C28">
      <w:pPr>
        <w:pStyle w:val="AmdtsEntries"/>
      </w:pPr>
      <w:r>
        <w:tab/>
        <w:t>exp 1 July 2007 (s 141)</w:t>
      </w:r>
    </w:p>
    <w:p w:rsidR="00464CAC" w:rsidRDefault="00464CAC">
      <w:pPr>
        <w:pStyle w:val="AmdtsEntryHd"/>
      </w:pPr>
      <w:r>
        <w:t>Validation</w:t>
      </w:r>
    </w:p>
    <w:p w:rsidR="00464CAC" w:rsidRDefault="00464CAC" w:rsidP="00464CAC">
      <w:pPr>
        <w:pStyle w:val="AmdtsEntries"/>
      </w:pPr>
      <w:r>
        <w:t>pt 12 hdg</w:t>
      </w:r>
      <w:r>
        <w:tab/>
        <w:t xml:space="preserve">ins </w:t>
      </w:r>
      <w:hyperlink r:id="rId761"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464CAC" w:rsidRPr="006D0E86" w:rsidRDefault="00464CAC" w:rsidP="00464CAC">
      <w:pPr>
        <w:pStyle w:val="AmdtsEntries"/>
      </w:pPr>
      <w:r>
        <w:tab/>
      </w:r>
      <w:r w:rsidRPr="006D0E86">
        <w:t>exp 6 March 2009 (s 143)</w:t>
      </w:r>
    </w:p>
    <w:p w:rsidR="0018595A" w:rsidRDefault="0018595A" w:rsidP="0018595A">
      <w:pPr>
        <w:pStyle w:val="AmdtsEntryHd"/>
      </w:pPr>
      <w:r>
        <w:rPr>
          <w:snapToGrid w:val="0"/>
        </w:rPr>
        <w:t>Validation of selection</w:t>
      </w:r>
    </w:p>
    <w:p w:rsidR="0018595A" w:rsidRDefault="0018595A" w:rsidP="00DE5B91">
      <w:pPr>
        <w:pStyle w:val="AmdtsEntries"/>
        <w:keepNext/>
      </w:pPr>
      <w:r>
        <w:t>s 142</w:t>
      </w:r>
      <w:r>
        <w:tab/>
        <w:t xml:space="preserve">ins </w:t>
      </w:r>
      <w:hyperlink r:id="rId762"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18595A" w:rsidRPr="006D0E86" w:rsidRDefault="0018595A" w:rsidP="0018595A">
      <w:pPr>
        <w:pStyle w:val="AmdtsEntries"/>
      </w:pPr>
      <w:r>
        <w:tab/>
      </w:r>
      <w:r w:rsidRPr="006D0E86">
        <w:t>exp 6 March 2009 (s 143)</w:t>
      </w:r>
    </w:p>
    <w:p w:rsidR="0018595A" w:rsidRDefault="0018595A" w:rsidP="0018595A">
      <w:pPr>
        <w:pStyle w:val="AmdtsEntryHd"/>
      </w:pPr>
      <w:r>
        <w:t>Expiry—pt 12</w:t>
      </w:r>
    </w:p>
    <w:p w:rsidR="0018595A" w:rsidRDefault="0018595A" w:rsidP="0018595A">
      <w:pPr>
        <w:pStyle w:val="AmdtsEntries"/>
      </w:pPr>
      <w:r>
        <w:t>s 143</w:t>
      </w:r>
      <w:r>
        <w:tab/>
        <w:t xml:space="preserve">ins </w:t>
      </w:r>
      <w:hyperlink r:id="rId763"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r>
        <w:t xml:space="preserve"> amdt 1.36</w:t>
      </w:r>
    </w:p>
    <w:p w:rsidR="0018595A" w:rsidRPr="006D0E86" w:rsidRDefault="0018595A" w:rsidP="0018595A">
      <w:pPr>
        <w:pStyle w:val="AmdtsEntries"/>
      </w:pPr>
      <w:r>
        <w:tab/>
      </w:r>
      <w:r w:rsidRPr="006D0E86">
        <w:t>exp 6 March 2009 (s 143)</w:t>
      </w:r>
    </w:p>
    <w:p w:rsidR="00951423" w:rsidRDefault="00C5189B">
      <w:pPr>
        <w:pStyle w:val="AmdtsEntryHd"/>
      </w:pPr>
      <w:r w:rsidRPr="00E56DA5">
        <w:t>Transitional—Residential Tenancies Legislation Amendme</w:t>
      </w:r>
      <w:r w:rsidR="0006652F">
        <w:t>nt Act 2016</w:t>
      </w:r>
    </w:p>
    <w:p w:rsidR="00951423" w:rsidRDefault="00951423" w:rsidP="00951423">
      <w:pPr>
        <w:pStyle w:val="AmdtsEntries"/>
      </w:pPr>
      <w:r>
        <w:t>pt 13 hdg</w:t>
      </w:r>
      <w:r>
        <w:tab/>
        <w:t xml:space="preserve">ins </w:t>
      </w:r>
      <w:hyperlink r:id="rId764" w:tooltip="Residential Tenancies Legislation Amendment Act 2016" w:history="1">
        <w:r w:rsidRPr="008B6A1B">
          <w:rPr>
            <w:rStyle w:val="charCitHyperlinkAbbrev"/>
          </w:rPr>
          <w:t>A2016-50</w:t>
        </w:r>
      </w:hyperlink>
      <w:r>
        <w:t xml:space="preserve"> s 25</w:t>
      </w:r>
    </w:p>
    <w:p w:rsidR="00951423" w:rsidRPr="00326C58" w:rsidRDefault="00951423" w:rsidP="00951423">
      <w:pPr>
        <w:pStyle w:val="AmdtsEntries"/>
      </w:pPr>
      <w:r>
        <w:tab/>
      </w:r>
      <w:r w:rsidRPr="00326C58">
        <w:t xml:space="preserve">exp </w:t>
      </w:r>
      <w:r w:rsidR="00C5189B" w:rsidRPr="00326C58">
        <w:t>24 Aug</w:t>
      </w:r>
      <w:r w:rsidR="008D11FC" w:rsidRPr="00326C58">
        <w:t>ust</w:t>
      </w:r>
      <w:r w:rsidR="00C5189B" w:rsidRPr="00326C58">
        <w:t xml:space="preserve"> 2018 (s 147)</w:t>
      </w:r>
    </w:p>
    <w:p w:rsidR="00951423" w:rsidRDefault="00C5189B">
      <w:pPr>
        <w:pStyle w:val="AmdtsEntryHd"/>
      </w:pPr>
      <w:r w:rsidRPr="00E56DA5">
        <w:t>Definitions—pt 13</w:t>
      </w:r>
    </w:p>
    <w:p w:rsidR="00951423" w:rsidRDefault="00951423" w:rsidP="00951423">
      <w:pPr>
        <w:pStyle w:val="AmdtsEntries"/>
      </w:pPr>
      <w:r>
        <w:t>s 144</w:t>
      </w:r>
      <w:r>
        <w:tab/>
        <w:t xml:space="preserve">ins </w:t>
      </w:r>
      <w:hyperlink r:id="rId765" w:tooltip="Residential Tenancies Legislation Amendment Act 2016" w:history="1">
        <w:r w:rsidRPr="008B6A1B">
          <w:rPr>
            <w:rStyle w:val="charCitHyperlinkAbbrev"/>
          </w:rPr>
          <w:t>A2016-50</w:t>
        </w:r>
      </w:hyperlink>
      <w:r>
        <w:t xml:space="preserve"> s 25</w:t>
      </w:r>
    </w:p>
    <w:p w:rsidR="00C5189B" w:rsidRPr="00326C58" w:rsidRDefault="00C5189B" w:rsidP="00951423">
      <w:pPr>
        <w:pStyle w:val="AmdtsEntries"/>
      </w:pPr>
      <w:r>
        <w:tab/>
      </w:r>
      <w:r w:rsidRPr="00326C58">
        <w:t>exp 24 Aug</w:t>
      </w:r>
      <w:r w:rsidR="008D11FC" w:rsidRPr="00326C58">
        <w:t>ust</w:t>
      </w:r>
      <w:r w:rsidRPr="00326C58">
        <w:t xml:space="preserve"> 2018 (s 147)</w:t>
      </w:r>
    </w:p>
    <w:p w:rsidR="00951423" w:rsidRDefault="00C5189B">
      <w:pPr>
        <w:pStyle w:val="AmdtsEntryHd"/>
      </w:pPr>
      <w:r w:rsidRPr="00E56DA5">
        <w:t>Existing residential tenancy agreements—lessor to install smoke alarms</w:t>
      </w:r>
    </w:p>
    <w:p w:rsidR="00951423" w:rsidRDefault="00951423" w:rsidP="00951423">
      <w:pPr>
        <w:pStyle w:val="AmdtsEntries"/>
      </w:pPr>
      <w:r>
        <w:t>s 145</w:t>
      </w:r>
      <w:r>
        <w:tab/>
        <w:t xml:space="preserve">ins </w:t>
      </w:r>
      <w:hyperlink r:id="rId766" w:tooltip="Residential Tenancies Legislation Amendment Act 2016" w:history="1">
        <w:r w:rsidRPr="008B6A1B">
          <w:rPr>
            <w:rStyle w:val="charCitHyperlinkAbbrev"/>
          </w:rPr>
          <w:t>A2016-50</w:t>
        </w:r>
      </w:hyperlink>
      <w:r>
        <w:t xml:space="preserve"> s 25</w:t>
      </w:r>
    </w:p>
    <w:p w:rsidR="00A308D1" w:rsidRDefault="00A308D1" w:rsidP="00951423">
      <w:pPr>
        <w:pStyle w:val="AmdtsEntries"/>
      </w:pPr>
      <w:r>
        <w:tab/>
        <w:t xml:space="preserve">am </w:t>
      </w:r>
      <w:hyperlink r:id="rId767" w:tooltip="Statute Law Amendment Act 2017 (No 2)" w:history="1">
        <w:r>
          <w:rPr>
            <w:rStyle w:val="charCitHyperlinkAbbrev"/>
          </w:rPr>
          <w:t>A2017</w:t>
        </w:r>
        <w:r>
          <w:rPr>
            <w:rStyle w:val="charCitHyperlinkAbbrev"/>
          </w:rPr>
          <w:noBreakHyphen/>
          <w:t>28</w:t>
        </w:r>
      </w:hyperlink>
      <w:r>
        <w:t xml:space="preserve"> amdt 1.5</w:t>
      </w:r>
    </w:p>
    <w:p w:rsidR="00C5189B" w:rsidRPr="00326C58" w:rsidRDefault="00C5189B" w:rsidP="00951423">
      <w:pPr>
        <w:pStyle w:val="AmdtsEntries"/>
      </w:pPr>
      <w:r>
        <w:tab/>
      </w:r>
      <w:r w:rsidRPr="00326C58">
        <w:t>exp 24 Aug</w:t>
      </w:r>
      <w:r w:rsidR="008D11FC" w:rsidRPr="00326C58">
        <w:t>ust</w:t>
      </w:r>
      <w:r w:rsidRPr="00326C58">
        <w:t xml:space="preserve"> 2018 (s 147)</w:t>
      </w:r>
    </w:p>
    <w:p w:rsidR="00951423" w:rsidRDefault="00C5189B">
      <w:pPr>
        <w:pStyle w:val="AmdtsEntryHd"/>
      </w:pPr>
      <w:r w:rsidRPr="00E56DA5">
        <w:t>Existing residential tenancy agreements—tenant to replace smoke alarm batteries</w:t>
      </w:r>
    </w:p>
    <w:p w:rsidR="00951423" w:rsidRDefault="00951423" w:rsidP="00951423">
      <w:pPr>
        <w:pStyle w:val="AmdtsEntries"/>
      </w:pPr>
      <w:r>
        <w:t>s 146</w:t>
      </w:r>
      <w:r>
        <w:tab/>
        <w:t xml:space="preserve">ins </w:t>
      </w:r>
      <w:hyperlink r:id="rId768" w:tooltip="Residential Tenancies Legislation Amendment Act 2016" w:history="1">
        <w:r w:rsidRPr="008B6A1B">
          <w:rPr>
            <w:rStyle w:val="charCitHyperlinkAbbrev"/>
          </w:rPr>
          <w:t>A2016-50</w:t>
        </w:r>
      </w:hyperlink>
      <w:r>
        <w:t xml:space="preserve"> s 25</w:t>
      </w:r>
    </w:p>
    <w:p w:rsidR="00A308D1" w:rsidRDefault="00A308D1" w:rsidP="00A308D1">
      <w:pPr>
        <w:pStyle w:val="AmdtsEntries"/>
      </w:pPr>
      <w:r>
        <w:tab/>
        <w:t xml:space="preserve">am </w:t>
      </w:r>
      <w:hyperlink r:id="rId769" w:tooltip="Statute Law Amendment Act 2017 (No 2)" w:history="1">
        <w:r>
          <w:rPr>
            <w:rStyle w:val="charCitHyperlinkAbbrev"/>
          </w:rPr>
          <w:t>A2017</w:t>
        </w:r>
        <w:r>
          <w:rPr>
            <w:rStyle w:val="charCitHyperlinkAbbrev"/>
          </w:rPr>
          <w:noBreakHyphen/>
          <w:t>28</w:t>
        </w:r>
      </w:hyperlink>
      <w:r>
        <w:t xml:space="preserve"> amdt 1.5</w:t>
      </w:r>
    </w:p>
    <w:p w:rsidR="00C5189B" w:rsidRPr="00326C58" w:rsidRDefault="00C5189B" w:rsidP="00951423">
      <w:pPr>
        <w:pStyle w:val="AmdtsEntries"/>
      </w:pPr>
      <w:r w:rsidRPr="00326C58">
        <w:tab/>
        <w:t>exp 24 Aug</w:t>
      </w:r>
      <w:r w:rsidR="008D11FC" w:rsidRPr="00326C58">
        <w:t>ust</w:t>
      </w:r>
      <w:r w:rsidRPr="00326C58">
        <w:t xml:space="preserve"> 2018 (s 147)</w:t>
      </w:r>
    </w:p>
    <w:p w:rsidR="00951423" w:rsidRDefault="00C5189B">
      <w:pPr>
        <w:pStyle w:val="AmdtsEntryHd"/>
      </w:pPr>
      <w:r w:rsidRPr="00E56DA5">
        <w:t>Expiry—pt 13</w:t>
      </w:r>
    </w:p>
    <w:p w:rsidR="00951423" w:rsidRDefault="00951423" w:rsidP="00951423">
      <w:pPr>
        <w:pStyle w:val="AmdtsEntries"/>
      </w:pPr>
      <w:r>
        <w:t>s 147</w:t>
      </w:r>
      <w:r>
        <w:tab/>
        <w:t xml:space="preserve">ins </w:t>
      </w:r>
      <w:hyperlink r:id="rId770" w:tooltip="Residential Tenancies Legislation Amendment Act 2016" w:history="1">
        <w:r w:rsidRPr="008B6A1B">
          <w:rPr>
            <w:rStyle w:val="charCitHyperlinkAbbrev"/>
          </w:rPr>
          <w:t>A2016-50</w:t>
        </w:r>
      </w:hyperlink>
      <w:r>
        <w:t xml:space="preserve"> s 25</w:t>
      </w:r>
    </w:p>
    <w:p w:rsidR="00C5189B" w:rsidRPr="00326C58" w:rsidRDefault="00C5189B" w:rsidP="00951423">
      <w:pPr>
        <w:pStyle w:val="AmdtsEntries"/>
      </w:pPr>
      <w:r w:rsidRPr="00326C58">
        <w:tab/>
        <w:t>exp 24 Aug</w:t>
      </w:r>
      <w:r w:rsidR="008D11FC" w:rsidRPr="00326C58">
        <w:t>ust</w:t>
      </w:r>
      <w:r w:rsidRPr="00326C58">
        <w:t xml:space="preserve"> 2018 (s 147)</w:t>
      </w:r>
    </w:p>
    <w:p w:rsidR="00A308D1" w:rsidRDefault="00A308D1" w:rsidP="00A308D1">
      <w:pPr>
        <w:pStyle w:val="AmdtsEntryHd"/>
      </w:pPr>
      <w:r w:rsidRPr="001B6AD9">
        <w:lastRenderedPageBreak/>
        <w:t>Transitional—Statute Law Amendment Act 2017</w:t>
      </w:r>
      <w:r>
        <w:t xml:space="preserve"> (No 2)</w:t>
      </w:r>
    </w:p>
    <w:p w:rsidR="00A308D1" w:rsidRDefault="00A308D1" w:rsidP="00A308D1">
      <w:pPr>
        <w:pStyle w:val="AmdtsEntries"/>
      </w:pPr>
      <w:r>
        <w:t>pt 14 hdg</w:t>
      </w:r>
      <w:r>
        <w:tab/>
        <w:t xml:space="preserve">ins </w:t>
      </w:r>
      <w:hyperlink r:id="rId771"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E32790">
      <w:pPr>
        <w:pStyle w:val="AmdtsEntries"/>
      </w:pPr>
      <w:r>
        <w:tab/>
      </w:r>
      <w:r w:rsidR="0039572D" w:rsidRPr="00050946">
        <w:t>exp 11</w:t>
      </w:r>
      <w:r w:rsidRPr="00050946">
        <w:t xml:space="preserve"> October 2018 (s 150)</w:t>
      </w:r>
    </w:p>
    <w:p w:rsidR="00A308D1" w:rsidRDefault="00AA48A1" w:rsidP="00A308D1">
      <w:pPr>
        <w:pStyle w:val="AmdtsEntryHd"/>
      </w:pPr>
      <w:r w:rsidRPr="001B6AD9">
        <w:t xml:space="preserve">Meaning of </w:t>
      </w:r>
      <w:r w:rsidRPr="001B6AD9">
        <w:rPr>
          <w:rStyle w:val="charItals"/>
        </w:rPr>
        <w:t>commencement day</w:t>
      </w:r>
      <w:r w:rsidRPr="001B6AD9">
        <w:t>—pt 14</w:t>
      </w:r>
    </w:p>
    <w:p w:rsidR="00A308D1" w:rsidRDefault="00A308D1" w:rsidP="00A308D1">
      <w:pPr>
        <w:pStyle w:val="AmdtsEntries"/>
      </w:pPr>
      <w:r>
        <w:t>s 148</w:t>
      </w:r>
      <w:r>
        <w:tab/>
        <w:t xml:space="preserve">ins </w:t>
      </w:r>
      <w:hyperlink r:id="rId772"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A308D1">
      <w:pPr>
        <w:pStyle w:val="AmdtsEntries"/>
      </w:pPr>
      <w:r w:rsidRPr="00050946">
        <w:tab/>
      </w:r>
      <w:r w:rsidR="0039572D" w:rsidRPr="00050946">
        <w:t>exp 11</w:t>
      </w:r>
      <w:r w:rsidRPr="00050946">
        <w:t xml:space="preserve"> October 2018 (s 150)</w:t>
      </w:r>
    </w:p>
    <w:p w:rsidR="00A308D1" w:rsidRDefault="00AA48A1" w:rsidP="00A308D1">
      <w:pPr>
        <w:pStyle w:val="AmdtsEntryHd"/>
      </w:pPr>
      <w:r w:rsidRPr="001B6AD9">
        <w:t>Residential tenancy agreement entered contrary to s 11B</w:t>
      </w:r>
    </w:p>
    <w:p w:rsidR="00A308D1" w:rsidRDefault="00A308D1" w:rsidP="00A308D1">
      <w:pPr>
        <w:pStyle w:val="AmdtsEntries"/>
      </w:pPr>
      <w:r>
        <w:t>s 149</w:t>
      </w:r>
      <w:r>
        <w:tab/>
        <w:t xml:space="preserve">ins </w:t>
      </w:r>
      <w:hyperlink r:id="rId773"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A308D1">
      <w:pPr>
        <w:pStyle w:val="AmdtsEntries"/>
      </w:pPr>
      <w:r w:rsidRPr="00050946">
        <w:tab/>
      </w:r>
      <w:r w:rsidR="0039572D" w:rsidRPr="00050946">
        <w:t>exp 11</w:t>
      </w:r>
      <w:r w:rsidRPr="00050946">
        <w:t xml:space="preserve"> October 2018 (s 150)</w:t>
      </w:r>
    </w:p>
    <w:p w:rsidR="00A308D1" w:rsidRDefault="00AA48A1" w:rsidP="00A308D1">
      <w:pPr>
        <w:pStyle w:val="AmdtsEntryHd"/>
      </w:pPr>
      <w:r w:rsidRPr="001B6AD9">
        <w:t>Expiry—pt 14</w:t>
      </w:r>
    </w:p>
    <w:p w:rsidR="00A308D1" w:rsidRDefault="00A308D1" w:rsidP="00A308D1">
      <w:pPr>
        <w:pStyle w:val="AmdtsEntries"/>
      </w:pPr>
      <w:r>
        <w:t>s 150</w:t>
      </w:r>
      <w:r>
        <w:tab/>
        <w:t xml:space="preserve">ins </w:t>
      </w:r>
      <w:hyperlink r:id="rId774" w:tooltip="Statute Law Amendment Act 2017 (No 2)" w:history="1">
        <w:r>
          <w:rPr>
            <w:rStyle w:val="charCitHyperlinkAbbrev"/>
          </w:rPr>
          <w:t>A2017</w:t>
        </w:r>
        <w:r>
          <w:rPr>
            <w:rStyle w:val="charCitHyperlinkAbbrev"/>
          </w:rPr>
          <w:noBreakHyphen/>
          <w:t>28</w:t>
        </w:r>
      </w:hyperlink>
      <w:r>
        <w:t xml:space="preserve"> amdt 1.6</w:t>
      </w:r>
    </w:p>
    <w:p w:rsidR="00E32790" w:rsidRPr="00050946" w:rsidRDefault="00E32790" w:rsidP="00A308D1">
      <w:pPr>
        <w:pStyle w:val="AmdtsEntries"/>
      </w:pPr>
      <w:r>
        <w:tab/>
      </w:r>
      <w:r w:rsidR="0039572D" w:rsidRPr="00050946">
        <w:t>exp 11</w:t>
      </w:r>
      <w:r w:rsidRPr="00050946">
        <w:t xml:space="preserve"> October 2018 (s 150)</w:t>
      </w:r>
    </w:p>
    <w:p w:rsidR="003A4390" w:rsidRDefault="003A4390">
      <w:pPr>
        <w:pStyle w:val="AmdtsEntryHd"/>
      </w:pPr>
      <w:r w:rsidRPr="00483A42">
        <w:t>Transitional—Residential Tenancies Amendment Act 2018</w:t>
      </w:r>
    </w:p>
    <w:p w:rsidR="003A4390" w:rsidRDefault="003A4390" w:rsidP="003A4390">
      <w:pPr>
        <w:pStyle w:val="AmdtsEntries"/>
      </w:pPr>
      <w:r>
        <w:t>pt 15 hdg</w:t>
      </w:r>
      <w:r>
        <w:tab/>
        <w:t xml:space="preserve">ins </w:t>
      </w:r>
      <w:hyperlink r:id="rId775" w:tooltip="Residential Tenancies Amendment Act 2018" w:history="1">
        <w:r>
          <w:rPr>
            <w:rStyle w:val="charCitHyperlinkAbbrev"/>
          </w:rPr>
          <w:t>A2018</w:t>
        </w:r>
        <w:r>
          <w:rPr>
            <w:rStyle w:val="charCitHyperlinkAbbrev"/>
          </w:rPr>
          <w:noBreakHyphen/>
          <w:t>20</w:t>
        </w:r>
      </w:hyperlink>
      <w:r>
        <w:t xml:space="preserve"> s 8</w:t>
      </w:r>
    </w:p>
    <w:p w:rsidR="00F601AF" w:rsidRPr="00F601AF" w:rsidRDefault="00F601AF" w:rsidP="003A4390">
      <w:pPr>
        <w:pStyle w:val="AmdtsEntries"/>
        <w:rPr>
          <w:u w:val="single"/>
        </w:rPr>
      </w:pPr>
      <w:r>
        <w:tab/>
      </w:r>
      <w:r w:rsidR="00C05CC8">
        <w:rPr>
          <w:u w:val="single"/>
        </w:rPr>
        <w:t xml:space="preserve">exp </w:t>
      </w:r>
      <w:r w:rsidR="00327210">
        <w:rPr>
          <w:u w:val="single"/>
        </w:rPr>
        <w:t>14 December</w:t>
      </w:r>
      <w:r w:rsidR="00BF5017">
        <w:rPr>
          <w:u w:val="single"/>
        </w:rPr>
        <w:t xml:space="preserve"> 2019</w:t>
      </w:r>
      <w:r w:rsidR="00327210">
        <w:rPr>
          <w:u w:val="single"/>
        </w:rPr>
        <w:t xml:space="preserve"> (s 155</w:t>
      </w:r>
      <w:r w:rsidRPr="00F601AF">
        <w:rPr>
          <w:u w:val="single"/>
        </w:rPr>
        <w:t>)</w:t>
      </w:r>
    </w:p>
    <w:p w:rsidR="003A4390" w:rsidRDefault="003A4390" w:rsidP="003A4390">
      <w:pPr>
        <w:pStyle w:val="AmdtsEntryHd"/>
      </w:pPr>
      <w:r w:rsidRPr="00483A42">
        <w:t xml:space="preserve">Meaning of </w:t>
      </w:r>
      <w:r w:rsidRPr="00483A42">
        <w:rPr>
          <w:rStyle w:val="charItals"/>
        </w:rPr>
        <w:t>commencement day</w:t>
      </w:r>
      <w:r w:rsidRPr="00483A42">
        <w:t>—pt 15</w:t>
      </w:r>
    </w:p>
    <w:p w:rsidR="003A4390" w:rsidRDefault="003A4390" w:rsidP="003A4390">
      <w:pPr>
        <w:pStyle w:val="AmdtsEntries"/>
      </w:pPr>
      <w:r>
        <w:t>s 151</w:t>
      </w:r>
      <w:r>
        <w:tab/>
        <w:t xml:space="preserve">ins </w:t>
      </w:r>
      <w:hyperlink r:id="rId776" w:tooltip="Residential Tenancies Amendment Act 2018" w:history="1">
        <w:r>
          <w:rPr>
            <w:rStyle w:val="charCitHyperlinkAbbrev"/>
          </w:rPr>
          <w:t>A2018</w:t>
        </w:r>
        <w:r>
          <w:rPr>
            <w:rStyle w:val="charCitHyperlinkAbbrev"/>
          </w:rPr>
          <w:noBreakHyphen/>
          <w:t>20</w:t>
        </w:r>
      </w:hyperlink>
      <w:r>
        <w:t xml:space="preserve"> s 8</w:t>
      </w:r>
    </w:p>
    <w:p w:rsidR="00F70884" w:rsidRDefault="00F70884" w:rsidP="003A4390">
      <w:pPr>
        <w:pStyle w:val="AmdtsEntries"/>
      </w:pPr>
      <w:r w:rsidRPr="00F70884">
        <w:tab/>
        <w:t xml:space="preserve">sub </w:t>
      </w:r>
      <w:hyperlink r:id="rId777" w:tooltip="Residential Tenancies Amendment Act 2018" w:history="1">
        <w:r>
          <w:rPr>
            <w:rStyle w:val="charCitHyperlinkAbbrev"/>
          </w:rPr>
          <w:t>A2018</w:t>
        </w:r>
        <w:r>
          <w:rPr>
            <w:rStyle w:val="charCitHyperlinkAbbrev"/>
          </w:rPr>
          <w:noBreakHyphen/>
          <w:t>20</w:t>
        </w:r>
      </w:hyperlink>
      <w:r>
        <w:t xml:space="preserve"> s 9</w:t>
      </w:r>
    </w:p>
    <w:p w:rsidR="00327210" w:rsidRPr="00F70884" w:rsidRDefault="00327210" w:rsidP="003A4390">
      <w:pPr>
        <w:pStyle w:val="AmdtsEntries"/>
      </w:pPr>
      <w:r>
        <w:tab/>
      </w:r>
      <w:r>
        <w:rPr>
          <w:u w:val="single"/>
        </w:rPr>
        <w:t>exp 14 December 2019 (s 155</w:t>
      </w:r>
      <w:r w:rsidRPr="00F601AF">
        <w:rPr>
          <w:u w:val="single"/>
        </w:rPr>
        <w:t>)</w:t>
      </w:r>
    </w:p>
    <w:p w:rsidR="003A4390" w:rsidRDefault="003A4390" w:rsidP="003A4390">
      <w:pPr>
        <w:pStyle w:val="AmdtsEntryHd"/>
      </w:pPr>
      <w:r w:rsidRPr="00483A42">
        <w:t>Applications for registration of standard guarantee contract</w:t>
      </w:r>
    </w:p>
    <w:p w:rsidR="003A4390" w:rsidRDefault="003A4390" w:rsidP="003A4390">
      <w:pPr>
        <w:pStyle w:val="AmdtsEntries"/>
      </w:pPr>
      <w:r>
        <w:t>s 152</w:t>
      </w:r>
      <w:r>
        <w:tab/>
        <w:t xml:space="preserve">ins </w:t>
      </w:r>
      <w:hyperlink r:id="rId778" w:tooltip="Residential Tenancies Amendment Act 2018" w:history="1">
        <w:r>
          <w:rPr>
            <w:rStyle w:val="charCitHyperlinkAbbrev"/>
          </w:rPr>
          <w:t>A2018</w:t>
        </w:r>
        <w:r>
          <w:rPr>
            <w:rStyle w:val="charCitHyperlinkAbbrev"/>
          </w:rPr>
          <w:noBreakHyphen/>
          <w:t>20</w:t>
        </w:r>
      </w:hyperlink>
      <w:r>
        <w:t xml:space="preserve"> s 8</w:t>
      </w:r>
    </w:p>
    <w:p w:rsidR="00F601AF" w:rsidRDefault="00F601AF" w:rsidP="003A4390">
      <w:pPr>
        <w:pStyle w:val="AmdtsEntries"/>
      </w:pPr>
      <w:r>
        <w:tab/>
      </w:r>
      <w:r w:rsidR="00327210">
        <w:rPr>
          <w:u w:val="single"/>
        </w:rPr>
        <w:t>exp 14 December 2019 (s 155</w:t>
      </w:r>
      <w:r w:rsidR="00327210" w:rsidRPr="00F601AF">
        <w:rPr>
          <w:u w:val="single"/>
        </w:rPr>
        <w:t>)</w:t>
      </w:r>
    </w:p>
    <w:p w:rsidR="003A4390" w:rsidRDefault="003A4390" w:rsidP="003A4390">
      <w:pPr>
        <w:pStyle w:val="AmdtsEntryHd"/>
      </w:pPr>
      <w:r w:rsidRPr="00483A42">
        <w:t>Registered standard guarantee contracts</w:t>
      </w:r>
    </w:p>
    <w:p w:rsidR="003A4390" w:rsidRDefault="003A4390" w:rsidP="003A4390">
      <w:pPr>
        <w:pStyle w:val="AmdtsEntries"/>
      </w:pPr>
      <w:r>
        <w:t>s 153</w:t>
      </w:r>
      <w:r>
        <w:tab/>
        <w:t xml:space="preserve">ins </w:t>
      </w:r>
      <w:hyperlink r:id="rId779" w:tooltip="Residential Tenancies Amendment Act 2018" w:history="1">
        <w:r>
          <w:rPr>
            <w:rStyle w:val="charCitHyperlinkAbbrev"/>
          </w:rPr>
          <w:t>A2018</w:t>
        </w:r>
        <w:r>
          <w:rPr>
            <w:rStyle w:val="charCitHyperlinkAbbrev"/>
          </w:rPr>
          <w:noBreakHyphen/>
          <w:t>20</w:t>
        </w:r>
      </w:hyperlink>
      <w:r>
        <w:t xml:space="preserve"> s 8</w:t>
      </w:r>
    </w:p>
    <w:p w:rsidR="00F601AF" w:rsidRDefault="00F601AF" w:rsidP="003A4390">
      <w:pPr>
        <w:pStyle w:val="AmdtsEntries"/>
      </w:pPr>
      <w:r>
        <w:tab/>
      </w:r>
      <w:r w:rsidR="00327210">
        <w:rPr>
          <w:u w:val="single"/>
        </w:rPr>
        <w:t>exp 14 December 2019 (s 155</w:t>
      </w:r>
      <w:r w:rsidR="00327210" w:rsidRPr="00F601AF">
        <w:rPr>
          <w:u w:val="single"/>
        </w:rPr>
        <w:t>)</w:t>
      </w:r>
    </w:p>
    <w:p w:rsidR="003A4390" w:rsidRDefault="00F70884" w:rsidP="003A4390">
      <w:pPr>
        <w:pStyle w:val="AmdtsEntryHd"/>
      </w:pPr>
      <w:r w:rsidRPr="00483A42">
        <w:t>Conditional termination and possession orders in force immediately before commencement day</w:t>
      </w:r>
    </w:p>
    <w:p w:rsidR="003A4390" w:rsidRDefault="00F601AF" w:rsidP="003A4390">
      <w:pPr>
        <w:pStyle w:val="AmdtsEntries"/>
      </w:pPr>
      <w:r>
        <w:t>s 154</w:t>
      </w:r>
      <w:r w:rsidR="003A4390">
        <w:tab/>
        <w:t xml:space="preserve">ins </w:t>
      </w:r>
      <w:hyperlink r:id="rId780" w:tooltip="Residential Tenancies Amendment Act 2018" w:history="1">
        <w:r w:rsidR="003A4390">
          <w:rPr>
            <w:rStyle w:val="charCitHyperlinkAbbrev"/>
          </w:rPr>
          <w:t>A2018</w:t>
        </w:r>
        <w:r w:rsidR="003A4390">
          <w:rPr>
            <w:rStyle w:val="charCitHyperlinkAbbrev"/>
          </w:rPr>
          <w:noBreakHyphen/>
          <w:t>20</w:t>
        </w:r>
      </w:hyperlink>
      <w:r w:rsidR="003A4390">
        <w:t xml:space="preserve"> s 8</w:t>
      </w:r>
    </w:p>
    <w:p w:rsidR="00F70884" w:rsidRDefault="00F70884" w:rsidP="003A4390">
      <w:pPr>
        <w:pStyle w:val="AmdtsEntries"/>
      </w:pPr>
      <w:r>
        <w:tab/>
        <w:t xml:space="preserve">sub </w:t>
      </w:r>
      <w:hyperlink r:id="rId781" w:tooltip="Residential Tenancies Amendment Act 2018" w:history="1">
        <w:r>
          <w:rPr>
            <w:rStyle w:val="charCitHyperlinkAbbrev"/>
          </w:rPr>
          <w:t>A2018</w:t>
        </w:r>
        <w:r>
          <w:rPr>
            <w:rStyle w:val="charCitHyperlinkAbbrev"/>
          </w:rPr>
          <w:noBreakHyphen/>
          <w:t>20</w:t>
        </w:r>
      </w:hyperlink>
      <w:r>
        <w:t xml:space="preserve"> s 10</w:t>
      </w:r>
    </w:p>
    <w:p w:rsidR="00327210" w:rsidRDefault="00327210" w:rsidP="003A4390">
      <w:pPr>
        <w:pStyle w:val="AmdtsEntries"/>
      </w:pPr>
      <w:r>
        <w:tab/>
      </w:r>
      <w:r>
        <w:rPr>
          <w:u w:val="single"/>
        </w:rPr>
        <w:t>exp 14 December 2019 (s 155</w:t>
      </w:r>
      <w:r w:rsidRPr="00F601AF">
        <w:rPr>
          <w:u w:val="single"/>
        </w:rPr>
        <w:t>)</w:t>
      </w:r>
    </w:p>
    <w:p w:rsidR="00F70884" w:rsidRDefault="00F70884" w:rsidP="00F70884">
      <w:pPr>
        <w:pStyle w:val="AmdtsEntryHd"/>
      </w:pPr>
      <w:r w:rsidRPr="00483A42">
        <w:t>Expiry—pt 15</w:t>
      </w:r>
    </w:p>
    <w:p w:rsidR="00F70884" w:rsidRDefault="00F70884" w:rsidP="003A4390">
      <w:pPr>
        <w:pStyle w:val="AmdtsEntries"/>
      </w:pPr>
      <w:r>
        <w:t>s 155</w:t>
      </w:r>
      <w:r>
        <w:tab/>
        <w:t xml:space="preserve">ins </w:t>
      </w:r>
      <w:hyperlink r:id="rId782" w:tooltip="Residential Tenancies Amendment Act 2018" w:history="1">
        <w:r>
          <w:rPr>
            <w:rStyle w:val="charCitHyperlinkAbbrev"/>
          </w:rPr>
          <w:t>A2018</w:t>
        </w:r>
        <w:r>
          <w:rPr>
            <w:rStyle w:val="charCitHyperlinkAbbrev"/>
          </w:rPr>
          <w:noBreakHyphen/>
          <w:t>20</w:t>
        </w:r>
      </w:hyperlink>
      <w:r>
        <w:t xml:space="preserve"> s 10</w:t>
      </w:r>
    </w:p>
    <w:p w:rsidR="00327210" w:rsidRPr="00F70884" w:rsidRDefault="00327210" w:rsidP="003A4390">
      <w:pPr>
        <w:pStyle w:val="AmdtsEntries"/>
      </w:pPr>
      <w:r>
        <w:tab/>
      </w:r>
      <w:r>
        <w:rPr>
          <w:u w:val="single"/>
        </w:rPr>
        <w:t>exp 14 December 2019 (s 155</w:t>
      </w:r>
      <w:r w:rsidRPr="00F601AF">
        <w:rPr>
          <w:u w:val="single"/>
        </w:rPr>
        <w:t>)</w:t>
      </w:r>
    </w:p>
    <w:p w:rsidR="00450C28" w:rsidRDefault="00450C28">
      <w:pPr>
        <w:pStyle w:val="AmdtsEntryHd"/>
      </w:pPr>
      <w:r>
        <w:t>Standard residential tenancy terms</w:t>
      </w:r>
    </w:p>
    <w:p w:rsidR="00450C28" w:rsidRDefault="00450C28" w:rsidP="0001595F">
      <w:pPr>
        <w:pStyle w:val="AmdtsEntries"/>
        <w:keepNext/>
      </w:pPr>
      <w:r>
        <w:t>sch 1 hdg</w:t>
      </w:r>
      <w:r>
        <w:tab/>
        <w:t>(prev sch hdg) renum R2 LA</w:t>
      </w:r>
    </w:p>
    <w:p w:rsidR="00450C28" w:rsidRDefault="00450C28" w:rsidP="0001595F">
      <w:pPr>
        <w:pStyle w:val="AmdtsEntries"/>
        <w:keepNext/>
      </w:pPr>
      <w:r>
        <w:tab/>
        <w:t xml:space="preserve">sub </w:t>
      </w:r>
      <w:hyperlink r:id="rId7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w:t>
      </w:r>
    </w:p>
    <w:p w:rsidR="00450C28" w:rsidRDefault="00450C28">
      <w:pPr>
        <w:pStyle w:val="AmdtsEntries"/>
      </w:pPr>
      <w:r>
        <w:t>sch 1 cl 13</w:t>
      </w:r>
      <w:r>
        <w:tab/>
        <w:t xml:space="preserve">am </w:t>
      </w:r>
      <w:hyperlink r:id="rId784"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 </w:t>
      </w:r>
      <w:hyperlink r:id="rId785"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r>
        <w:t xml:space="preserve"> sch 1; </w:t>
      </w:r>
      <w:hyperlink r:id="rId786"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2.17</w:t>
      </w:r>
      <w:r w:rsidR="00033D98">
        <w:t xml:space="preserve">; </w:t>
      </w:r>
      <w:hyperlink r:id="rId787" w:tooltip="Unit Titles (Management) Act 2011" w:history="1">
        <w:r w:rsidR="009D74E7" w:rsidRPr="009D74E7">
          <w:rPr>
            <w:rStyle w:val="charCitHyperlinkAbbrev"/>
          </w:rPr>
          <w:t>A2011</w:t>
        </w:r>
        <w:r w:rsidR="009D74E7" w:rsidRPr="009D74E7">
          <w:rPr>
            <w:rStyle w:val="charCitHyperlinkAbbrev"/>
          </w:rPr>
          <w:noBreakHyphen/>
          <w:t>41</w:t>
        </w:r>
      </w:hyperlink>
      <w:r w:rsidR="00033D98">
        <w:t xml:space="preserve"> amdt 5.30</w:t>
      </w:r>
      <w:r w:rsidR="009D747D">
        <w:t xml:space="preserve">; </w:t>
      </w:r>
      <w:hyperlink r:id="rId788" w:tooltip="Residential Tenancies Amendment Act 2017" w:history="1">
        <w:r w:rsidR="009D747D">
          <w:rPr>
            <w:rStyle w:val="charCitHyperlinkAbbrev"/>
          </w:rPr>
          <w:t>A2017</w:t>
        </w:r>
        <w:r w:rsidR="009D747D">
          <w:rPr>
            <w:rStyle w:val="charCitHyperlinkAbbrev"/>
          </w:rPr>
          <w:noBreakHyphen/>
          <w:t>32</w:t>
        </w:r>
      </w:hyperlink>
      <w:r w:rsidR="009D747D">
        <w:t xml:space="preserve"> amdt 2.7</w:t>
      </w:r>
    </w:p>
    <w:p w:rsidR="00CE510B" w:rsidRDefault="00CE510B">
      <w:pPr>
        <w:pStyle w:val="AmdtsEntries"/>
      </w:pPr>
      <w:r>
        <w:t>sch 1 cl 19</w:t>
      </w:r>
      <w:r>
        <w:tab/>
        <w:t xml:space="preserve">am </w:t>
      </w:r>
      <w:hyperlink r:id="rId789" w:tooltip="Residential Tenancies Amendment Act 2017" w:history="1">
        <w:r>
          <w:rPr>
            <w:rStyle w:val="charCitHyperlinkAbbrev"/>
          </w:rPr>
          <w:t>A2017</w:t>
        </w:r>
        <w:r>
          <w:rPr>
            <w:rStyle w:val="charCitHyperlinkAbbrev"/>
          </w:rPr>
          <w:noBreakHyphen/>
          <w:t>32</w:t>
        </w:r>
      </w:hyperlink>
      <w:r>
        <w:t xml:space="preserve"> amdt 3.5, amdt 3.6</w:t>
      </w:r>
    </w:p>
    <w:p w:rsidR="00450C28" w:rsidRDefault="00450C28">
      <w:pPr>
        <w:pStyle w:val="AmdtsEntries"/>
      </w:pPr>
      <w:r>
        <w:t>sch 1 cl 20</w:t>
      </w:r>
      <w:r>
        <w:tab/>
        <w:t xml:space="preserve">am </w:t>
      </w:r>
      <w:hyperlink r:id="rId79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 amdt 1.3</w:t>
      </w:r>
      <w:r w:rsidR="00CE510B">
        <w:t xml:space="preserve">; </w:t>
      </w:r>
      <w:hyperlink r:id="rId791" w:tooltip="Residential Tenancies Amendment Act 2017" w:history="1">
        <w:r w:rsidR="00CE510B">
          <w:rPr>
            <w:rStyle w:val="charCitHyperlinkAbbrev"/>
          </w:rPr>
          <w:t>A2017</w:t>
        </w:r>
        <w:r w:rsidR="00CE510B">
          <w:rPr>
            <w:rStyle w:val="charCitHyperlinkAbbrev"/>
          </w:rPr>
          <w:noBreakHyphen/>
          <w:t>32</w:t>
        </w:r>
      </w:hyperlink>
      <w:r w:rsidR="00CE510B">
        <w:t xml:space="preserve"> amdt 3.7</w:t>
      </w:r>
    </w:p>
    <w:p w:rsidR="00450C28" w:rsidRDefault="00450C28">
      <w:pPr>
        <w:pStyle w:val="AmdtsEntries"/>
      </w:pPr>
      <w:r>
        <w:t>sch 1 cl 21</w:t>
      </w:r>
      <w:r>
        <w:tab/>
        <w:t xml:space="preserve">am </w:t>
      </w:r>
      <w:hyperlink r:id="rId79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1.4</w:t>
      </w:r>
    </w:p>
    <w:p w:rsidR="00450C28" w:rsidRDefault="00450C28">
      <w:pPr>
        <w:pStyle w:val="AmdtsEntries"/>
      </w:pPr>
      <w:r>
        <w:t>sch 1 cl 22</w:t>
      </w:r>
      <w:r>
        <w:tab/>
        <w:t xml:space="preserve">am </w:t>
      </w:r>
      <w:hyperlink r:id="rId7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1.5</w:t>
      </w:r>
    </w:p>
    <w:p w:rsidR="00450C28" w:rsidRDefault="00450C28">
      <w:pPr>
        <w:pStyle w:val="AmdtsEntries"/>
      </w:pPr>
      <w:r>
        <w:lastRenderedPageBreak/>
        <w:t>sch 1 cl 23</w:t>
      </w:r>
      <w:r>
        <w:tab/>
        <w:t xml:space="preserve">sub </w:t>
      </w:r>
      <w:hyperlink r:id="rId794"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25</w:t>
      </w:r>
    </w:p>
    <w:p w:rsidR="00DB41CC" w:rsidRDefault="00DB41CC">
      <w:pPr>
        <w:pStyle w:val="AmdtsEntries"/>
      </w:pPr>
      <w:r>
        <w:t>sch 1 cl 23A</w:t>
      </w:r>
      <w:r>
        <w:tab/>
        <w:t xml:space="preserve">ins </w:t>
      </w:r>
      <w:hyperlink r:id="rId795" w:tooltip="Residential Tenancies Legislation Amendment Act 2016" w:history="1">
        <w:r w:rsidRPr="008B6A1B">
          <w:rPr>
            <w:rStyle w:val="charCitHyperlinkAbbrev"/>
          </w:rPr>
          <w:t>A2016-50</w:t>
        </w:r>
      </w:hyperlink>
      <w:r>
        <w:t xml:space="preserve"> s 26</w:t>
      </w:r>
    </w:p>
    <w:p w:rsidR="00450C28" w:rsidRDefault="00450C28">
      <w:pPr>
        <w:pStyle w:val="AmdtsEntries"/>
      </w:pPr>
      <w:r>
        <w:t>sch 1 cl 26</w:t>
      </w:r>
      <w:r>
        <w:tab/>
        <w:t xml:space="preserve">am </w:t>
      </w:r>
      <w:hyperlink r:id="rId7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1.6</w:t>
      </w:r>
    </w:p>
    <w:p w:rsidR="00450C28" w:rsidRDefault="00450C28">
      <w:pPr>
        <w:pStyle w:val="AmdtsEntries"/>
      </w:pPr>
      <w:r>
        <w:t>sch 1 cl 30</w:t>
      </w:r>
      <w:r>
        <w:tab/>
        <w:t xml:space="preserve">am </w:t>
      </w:r>
      <w:hyperlink r:id="rId79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1.7</w:t>
      </w:r>
    </w:p>
    <w:p w:rsidR="00450C28" w:rsidRDefault="00450C28">
      <w:pPr>
        <w:pStyle w:val="AmdtsEntries"/>
      </w:pPr>
      <w:r>
        <w:t>sch 1 cl 31</w:t>
      </w:r>
      <w:r>
        <w:tab/>
        <w:t xml:space="preserve">am </w:t>
      </w:r>
      <w:hyperlink r:id="rId79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1.8</w:t>
      </w:r>
    </w:p>
    <w:p w:rsidR="00450C28" w:rsidRPr="009D74E7" w:rsidRDefault="00450C28">
      <w:pPr>
        <w:pStyle w:val="AmdtsEntries"/>
      </w:pPr>
      <w:r>
        <w:t>sch 1 cl 36</w:t>
      </w:r>
      <w:r>
        <w:tab/>
      </w:r>
      <w:r w:rsidRPr="009D74E7">
        <w:rPr>
          <w:rFonts w:cs="Arial"/>
        </w:rPr>
        <w:t xml:space="preserve">am </w:t>
      </w:r>
      <w:hyperlink r:id="rId799" w:tooltip="Housing Assistance Act 2007" w:history="1">
        <w:r w:rsidR="009D74E7" w:rsidRPr="009D74E7">
          <w:rPr>
            <w:rStyle w:val="charCitHyperlinkAbbrev"/>
          </w:rPr>
          <w:t>A2007</w:t>
        </w:r>
        <w:r w:rsidR="009D74E7" w:rsidRPr="009D74E7">
          <w:rPr>
            <w:rStyle w:val="charCitHyperlinkAbbrev"/>
          </w:rPr>
          <w:noBreakHyphen/>
          <w:t>8</w:t>
        </w:r>
      </w:hyperlink>
      <w:r w:rsidRPr="009D74E7">
        <w:rPr>
          <w:rFonts w:cs="Arial"/>
        </w:rPr>
        <w:t xml:space="preserve"> amdt 1.18</w:t>
      </w:r>
    </w:p>
    <w:p w:rsidR="00450C28" w:rsidRDefault="00450C28">
      <w:pPr>
        <w:pStyle w:val="AmdtsEntries"/>
      </w:pPr>
      <w:r>
        <w:t>sch 1 cl 43</w:t>
      </w:r>
      <w:r>
        <w:tab/>
        <w:t xml:space="preserve">am </w:t>
      </w:r>
      <w:hyperlink r:id="rId80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1.9</w:t>
      </w:r>
    </w:p>
    <w:p w:rsidR="00450C28" w:rsidRDefault="00450C28">
      <w:pPr>
        <w:pStyle w:val="AmdtsEntries"/>
      </w:pPr>
      <w:r>
        <w:t>sch 1 cl 45</w:t>
      </w:r>
      <w:r>
        <w:tab/>
        <w:t xml:space="preserve">sub </w:t>
      </w:r>
      <w:hyperlink r:id="rId801"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2.18</w:t>
      </w:r>
    </w:p>
    <w:p w:rsidR="00DB41CC" w:rsidRDefault="00DB41CC">
      <w:pPr>
        <w:pStyle w:val="AmdtsEntries"/>
      </w:pPr>
      <w:r>
        <w:t>sch 1 cl 53A</w:t>
      </w:r>
      <w:r>
        <w:tab/>
        <w:t xml:space="preserve">ins </w:t>
      </w:r>
      <w:hyperlink r:id="rId802" w:tooltip="Residential Tenancies Legislation Amendment Act 2016" w:history="1">
        <w:r w:rsidRPr="008B6A1B">
          <w:rPr>
            <w:rStyle w:val="charCitHyperlinkAbbrev"/>
          </w:rPr>
          <w:t>A2016-50</w:t>
        </w:r>
      </w:hyperlink>
      <w:r>
        <w:t xml:space="preserve"> s 27</w:t>
      </w:r>
    </w:p>
    <w:p w:rsidR="00517312" w:rsidRDefault="00517312">
      <w:pPr>
        <w:pStyle w:val="AmdtsEntries"/>
      </w:pPr>
      <w:r>
        <w:tab/>
        <w:t xml:space="preserve">am </w:t>
      </w:r>
      <w:hyperlink r:id="rId803" w:tooltip="Statute Law Amendment Act 2017 (No 2)" w:history="1">
        <w:r>
          <w:rPr>
            <w:rStyle w:val="charCitHyperlinkAbbrev"/>
          </w:rPr>
          <w:t>A2017</w:t>
        </w:r>
        <w:r>
          <w:rPr>
            <w:rStyle w:val="charCitHyperlinkAbbrev"/>
          </w:rPr>
          <w:noBreakHyphen/>
          <w:t>28</w:t>
        </w:r>
      </w:hyperlink>
      <w:r>
        <w:t xml:space="preserve"> amdt 1.7</w:t>
      </w:r>
    </w:p>
    <w:p w:rsidR="00450C28" w:rsidRDefault="00450C28">
      <w:pPr>
        <w:pStyle w:val="AmdtsEntries"/>
      </w:pPr>
      <w:r>
        <w:t>sch 1 cl 54</w:t>
      </w:r>
      <w:r>
        <w:tab/>
        <w:t xml:space="preserve">am </w:t>
      </w:r>
      <w:hyperlink r:id="rId8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1.10; subcl renum R16 LA (see </w:t>
      </w:r>
      <w:hyperlink r:id="rId80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1.11)</w:t>
      </w:r>
      <w:r w:rsidR="00E07264">
        <w:t xml:space="preserve">; </w:t>
      </w:r>
      <w:hyperlink r:id="rId806" w:tooltip="Residential Tenancies Legislation Amendment Act 2016" w:history="1">
        <w:r w:rsidR="00E07264">
          <w:rPr>
            <w:rStyle w:val="Hyperlink"/>
            <w:u w:val="none"/>
          </w:rPr>
          <w:t>A2016-50</w:t>
        </w:r>
      </w:hyperlink>
      <w:r w:rsidR="00E07264">
        <w:t xml:space="preserve"> s 28</w:t>
      </w:r>
    </w:p>
    <w:p w:rsidR="00450C28" w:rsidRDefault="00450C28">
      <w:pPr>
        <w:pStyle w:val="AmdtsEntries"/>
      </w:pPr>
      <w:r>
        <w:t>sch 1 cl 55</w:t>
      </w:r>
      <w:r>
        <w:tab/>
        <w:t xml:space="preserve">am R1 LA; R2 LA; </w:t>
      </w:r>
      <w:hyperlink r:id="rId807" w:tooltip="Residential Tenancies Amendment Act 2005" w:history="1">
        <w:r w:rsidR="009D74E7" w:rsidRPr="009D74E7">
          <w:rPr>
            <w:rStyle w:val="charCitHyperlinkAbbrev"/>
          </w:rPr>
          <w:t>A2005</w:t>
        </w:r>
        <w:r w:rsidR="009D74E7" w:rsidRPr="009D74E7">
          <w:rPr>
            <w:rStyle w:val="charCitHyperlinkAbbrev"/>
          </w:rPr>
          <w:noBreakHyphen/>
          <w:t>39</w:t>
        </w:r>
      </w:hyperlink>
      <w:r>
        <w:t xml:space="preserve"> s 26</w:t>
      </w:r>
    </w:p>
    <w:p w:rsidR="00E07264" w:rsidRDefault="00450C28">
      <w:pPr>
        <w:pStyle w:val="AmdtsEntries"/>
      </w:pPr>
      <w:r>
        <w:t>sch 1 cl 58</w:t>
      </w:r>
      <w:r>
        <w:tab/>
        <w:t xml:space="preserve">sub </w:t>
      </w:r>
      <w:hyperlink r:id="rId808"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2.19</w:t>
      </w:r>
    </w:p>
    <w:p w:rsidR="00DB41CC" w:rsidRDefault="00DB41CC">
      <w:pPr>
        <w:pStyle w:val="AmdtsEntries"/>
      </w:pPr>
      <w:r>
        <w:t>sch 1 cl 63A</w:t>
      </w:r>
      <w:r>
        <w:tab/>
        <w:t xml:space="preserve">ins </w:t>
      </w:r>
      <w:hyperlink r:id="rId809" w:tooltip="Residential Tenancies Legislation Amendment Act 2016" w:history="1">
        <w:r w:rsidRPr="008B6A1B">
          <w:rPr>
            <w:rStyle w:val="charCitHyperlinkAbbrev"/>
          </w:rPr>
          <w:t>A2016-50</w:t>
        </w:r>
      </w:hyperlink>
      <w:r>
        <w:t xml:space="preserve"> s 29</w:t>
      </w:r>
    </w:p>
    <w:p w:rsidR="00450C28" w:rsidRDefault="00450C28" w:rsidP="0061785C">
      <w:pPr>
        <w:pStyle w:val="AmdtsEntries"/>
        <w:keepNext/>
      </w:pPr>
      <w:r>
        <w:t>sch 1 cl 66</w:t>
      </w:r>
      <w:r>
        <w:tab/>
        <w:t xml:space="preserve">sub </w:t>
      </w:r>
      <w:hyperlink r:id="rId810" w:tooltip="Unit Titles Consequential Amendments Act 2001" w:history="1">
        <w:r w:rsidR="009D74E7" w:rsidRPr="009D74E7">
          <w:rPr>
            <w:rStyle w:val="charCitHyperlinkAbbrev"/>
          </w:rPr>
          <w:t>A2001</w:t>
        </w:r>
        <w:r w:rsidR="009D74E7" w:rsidRPr="009D74E7">
          <w:rPr>
            <w:rStyle w:val="charCitHyperlinkAbbrev"/>
          </w:rPr>
          <w:noBreakHyphen/>
          <w:t>17</w:t>
        </w:r>
      </w:hyperlink>
      <w:r>
        <w:t xml:space="preserve"> amdt 2.20</w:t>
      </w:r>
    </w:p>
    <w:p w:rsidR="00450C28" w:rsidRDefault="00450C28" w:rsidP="0061785C">
      <w:pPr>
        <w:pStyle w:val="AmdtsEntries"/>
        <w:keepNext/>
      </w:pPr>
      <w:r>
        <w:tab/>
        <w:t xml:space="preserve">am </w:t>
      </w:r>
      <w:hyperlink r:id="rId81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1.12</w:t>
      </w:r>
    </w:p>
    <w:p w:rsidR="00033D98" w:rsidRDefault="00033D98">
      <w:pPr>
        <w:pStyle w:val="AmdtsEntries"/>
      </w:pPr>
      <w:r>
        <w:tab/>
        <w:t xml:space="preserve">sub </w:t>
      </w:r>
      <w:hyperlink r:id="rId812" w:tooltip="Unit Titles (Management) Act 2011" w:history="1">
        <w:r w:rsidR="009D74E7" w:rsidRPr="009D74E7">
          <w:rPr>
            <w:rStyle w:val="charCitHyperlinkAbbrev"/>
          </w:rPr>
          <w:t>A2011</w:t>
        </w:r>
        <w:r w:rsidR="009D74E7" w:rsidRPr="009D74E7">
          <w:rPr>
            <w:rStyle w:val="charCitHyperlinkAbbrev"/>
          </w:rPr>
          <w:noBreakHyphen/>
          <w:t>41</w:t>
        </w:r>
      </w:hyperlink>
      <w:r>
        <w:t xml:space="preserve"> amdt 5.31</w:t>
      </w:r>
    </w:p>
    <w:p w:rsidR="0075432C" w:rsidRDefault="0075432C">
      <w:pPr>
        <w:pStyle w:val="AmdtsEntries"/>
      </w:pPr>
      <w:r>
        <w:t>sch 1 cl 67</w:t>
      </w:r>
      <w:r>
        <w:tab/>
        <w:t xml:space="preserve">sub </w:t>
      </w:r>
      <w:hyperlink r:id="rId813" w:tooltip="Residential Tenancies Amendment Act 2019" w:history="1">
        <w:r>
          <w:rPr>
            <w:rStyle w:val="charCitHyperlinkAbbrev"/>
          </w:rPr>
          <w:t>A2019-5</w:t>
        </w:r>
      </w:hyperlink>
      <w:r>
        <w:t xml:space="preserve"> s </w:t>
      </w:r>
      <w:r w:rsidR="009F0281">
        <w:t>17</w:t>
      </w:r>
    </w:p>
    <w:p w:rsidR="00450C28" w:rsidRDefault="00450C28">
      <w:pPr>
        <w:pStyle w:val="AmdtsEntries"/>
      </w:pPr>
      <w:r>
        <w:t>sch 1 cl 71</w:t>
      </w:r>
      <w:r>
        <w:tab/>
        <w:t xml:space="preserve">am </w:t>
      </w:r>
      <w:hyperlink r:id="rId81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1.13</w:t>
      </w:r>
    </w:p>
    <w:p w:rsidR="009F0281" w:rsidRDefault="009F0281">
      <w:pPr>
        <w:pStyle w:val="AmdtsEntries"/>
      </w:pPr>
      <w:r>
        <w:t>sch 1 cl 74A</w:t>
      </w:r>
      <w:r>
        <w:tab/>
        <w:t xml:space="preserve">ins </w:t>
      </w:r>
      <w:hyperlink r:id="rId815" w:tooltip="Residential Tenancies Amendment Act 2019" w:history="1">
        <w:r>
          <w:rPr>
            <w:rStyle w:val="charCitHyperlinkAbbrev"/>
          </w:rPr>
          <w:t>A2019-5</w:t>
        </w:r>
      </w:hyperlink>
      <w:r>
        <w:t xml:space="preserve"> s 18</w:t>
      </w:r>
    </w:p>
    <w:p w:rsidR="009F0281" w:rsidRDefault="009F0281">
      <w:pPr>
        <w:pStyle w:val="AmdtsEntries"/>
      </w:pPr>
      <w:r>
        <w:t>sch 1 cl 74B</w:t>
      </w:r>
      <w:r>
        <w:tab/>
        <w:t xml:space="preserve">ins </w:t>
      </w:r>
      <w:hyperlink r:id="rId816" w:tooltip="Residential Tenancies Amendment Act 2019" w:history="1">
        <w:r>
          <w:rPr>
            <w:rStyle w:val="charCitHyperlinkAbbrev"/>
          </w:rPr>
          <w:t>A2019-5</w:t>
        </w:r>
      </w:hyperlink>
      <w:r>
        <w:t xml:space="preserve"> s 18</w:t>
      </w:r>
    </w:p>
    <w:p w:rsidR="00450C28" w:rsidRDefault="00450C28">
      <w:pPr>
        <w:pStyle w:val="AmdtsEntries"/>
      </w:pPr>
      <w:r>
        <w:t>sch 1 cl 79</w:t>
      </w:r>
      <w:r>
        <w:tab/>
        <w:t xml:space="preserve">am </w:t>
      </w:r>
      <w:hyperlink r:id="rId81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1.14</w:t>
      </w:r>
    </w:p>
    <w:p w:rsidR="00450C28" w:rsidRDefault="00450C28">
      <w:pPr>
        <w:pStyle w:val="AmdtsEntries"/>
      </w:pPr>
      <w:r>
        <w:t>sch 1 cl 80</w:t>
      </w:r>
      <w:r>
        <w:tab/>
        <w:t xml:space="preserve">am </w:t>
      </w:r>
      <w:hyperlink r:id="rId81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1.15</w:t>
      </w:r>
    </w:p>
    <w:p w:rsidR="00450C28" w:rsidRDefault="00450C28">
      <w:pPr>
        <w:pStyle w:val="AmdtsEntries"/>
      </w:pPr>
      <w:r>
        <w:t>sch 1 cl 82</w:t>
      </w:r>
      <w:r>
        <w:tab/>
        <w:t xml:space="preserve">am </w:t>
      </w:r>
      <w:hyperlink r:id="rId8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1.16</w:t>
      </w:r>
    </w:p>
    <w:p w:rsidR="00450C28" w:rsidRDefault="00450C28">
      <w:pPr>
        <w:pStyle w:val="AmdtsEntries"/>
      </w:pPr>
      <w:r>
        <w:t>sch 1 cl 91</w:t>
      </w:r>
      <w:r>
        <w:tab/>
        <w:t xml:space="preserve">am </w:t>
      </w:r>
      <w:hyperlink r:id="rId82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1.17</w:t>
      </w:r>
    </w:p>
    <w:p w:rsidR="00450C28" w:rsidRDefault="00450C28">
      <w:pPr>
        <w:pStyle w:val="AmdtsEntries"/>
      </w:pPr>
      <w:r>
        <w:t>sch 1 cl 92</w:t>
      </w:r>
      <w:r>
        <w:tab/>
        <w:t xml:space="preserve">am </w:t>
      </w:r>
      <w:hyperlink r:id="rId82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amdts 1.18-1.22</w:t>
      </w:r>
    </w:p>
    <w:p w:rsidR="00450C28" w:rsidRDefault="00450C28">
      <w:pPr>
        <w:pStyle w:val="AmdtsEntries"/>
      </w:pPr>
      <w:r>
        <w:t>sch 1 cl 93</w:t>
      </w:r>
      <w:r>
        <w:tab/>
        <w:t xml:space="preserve">am </w:t>
      </w:r>
      <w:hyperlink r:id="rId82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1.23</w:t>
      </w:r>
    </w:p>
    <w:p w:rsidR="009F0281" w:rsidRDefault="009F0281">
      <w:pPr>
        <w:pStyle w:val="AmdtsEntries"/>
      </w:pPr>
      <w:r>
        <w:t>sch 1 cl 95</w:t>
      </w:r>
      <w:r>
        <w:tab/>
        <w:t xml:space="preserve">sub </w:t>
      </w:r>
      <w:hyperlink r:id="rId823" w:tooltip="Residential Tenancies Amendment Act 2019" w:history="1">
        <w:r>
          <w:rPr>
            <w:rStyle w:val="charCitHyperlinkAbbrev"/>
          </w:rPr>
          <w:t>A2019-5</w:t>
        </w:r>
      </w:hyperlink>
      <w:r>
        <w:t xml:space="preserve"> s 19</w:t>
      </w:r>
    </w:p>
    <w:p w:rsidR="00450C28" w:rsidRDefault="00450C28">
      <w:pPr>
        <w:pStyle w:val="AmdtsEntries"/>
      </w:pPr>
      <w:r>
        <w:t>sch 1 cl 96</w:t>
      </w:r>
      <w:r>
        <w:tab/>
        <w:t xml:space="preserve">am </w:t>
      </w:r>
      <w:hyperlink r:id="rId82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1.24, amdt 1.25</w:t>
      </w:r>
      <w:r w:rsidR="005C176D">
        <w:t xml:space="preserve">; </w:t>
      </w:r>
      <w:hyperlink r:id="rId825" w:tooltip="Residential Tenancies Amendment Act 2019" w:history="1">
        <w:r w:rsidR="005C176D">
          <w:rPr>
            <w:rStyle w:val="charCitHyperlinkAbbrev"/>
          </w:rPr>
          <w:t>A2019-5</w:t>
        </w:r>
      </w:hyperlink>
      <w:r w:rsidR="005C176D">
        <w:t xml:space="preserve"> s 20</w:t>
      </w:r>
    </w:p>
    <w:p w:rsidR="00450C28" w:rsidRDefault="00450C28">
      <w:pPr>
        <w:pStyle w:val="AmdtsEntries"/>
      </w:pPr>
      <w:r>
        <w:t>sch 1 cl 98</w:t>
      </w:r>
      <w:r>
        <w:tab/>
        <w:t xml:space="preserve">am </w:t>
      </w:r>
      <w:hyperlink r:id="rId82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amdt 1.26</w:t>
      </w:r>
    </w:p>
    <w:p w:rsidR="00450C28" w:rsidRPr="009D74E7" w:rsidRDefault="00450C28">
      <w:pPr>
        <w:pStyle w:val="AmdtsEntryHd"/>
        <w:rPr>
          <w:rFonts w:cs="Arial"/>
        </w:rPr>
      </w:pPr>
      <w:r w:rsidRPr="009D74E7">
        <w:rPr>
          <w:rFonts w:cs="Arial"/>
        </w:rPr>
        <w:t>Dictionary</w:t>
      </w:r>
    </w:p>
    <w:p w:rsidR="00450C28" w:rsidRDefault="00450C28">
      <w:pPr>
        <w:pStyle w:val="AmdtsEntries"/>
        <w:keepNext/>
      </w:pPr>
      <w:r>
        <w:t>dict</w:t>
      </w:r>
      <w:r>
        <w:tab/>
        <w:t xml:space="preserve">ins </w:t>
      </w:r>
      <w:hyperlink r:id="rId82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332238" w:rsidRDefault="00332238">
      <w:pPr>
        <w:pStyle w:val="AmdtsEntries"/>
        <w:keepNext/>
      </w:pPr>
      <w:r>
        <w:tab/>
        <w:t xml:space="preserve">am </w:t>
      </w:r>
      <w:hyperlink r:id="rId82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1.590</w:t>
      </w:r>
      <w:r w:rsidR="00EE3191">
        <w:t xml:space="preserve">; </w:t>
      </w:r>
      <w:hyperlink r:id="rId829"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rsidR="00EE3191">
        <w:t xml:space="preserve"> amdt </w:t>
      </w:r>
      <w:r w:rsidR="008C5FA2">
        <w:t>1.384</w:t>
      </w:r>
      <w:r w:rsidR="00BE0E96">
        <w:t xml:space="preserve">; </w:t>
      </w:r>
      <w:hyperlink r:id="rId830" w:tooltip="Statute Law Amendment Act 2011 (No 2)" w:history="1">
        <w:r w:rsidR="009D74E7" w:rsidRPr="009D74E7">
          <w:rPr>
            <w:rStyle w:val="charCitHyperlinkAbbrev"/>
          </w:rPr>
          <w:t>A2011</w:t>
        </w:r>
        <w:r w:rsidR="009D74E7" w:rsidRPr="009D74E7">
          <w:rPr>
            <w:rStyle w:val="charCitHyperlinkAbbrev"/>
          </w:rPr>
          <w:noBreakHyphen/>
          <w:t>28</w:t>
        </w:r>
      </w:hyperlink>
      <w:r w:rsidR="00BE0E96">
        <w:t xml:space="preserve"> amdt 3.212</w:t>
      </w:r>
      <w:r w:rsidR="00F3174E">
        <w:t xml:space="preserve">; </w:t>
      </w:r>
      <w:hyperlink r:id="rId831" w:tooltip="Statute Law Amendment Act 2013 (No 2)" w:history="1">
        <w:r w:rsidR="00F3174E">
          <w:rPr>
            <w:rStyle w:val="charCitHyperlinkAbbrev"/>
          </w:rPr>
          <w:t>A2013</w:t>
        </w:r>
        <w:r w:rsidR="00F3174E">
          <w:rPr>
            <w:rStyle w:val="charCitHyperlinkAbbrev"/>
          </w:rPr>
          <w:noBreakHyphen/>
          <w:t>44</w:t>
        </w:r>
      </w:hyperlink>
      <w:r w:rsidR="00F3174E">
        <w:t xml:space="preserve"> amdt 3.172</w:t>
      </w:r>
      <w:r w:rsidR="00E03C18">
        <w:t xml:space="preserve">; </w:t>
      </w:r>
      <w:hyperlink r:id="rId832" w:tooltip="Statute Law Amendment Act 2017" w:history="1">
        <w:r w:rsidR="00E03C18" w:rsidRPr="0038160B">
          <w:rPr>
            <w:rStyle w:val="charCitHyperlinkAbbrev"/>
          </w:rPr>
          <w:t>A2017</w:t>
        </w:r>
        <w:r w:rsidR="00E03C18" w:rsidRPr="0038160B">
          <w:rPr>
            <w:rStyle w:val="charCitHyperlinkAbbrev"/>
          </w:rPr>
          <w:noBreakHyphen/>
          <w:t>4</w:t>
        </w:r>
      </w:hyperlink>
      <w:r w:rsidR="00E03C18">
        <w:t xml:space="preserve"> amdt 3.172</w:t>
      </w:r>
      <w:r w:rsidR="00DB41CC">
        <w:t xml:space="preserve">; </w:t>
      </w:r>
      <w:hyperlink r:id="rId833" w:tooltip="Residential Tenancies Legislation Amendment Act 2016" w:history="1">
        <w:r w:rsidR="00DB41CC" w:rsidRPr="008B6A1B">
          <w:rPr>
            <w:rStyle w:val="charCitHyperlinkAbbrev"/>
          </w:rPr>
          <w:t>A2016-50</w:t>
        </w:r>
      </w:hyperlink>
      <w:r w:rsidR="00DB41CC">
        <w:t xml:space="preserve"> s 30</w:t>
      </w:r>
      <w:r w:rsidR="009D747D">
        <w:t xml:space="preserve">; </w:t>
      </w:r>
      <w:hyperlink r:id="rId834" w:tooltip="Residential Tenancies Amendment Act 2017" w:history="1">
        <w:r w:rsidR="009D747D">
          <w:rPr>
            <w:rStyle w:val="charCitHyperlinkAbbrev"/>
          </w:rPr>
          <w:t>A2017</w:t>
        </w:r>
        <w:r w:rsidR="009D747D">
          <w:rPr>
            <w:rStyle w:val="charCitHyperlinkAbbrev"/>
          </w:rPr>
          <w:noBreakHyphen/>
          <w:t>32</w:t>
        </w:r>
      </w:hyperlink>
      <w:r w:rsidR="009D747D">
        <w:t xml:space="preserve"> amdt 2.</w:t>
      </w:r>
      <w:r w:rsidR="0010663A">
        <w:t>8</w:t>
      </w:r>
      <w:r w:rsidR="005C176D">
        <w:t xml:space="preserve">; </w:t>
      </w:r>
      <w:hyperlink r:id="rId835" w:tooltip="Residential Tenancies Amendment Act 2019" w:history="1">
        <w:r w:rsidR="005C176D">
          <w:rPr>
            <w:rStyle w:val="charCitHyperlinkAbbrev"/>
          </w:rPr>
          <w:t>A2019-5</w:t>
        </w:r>
      </w:hyperlink>
      <w:r w:rsidR="005C176D">
        <w:t xml:space="preserve"> s 21</w:t>
      </w:r>
    </w:p>
    <w:p w:rsidR="00901504" w:rsidRPr="00901504" w:rsidRDefault="00901504">
      <w:pPr>
        <w:pStyle w:val="AmdtsEntries"/>
        <w:keepNext/>
      </w:pPr>
      <w:r>
        <w:tab/>
        <w:t xml:space="preserve">def </w:t>
      </w:r>
      <w:r>
        <w:rPr>
          <w:rStyle w:val="charBoldItals"/>
        </w:rPr>
        <w:t xml:space="preserve">ACAT trust account </w:t>
      </w:r>
      <w:r>
        <w:t xml:space="preserve">ins </w:t>
      </w:r>
      <w:hyperlink r:id="rId836"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r>
        <w:t xml:space="preserve"> amdt 1.426</w:t>
      </w:r>
    </w:p>
    <w:p w:rsidR="002D5F39" w:rsidRDefault="002D5F39">
      <w:pPr>
        <w:pStyle w:val="AmdtsEntries"/>
        <w:keepNext/>
      </w:pPr>
      <w:r>
        <w:tab/>
        <w:t xml:space="preserve">def </w:t>
      </w:r>
      <w:r w:rsidRPr="002D5F39">
        <w:rPr>
          <w:rStyle w:val="charBoldItals"/>
        </w:rPr>
        <w:t>affected residential premises</w:t>
      </w:r>
      <w:r>
        <w:t xml:space="preserve"> ins </w:t>
      </w:r>
      <w:hyperlink r:id="rId837"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rsidR="002D5F39" w:rsidRDefault="002D5F39" w:rsidP="002D5F39">
      <w:pPr>
        <w:pStyle w:val="AmdtsEntries"/>
        <w:keepNext/>
      </w:pPr>
      <w:r>
        <w:tab/>
        <w:t xml:space="preserve">def </w:t>
      </w:r>
      <w:r w:rsidRPr="002D5F39">
        <w:rPr>
          <w:rStyle w:val="charBoldItals"/>
        </w:rPr>
        <w:t>affected residential premises</w:t>
      </w:r>
      <w:r>
        <w:rPr>
          <w:rStyle w:val="charBoldItals"/>
        </w:rPr>
        <w:t xml:space="preserve"> register</w:t>
      </w:r>
      <w:r>
        <w:t xml:space="preserve"> ins </w:t>
      </w:r>
      <w:hyperlink r:id="rId838"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008D11FC">
        <w:t>amdt </w:t>
      </w:r>
      <w:r w:rsidRPr="002D5F39">
        <w:t>1.18</w:t>
      </w:r>
    </w:p>
    <w:p w:rsidR="00DC708C" w:rsidRPr="00DC708C" w:rsidRDefault="00DC708C">
      <w:pPr>
        <w:pStyle w:val="AmdtsEntries"/>
        <w:keepNext/>
      </w:pPr>
      <w:r>
        <w:tab/>
        <w:t xml:space="preserve">def </w:t>
      </w:r>
      <w:r w:rsidRPr="009D74E7">
        <w:rPr>
          <w:rStyle w:val="charBoldItals"/>
        </w:rPr>
        <w:t xml:space="preserve">agent </w:t>
      </w:r>
      <w:r>
        <w:t xml:space="preserve">ins </w:t>
      </w:r>
      <w:hyperlink r:id="rId839"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Default="00450C28">
      <w:pPr>
        <w:pStyle w:val="AmdtsEntries"/>
        <w:keepNext/>
      </w:pPr>
      <w:r>
        <w:tab/>
        <w:t xml:space="preserve">def </w:t>
      </w:r>
      <w:r w:rsidRPr="009D74E7">
        <w:rPr>
          <w:rStyle w:val="charBoldItals"/>
        </w:rPr>
        <w:t>approved mediator</w:t>
      </w:r>
      <w:r>
        <w:t xml:space="preserve"> sub </w:t>
      </w:r>
      <w:hyperlink r:id="rId840" w:tooltip="Residential Tenancies (Amendment) Act 1998" w:history="1">
        <w:r w:rsidR="009D74E7" w:rsidRPr="009D74E7">
          <w:rPr>
            <w:rStyle w:val="charCitHyperlinkAbbrev"/>
          </w:rPr>
          <w:t>A1998</w:t>
        </w:r>
        <w:r w:rsidR="009D74E7" w:rsidRPr="009D74E7">
          <w:rPr>
            <w:rStyle w:val="charCitHyperlinkAbbrev"/>
          </w:rPr>
          <w:noBreakHyphen/>
          <w:t>5</w:t>
        </w:r>
      </w:hyperlink>
      <w:r>
        <w:t xml:space="preserve"> s 4</w:t>
      </w:r>
    </w:p>
    <w:p w:rsidR="00450C28" w:rsidRDefault="00450C28">
      <w:pPr>
        <w:pStyle w:val="AmdtsEntries"/>
        <w:keepNext/>
        <w:tabs>
          <w:tab w:val="clear" w:pos="2700"/>
          <w:tab w:val="left" w:pos="2982"/>
        </w:tabs>
        <w:ind w:left="3053" w:hanging="1953"/>
      </w:pPr>
      <w:r>
        <w:tab/>
        <w:t xml:space="preserve">reloc from s 3 </w:t>
      </w:r>
      <w:hyperlink r:id="rId84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7E3FCD" w:rsidRDefault="007E3FCD">
      <w:pPr>
        <w:pStyle w:val="AmdtsEntries"/>
        <w:keepNext/>
        <w:tabs>
          <w:tab w:val="clear" w:pos="2700"/>
          <w:tab w:val="left" w:pos="2982"/>
        </w:tabs>
        <w:ind w:left="3053" w:hanging="1953"/>
      </w:pPr>
      <w:r>
        <w:tab/>
        <w:t xml:space="preserve">om </w:t>
      </w:r>
      <w:hyperlink r:id="rId84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rsidR="00450C28" w:rsidRDefault="00450C28">
      <w:pPr>
        <w:pStyle w:val="AmdtsEntries"/>
        <w:keepNext/>
      </w:pPr>
      <w:r>
        <w:tab/>
        <w:t xml:space="preserve">def </w:t>
      </w:r>
      <w:r>
        <w:rPr>
          <w:rStyle w:val="charBoldItals"/>
        </w:rPr>
        <w:t xml:space="preserve">asbestos advice </w:t>
      </w:r>
      <w:r>
        <w:t xml:space="preserve">ins </w:t>
      </w:r>
      <w:hyperlink r:id="rId843"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rsidR="00BE0E96" w:rsidRDefault="00BE0E96" w:rsidP="00BE0E96">
      <w:pPr>
        <w:pStyle w:val="AmdtsEntriesDefL2"/>
      </w:pPr>
      <w:r>
        <w:tab/>
        <w:t xml:space="preserve">om </w:t>
      </w:r>
      <w:hyperlink r:id="rId844"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rsidR="00450C28" w:rsidRDefault="00450C28">
      <w:pPr>
        <w:pStyle w:val="AmdtsEntries"/>
        <w:keepNext/>
      </w:pPr>
      <w:r>
        <w:lastRenderedPageBreak/>
        <w:tab/>
        <w:t xml:space="preserve">def </w:t>
      </w:r>
      <w:r>
        <w:rPr>
          <w:rStyle w:val="charBoldItals"/>
        </w:rPr>
        <w:t xml:space="preserve">asbestos assessment report </w:t>
      </w:r>
      <w:r>
        <w:t xml:space="preserve">ins </w:t>
      </w:r>
      <w:hyperlink r:id="rId845"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amdt 1.50</w:t>
      </w:r>
    </w:p>
    <w:p w:rsidR="00BE0E96" w:rsidRDefault="00BE0E96" w:rsidP="00BE0E96">
      <w:pPr>
        <w:pStyle w:val="AmdtsEntriesDefL2"/>
      </w:pPr>
      <w:r>
        <w:tab/>
        <w:t xml:space="preserve">om </w:t>
      </w:r>
      <w:hyperlink r:id="rId846"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3.213</w:t>
      </w:r>
    </w:p>
    <w:p w:rsidR="00450C28" w:rsidRDefault="00450C28">
      <w:pPr>
        <w:pStyle w:val="AmdtsEntries"/>
        <w:keepNext/>
      </w:pPr>
      <w:r>
        <w:tab/>
        <w:t xml:space="preserve">def </w:t>
      </w:r>
      <w:r w:rsidRPr="009D74E7">
        <w:rPr>
          <w:rStyle w:val="charBoldItals"/>
        </w:rPr>
        <w:t>bond</w:t>
      </w:r>
      <w:r>
        <w:t xml:space="preserve"> reloc from s 3 </w:t>
      </w:r>
      <w:hyperlink r:id="rId84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DB41CC" w:rsidRPr="009D74E7" w:rsidRDefault="00DB41CC">
      <w:pPr>
        <w:pStyle w:val="AmdtsEntries"/>
        <w:keepNext/>
      </w:pPr>
      <w:r>
        <w:tab/>
        <w:t xml:space="preserve">def </w:t>
      </w:r>
      <w:r w:rsidR="0033005B" w:rsidRPr="00E56DA5">
        <w:rPr>
          <w:rStyle w:val="charBoldItals"/>
        </w:rPr>
        <w:t>bond release application</w:t>
      </w:r>
      <w:r>
        <w:t xml:space="preserve"> ins </w:t>
      </w:r>
      <w:hyperlink r:id="rId848" w:tooltip="Residential Tenancies Legislation Amendment Act 2016" w:history="1">
        <w:r w:rsidRPr="008B6A1B">
          <w:rPr>
            <w:rStyle w:val="charCitHyperlinkAbbrev"/>
          </w:rPr>
          <w:t>A2016-50</w:t>
        </w:r>
      </w:hyperlink>
      <w:r>
        <w:t xml:space="preserve"> s 31</w:t>
      </w:r>
    </w:p>
    <w:p w:rsidR="002D5F39" w:rsidRDefault="002D5F39" w:rsidP="002D5F39">
      <w:pPr>
        <w:pStyle w:val="AmdtsEntries"/>
        <w:keepNext/>
      </w:pPr>
      <w:r>
        <w:tab/>
        <w:t xml:space="preserve">def </w:t>
      </w:r>
      <w:r>
        <w:rPr>
          <w:rStyle w:val="charBoldItals"/>
        </w:rPr>
        <w:t>class</w:t>
      </w:r>
      <w:r>
        <w:t xml:space="preserve"> ins </w:t>
      </w:r>
      <w:hyperlink r:id="rId849" w:tooltip="Dangerous Substances (Loose-fill Asbestos Eradication) Legislation Amendment Act 2015" w:history="1">
        <w:r>
          <w:rPr>
            <w:rStyle w:val="charCitHyperlinkAbbrev"/>
          </w:rPr>
          <w:t>A2015</w:t>
        </w:r>
        <w:r>
          <w:rPr>
            <w:rStyle w:val="charCitHyperlinkAbbrev"/>
          </w:rPr>
          <w:noBreakHyphen/>
          <w:t>6</w:t>
        </w:r>
      </w:hyperlink>
      <w:r>
        <w:rPr>
          <w:rStyle w:val="charCitHyperlinkAbbrev"/>
        </w:rPr>
        <w:t xml:space="preserve"> </w:t>
      </w:r>
      <w:r w:rsidRPr="002D5F39">
        <w:t>amdt 1.18</w:t>
      </w:r>
    </w:p>
    <w:p w:rsidR="009D747D" w:rsidRDefault="009D747D" w:rsidP="002D5F39">
      <w:pPr>
        <w:pStyle w:val="AmdtsEntries"/>
        <w:keepNext/>
      </w:pPr>
      <w:r>
        <w:tab/>
      </w:r>
      <w:r w:rsidR="0010663A">
        <w:t xml:space="preserve">def </w:t>
      </w:r>
      <w:r w:rsidR="0010663A" w:rsidRPr="00582D10">
        <w:rPr>
          <w:rStyle w:val="charBoldItals"/>
        </w:rPr>
        <w:t>commercial guarantee</w:t>
      </w:r>
      <w:r w:rsidR="0010663A">
        <w:t xml:space="preserve"> </w:t>
      </w:r>
      <w:r>
        <w:t xml:space="preserve">ins </w:t>
      </w:r>
      <w:hyperlink r:id="rId850" w:tooltip="Residential Tenancies Amendment Act 2017" w:history="1">
        <w:r>
          <w:rPr>
            <w:rStyle w:val="charCitHyperlinkAbbrev"/>
          </w:rPr>
          <w:t>A2017</w:t>
        </w:r>
        <w:r>
          <w:rPr>
            <w:rStyle w:val="charCitHyperlinkAbbrev"/>
          </w:rPr>
          <w:noBreakHyphen/>
          <w:t>32</w:t>
        </w:r>
      </w:hyperlink>
      <w:r w:rsidR="0010663A">
        <w:t xml:space="preserve"> amdt 2.9</w:t>
      </w:r>
    </w:p>
    <w:p w:rsidR="00450C28" w:rsidRDefault="00450C28">
      <w:pPr>
        <w:pStyle w:val="AmdtsEntries"/>
        <w:keepNext/>
      </w:pPr>
      <w:r>
        <w:tab/>
        <w:t xml:space="preserve">def </w:t>
      </w:r>
      <w:r w:rsidRPr="009D74E7">
        <w:rPr>
          <w:rStyle w:val="charBoldItals"/>
        </w:rPr>
        <w:t>commissioner</w:t>
      </w:r>
      <w:r>
        <w:t xml:space="preserve"> reloc from s 3 </w:t>
      </w:r>
      <w:hyperlink r:id="rId85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D747D" w:rsidRDefault="009D747D" w:rsidP="009D747D">
      <w:pPr>
        <w:pStyle w:val="AmdtsEntriesDefL2"/>
      </w:pPr>
      <w:r>
        <w:tab/>
        <w:t xml:space="preserve">om </w:t>
      </w:r>
      <w:hyperlink r:id="rId852" w:tooltip="Residential Tenancies Amendment Act 2017" w:history="1">
        <w:r>
          <w:rPr>
            <w:rStyle w:val="charCitHyperlinkAbbrev"/>
          </w:rPr>
          <w:t>A2017</w:t>
        </w:r>
        <w:r>
          <w:rPr>
            <w:rStyle w:val="charCitHyperlinkAbbrev"/>
          </w:rPr>
          <w:noBreakHyphen/>
          <w:t>32</w:t>
        </w:r>
      </w:hyperlink>
      <w:r>
        <w:t xml:space="preserve"> amdt 2.</w:t>
      </w:r>
      <w:r w:rsidR="0010663A">
        <w:t>10</w:t>
      </w:r>
    </w:p>
    <w:p w:rsidR="00450C28" w:rsidRDefault="00450C28">
      <w:pPr>
        <w:pStyle w:val="AmdtsEntries"/>
        <w:keepNext/>
      </w:pPr>
      <w:r>
        <w:tab/>
        <w:t xml:space="preserve">def </w:t>
      </w:r>
      <w:r w:rsidRPr="009D74E7">
        <w:rPr>
          <w:rStyle w:val="charBoldItals"/>
        </w:rPr>
        <w:t xml:space="preserve">conditional termination and possession order </w:t>
      </w:r>
      <w:r>
        <w:t xml:space="preserve">ins </w:t>
      </w:r>
      <w:hyperlink r:id="rId853"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t xml:space="preserve"> amdt 1.56</w:t>
      </w:r>
    </w:p>
    <w:p w:rsidR="00BE0E96" w:rsidRDefault="00BE0E96" w:rsidP="00BE0E96">
      <w:pPr>
        <w:pStyle w:val="AmdtsEntriesDefL2"/>
      </w:pPr>
      <w:r>
        <w:tab/>
        <w:t xml:space="preserve">am </w:t>
      </w:r>
      <w:hyperlink r:id="rId854"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3.214</w:t>
      </w:r>
    </w:p>
    <w:p w:rsidR="00F70884" w:rsidRPr="00F70884" w:rsidRDefault="00F70884" w:rsidP="00BE0E96">
      <w:pPr>
        <w:pStyle w:val="AmdtsEntriesDefL2"/>
      </w:pPr>
      <w:r>
        <w:tab/>
        <w:t xml:space="preserve">om </w:t>
      </w:r>
      <w:hyperlink r:id="rId855" w:tooltip="Residential Tenancies Amendment Act 2018" w:history="1">
        <w:r>
          <w:rPr>
            <w:rStyle w:val="charCitHyperlinkAbbrev"/>
          </w:rPr>
          <w:t>A2018</w:t>
        </w:r>
        <w:r>
          <w:rPr>
            <w:rStyle w:val="charCitHyperlinkAbbrev"/>
          </w:rPr>
          <w:noBreakHyphen/>
          <w:t>20</w:t>
        </w:r>
      </w:hyperlink>
      <w:r>
        <w:t xml:space="preserve"> s 11</w:t>
      </w:r>
    </w:p>
    <w:p w:rsidR="00450C28" w:rsidRPr="009D74E7" w:rsidRDefault="00450C28">
      <w:pPr>
        <w:pStyle w:val="AmdtsEntries"/>
        <w:keepNext/>
      </w:pPr>
      <w:r>
        <w:tab/>
        <w:t xml:space="preserve">def </w:t>
      </w:r>
      <w:r>
        <w:rPr>
          <w:rStyle w:val="charBoldItals"/>
        </w:rPr>
        <w:t xml:space="preserve">crisis accommodation </w:t>
      </w:r>
      <w:r w:rsidRPr="009D74E7">
        <w:rPr>
          <w:rFonts w:cs="Arial"/>
        </w:rPr>
        <w:t xml:space="preserve">ins </w:t>
      </w:r>
      <w:hyperlink r:id="rId856"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DC708C" w:rsidRPr="00DC708C" w:rsidRDefault="00DC708C" w:rsidP="00DC708C">
      <w:pPr>
        <w:pStyle w:val="AmdtsEntries"/>
        <w:keepNext/>
      </w:pPr>
      <w:r>
        <w:tab/>
        <w:t xml:space="preserve">def </w:t>
      </w:r>
      <w:r w:rsidRPr="009D74E7">
        <w:rPr>
          <w:rStyle w:val="charBoldItals"/>
        </w:rPr>
        <w:t xml:space="preserve">database </w:t>
      </w:r>
      <w:r>
        <w:t xml:space="preserve">ins </w:t>
      </w:r>
      <w:hyperlink r:id="rId857"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DC708C" w:rsidRDefault="00DC708C" w:rsidP="00DC708C">
      <w:pPr>
        <w:pStyle w:val="AmdtsEntries"/>
        <w:keepNext/>
      </w:pPr>
      <w:r>
        <w:tab/>
        <w:t xml:space="preserve">def </w:t>
      </w:r>
      <w:r w:rsidRPr="009D74E7">
        <w:rPr>
          <w:rStyle w:val="charBoldItals"/>
        </w:rPr>
        <w:t xml:space="preserve">database operator </w:t>
      </w:r>
      <w:r>
        <w:t xml:space="preserve">ins </w:t>
      </w:r>
      <w:hyperlink r:id="rId85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3C606A" w:rsidRPr="00DC708C" w:rsidRDefault="003C606A" w:rsidP="00DC708C">
      <w:pPr>
        <w:pStyle w:val="AmdtsEntries"/>
        <w:keepNext/>
      </w:pPr>
      <w:r>
        <w:tab/>
        <w:t xml:space="preserve">def </w:t>
      </w:r>
      <w:r w:rsidRPr="00C13D82">
        <w:rPr>
          <w:rStyle w:val="charBoldItals"/>
        </w:rPr>
        <w:t>eligible impacted property</w:t>
      </w:r>
      <w:r>
        <w:t xml:space="preserve"> ins </w:t>
      </w:r>
      <w:hyperlink r:id="rId859" w:tooltip="Building (Loose-fill Asbestos Eradication) Legislation Amendment Act 2015" w:history="1">
        <w:r>
          <w:rPr>
            <w:rStyle w:val="charCitHyperlinkAbbrev"/>
          </w:rPr>
          <w:t>A2015</w:t>
        </w:r>
        <w:r>
          <w:rPr>
            <w:rStyle w:val="charCitHyperlinkAbbrev"/>
          </w:rPr>
          <w:noBreakHyphen/>
          <w:t>42</w:t>
        </w:r>
      </w:hyperlink>
      <w:r>
        <w:t xml:space="preserve"> s 55</w:t>
      </w:r>
    </w:p>
    <w:p w:rsidR="00450C28" w:rsidRDefault="00450C28">
      <w:pPr>
        <w:pStyle w:val="AmdtsEntries"/>
        <w:keepNext/>
      </w:pPr>
      <w:r>
        <w:tab/>
        <w:t xml:space="preserve">def </w:t>
      </w:r>
      <w:r w:rsidRPr="009D74E7">
        <w:rPr>
          <w:rStyle w:val="charBoldItals"/>
        </w:rPr>
        <w:t>energy efficiency rating</w:t>
      </w:r>
      <w:r>
        <w:t xml:space="preserve"> ins </w:t>
      </w:r>
      <w:hyperlink r:id="rId860"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s 4</w:t>
      </w:r>
    </w:p>
    <w:p w:rsidR="00450C28" w:rsidRDefault="00450C28">
      <w:pPr>
        <w:pStyle w:val="AmdtsEntriesDefL2"/>
      </w:pPr>
      <w:r>
        <w:tab/>
        <w:t xml:space="preserve">reloc from s 3 </w:t>
      </w:r>
      <w:hyperlink r:id="rId86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 xml:space="preserve">energy efficiency rating statement </w:t>
      </w:r>
      <w:r>
        <w:t xml:space="preserve">ins </w:t>
      </w:r>
      <w:hyperlink r:id="rId86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143664" w:rsidRDefault="00143664" w:rsidP="00143664">
      <w:pPr>
        <w:pStyle w:val="AmdtsEntriesDefL2"/>
      </w:pPr>
      <w:r>
        <w:tab/>
        <w:t xml:space="preserve">sub </w:t>
      </w:r>
      <w:hyperlink r:id="rId863"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r>
        <w:t xml:space="preserve"> s 39</w:t>
      </w:r>
    </w:p>
    <w:p w:rsidR="00450C28" w:rsidRPr="009D74E7" w:rsidRDefault="00450C28" w:rsidP="0061785C">
      <w:pPr>
        <w:pStyle w:val="AmdtsEntries"/>
        <w:keepNext/>
        <w:rPr>
          <w:rFonts w:cs="Arial"/>
        </w:rPr>
      </w:pPr>
      <w:r>
        <w:tab/>
        <w:t xml:space="preserve">def </w:t>
      </w:r>
      <w:r>
        <w:rPr>
          <w:rStyle w:val="charBoldItals"/>
        </w:rPr>
        <w:t>enforcement condition</w:t>
      </w:r>
      <w:r w:rsidRPr="009D74E7">
        <w:rPr>
          <w:rFonts w:cs="Arial"/>
        </w:rPr>
        <w:t xml:space="preserve"> ins </w:t>
      </w:r>
      <w:hyperlink r:id="rId86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450C28" w:rsidRPr="009D74E7" w:rsidRDefault="00450C28">
      <w:pPr>
        <w:pStyle w:val="AmdtsEntriesDefL2"/>
        <w:rPr>
          <w:rFonts w:cs="Arial"/>
        </w:rPr>
      </w:pPr>
      <w:r w:rsidRPr="009D74E7">
        <w:rPr>
          <w:rFonts w:cs="Arial"/>
        </w:rPr>
        <w:tab/>
        <w:t xml:space="preserve">om </w:t>
      </w:r>
      <w:hyperlink r:id="rId865"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r w:rsidRPr="009D74E7">
        <w:rPr>
          <w:rFonts w:cs="Arial"/>
        </w:rPr>
        <w:t xml:space="preserve"> amdt 1.57</w:t>
      </w:r>
    </w:p>
    <w:p w:rsidR="00450C28" w:rsidRPr="009D74E7" w:rsidRDefault="00450C28">
      <w:pPr>
        <w:pStyle w:val="AmdtsEntries"/>
      </w:pPr>
      <w:r>
        <w:tab/>
        <w:t xml:space="preserve">def </w:t>
      </w:r>
      <w:r w:rsidRPr="009D74E7">
        <w:rPr>
          <w:rStyle w:val="charBoldItals"/>
        </w:rPr>
        <w:t>fixed term agreement</w:t>
      </w:r>
      <w:r>
        <w:t xml:space="preserve"> reloc from s 3 </w:t>
      </w:r>
      <w:hyperlink r:id="rId86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pPr>
      <w:r>
        <w:tab/>
        <w:t xml:space="preserve">def </w:t>
      </w:r>
      <w:r w:rsidRPr="009D74E7">
        <w:rPr>
          <w:rStyle w:val="charBoldItals"/>
        </w:rPr>
        <w:t>former lessor</w:t>
      </w:r>
      <w:r>
        <w:t xml:space="preserve"> reloc from s 3 </w:t>
      </w:r>
      <w:hyperlink r:id="rId86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pPr>
        <w:pStyle w:val="AmdtsEntries"/>
      </w:pPr>
      <w:r>
        <w:tab/>
        <w:t xml:space="preserve">def </w:t>
      </w:r>
      <w:r w:rsidRPr="009D74E7">
        <w:rPr>
          <w:rStyle w:val="charBoldItals"/>
        </w:rPr>
        <w:t>former tenant</w:t>
      </w:r>
      <w:r>
        <w:t xml:space="preserve"> reloc from s 3 </w:t>
      </w:r>
      <w:hyperlink r:id="rId86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DB41CC" w:rsidRPr="009D74E7" w:rsidRDefault="00DB41CC" w:rsidP="0033005B">
      <w:pPr>
        <w:pStyle w:val="AmdtsEntries"/>
        <w:keepNext/>
      </w:pPr>
      <w:r>
        <w:tab/>
        <w:t xml:space="preserve">def </w:t>
      </w:r>
      <w:r w:rsidR="0033005B" w:rsidRPr="00E56DA5">
        <w:rPr>
          <w:rStyle w:val="charBoldItals"/>
        </w:rPr>
        <w:t>FV Act</w:t>
      </w:r>
      <w:r>
        <w:t xml:space="preserve"> ins </w:t>
      </w:r>
      <w:hyperlink r:id="rId869" w:tooltip="Residential Tenancies Legislation Amendment Act 2016" w:history="1">
        <w:r w:rsidRPr="008B6A1B">
          <w:rPr>
            <w:rStyle w:val="charCitHyperlinkAbbrev"/>
          </w:rPr>
          <w:t>A2016-50</w:t>
        </w:r>
      </w:hyperlink>
      <w:r>
        <w:t xml:space="preserve"> s 31</w:t>
      </w:r>
    </w:p>
    <w:p w:rsidR="00450C28" w:rsidRDefault="00450C28">
      <w:pPr>
        <w:pStyle w:val="AmdtsEntries"/>
      </w:pPr>
      <w:r>
        <w:tab/>
        <w:t xml:space="preserve">def </w:t>
      </w:r>
      <w:r w:rsidRPr="009D74E7">
        <w:rPr>
          <w:rStyle w:val="charBoldItals"/>
        </w:rPr>
        <w:t>grantor</w:t>
      </w:r>
      <w:r>
        <w:t xml:space="preserve"> ins </w:t>
      </w:r>
      <w:hyperlink r:id="rId87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inaccurate </w:t>
      </w:r>
      <w:r>
        <w:t xml:space="preserve">ins </w:t>
      </w:r>
      <w:hyperlink r:id="rId871"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Default="00450C28" w:rsidP="00403CF0">
      <w:pPr>
        <w:pStyle w:val="AmdtsEntries"/>
      </w:pPr>
      <w:r>
        <w:tab/>
        <w:t xml:space="preserve">def </w:t>
      </w:r>
      <w:r w:rsidRPr="009D74E7">
        <w:rPr>
          <w:rStyle w:val="charBoldItals"/>
        </w:rPr>
        <w:t>lessor</w:t>
      </w:r>
      <w:r>
        <w:t xml:space="preserve"> ins </w:t>
      </w:r>
      <w:hyperlink r:id="rId87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list </w:t>
      </w:r>
      <w:r>
        <w:t xml:space="preserve">ins </w:t>
      </w:r>
      <w:hyperlink r:id="rId873"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Pr="009D74E7" w:rsidRDefault="00450C28">
      <w:pPr>
        <w:pStyle w:val="AmdtsEntries"/>
        <w:keepNext/>
      </w:pPr>
      <w:r>
        <w:tab/>
        <w:t xml:space="preserve">def </w:t>
      </w:r>
      <w:r w:rsidRPr="009D74E7">
        <w:rPr>
          <w:rStyle w:val="charBoldItals"/>
        </w:rPr>
        <w:t>member of the tribunal</w:t>
      </w:r>
      <w:r>
        <w:t xml:space="preserve"> reloc from s 3 </w:t>
      </w:r>
      <w:hyperlink r:id="rId8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7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1.591</w:t>
      </w:r>
    </w:p>
    <w:p w:rsidR="006C78FA" w:rsidRDefault="006C78FA" w:rsidP="006C78FA">
      <w:pPr>
        <w:pStyle w:val="AmdtsEntries"/>
        <w:keepNext/>
      </w:pPr>
      <w:r>
        <w:tab/>
        <w:t xml:space="preserve">def </w:t>
      </w:r>
      <w:r w:rsidRPr="00604238">
        <w:rPr>
          <w:rStyle w:val="charBoldItals"/>
        </w:rPr>
        <w:t>minor modification</w:t>
      </w:r>
      <w:r>
        <w:rPr>
          <w:rStyle w:val="charBoldItals"/>
        </w:rPr>
        <w:t xml:space="preserve"> </w:t>
      </w:r>
      <w:r w:rsidRPr="009D74E7">
        <w:rPr>
          <w:rFonts w:cs="Arial"/>
        </w:rPr>
        <w:t>ins</w:t>
      </w:r>
      <w:r>
        <w:t xml:space="preserve"> </w:t>
      </w:r>
      <w:hyperlink r:id="rId876" w:tooltip="Residential Tenancies Amendment Act 2019" w:history="1">
        <w:r>
          <w:rPr>
            <w:rStyle w:val="charCitHyperlinkAbbrev"/>
          </w:rPr>
          <w:t>A2019-5</w:t>
        </w:r>
      </w:hyperlink>
      <w:r>
        <w:t xml:space="preserve"> s </w:t>
      </w:r>
      <w:r w:rsidR="00574DC4">
        <w:t>22</w:t>
      </w:r>
    </w:p>
    <w:p w:rsidR="00450C28" w:rsidRPr="009D74E7" w:rsidRDefault="00450C28" w:rsidP="00464DE6">
      <w:pPr>
        <w:pStyle w:val="AmdtsEntries"/>
        <w:keepNext/>
      </w:pPr>
      <w:r>
        <w:tab/>
        <w:t xml:space="preserve">def </w:t>
      </w:r>
      <w:r w:rsidRPr="009D74E7">
        <w:rPr>
          <w:rStyle w:val="charBoldItals"/>
        </w:rPr>
        <w:t>mobile home</w:t>
      </w:r>
      <w:r>
        <w:t xml:space="preserve"> reloc from s 3 </w:t>
      </w:r>
      <w:hyperlink r:id="rId87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rsidP="00403CF0">
      <w:pPr>
        <w:pStyle w:val="AmdtsEntries"/>
      </w:pPr>
      <w:r>
        <w:tab/>
        <w:t xml:space="preserve">def </w:t>
      </w:r>
      <w:r w:rsidRPr="009D74E7">
        <w:rPr>
          <w:rStyle w:val="charBoldItals"/>
        </w:rPr>
        <w:t>mobile home park</w:t>
      </w:r>
      <w:r>
        <w:t xml:space="preserve"> reloc from s 3 </w:t>
      </w:r>
      <w:hyperlink r:id="rId878"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Default="00450C28" w:rsidP="00403CF0">
      <w:pPr>
        <w:pStyle w:val="AmdtsEntries"/>
      </w:pPr>
      <w:r>
        <w:tab/>
        <w:t xml:space="preserve">def </w:t>
      </w:r>
      <w:r w:rsidRPr="009D74E7">
        <w:rPr>
          <w:rStyle w:val="charBoldItals"/>
        </w:rPr>
        <w:t>occupancy agreement</w:t>
      </w:r>
      <w:r>
        <w:t xml:space="preserve"> ins </w:t>
      </w:r>
      <w:hyperlink r:id="rId87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pPr>
        <w:pStyle w:val="AmdtsEntries"/>
        <w:keepNext/>
      </w:pPr>
      <w:r>
        <w:tab/>
        <w:t xml:space="preserve">def </w:t>
      </w:r>
      <w:r w:rsidRPr="009D74E7">
        <w:rPr>
          <w:rStyle w:val="charBoldItals"/>
        </w:rPr>
        <w:t>occupancy dispute</w:t>
      </w:r>
      <w:r>
        <w:t xml:space="preserve"> ins </w:t>
      </w:r>
      <w:hyperlink r:id="rId88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943372" w:rsidRDefault="00943372" w:rsidP="00943372">
      <w:pPr>
        <w:pStyle w:val="AmdtsEntries"/>
        <w:keepNext/>
        <w:tabs>
          <w:tab w:val="clear" w:pos="2700"/>
          <w:tab w:val="left" w:pos="2982"/>
        </w:tabs>
        <w:ind w:left="3053" w:hanging="1953"/>
      </w:pPr>
      <w:r>
        <w:tab/>
        <w:t xml:space="preserve">sub </w:t>
      </w:r>
      <w:hyperlink r:id="rId881"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1.592</w:t>
      </w:r>
    </w:p>
    <w:p w:rsidR="00BE0E96" w:rsidRDefault="00BE0E96" w:rsidP="00BE0E96">
      <w:pPr>
        <w:pStyle w:val="AmdtsEntriesDefL2"/>
      </w:pPr>
      <w:r>
        <w:tab/>
        <w:t xml:space="preserve">am </w:t>
      </w:r>
      <w:hyperlink r:id="rId882"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3.215</w:t>
      </w:r>
    </w:p>
    <w:p w:rsidR="00450C28" w:rsidRDefault="00450C28">
      <w:pPr>
        <w:pStyle w:val="AmdtsEntries"/>
        <w:keepNext/>
      </w:pPr>
      <w:r>
        <w:tab/>
        <w:t xml:space="preserve">def </w:t>
      </w:r>
      <w:r w:rsidRPr="009D74E7">
        <w:rPr>
          <w:rStyle w:val="charBoldItals"/>
        </w:rPr>
        <w:t>occupancy principles</w:t>
      </w:r>
      <w:r>
        <w:t xml:space="preserve"> ins </w:t>
      </w:r>
      <w:hyperlink r:id="rId88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rsidP="00403CF0">
      <w:pPr>
        <w:pStyle w:val="AmdtsEntries"/>
      </w:pPr>
      <w:r>
        <w:tab/>
        <w:t xml:space="preserve">def </w:t>
      </w:r>
      <w:r w:rsidRPr="009D74E7">
        <w:rPr>
          <w:rStyle w:val="charBoldItals"/>
        </w:rPr>
        <w:t>occupant</w:t>
      </w:r>
      <w:r>
        <w:t xml:space="preserve"> ins </w:t>
      </w:r>
      <w:hyperlink r:id="rId88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out of date </w:t>
      </w:r>
      <w:r>
        <w:t xml:space="preserve">ins </w:t>
      </w:r>
      <w:hyperlink r:id="rId88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7</w:t>
      </w:r>
    </w:p>
    <w:p w:rsidR="00450C28" w:rsidRPr="009D74E7" w:rsidRDefault="00450C28">
      <w:pPr>
        <w:pStyle w:val="AmdtsEntries"/>
        <w:keepNext/>
      </w:pPr>
      <w:r>
        <w:tab/>
        <w:t xml:space="preserve">def </w:t>
      </w:r>
      <w:r w:rsidRPr="009D74E7">
        <w:rPr>
          <w:rStyle w:val="charBoldItals"/>
        </w:rPr>
        <w:t>party</w:t>
      </w:r>
      <w:r>
        <w:t xml:space="preserve"> reloc from s 3 </w:t>
      </w:r>
      <w:hyperlink r:id="rId88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8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F70884" w:rsidRPr="00F70884" w:rsidRDefault="00F70884" w:rsidP="00F70884">
      <w:pPr>
        <w:pStyle w:val="AmdtsEntries"/>
        <w:keepNext/>
      </w:pPr>
      <w:r>
        <w:tab/>
        <w:t xml:space="preserve">def </w:t>
      </w:r>
      <w:r>
        <w:rPr>
          <w:rStyle w:val="charBoldItals"/>
        </w:rPr>
        <w:t>payment order</w:t>
      </w:r>
      <w:r>
        <w:t xml:space="preserve"> ins </w:t>
      </w:r>
      <w:hyperlink r:id="rId888" w:tooltip="Residential Tenancies Amendment Act 2018" w:history="1">
        <w:r>
          <w:rPr>
            <w:rStyle w:val="charCitHyperlinkAbbrev"/>
          </w:rPr>
          <w:t>A2018</w:t>
        </w:r>
        <w:r>
          <w:rPr>
            <w:rStyle w:val="charCitHyperlinkAbbrev"/>
          </w:rPr>
          <w:noBreakHyphen/>
          <w:t>20</w:t>
        </w:r>
      </w:hyperlink>
      <w:r>
        <w:t xml:space="preserve"> s 12</w:t>
      </w:r>
    </w:p>
    <w:p w:rsidR="00450C28" w:rsidRDefault="00450C28">
      <w:pPr>
        <w:pStyle w:val="AmdtsEntries"/>
        <w:keepNext/>
      </w:pPr>
      <w:r>
        <w:tab/>
        <w:t xml:space="preserve">def </w:t>
      </w:r>
      <w:r w:rsidRPr="009D74E7">
        <w:rPr>
          <w:rStyle w:val="charBoldItals"/>
        </w:rPr>
        <w:t>periodic agreement</w:t>
      </w:r>
      <w:r>
        <w:t xml:space="preserve"> reloc from s 3 </w:t>
      </w:r>
      <w:hyperlink r:id="rId88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E03C18" w:rsidRPr="009D74E7" w:rsidRDefault="00E03C18" w:rsidP="00E03C18">
      <w:pPr>
        <w:pStyle w:val="AmdtsEntriesDefL2"/>
      </w:pPr>
      <w:r>
        <w:tab/>
        <w:t xml:space="preserve">om </w:t>
      </w:r>
      <w:hyperlink r:id="rId890" w:tooltip="Statute Law Amendment Act 2017" w:history="1">
        <w:r w:rsidRPr="0038160B">
          <w:rPr>
            <w:rStyle w:val="charCitHyperlinkAbbrev"/>
          </w:rPr>
          <w:t>A2017</w:t>
        </w:r>
        <w:r w:rsidRPr="0038160B">
          <w:rPr>
            <w:rStyle w:val="charCitHyperlinkAbbrev"/>
          </w:rPr>
          <w:noBreakHyphen/>
          <w:t>4</w:t>
        </w:r>
      </w:hyperlink>
      <w:r>
        <w:t xml:space="preserve"> amdt 3.173</w:t>
      </w:r>
    </w:p>
    <w:p w:rsidR="00450C28" w:rsidRPr="009D74E7" w:rsidRDefault="00450C28" w:rsidP="00403CF0">
      <w:pPr>
        <w:pStyle w:val="AmdtsEntries"/>
        <w:rPr>
          <w:rFonts w:cs="Arial"/>
        </w:rPr>
      </w:pPr>
      <w:r>
        <w:lastRenderedPageBreak/>
        <w:tab/>
        <w:t xml:space="preserve">def </w:t>
      </w:r>
      <w:r>
        <w:rPr>
          <w:rStyle w:val="charBoldItals"/>
        </w:rPr>
        <w:t>personal information</w:t>
      </w:r>
      <w:r w:rsidRPr="009D74E7">
        <w:rPr>
          <w:rFonts w:cs="Arial"/>
        </w:rPr>
        <w:t xml:space="preserve"> ins </w:t>
      </w:r>
      <w:hyperlink r:id="rId891"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DC708C" w:rsidRPr="009D74E7" w:rsidRDefault="00DC708C" w:rsidP="00DC708C">
      <w:pPr>
        <w:pStyle w:val="AmdtsEntriesDefL2"/>
        <w:rPr>
          <w:rFonts w:cs="Arial"/>
        </w:rPr>
      </w:pPr>
      <w:r w:rsidRPr="009D74E7">
        <w:rPr>
          <w:rFonts w:cs="Arial"/>
        </w:rPr>
        <w:tab/>
        <w:t xml:space="preserve">sub </w:t>
      </w:r>
      <w:hyperlink r:id="rId892"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Pr="009D74E7">
        <w:rPr>
          <w:rFonts w:cs="Arial"/>
        </w:rPr>
        <w:t xml:space="preserve"> s 8</w:t>
      </w:r>
    </w:p>
    <w:p w:rsidR="00450C28" w:rsidRPr="009D74E7" w:rsidRDefault="00450C28">
      <w:pPr>
        <w:pStyle w:val="AmdtsEntries"/>
        <w:keepNext/>
      </w:pPr>
      <w:r>
        <w:tab/>
        <w:t xml:space="preserve">def </w:t>
      </w:r>
      <w:r w:rsidRPr="009D74E7">
        <w:rPr>
          <w:rStyle w:val="charBoldItals"/>
        </w:rPr>
        <w:t>preliminary conference</w:t>
      </w:r>
      <w:r>
        <w:t xml:space="preserve"> reloc from s 3 </w:t>
      </w:r>
      <w:hyperlink r:id="rId89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94"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450C28" w:rsidRPr="009D74E7" w:rsidRDefault="00450C28">
      <w:pPr>
        <w:pStyle w:val="AmdtsEntries"/>
        <w:keepNext/>
      </w:pPr>
      <w:r>
        <w:tab/>
        <w:t xml:space="preserve">def </w:t>
      </w:r>
      <w:r w:rsidRPr="009D74E7">
        <w:rPr>
          <w:rStyle w:val="charBoldItals"/>
        </w:rPr>
        <w:t>premises</w:t>
      </w:r>
      <w:r>
        <w:t xml:space="preserve"> reloc from s 3 </w:t>
      </w:r>
      <w:hyperlink r:id="rId895"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president</w:t>
      </w:r>
      <w:r>
        <w:t xml:space="preserve"> reloc from s 3 </w:t>
      </w:r>
      <w:hyperlink r:id="rId89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om </w:t>
      </w:r>
      <w:hyperlink r:id="rId897"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DB41CC" w:rsidRPr="009D74E7" w:rsidRDefault="00DB41CC" w:rsidP="00DB41CC">
      <w:pPr>
        <w:pStyle w:val="AmdtsEntries"/>
        <w:keepNext/>
      </w:pPr>
      <w:r>
        <w:tab/>
        <w:t xml:space="preserve">def </w:t>
      </w:r>
      <w:r w:rsidR="0033005B" w:rsidRPr="00E56DA5">
        <w:rPr>
          <w:rStyle w:val="charBoldItals"/>
        </w:rPr>
        <w:t>protected person</w:t>
      </w:r>
      <w:r>
        <w:t xml:space="preserve"> ins </w:t>
      </w:r>
      <w:hyperlink r:id="rId898" w:tooltip="Residential Tenancies Legislation Amendment Act 2016" w:history="1">
        <w:r w:rsidRPr="008B6A1B">
          <w:rPr>
            <w:rStyle w:val="charCitHyperlinkAbbrev"/>
          </w:rPr>
          <w:t>A2016-50</w:t>
        </w:r>
      </w:hyperlink>
      <w:r>
        <w:t xml:space="preserve"> s 31</w:t>
      </w:r>
    </w:p>
    <w:p w:rsidR="00DB41CC" w:rsidRPr="009D74E7" w:rsidRDefault="00DB41CC" w:rsidP="00DB41CC">
      <w:pPr>
        <w:pStyle w:val="AmdtsEntries"/>
        <w:keepNext/>
      </w:pPr>
      <w:r>
        <w:tab/>
        <w:t xml:space="preserve">def </w:t>
      </w:r>
      <w:r w:rsidR="0033005B" w:rsidRPr="00E56DA5">
        <w:rPr>
          <w:rStyle w:val="charBoldItals"/>
        </w:rPr>
        <w:t>protection order</w:t>
      </w:r>
      <w:r>
        <w:t xml:space="preserve"> ins </w:t>
      </w:r>
      <w:hyperlink r:id="rId899" w:tooltip="Residential Tenancies Legislation Amendment Act 2016" w:history="1">
        <w:r w:rsidRPr="008B6A1B">
          <w:rPr>
            <w:rStyle w:val="charCitHyperlinkAbbrev"/>
          </w:rPr>
          <w:t>A2016-50</w:t>
        </w:r>
      </w:hyperlink>
      <w:r>
        <w:t xml:space="preserve"> s 31</w:t>
      </w:r>
    </w:p>
    <w:p w:rsidR="00DB41CC" w:rsidRDefault="00DB41CC">
      <w:pPr>
        <w:pStyle w:val="AmdtsEntries"/>
        <w:keepNext/>
      </w:pPr>
      <w:r>
        <w:tab/>
        <w:t xml:space="preserve">def </w:t>
      </w:r>
      <w:r w:rsidR="0033005B" w:rsidRPr="00E56DA5">
        <w:rPr>
          <w:rStyle w:val="charBoldItals"/>
        </w:rPr>
        <w:t>PV Act</w:t>
      </w:r>
      <w:r>
        <w:t xml:space="preserve"> ins </w:t>
      </w:r>
      <w:hyperlink r:id="rId900" w:tooltip="Residential Tenancies Legislation Amendment Act 2016" w:history="1">
        <w:r w:rsidRPr="008B6A1B">
          <w:rPr>
            <w:rStyle w:val="charCitHyperlinkAbbrev"/>
          </w:rPr>
          <w:t>A2016-50</w:t>
        </w:r>
      </w:hyperlink>
      <w:r>
        <w:t xml:space="preserve"> s 31</w:t>
      </w:r>
    </w:p>
    <w:p w:rsidR="00450C28" w:rsidRPr="009D74E7" w:rsidRDefault="00450C28">
      <w:pPr>
        <w:pStyle w:val="AmdtsEntries"/>
        <w:keepNext/>
      </w:pPr>
      <w:r>
        <w:tab/>
        <w:t xml:space="preserve">def </w:t>
      </w:r>
      <w:r w:rsidRPr="009D74E7">
        <w:rPr>
          <w:rStyle w:val="charBoldItals"/>
        </w:rPr>
        <w:t>referee</w:t>
      </w:r>
      <w:r>
        <w:t xml:space="preserve"> reloc from s 3 </w:t>
      </w:r>
      <w:hyperlink r:id="rId901"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DE5B91">
      <w:pPr>
        <w:pStyle w:val="AmdtsEntries"/>
        <w:tabs>
          <w:tab w:val="clear" w:pos="2700"/>
          <w:tab w:val="left" w:pos="2982"/>
        </w:tabs>
        <w:ind w:left="3053" w:hanging="1953"/>
      </w:pPr>
      <w:r>
        <w:tab/>
        <w:t xml:space="preserve">om </w:t>
      </w:r>
      <w:hyperlink r:id="rId902"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1.593</w:t>
      </w:r>
    </w:p>
    <w:p w:rsidR="00450C28" w:rsidRDefault="00450C28">
      <w:pPr>
        <w:pStyle w:val="AmdtsEntries"/>
        <w:keepNext/>
      </w:pPr>
      <w:r>
        <w:tab/>
        <w:t xml:space="preserve">def </w:t>
      </w:r>
      <w:r w:rsidRPr="009D74E7">
        <w:rPr>
          <w:rStyle w:val="charBoldItals"/>
        </w:rPr>
        <w:t>registrar</w:t>
      </w:r>
      <w:r>
        <w:t xml:space="preserve"> sub </w:t>
      </w:r>
      <w:hyperlink r:id="rId903" w:tooltip="Law Reform (Miscellaneous Provisions) Act 1999" w:history="1">
        <w:r w:rsidR="009D74E7" w:rsidRPr="009D74E7">
          <w:rPr>
            <w:rStyle w:val="charCitHyperlinkAbbrev"/>
          </w:rPr>
          <w:t>A1999</w:t>
        </w:r>
        <w:r w:rsidR="009D74E7" w:rsidRPr="009D74E7">
          <w:rPr>
            <w:rStyle w:val="charCitHyperlinkAbbrev"/>
          </w:rPr>
          <w:noBreakHyphen/>
          <w:t>66</w:t>
        </w:r>
      </w:hyperlink>
      <w:r>
        <w:t xml:space="preserve"> sch 3</w:t>
      </w:r>
    </w:p>
    <w:p w:rsidR="00450C28" w:rsidRDefault="00450C28" w:rsidP="00DE5B91">
      <w:pPr>
        <w:pStyle w:val="AmdtsEntriesDefL2"/>
        <w:keepNext/>
      </w:pPr>
      <w:r>
        <w:tab/>
        <w:t xml:space="preserve">reloc from s 3 </w:t>
      </w:r>
      <w:hyperlink r:id="rId90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sub </w:t>
      </w:r>
      <w:hyperlink r:id="rId90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DC708C" w:rsidRPr="00DC708C" w:rsidRDefault="00DC708C" w:rsidP="00DC708C">
      <w:pPr>
        <w:pStyle w:val="AmdtsEntries"/>
        <w:keepNext/>
      </w:pPr>
      <w:r>
        <w:tab/>
        <w:t xml:space="preserve">def </w:t>
      </w:r>
      <w:r w:rsidRPr="009D74E7">
        <w:rPr>
          <w:rStyle w:val="charBoldItals"/>
        </w:rPr>
        <w:t xml:space="preserve">rental bond </w:t>
      </w:r>
      <w:r w:rsidR="00244257">
        <w:t xml:space="preserve">ins </w:t>
      </w:r>
      <w:hyperlink r:id="rId90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rsidR="00450C28" w:rsidRDefault="00450C28" w:rsidP="00403CF0">
      <w:pPr>
        <w:pStyle w:val="AmdtsEntries"/>
      </w:pPr>
      <w:r>
        <w:tab/>
        <w:t xml:space="preserve">def </w:t>
      </w:r>
      <w:r w:rsidRPr="009D74E7">
        <w:rPr>
          <w:rStyle w:val="charBoldItals"/>
        </w:rPr>
        <w:t>residential tenancy agreement</w:t>
      </w:r>
      <w:r>
        <w:t xml:space="preserve"> ins </w:t>
      </w:r>
      <w:hyperlink r:id="rId90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DC708C" w:rsidRPr="00DC708C" w:rsidRDefault="00DC708C" w:rsidP="00DC708C">
      <w:pPr>
        <w:pStyle w:val="AmdtsEntries"/>
        <w:keepNext/>
      </w:pPr>
      <w:r>
        <w:tab/>
        <w:t xml:space="preserve">def </w:t>
      </w:r>
      <w:r w:rsidRPr="009D74E7">
        <w:rPr>
          <w:rStyle w:val="charBoldItals"/>
        </w:rPr>
        <w:t xml:space="preserve">residential tenancy database </w:t>
      </w:r>
      <w:r w:rsidR="00244257">
        <w:t xml:space="preserve">ins </w:t>
      </w:r>
      <w:hyperlink r:id="rId908"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rsidR="00244257">
        <w:t xml:space="preserve"> s 9</w:t>
      </w:r>
    </w:p>
    <w:p w:rsidR="0033005B" w:rsidRDefault="0033005B" w:rsidP="0033005B">
      <w:pPr>
        <w:pStyle w:val="AmdtsEntries"/>
        <w:keepNext/>
      </w:pPr>
      <w:r>
        <w:tab/>
        <w:t xml:space="preserve">def </w:t>
      </w:r>
      <w:r w:rsidRPr="00E56DA5">
        <w:rPr>
          <w:rStyle w:val="charBoldItals"/>
        </w:rPr>
        <w:t>respondent</w:t>
      </w:r>
      <w:r>
        <w:t xml:space="preserve"> ins </w:t>
      </w:r>
      <w:hyperlink r:id="rId909" w:tooltip="Residential Tenancies Legislation Amendment Act 2016" w:history="1">
        <w:r w:rsidRPr="008B6A1B">
          <w:rPr>
            <w:rStyle w:val="charCitHyperlinkAbbrev"/>
          </w:rPr>
          <w:t>A2016-50</w:t>
        </w:r>
      </w:hyperlink>
      <w:r>
        <w:t xml:space="preserve"> s 31</w:t>
      </w:r>
    </w:p>
    <w:p w:rsidR="00574DC4" w:rsidRDefault="00574DC4" w:rsidP="0033005B">
      <w:pPr>
        <w:pStyle w:val="AmdtsEntries"/>
        <w:keepNext/>
      </w:pPr>
      <w:r>
        <w:tab/>
        <w:t xml:space="preserve">def </w:t>
      </w:r>
      <w:r w:rsidRPr="00604238">
        <w:rPr>
          <w:rStyle w:val="charBoldItals"/>
        </w:rPr>
        <w:t>special modification</w:t>
      </w:r>
      <w:r>
        <w:rPr>
          <w:rStyle w:val="charBoldItals"/>
        </w:rPr>
        <w:t xml:space="preserve"> </w:t>
      </w:r>
      <w:r w:rsidRPr="009D74E7">
        <w:rPr>
          <w:rFonts w:cs="Arial"/>
        </w:rPr>
        <w:t>ins</w:t>
      </w:r>
      <w:r>
        <w:t xml:space="preserve"> </w:t>
      </w:r>
      <w:hyperlink r:id="rId910" w:tooltip="Residential Tenancies Amendment Act 2019" w:history="1">
        <w:r>
          <w:rPr>
            <w:rStyle w:val="charCitHyperlinkAbbrev"/>
          </w:rPr>
          <w:t>A2019-5</w:t>
        </w:r>
      </w:hyperlink>
      <w:r>
        <w:t xml:space="preserve"> s 22</w:t>
      </w:r>
    </w:p>
    <w:p w:rsidR="009D747D" w:rsidRDefault="009D747D" w:rsidP="0033005B">
      <w:pPr>
        <w:pStyle w:val="AmdtsEntries"/>
        <w:keepNext/>
      </w:pPr>
      <w:r>
        <w:tab/>
      </w:r>
      <w:r w:rsidR="0010663A">
        <w:t xml:space="preserve">def </w:t>
      </w:r>
      <w:r w:rsidR="0010663A" w:rsidRPr="00582D10">
        <w:rPr>
          <w:rStyle w:val="charBoldItals"/>
        </w:rPr>
        <w:t>standard guarantee</w:t>
      </w:r>
      <w:r w:rsidR="0010663A" w:rsidRPr="00582D10">
        <w:t xml:space="preserve"> </w:t>
      </w:r>
      <w:r w:rsidR="0010663A" w:rsidRPr="00582D10">
        <w:rPr>
          <w:rStyle w:val="charBoldItals"/>
        </w:rPr>
        <w:t>contract</w:t>
      </w:r>
      <w:r w:rsidR="0010663A">
        <w:t xml:space="preserve"> </w:t>
      </w:r>
      <w:r>
        <w:t xml:space="preserve">ins </w:t>
      </w:r>
      <w:hyperlink r:id="rId911" w:tooltip="Residential Tenancies Amendment Act 2017" w:history="1">
        <w:r>
          <w:rPr>
            <w:rStyle w:val="charCitHyperlinkAbbrev"/>
          </w:rPr>
          <w:t>A2017</w:t>
        </w:r>
        <w:r>
          <w:rPr>
            <w:rStyle w:val="charCitHyperlinkAbbrev"/>
          </w:rPr>
          <w:noBreakHyphen/>
          <w:t>32</w:t>
        </w:r>
      </w:hyperlink>
      <w:r>
        <w:t xml:space="preserve"> amdt 2.</w:t>
      </w:r>
      <w:r w:rsidR="0010663A">
        <w:t>11</w:t>
      </w:r>
    </w:p>
    <w:p w:rsidR="00450C28" w:rsidRDefault="00450C28" w:rsidP="00403CF0">
      <w:pPr>
        <w:pStyle w:val="AmdtsEntries"/>
      </w:pPr>
      <w:r>
        <w:tab/>
        <w:t xml:space="preserve">def </w:t>
      </w:r>
      <w:r w:rsidRPr="009D74E7">
        <w:rPr>
          <w:rStyle w:val="charBoldItals"/>
        </w:rPr>
        <w:t>standard occupancy terms</w:t>
      </w:r>
      <w:r>
        <w:t xml:space="preserve"> ins </w:t>
      </w:r>
      <w:hyperlink r:id="rId912"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rsidP="00403CF0">
      <w:pPr>
        <w:pStyle w:val="AmdtsEntries"/>
      </w:pPr>
      <w:r>
        <w:tab/>
        <w:t xml:space="preserve">def </w:t>
      </w:r>
      <w:r w:rsidRPr="009D74E7">
        <w:rPr>
          <w:rStyle w:val="charBoldItals"/>
        </w:rPr>
        <w:t>standard residential tenancy terms</w:t>
      </w:r>
      <w:r>
        <w:t xml:space="preserve"> ins </w:t>
      </w:r>
      <w:hyperlink r:id="rId91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Pr="009D74E7" w:rsidRDefault="00450C28" w:rsidP="00403CF0">
      <w:pPr>
        <w:pStyle w:val="AmdtsEntries"/>
      </w:pPr>
      <w:r>
        <w:tab/>
        <w:t xml:space="preserve">def </w:t>
      </w:r>
      <w:r>
        <w:rPr>
          <w:rStyle w:val="charBoldItals"/>
        </w:rPr>
        <w:t>tenancy database</w:t>
      </w:r>
      <w:r w:rsidRPr="009D74E7">
        <w:rPr>
          <w:rFonts w:cs="Arial"/>
        </w:rPr>
        <w:t xml:space="preserve"> ins </w:t>
      </w:r>
      <w:hyperlink r:id="rId914" w:tooltip="Residential Tenancies Amendment Act 2005" w:history="1">
        <w:r w:rsidR="009D74E7" w:rsidRPr="009D74E7">
          <w:rPr>
            <w:rStyle w:val="charCitHyperlinkAbbrev"/>
          </w:rPr>
          <w:t>A2005</w:t>
        </w:r>
        <w:r w:rsidR="009D74E7" w:rsidRPr="009D74E7">
          <w:rPr>
            <w:rStyle w:val="charCitHyperlinkAbbrev"/>
          </w:rPr>
          <w:noBreakHyphen/>
          <w:t>39</w:t>
        </w:r>
      </w:hyperlink>
      <w:r w:rsidRPr="009D74E7">
        <w:rPr>
          <w:rFonts w:cs="Arial"/>
        </w:rPr>
        <w:t xml:space="preserve"> s 27</w:t>
      </w:r>
    </w:p>
    <w:p w:rsidR="00BE0E96" w:rsidRDefault="00BE0E96" w:rsidP="00BE0E96">
      <w:pPr>
        <w:pStyle w:val="AmdtsEntriesDefL2"/>
      </w:pPr>
      <w:r>
        <w:tab/>
        <w:t xml:space="preserve">sub </w:t>
      </w:r>
      <w:hyperlink r:id="rId915" w:tooltip="Statute Law Amendment Act 2011 (No 2)" w:history="1">
        <w:r w:rsidR="009D74E7" w:rsidRPr="009D74E7">
          <w:rPr>
            <w:rStyle w:val="charCitHyperlinkAbbrev"/>
          </w:rPr>
          <w:t>A2011</w:t>
        </w:r>
        <w:r w:rsidR="009D74E7" w:rsidRPr="009D74E7">
          <w:rPr>
            <w:rStyle w:val="charCitHyperlinkAbbrev"/>
          </w:rPr>
          <w:noBreakHyphen/>
          <w:t>28</w:t>
        </w:r>
      </w:hyperlink>
      <w:r>
        <w:t xml:space="preserve"> amdt 3.216</w:t>
      </w:r>
    </w:p>
    <w:p w:rsidR="00244257" w:rsidRDefault="00244257" w:rsidP="00BE0E96">
      <w:pPr>
        <w:pStyle w:val="AmdtsEntriesDefL2"/>
      </w:pPr>
      <w:r>
        <w:tab/>
        <w:t xml:space="preserve">om </w:t>
      </w:r>
      <w:hyperlink r:id="rId916"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r>
        <w:t xml:space="preserve"> s 10</w:t>
      </w:r>
    </w:p>
    <w:p w:rsidR="00450C28" w:rsidRDefault="00450C28">
      <w:pPr>
        <w:pStyle w:val="AmdtsEntries"/>
        <w:keepNext/>
      </w:pPr>
      <w:r>
        <w:tab/>
        <w:t xml:space="preserve">def </w:t>
      </w:r>
      <w:r w:rsidRPr="009D74E7">
        <w:rPr>
          <w:rStyle w:val="charBoldItals"/>
        </w:rPr>
        <w:t>tenancy dispute</w:t>
      </w:r>
      <w:r>
        <w:t xml:space="preserve"> ins </w:t>
      </w:r>
      <w:hyperlink r:id="rId917"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943372" w:rsidRDefault="00943372" w:rsidP="00943372">
      <w:pPr>
        <w:pStyle w:val="AmdtsEntries"/>
        <w:keepNext/>
        <w:tabs>
          <w:tab w:val="clear" w:pos="2700"/>
          <w:tab w:val="left" w:pos="2982"/>
        </w:tabs>
        <w:ind w:left="3053" w:hanging="1953"/>
      </w:pPr>
      <w:r>
        <w:tab/>
        <w:t xml:space="preserve">sub </w:t>
      </w:r>
      <w:hyperlink r:id="rId918"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450C28" w:rsidRPr="009D74E7" w:rsidRDefault="00450C28">
      <w:pPr>
        <w:pStyle w:val="AmdtsEntries"/>
        <w:keepNext/>
      </w:pPr>
      <w:r>
        <w:tab/>
        <w:t xml:space="preserve">def </w:t>
      </w:r>
      <w:r w:rsidRPr="009D74E7">
        <w:rPr>
          <w:rStyle w:val="charBoldItals"/>
        </w:rPr>
        <w:t>tenant</w:t>
      </w:r>
      <w:r>
        <w:t xml:space="preserve"> ins </w:t>
      </w:r>
      <w:hyperlink r:id="rId919"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42</w:t>
      </w:r>
    </w:p>
    <w:p w:rsidR="00450C28" w:rsidRDefault="00450C28">
      <w:pPr>
        <w:pStyle w:val="AmdtsEntries"/>
        <w:keepNext/>
      </w:pPr>
      <w:r>
        <w:tab/>
        <w:t xml:space="preserve">def </w:t>
      </w:r>
      <w:r w:rsidRPr="009D74E7">
        <w:rPr>
          <w:rStyle w:val="charBoldItals"/>
        </w:rPr>
        <w:t>termination and possession order</w:t>
      </w:r>
      <w:r>
        <w:t xml:space="preserve"> reloc from s 3</w:t>
      </w:r>
      <w:r w:rsidR="00BE0E96">
        <w:t xml:space="preserve"> </w:t>
      </w:r>
      <w:hyperlink r:id="rId920"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574DC4" w:rsidRPr="009D74E7" w:rsidRDefault="00574DC4" w:rsidP="00574DC4">
      <w:pPr>
        <w:pStyle w:val="AmdtsEntriesDefL2"/>
      </w:pPr>
      <w:r>
        <w:tab/>
        <w:t xml:space="preserve">am </w:t>
      </w:r>
      <w:hyperlink r:id="rId921" w:tooltip="Residential Tenancies Amendment Act 2019" w:history="1">
        <w:r>
          <w:rPr>
            <w:rStyle w:val="charCitHyperlinkAbbrev"/>
          </w:rPr>
          <w:t>A2019-5</w:t>
        </w:r>
      </w:hyperlink>
      <w:r>
        <w:t xml:space="preserve"> s 23</w:t>
      </w:r>
    </w:p>
    <w:p w:rsidR="00450C28" w:rsidRDefault="00450C28">
      <w:pPr>
        <w:pStyle w:val="AmdtsEntries"/>
        <w:keepNext/>
      </w:pPr>
      <w:r>
        <w:tab/>
        <w:t xml:space="preserve">def </w:t>
      </w:r>
      <w:r w:rsidRPr="009D74E7">
        <w:rPr>
          <w:rStyle w:val="charBoldItals"/>
        </w:rPr>
        <w:t>termination notice</w:t>
      </w:r>
      <w:r>
        <w:t xml:space="preserve"> am </w:t>
      </w:r>
      <w:hyperlink r:id="rId922" w:tooltip="Legislation (Consequential Amendments) Act 2001" w:history="1">
        <w:r w:rsidR="009D74E7" w:rsidRPr="009D74E7">
          <w:rPr>
            <w:rStyle w:val="charCitHyperlinkAbbrev"/>
          </w:rPr>
          <w:t>A2001</w:t>
        </w:r>
        <w:r w:rsidR="009D74E7" w:rsidRPr="009D74E7">
          <w:rPr>
            <w:rStyle w:val="charCitHyperlinkAbbrev"/>
          </w:rPr>
          <w:noBreakHyphen/>
          <w:t>44</w:t>
        </w:r>
      </w:hyperlink>
      <w:r>
        <w:t xml:space="preserve"> s 1.3632</w:t>
      </w:r>
    </w:p>
    <w:p w:rsidR="00450C28" w:rsidRDefault="00450C28">
      <w:pPr>
        <w:pStyle w:val="AmdtsEntriesDefL2"/>
      </w:pPr>
      <w:r>
        <w:tab/>
        <w:t xml:space="preserve">reloc from s 3 </w:t>
      </w:r>
      <w:hyperlink r:id="rId923"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450C28" w:rsidRPr="009D74E7" w:rsidRDefault="00450C28">
      <w:pPr>
        <w:pStyle w:val="AmdtsEntries"/>
        <w:keepNext/>
      </w:pPr>
      <w:r>
        <w:tab/>
        <w:t xml:space="preserve">def </w:t>
      </w:r>
      <w:r w:rsidRPr="009D74E7">
        <w:rPr>
          <w:rStyle w:val="charBoldItals"/>
        </w:rPr>
        <w:t>tribunal</w:t>
      </w:r>
      <w:r>
        <w:t xml:space="preserve"> reloc from s 3 </w:t>
      </w:r>
      <w:hyperlink r:id="rId92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943372" w:rsidRDefault="00943372" w:rsidP="00943372">
      <w:pPr>
        <w:pStyle w:val="AmdtsEntries"/>
        <w:keepNext/>
        <w:tabs>
          <w:tab w:val="clear" w:pos="2700"/>
          <w:tab w:val="left" w:pos="2982"/>
        </w:tabs>
        <w:ind w:left="3053" w:hanging="1953"/>
      </w:pPr>
      <w:r>
        <w:tab/>
        <w:t xml:space="preserve">sub </w:t>
      </w:r>
      <w:hyperlink r:id="rId925"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amdt 1.594</w:t>
      </w:r>
    </w:p>
    <w:p w:rsidR="00450C28" w:rsidRDefault="00450C28">
      <w:pPr>
        <w:pStyle w:val="AmdtsEntries"/>
      </w:pPr>
      <w:r>
        <w:tab/>
        <w:t xml:space="preserve">def </w:t>
      </w:r>
      <w:r w:rsidRPr="009D74E7">
        <w:rPr>
          <w:rStyle w:val="charBoldItals"/>
        </w:rPr>
        <w:t>trust account</w:t>
      </w:r>
      <w:r>
        <w:t xml:space="preserve"> reloc from s 3 </w:t>
      </w:r>
      <w:hyperlink r:id="rId926"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s 6</w:t>
      </w:r>
    </w:p>
    <w:p w:rsidR="00EE3191" w:rsidRDefault="00EE3191" w:rsidP="00EE3191">
      <w:pPr>
        <w:pStyle w:val="AmdtsEntriesDefL2"/>
      </w:pPr>
      <w:r>
        <w:tab/>
        <w:t xml:space="preserve">am </w:t>
      </w:r>
      <w:hyperlink r:id="rId927"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r>
        <w:t xml:space="preserve"> amdt </w:t>
      </w:r>
      <w:r w:rsidR="008C5FA2">
        <w:t>1.385</w:t>
      </w:r>
    </w:p>
    <w:p w:rsidR="00C7278A" w:rsidRDefault="00C7278A" w:rsidP="00C7278A">
      <w:pPr>
        <w:pStyle w:val="PageBreak"/>
      </w:pPr>
      <w:r>
        <w:br w:type="page"/>
      </w:r>
    </w:p>
    <w:p w:rsidR="00450C28" w:rsidRPr="001403E0" w:rsidRDefault="00450C28" w:rsidP="00C7278A">
      <w:pPr>
        <w:pStyle w:val="Endnote2"/>
      </w:pPr>
      <w:bookmarkStart w:id="213" w:name="_Toc23418020"/>
      <w:r w:rsidRPr="001403E0">
        <w:rPr>
          <w:rStyle w:val="charTableNo"/>
        </w:rPr>
        <w:lastRenderedPageBreak/>
        <w:t>5</w:t>
      </w:r>
      <w:r>
        <w:tab/>
      </w:r>
      <w:r w:rsidRPr="001403E0">
        <w:rPr>
          <w:rStyle w:val="charTableText"/>
        </w:rPr>
        <w:t>Earlier republications</w:t>
      </w:r>
      <w:bookmarkEnd w:id="213"/>
    </w:p>
    <w:p w:rsidR="00450C28" w:rsidRDefault="00450C28">
      <w:pPr>
        <w:pStyle w:val="EndNoteTextPub"/>
      </w:pPr>
      <w:r>
        <w:t xml:space="preserve">Some earlier republications were not numbered. The number in column 1 refers to the publication order.  </w:t>
      </w:r>
    </w:p>
    <w:p w:rsidR="00450C28" w:rsidRDefault="00450C28">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450C28" w:rsidRDefault="00450C28">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450C28">
        <w:trPr>
          <w:tblHeader/>
        </w:trPr>
        <w:tc>
          <w:tcPr>
            <w:tcW w:w="1576" w:type="dxa"/>
            <w:tcBorders>
              <w:bottom w:val="single" w:sz="4" w:space="0" w:color="auto"/>
            </w:tcBorders>
          </w:tcPr>
          <w:p w:rsidR="00450C28" w:rsidRDefault="00450C28">
            <w:pPr>
              <w:pStyle w:val="EarlierRepubHdg"/>
            </w:pPr>
            <w:r>
              <w:t>Republication No and date</w:t>
            </w:r>
          </w:p>
        </w:tc>
        <w:tc>
          <w:tcPr>
            <w:tcW w:w="1681" w:type="dxa"/>
            <w:tcBorders>
              <w:bottom w:val="single" w:sz="4" w:space="0" w:color="auto"/>
            </w:tcBorders>
          </w:tcPr>
          <w:p w:rsidR="00450C28" w:rsidRDefault="00450C28">
            <w:pPr>
              <w:pStyle w:val="EarlierRepubHdg"/>
            </w:pPr>
            <w:r>
              <w:t>Effective</w:t>
            </w:r>
          </w:p>
        </w:tc>
        <w:tc>
          <w:tcPr>
            <w:tcW w:w="1783" w:type="dxa"/>
            <w:tcBorders>
              <w:bottom w:val="single" w:sz="4" w:space="0" w:color="auto"/>
            </w:tcBorders>
          </w:tcPr>
          <w:p w:rsidR="00450C28" w:rsidRDefault="00450C28">
            <w:pPr>
              <w:pStyle w:val="EarlierRepubHdg"/>
            </w:pPr>
            <w:r>
              <w:t>Last amendment made by</w:t>
            </w:r>
          </w:p>
        </w:tc>
        <w:tc>
          <w:tcPr>
            <w:tcW w:w="1783" w:type="dxa"/>
            <w:tcBorders>
              <w:bottom w:val="single" w:sz="4" w:space="0" w:color="auto"/>
            </w:tcBorders>
          </w:tcPr>
          <w:p w:rsidR="00450C28" w:rsidRDefault="00450C28">
            <w:pPr>
              <w:pStyle w:val="EarlierRepubHdg"/>
            </w:pPr>
            <w:r>
              <w:t>Republication for</w:t>
            </w:r>
          </w:p>
        </w:tc>
      </w:tr>
      <w:tr w:rsidR="00450C28">
        <w:tc>
          <w:tcPr>
            <w:tcW w:w="1576" w:type="dxa"/>
            <w:tcBorders>
              <w:top w:val="single" w:sz="4" w:space="0" w:color="auto"/>
              <w:bottom w:val="single" w:sz="4" w:space="0" w:color="auto"/>
            </w:tcBorders>
          </w:tcPr>
          <w:p w:rsidR="00450C28" w:rsidRDefault="00450C28">
            <w:pPr>
              <w:pStyle w:val="EarlierRepubEntries"/>
            </w:pPr>
            <w:r>
              <w:t>R0A</w:t>
            </w:r>
            <w:r>
              <w:br/>
              <w:t>14 Feb 2008</w:t>
            </w:r>
          </w:p>
        </w:tc>
        <w:tc>
          <w:tcPr>
            <w:tcW w:w="1681" w:type="dxa"/>
            <w:tcBorders>
              <w:top w:val="single" w:sz="4" w:space="0" w:color="auto"/>
              <w:bottom w:val="single" w:sz="4" w:space="0" w:color="auto"/>
            </w:tcBorders>
          </w:tcPr>
          <w:p w:rsidR="00450C28" w:rsidRDefault="00450C28">
            <w:pPr>
              <w:pStyle w:val="EarlierRepubEntries"/>
            </w:pPr>
            <w:r>
              <w:t>31 Mar 1999–</w:t>
            </w:r>
            <w:r>
              <w:br/>
              <w:t>31 Aug 1999</w:t>
            </w:r>
          </w:p>
        </w:tc>
        <w:tc>
          <w:tcPr>
            <w:tcW w:w="1783" w:type="dxa"/>
            <w:tcBorders>
              <w:top w:val="single" w:sz="4" w:space="0" w:color="auto"/>
              <w:bottom w:val="single" w:sz="4" w:space="0" w:color="auto"/>
            </w:tcBorders>
          </w:tcPr>
          <w:p w:rsidR="00450C28" w:rsidRDefault="007C2037">
            <w:pPr>
              <w:pStyle w:val="EarlierRepubEntries"/>
            </w:pPr>
            <w:hyperlink r:id="rId928" w:tooltip="Residential Tenancies (Amendment) Act 1998" w:history="1">
              <w:r w:rsidR="009D74E7" w:rsidRPr="009D74E7">
                <w:rPr>
                  <w:rStyle w:val="charCitHyperlinkAbbrev"/>
                </w:rPr>
                <w:t>A1998</w:t>
              </w:r>
              <w:r w:rsidR="009D74E7" w:rsidRPr="009D74E7">
                <w:rPr>
                  <w:rStyle w:val="charCitHyperlinkAbbrev"/>
                </w:rPr>
                <w:noBreakHyphen/>
                <w:t>5</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29" w:tooltip="Legal Practitioners (Consequential Amendments) Act 1997" w:history="1">
              <w:r w:rsidR="009D74E7" w:rsidRPr="009D74E7">
                <w:rPr>
                  <w:rStyle w:val="charCitHyperlinkAbbrev"/>
                </w:rPr>
                <w:t>A1997</w:t>
              </w:r>
              <w:r w:rsidR="009D74E7" w:rsidRPr="009D74E7">
                <w:rPr>
                  <w:rStyle w:val="charCitHyperlinkAbbrev"/>
                </w:rPr>
                <w:noBreakHyphen/>
                <w:t>96</w:t>
              </w:r>
            </w:hyperlink>
            <w:r>
              <w:t xml:space="preserve">, </w:t>
            </w:r>
            <w:hyperlink r:id="rId930" w:tooltip="Residential Tenancies (Amendment) Act 1997" w:history="1">
              <w:r w:rsidR="009D74E7" w:rsidRPr="009D74E7">
                <w:rPr>
                  <w:rStyle w:val="charCitHyperlinkAbbrev"/>
                </w:rPr>
                <w:t>A1997</w:t>
              </w:r>
              <w:r w:rsidR="009D74E7" w:rsidRPr="009D74E7">
                <w:rPr>
                  <w:rStyle w:val="charCitHyperlinkAbbrev"/>
                </w:rPr>
                <w:noBreakHyphen/>
                <w:t>122</w:t>
              </w:r>
            </w:hyperlink>
            <w:r>
              <w:t xml:space="preserve"> and </w:t>
            </w:r>
            <w:hyperlink r:id="rId931" w:tooltip="Residential Tenancies (Amendment) Act 1998" w:history="1">
              <w:r w:rsidR="009D74E7" w:rsidRPr="009D74E7">
                <w:rPr>
                  <w:rStyle w:val="charCitHyperlinkAbbrev"/>
                </w:rPr>
                <w:t>A1998</w:t>
              </w:r>
              <w:r w:rsidR="009D74E7" w:rsidRPr="009D74E7">
                <w:rPr>
                  <w:rStyle w:val="charCitHyperlinkAbbrev"/>
                </w:rPr>
                <w:noBreakHyphen/>
                <w:t>5</w:t>
              </w:r>
            </w:hyperlink>
          </w:p>
        </w:tc>
      </w:tr>
      <w:tr w:rsidR="00450C28" w:rsidTr="00403CF0">
        <w:trPr>
          <w:cantSplit/>
        </w:trPr>
        <w:tc>
          <w:tcPr>
            <w:tcW w:w="1576" w:type="dxa"/>
            <w:tcBorders>
              <w:top w:val="single" w:sz="4" w:space="0" w:color="auto"/>
              <w:bottom w:val="single" w:sz="4" w:space="0" w:color="auto"/>
            </w:tcBorders>
          </w:tcPr>
          <w:p w:rsidR="00450C28" w:rsidRDefault="00450C28">
            <w:pPr>
              <w:pStyle w:val="EarlierRepubEntries"/>
            </w:pPr>
            <w:r>
              <w:t>R0B</w:t>
            </w:r>
            <w:r>
              <w:br/>
              <w:t>14 Feb 2008</w:t>
            </w:r>
          </w:p>
        </w:tc>
        <w:tc>
          <w:tcPr>
            <w:tcW w:w="1681" w:type="dxa"/>
            <w:tcBorders>
              <w:top w:val="single" w:sz="4" w:space="0" w:color="auto"/>
              <w:bottom w:val="single" w:sz="4" w:space="0" w:color="auto"/>
            </w:tcBorders>
          </w:tcPr>
          <w:p w:rsidR="00450C28" w:rsidRDefault="00450C28">
            <w:pPr>
              <w:pStyle w:val="EarlierRepubEntries"/>
            </w:pPr>
            <w:r>
              <w:t>1 Sept 1999–</w:t>
            </w:r>
            <w:r>
              <w:br/>
              <w:t>9 Nov 1999</w:t>
            </w:r>
          </w:p>
        </w:tc>
        <w:tc>
          <w:tcPr>
            <w:tcW w:w="1783" w:type="dxa"/>
            <w:tcBorders>
              <w:top w:val="single" w:sz="4" w:space="0" w:color="auto"/>
              <w:bottom w:val="single" w:sz="4" w:space="0" w:color="auto"/>
            </w:tcBorders>
          </w:tcPr>
          <w:p w:rsidR="00450C28" w:rsidRDefault="007C2037">
            <w:pPr>
              <w:pStyle w:val="EarlierRepubEntries"/>
            </w:pPr>
            <w:hyperlink r:id="rId932"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3" w:tooltip="Courts and Tribunals (Audio Visual and Audio Linking) Act 1999" w:history="1">
              <w:r w:rsidR="009D74E7" w:rsidRPr="009D74E7">
                <w:rPr>
                  <w:rStyle w:val="charCitHyperlinkAbbrev"/>
                </w:rPr>
                <w:t>A1999</w:t>
              </w:r>
              <w:r w:rsidR="009D74E7" w:rsidRPr="009D74E7">
                <w:rPr>
                  <w:rStyle w:val="charCitHyperlinkAbbrev"/>
                </w:rPr>
                <w:noBreakHyphen/>
                <w:t>22</w:t>
              </w:r>
            </w:hyperlink>
          </w:p>
        </w:tc>
      </w:tr>
      <w:tr w:rsidR="00450C28">
        <w:tc>
          <w:tcPr>
            <w:tcW w:w="1576" w:type="dxa"/>
            <w:tcBorders>
              <w:top w:val="single" w:sz="4" w:space="0" w:color="auto"/>
              <w:bottom w:val="single" w:sz="4" w:space="0" w:color="auto"/>
            </w:tcBorders>
          </w:tcPr>
          <w:p w:rsidR="00450C28" w:rsidRDefault="00450C28">
            <w:pPr>
              <w:pStyle w:val="EarlierRepubEntries"/>
            </w:pPr>
            <w:r>
              <w:t>R0C</w:t>
            </w:r>
            <w:r>
              <w:br/>
              <w:t>14 Feb 2008</w:t>
            </w:r>
          </w:p>
        </w:tc>
        <w:tc>
          <w:tcPr>
            <w:tcW w:w="1681" w:type="dxa"/>
            <w:tcBorders>
              <w:top w:val="single" w:sz="4" w:space="0" w:color="auto"/>
              <w:bottom w:val="single" w:sz="4" w:space="0" w:color="auto"/>
            </w:tcBorders>
          </w:tcPr>
          <w:p w:rsidR="00450C28" w:rsidRDefault="00450C28">
            <w:pPr>
              <w:pStyle w:val="EarlierRepubEntries"/>
            </w:pPr>
            <w:r>
              <w:t>10 Nov 1999–</w:t>
            </w:r>
            <w:r>
              <w:br/>
              <w:t>31 May 2000</w:t>
            </w:r>
          </w:p>
        </w:tc>
        <w:tc>
          <w:tcPr>
            <w:tcW w:w="1783" w:type="dxa"/>
            <w:tcBorders>
              <w:top w:val="single" w:sz="4" w:space="0" w:color="auto"/>
              <w:bottom w:val="single" w:sz="4" w:space="0" w:color="auto"/>
            </w:tcBorders>
          </w:tcPr>
          <w:p w:rsidR="00450C28" w:rsidRDefault="007C2037">
            <w:pPr>
              <w:pStyle w:val="EarlierRepubEntries"/>
            </w:pPr>
            <w:hyperlink r:id="rId934"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5" w:tooltip="Law Reform (Miscellaneous Provisions) Act 1999" w:history="1">
              <w:r w:rsidR="009D74E7" w:rsidRPr="009D74E7">
                <w:rPr>
                  <w:rStyle w:val="charCitHyperlinkAbbrev"/>
                </w:rPr>
                <w:t>A1999</w:t>
              </w:r>
              <w:r w:rsidR="009D74E7" w:rsidRPr="009D74E7">
                <w:rPr>
                  <w:rStyle w:val="charCitHyperlinkAbbrev"/>
                </w:rPr>
                <w:noBreakHyphen/>
                <w:t>66</w:t>
              </w:r>
            </w:hyperlink>
          </w:p>
        </w:tc>
      </w:tr>
      <w:tr w:rsidR="00450C28">
        <w:tc>
          <w:tcPr>
            <w:tcW w:w="1576" w:type="dxa"/>
            <w:tcBorders>
              <w:top w:val="single" w:sz="4" w:space="0" w:color="auto"/>
              <w:bottom w:val="single" w:sz="4" w:space="0" w:color="auto"/>
            </w:tcBorders>
          </w:tcPr>
          <w:p w:rsidR="00450C28" w:rsidRDefault="00450C28">
            <w:pPr>
              <w:pStyle w:val="EarlierRepubEntries"/>
            </w:pPr>
            <w:r>
              <w:t>R0D</w:t>
            </w:r>
            <w:r>
              <w:br/>
              <w:t>14 Feb 2008</w:t>
            </w:r>
          </w:p>
        </w:tc>
        <w:tc>
          <w:tcPr>
            <w:tcW w:w="1681" w:type="dxa"/>
            <w:tcBorders>
              <w:top w:val="single" w:sz="4" w:space="0" w:color="auto"/>
              <w:bottom w:val="single" w:sz="4" w:space="0" w:color="auto"/>
            </w:tcBorders>
          </w:tcPr>
          <w:p w:rsidR="00450C28" w:rsidRDefault="00450C28">
            <w:pPr>
              <w:pStyle w:val="EarlierRepubEntries"/>
            </w:pPr>
            <w:r>
              <w:t>1 June 2000–</w:t>
            </w:r>
            <w:r>
              <w:br/>
              <w:t>8 Sept 2000</w:t>
            </w:r>
          </w:p>
        </w:tc>
        <w:tc>
          <w:tcPr>
            <w:tcW w:w="1783" w:type="dxa"/>
            <w:tcBorders>
              <w:top w:val="single" w:sz="4" w:space="0" w:color="auto"/>
              <w:bottom w:val="single" w:sz="4" w:space="0" w:color="auto"/>
            </w:tcBorders>
          </w:tcPr>
          <w:p w:rsidR="00450C28" w:rsidRDefault="007C2037">
            <w:pPr>
              <w:pStyle w:val="EarlierRepubEntries"/>
            </w:pPr>
            <w:hyperlink r:id="rId936"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7"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r>
      <w:tr w:rsidR="00450C28">
        <w:tc>
          <w:tcPr>
            <w:tcW w:w="1576" w:type="dxa"/>
            <w:tcBorders>
              <w:top w:val="single" w:sz="4" w:space="0" w:color="auto"/>
              <w:bottom w:val="single" w:sz="4" w:space="0" w:color="auto"/>
            </w:tcBorders>
          </w:tcPr>
          <w:p w:rsidR="00450C28" w:rsidRDefault="00450C28">
            <w:pPr>
              <w:pStyle w:val="EarlierRepubEntries"/>
            </w:pPr>
            <w:r>
              <w:t>R0E</w:t>
            </w:r>
            <w:r>
              <w:br/>
              <w:t>14 Feb 2008</w:t>
            </w:r>
          </w:p>
        </w:tc>
        <w:tc>
          <w:tcPr>
            <w:tcW w:w="1681" w:type="dxa"/>
            <w:tcBorders>
              <w:top w:val="single" w:sz="4" w:space="0" w:color="auto"/>
              <w:bottom w:val="single" w:sz="4" w:space="0" w:color="auto"/>
            </w:tcBorders>
          </w:tcPr>
          <w:p w:rsidR="00450C28" w:rsidRDefault="00450C28">
            <w:pPr>
              <w:pStyle w:val="EarlierRepubEntries"/>
            </w:pPr>
            <w:r>
              <w:t>9 Sept 2000–</w:t>
            </w:r>
            <w:r>
              <w:br/>
              <w:t>13 Nov 2000</w:t>
            </w:r>
          </w:p>
        </w:tc>
        <w:tc>
          <w:tcPr>
            <w:tcW w:w="1783" w:type="dxa"/>
            <w:tcBorders>
              <w:top w:val="single" w:sz="4" w:space="0" w:color="auto"/>
              <w:bottom w:val="single" w:sz="4" w:space="0" w:color="auto"/>
            </w:tcBorders>
          </w:tcPr>
          <w:p w:rsidR="00450C28" w:rsidRDefault="007C2037">
            <w:pPr>
              <w:pStyle w:val="EarlierRepubEntries"/>
            </w:pPr>
            <w:hyperlink r:id="rId938"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39" w:tooltip="Justice and Community Safety Legislation Amendment Act 2000" w:history="1">
              <w:r w:rsidR="009D74E7" w:rsidRPr="009D74E7">
                <w:rPr>
                  <w:rStyle w:val="charCitHyperlinkAbbrev"/>
                </w:rPr>
                <w:t>A2000</w:t>
              </w:r>
              <w:r w:rsidR="009D74E7" w:rsidRPr="009D74E7">
                <w:rPr>
                  <w:rStyle w:val="charCitHyperlinkAbbrev"/>
                </w:rPr>
                <w:noBreakHyphen/>
                <w:t>1</w:t>
              </w:r>
            </w:hyperlink>
          </w:p>
        </w:tc>
      </w:tr>
      <w:tr w:rsidR="00450C28">
        <w:tc>
          <w:tcPr>
            <w:tcW w:w="1576" w:type="dxa"/>
            <w:tcBorders>
              <w:top w:val="single" w:sz="4" w:space="0" w:color="auto"/>
              <w:bottom w:val="single" w:sz="4" w:space="0" w:color="auto"/>
            </w:tcBorders>
          </w:tcPr>
          <w:p w:rsidR="00450C28" w:rsidRDefault="00450C28">
            <w:pPr>
              <w:pStyle w:val="EarlierRepubEntries"/>
            </w:pPr>
            <w:r>
              <w:t>R1</w:t>
            </w:r>
            <w:r>
              <w:br/>
              <w:t>14 Nov 2000</w:t>
            </w:r>
          </w:p>
        </w:tc>
        <w:tc>
          <w:tcPr>
            <w:tcW w:w="1681" w:type="dxa"/>
            <w:tcBorders>
              <w:top w:val="single" w:sz="4" w:space="0" w:color="auto"/>
              <w:bottom w:val="single" w:sz="4" w:space="0" w:color="auto"/>
            </w:tcBorders>
          </w:tcPr>
          <w:p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rsidR="00450C28" w:rsidRDefault="007C2037">
            <w:pPr>
              <w:pStyle w:val="EarlierRepubEntries"/>
            </w:pPr>
            <w:hyperlink r:id="rId940"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 xml:space="preserve">includes editorial amendments under </w:t>
            </w:r>
            <w:hyperlink r:id="rId941" w:tooltip="A2001-14" w:history="1">
              <w:r w:rsidR="009D74E7" w:rsidRPr="009D74E7">
                <w:rPr>
                  <w:rStyle w:val="charCitHyperlinkAbbrev"/>
                </w:rPr>
                <w:t>Legislation Act</w:t>
              </w:r>
            </w:hyperlink>
          </w:p>
        </w:tc>
      </w:tr>
      <w:tr w:rsidR="00450C28">
        <w:tc>
          <w:tcPr>
            <w:tcW w:w="1576" w:type="dxa"/>
            <w:tcBorders>
              <w:top w:val="single" w:sz="4" w:space="0" w:color="auto"/>
              <w:bottom w:val="single" w:sz="4" w:space="0" w:color="auto"/>
            </w:tcBorders>
          </w:tcPr>
          <w:p w:rsidR="00450C28" w:rsidRDefault="00450C28">
            <w:pPr>
              <w:pStyle w:val="EarlierRepubEntries"/>
            </w:pPr>
            <w:r>
              <w:t>R1 (RI)</w:t>
            </w:r>
            <w:r>
              <w:br/>
              <w:t>14 Feb 2008</w:t>
            </w:r>
          </w:p>
        </w:tc>
        <w:tc>
          <w:tcPr>
            <w:tcW w:w="1681" w:type="dxa"/>
            <w:tcBorders>
              <w:top w:val="single" w:sz="4" w:space="0" w:color="auto"/>
              <w:bottom w:val="single" w:sz="4" w:space="0" w:color="auto"/>
            </w:tcBorders>
          </w:tcPr>
          <w:p w:rsidR="00450C28" w:rsidRDefault="00450C28">
            <w:pPr>
              <w:pStyle w:val="EarlierRepubEntries"/>
            </w:pPr>
            <w:r>
              <w:t>14 Nov 2000–</w:t>
            </w:r>
            <w:r>
              <w:br/>
              <w:t>11 Sept 2001</w:t>
            </w:r>
          </w:p>
        </w:tc>
        <w:tc>
          <w:tcPr>
            <w:tcW w:w="1783" w:type="dxa"/>
            <w:tcBorders>
              <w:top w:val="single" w:sz="4" w:space="0" w:color="auto"/>
              <w:bottom w:val="single" w:sz="4" w:space="0" w:color="auto"/>
            </w:tcBorders>
          </w:tcPr>
          <w:p w:rsidR="00450C28" w:rsidRDefault="007C2037">
            <w:pPr>
              <w:pStyle w:val="EarlierRepubEntries"/>
            </w:pPr>
            <w:hyperlink r:id="rId942" w:tooltip="Justice and Community Safety Legislation Amendment Act 2000 (No 3)" w:history="1">
              <w:r w:rsidR="009D74E7" w:rsidRPr="009D74E7">
                <w:rPr>
                  <w:rStyle w:val="charCitHyperlinkAbbrev"/>
                </w:rPr>
                <w:t>A2000</w:t>
              </w:r>
              <w:r w:rsidR="009D74E7" w:rsidRPr="009D74E7">
                <w:rPr>
                  <w:rStyle w:val="charCitHyperlinkAbbrev"/>
                </w:rPr>
                <w:noBreakHyphen/>
                <w:t>17</w:t>
              </w:r>
            </w:hyperlink>
          </w:p>
        </w:tc>
        <w:tc>
          <w:tcPr>
            <w:tcW w:w="1783" w:type="dxa"/>
            <w:tcBorders>
              <w:top w:val="single" w:sz="4" w:space="0" w:color="auto"/>
              <w:bottom w:val="single" w:sz="4" w:space="0" w:color="auto"/>
            </w:tcBorders>
          </w:tcPr>
          <w:p w:rsidR="00450C28" w:rsidRDefault="00450C28">
            <w:pPr>
              <w:pStyle w:val="EarlierRepubEntries"/>
            </w:pPr>
            <w:r>
              <w:t>reissue of printed version</w:t>
            </w:r>
          </w:p>
        </w:tc>
      </w:tr>
      <w:tr w:rsidR="00450C28">
        <w:tc>
          <w:tcPr>
            <w:tcW w:w="1576" w:type="dxa"/>
            <w:tcBorders>
              <w:top w:val="single" w:sz="4" w:space="0" w:color="auto"/>
              <w:bottom w:val="single" w:sz="4" w:space="0" w:color="auto"/>
            </w:tcBorders>
          </w:tcPr>
          <w:p w:rsidR="00450C28" w:rsidRDefault="00450C28">
            <w:pPr>
              <w:pStyle w:val="EarlierRepubEntries"/>
            </w:pPr>
            <w:r>
              <w:t>R2</w:t>
            </w:r>
            <w:r>
              <w:br/>
              <w:t>4 Feb 2002</w:t>
            </w:r>
          </w:p>
        </w:tc>
        <w:tc>
          <w:tcPr>
            <w:tcW w:w="1681" w:type="dxa"/>
            <w:tcBorders>
              <w:top w:val="single" w:sz="4" w:space="0" w:color="auto"/>
              <w:bottom w:val="single" w:sz="4" w:space="0" w:color="auto"/>
            </w:tcBorders>
          </w:tcPr>
          <w:p w:rsidR="00450C28" w:rsidRDefault="00450C28">
            <w:pPr>
              <w:pStyle w:val="EarlierRepubEntries"/>
            </w:pPr>
            <w:r>
              <w:t>12 Sept 2001–</w:t>
            </w:r>
            <w:r>
              <w:br/>
              <w:t>27 May 2002</w:t>
            </w:r>
          </w:p>
        </w:tc>
        <w:tc>
          <w:tcPr>
            <w:tcW w:w="1783" w:type="dxa"/>
            <w:tcBorders>
              <w:top w:val="single" w:sz="4" w:space="0" w:color="auto"/>
              <w:bottom w:val="single" w:sz="4" w:space="0" w:color="auto"/>
            </w:tcBorders>
          </w:tcPr>
          <w:p w:rsidR="00450C28" w:rsidRDefault="007C2037">
            <w:pPr>
              <w:pStyle w:val="EarlierRepubEntries"/>
            </w:pPr>
            <w:hyperlink r:id="rId943"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4" w:tooltip="Legislation (Consequential Amendments) Act 2001" w:history="1">
              <w:r w:rsidR="009D74E7" w:rsidRPr="009D74E7">
                <w:rPr>
                  <w:rStyle w:val="charCitHyperlinkAbbrev"/>
                </w:rPr>
                <w:t>A2001</w:t>
              </w:r>
              <w:r w:rsidR="009D74E7" w:rsidRPr="009D74E7">
                <w:rPr>
                  <w:rStyle w:val="charCitHyperlinkAbbrev"/>
                </w:rPr>
                <w:noBreakHyphen/>
                <w:t>44</w:t>
              </w:r>
            </w:hyperlink>
          </w:p>
        </w:tc>
      </w:tr>
      <w:tr w:rsidR="00450C28">
        <w:tc>
          <w:tcPr>
            <w:tcW w:w="1576" w:type="dxa"/>
            <w:tcBorders>
              <w:top w:val="single" w:sz="4" w:space="0" w:color="auto"/>
              <w:bottom w:val="single" w:sz="4" w:space="0" w:color="auto"/>
            </w:tcBorders>
          </w:tcPr>
          <w:p w:rsidR="00450C28" w:rsidRDefault="00450C28">
            <w:pPr>
              <w:pStyle w:val="EarlierRepubEntries"/>
            </w:pPr>
            <w:r>
              <w:t>R3</w:t>
            </w:r>
            <w:r>
              <w:br/>
              <w:t>30 May 2002</w:t>
            </w:r>
          </w:p>
        </w:tc>
        <w:tc>
          <w:tcPr>
            <w:tcW w:w="1681" w:type="dxa"/>
            <w:tcBorders>
              <w:top w:val="single" w:sz="4" w:space="0" w:color="auto"/>
              <w:bottom w:val="single" w:sz="4" w:space="0" w:color="auto"/>
            </w:tcBorders>
          </w:tcPr>
          <w:p w:rsidR="00450C28" w:rsidRDefault="00450C28">
            <w:pPr>
              <w:pStyle w:val="EarlierRepubEntries"/>
            </w:pPr>
            <w:r>
              <w:t>28 May 2002–</w:t>
            </w:r>
            <w:r>
              <w:br/>
              <w:t>12 Sept 2002</w:t>
            </w:r>
          </w:p>
        </w:tc>
        <w:tc>
          <w:tcPr>
            <w:tcW w:w="1783" w:type="dxa"/>
            <w:tcBorders>
              <w:top w:val="single" w:sz="4" w:space="0" w:color="auto"/>
              <w:bottom w:val="single" w:sz="4" w:space="0" w:color="auto"/>
            </w:tcBorders>
          </w:tcPr>
          <w:p w:rsidR="00450C28" w:rsidRDefault="007C2037">
            <w:pPr>
              <w:pStyle w:val="EarlierRepubEntries"/>
            </w:pPr>
            <w:hyperlink r:id="rId945" w:tooltip="Legislation Amendment Act 2002" w:history="1">
              <w:r w:rsidR="009D74E7" w:rsidRPr="009D74E7">
                <w:rPr>
                  <w:rStyle w:val="charCitHyperlinkAbbrev"/>
                </w:rPr>
                <w:t>A2002</w:t>
              </w:r>
              <w:r w:rsidR="009D74E7" w:rsidRPr="009D74E7">
                <w:rPr>
                  <w:rStyle w:val="charCitHyperlinkAbbrev"/>
                </w:rPr>
                <w:noBreakHyphen/>
                <w:t>11</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6" w:tooltip="Legislation Amendment Act 2002" w:history="1">
              <w:r w:rsidR="009D74E7" w:rsidRPr="009D74E7">
                <w:rPr>
                  <w:rStyle w:val="charCitHyperlinkAbbrev"/>
                </w:rPr>
                <w:t>A2002</w:t>
              </w:r>
              <w:r w:rsidR="009D74E7" w:rsidRPr="009D74E7">
                <w:rPr>
                  <w:rStyle w:val="charCitHyperlinkAbbrev"/>
                </w:rPr>
                <w:noBreakHyphen/>
                <w:t>11</w:t>
              </w:r>
            </w:hyperlink>
          </w:p>
        </w:tc>
      </w:tr>
      <w:tr w:rsidR="00450C28">
        <w:trPr>
          <w:cantSplit/>
        </w:trPr>
        <w:tc>
          <w:tcPr>
            <w:tcW w:w="1576" w:type="dxa"/>
            <w:tcBorders>
              <w:top w:val="single" w:sz="4" w:space="0" w:color="auto"/>
              <w:bottom w:val="single" w:sz="4" w:space="0" w:color="auto"/>
            </w:tcBorders>
          </w:tcPr>
          <w:p w:rsidR="00450C28" w:rsidRDefault="00450C28">
            <w:pPr>
              <w:pStyle w:val="EarlierRepubEntries"/>
            </w:pPr>
            <w:r>
              <w:t>R4</w:t>
            </w:r>
            <w:r>
              <w:br/>
              <w:t>13 Sept 2002</w:t>
            </w:r>
          </w:p>
        </w:tc>
        <w:tc>
          <w:tcPr>
            <w:tcW w:w="1681" w:type="dxa"/>
            <w:tcBorders>
              <w:top w:val="single" w:sz="4" w:space="0" w:color="auto"/>
              <w:bottom w:val="single" w:sz="4" w:space="0" w:color="auto"/>
            </w:tcBorders>
          </w:tcPr>
          <w:p w:rsidR="00450C28" w:rsidRDefault="00450C28">
            <w:pPr>
              <w:pStyle w:val="EarlierRepubEntries"/>
            </w:pPr>
            <w:r>
              <w:t>13 Sept 2002–</w:t>
            </w:r>
            <w:r>
              <w:br/>
              <w:t>16 Sept 2002</w:t>
            </w:r>
          </w:p>
        </w:tc>
        <w:tc>
          <w:tcPr>
            <w:tcW w:w="1783" w:type="dxa"/>
            <w:tcBorders>
              <w:top w:val="single" w:sz="4" w:space="0" w:color="auto"/>
              <w:bottom w:val="single" w:sz="4" w:space="0" w:color="auto"/>
            </w:tcBorders>
          </w:tcPr>
          <w:p w:rsidR="00450C28" w:rsidRPr="009D74E7" w:rsidRDefault="007C2037">
            <w:pPr>
              <w:pStyle w:val="EarlierRepubEntries"/>
              <w:rPr>
                <w:rStyle w:val="charUnderline"/>
              </w:rPr>
            </w:pPr>
            <w:hyperlink r:id="rId947" w:tooltip="Justice and Community Safety Legislation Amendment Act 2002" w:history="1">
              <w:r w:rsidR="009D74E7" w:rsidRPr="009D74E7">
                <w:rPr>
                  <w:rStyle w:val="Hyperlink"/>
                </w:rPr>
                <w:t>A2002</w:t>
              </w:r>
              <w:r w:rsidR="009D74E7" w:rsidRPr="009D74E7">
                <w:rPr>
                  <w:rStyle w:val="Hyperlink"/>
                </w:rPr>
                <w:noBreakHyphen/>
                <w:t>27</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R5</w:t>
            </w:r>
            <w:r>
              <w:br/>
              <w:t>3 Oct 2002</w:t>
            </w:r>
          </w:p>
        </w:tc>
        <w:tc>
          <w:tcPr>
            <w:tcW w:w="1681" w:type="dxa"/>
            <w:tcBorders>
              <w:top w:val="single" w:sz="4" w:space="0" w:color="auto"/>
              <w:bottom w:val="single" w:sz="4" w:space="0" w:color="auto"/>
            </w:tcBorders>
          </w:tcPr>
          <w:p w:rsidR="00450C28" w:rsidRDefault="00450C28">
            <w:pPr>
              <w:pStyle w:val="EarlierRepubEntries"/>
            </w:pPr>
            <w:r>
              <w:t>17 Sept 2002–</w:t>
            </w:r>
            <w:r>
              <w:br/>
              <w:t>6 Oct 2002</w:t>
            </w:r>
          </w:p>
        </w:tc>
        <w:tc>
          <w:tcPr>
            <w:tcW w:w="1783" w:type="dxa"/>
            <w:tcBorders>
              <w:top w:val="single" w:sz="4" w:space="0" w:color="auto"/>
              <w:bottom w:val="single" w:sz="4" w:space="0" w:color="auto"/>
            </w:tcBorders>
          </w:tcPr>
          <w:p w:rsidR="00450C28" w:rsidRDefault="007C2037">
            <w:pPr>
              <w:pStyle w:val="EarlierRepubEntries"/>
            </w:pPr>
            <w:hyperlink r:id="rId948"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49" w:tooltip="Statute Law Amendment Act 2002" w:history="1">
              <w:r w:rsidR="009D74E7" w:rsidRPr="009D74E7">
                <w:rPr>
                  <w:rStyle w:val="charCitHyperlinkAbbrev"/>
                </w:rPr>
                <w:t>A2002</w:t>
              </w:r>
              <w:r w:rsidR="009D74E7" w:rsidRPr="009D74E7">
                <w:rPr>
                  <w:rStyle w:val="charCitHyperlinkAbbrev"/>
                </w:rPr>
                <w:noBreakHyphen/>
                <w:t>30</w:t>
              </w:r>
            </w:hyperlink>
          </w:p>
        </w:tc>
      </w:tr>
      <w:tr w:rsidR="00450C28">
        <w:tc>
          <w:tcPr>
            <w:tcW w:w="1576" w:type="dxa"/>
            <w:tcBorders>
              <w:top w:val="single" w:sz="4" w:space="0" w:color="auto"/>
              <w:bottom w:val="single" w:sz="4" w:space="0" w:color="auto"/>
            </w:tcBorders>
          </w:tcPr>
          <w:p w:rsidR="00450C28" w:rsidRDefault="00450C28">
            <w:pPr>
              <w:pStyle w:val="EarlierRepubEntries"/>
            </w:pPr>
            <w:r>
              <w:lastRenderedPageBreak/>
              <w:t>R6*</w:t>
            </w:r>
            <w:r>
              <w:br/>
              <w:t>7 Oct 2002</w:t>
            </w:r>
          </w:p>
        </w:tc>
        <w:tc>
          <w:tcPr>
            <w:tcW w:w="1681" w:type="dxa"/>
            <w:tcBorders>
              <w:top w:val="single" w:sz="4" w:space="0" w:color="auto"/>
              <w:bottom w:val="single" w:sz="4" w:space="0" w:color="auto"/>
            </w:tcBorders>
          </w:tcPr>
          <w:p w:rsidR="00450C28" w:rsidRDefault="00450C28">
            <w:pPr>
              <w:pStyle w:val="EarlierRepubEntries"/>
            </w:pPr>
            <w:r>
              <w:t>7 Oct 2002–</w:t>
            </w:r>
            <w:r>
              <w:br/>
              <w:t>29 Apr 2004</w:t>
            </w:r>
          </w:p>
        </w:tc>
        <w:tc>
          <w:tcPr>
            <w:tcW w:w="1783" w:type="dxa"/>
            <w:tcBorders>
              <w:top w:val="single" w:sz="4" w:space="0" w:color="auto"/>
              <w:bottom w:val="single" w:sz="4" w:space="0" w:color="auto"/>
            </w:tcBorders>
          </w:tcPr>
          <w:p w:rsidR="00450C28" w:rsidRDefault="007C2037">
            <w:pPr>
              <w:pStyle w:val="EarlierRepubEntries"/>
            </w:pPr>
            <w:hyperlink r:id="rId950" w:tooltip="Statute Law Amendment Act 2002" w:history="1">
              <w:r w:rsidR="009D74E7" w:rsidRPr="009D74E7">
                <w:rPr>
                  <w:rStyle w:val="charCitHyperlinkAbbrev"/>
                </w:rPr>
                <w:t>A2002</w:t>
              </w:r>
              <w:r w:rsidR="009D74E7" w:rsidRPr="009D74E7">
                <w:rPr>
                  <w:rStyle w:val="charCitHyperlinkAbbrev"/>
                </w:rPr>
                <w:noBreakHyphen/>
                <w:t>30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1" w:tooltip="Justice and Community Safety Legislation Amendment Act 2002" w:history="1">
              <w:r w:rsidR="009D74E7" w:rsidRPr="009D74E7">
                <w:rPr>
                  <w:rStyle w:val="charCitHyperlinkAbbrev"/>
                </w:rPr>
                <w:t>A2002</w:t>
              </w:r>
              <w:r w:rsidR="009D74E7" w:rsidRPr="009D74E7">
                <w:rPr>
                  <w:rStyle w:val="charCitHyperlinkAbbrev"/>
                </w:rPr>
                <w:noBreakHyphen/>
                <w:t>27</w:t>
              </w:r>
            </w:hyperlink>
          </w:p>
        </w:tc>
      </w:tr>
      <w:tr w:rsidR="00450C28">
        <w:tc>
          <w:tcPr>
            <w:tcW w:w="1576" w:type="dxa"/>
            <w:tcBorders>
              <w:top w:val="single" w:sz="4" w:space="0" w:color="auto"/>
              <w:bottom w:val="single" w:sz="4" w:space="0" w:color="auto"/>
            </w:tcBorders>
          </w:tcPr>
          <w:p w:rsidR="00450C28" w:rsidRDefault="00450C28">
            <w:pPr>
              <w:pStyle w:val="EarlierRepubEntries"/>
            </w:pPr>
            <w:r>
              <w:t>R7</w:t>
            </w:r>
            <w:r>
              <w:br/>
              <w:t>30 Apr 2004</w:t>
            </w:r>
          </w:p>
        </w:tc>
        <w:tc>
          <w:tcPr>
            <w:tcW w:w="1681" w:type="dxa"/>
            <w:tcBorders>
              <w:top w:val="single" w:sz="4" w:space="0" w:color="auto"/>
              <w:bottom w:val="single" w:sz="4" w:space="0" w:color="auto"/>
            </w:tcBorders>
          </w:tcPr>
          <w:p w:rsidR="00450C28" w:rsidRDefault="00450C28">
            <w:pPr>
              <w:pStyle w:val="EarlierRepubEntries"/>
            </w:pPr>
            <w:r>
              <w:t>30 Apr 2004–</w:t>
            </w:r>
            <w:r>
              <w:br/>
              <w:t>31 Aug 2004</w:t>
            </w:r>
          </w:p>
        </w:tc>
        <w:tc>
          <w:tcPr>
            <w:tcW w:w="1783" w:type="dxa"/>
            <w:tcBorders>
              <w:top w:val="single" w:sz="4" w:space="0" w:color="auto"/>
              <w:bottom w:val="single" w:sz="4" w:space="0" w:color="auto"/>
            </w:tcBorders>
          </w:tcPr>
          <w:p w:rsidR="00450C28" w:rsidRPr="009D74E7" w:rsidRDefault="007C2037">
            <w:pPr>
              <w:pStyle w:val="EarlierRepubEntries"/>
              <w:rPr>
                <w:rStyle w:val="charUnderline"/>
              </w:rPr>
            </w:pPr>
            <w:hyperlink r:id="rId952" w:tooltip="Construction Occupations Legislation Amendment Act 2004" w:history="1">
              <w:r w:rsidR="009D74E7" w:rsidRPr="009D74E7">
                <w:rPr>
                  <w:rStyle w:val="Hyperlink"/>
                </w:rPr>
                <w:t>A2004</w:t>
              </w:r>
              <w:r w:rsidR="009D74E7" w:rsidRPr="009D74E7">
                <w:rPr>
                  <w:rStyle w:val="Hyperlink"/>
                </w:rPr>
                <w:noBreakHyphen/>
                <w:t>13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3" w:tooltip="Evidence (Miscellaneous Provisions) Amendment Act 2003" w:history="1">
              <w:r w:rsidR="009D74E7" w:rsidRPr="009D74E7">
                <w:rPr>
                  <w:rStyle w:val="charCitHyperlinkAbbrev"/>
                </w:rPr>
                <w:t>A2003</w:t>
              </w:r>
              <w:r w:rsidR="009D74E7" w:rsidRPr="009D74E7">
                <w:rPr>
                  <w:rStyle w:val="charCitHyperlinkAbbrev"/>
                </w:rPr>
                <w:noBreakHyphen/>
                <w:t>48</w:t>
              </w:r>
            </w:hyperlink>
          </w:p>
        </w:tc>
      </w:tr>
      <w:tr w:rsidR="00450C28">
        <w:tc>
          <w:tcPr>
            <w:tcW w:w="1576" w:type="dxa"/>
            <w:tcBorders>
              <w:top w:val="single" w:sz="4" w:space="0" w:color="auto"/>
              <w:bottom w:val="single" w:sz="4" w:space="0" w:color="auto"/>
            </w:tcBorders>
          </w:tcPr>
          <w:p w:rsidR="00450C28" w:rsidRDefault="00450C28">
            <w:pPr>
              <w:pStyle w:val="EarlierRepubEntries"/>
            </w:pPr>
            <w:r>
              <w:t>R8</w:t>
            </w:r>
            <w:r>
              <w:br/>
              <w:t>1 Sept 2004</w:t>
            </w:r>
          </w:p>
        </w:tc>
        <w:tc>
          <w:tcPr>
            <w:tcW w:w="1681" w:type="dxa"/>
            <w:tcBorders>
              <w:top w:val="single" w:sz="4" w:space="0" w:color="auto"/>
              <w:bottom w:val="single" w:sz="4" w:space="0" w:color="auto"/>
            </w:tcBorders>
          </w:tcPr>
          <w:p w:rsidR="00450C28" w:rsidRDefault="00450C28">
            <w:pPr>
              <w:pStyle w:val="EarlierRepubEntries"/>
            </w:pPr>
            <w:r>
              <w:t>1 Sept 2004–</w:t>
            </w:r>
            <w:r>
              <w:br/>
              <w:t>9 Jan 2005</w:t>
            </w:r>
          </w:p>
        </w:tc>
        <w:tc>
          <w:tcPr>
            <w:tcW w:w="1783" w:type="dxa"/>
            <w:tcBorders>
              <w:top w:val="single" w:sz="4" w:space="0" w:color="auto"/>
              <w:bottom w:val="single" w:sz="4" w:space="0" w:color="auto"/>
            </w:tcBorders>
          </w:tcPr>
          <w:p w:rsidR="00450C28" w:rsidRDefault="007C2037">
            <w:pPr>
              <w:pStyle w:val="EarlierRepubEntries"/>
            </w:pPr>
            <w:hyperlink r:id="rId954"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5" w:tooltip="Construction Occupations Legislation Amendment Act 2004" w:history="1">
              <w:r w:rsidR="009D74E7" w:rsidRPr="009D74E7">
                <w:rPr>
                  <w:rStyle w:val="charCitHyperlinkAbbrev"/>
                </w:rPr>
                <w:t>A2004</w:t>
              </w:r>
              <w:r w:rsidR="009D74E7" w:rsidRPr="009D74E7">
                <w:rPr>
                  <w:rStyle w:val="charCitHyperlinkAbbrev"/>
                </w:rPr>
                <w:noBreakHyphen/>
                <w:t>13</w:t>
              </w:r>
            </w:hyperlink>
          </w:p>
        </w:tc>
      </w:tr>
      <w:tr w:rsidR="00450C28">
        <w:tc>
          <w:tcPr>
            <w:tcW w:w="1576" w:type="dxa"/>
            <w:tcBorders>
              <w:top w:val="single" w:sz="4" w:space="0" w:color="auto"/>
              <w:bottom w:val="single" w:sz="4" w:space="0" w:color="auto"/>
            </w:tcBorders>
          </w:tcPr>
          <w:p w:rsidR="00450C28" w:rsidRDefault="00450C28">
            <w:pPr>
              <w:pStyle w:val="EarlierRepubEntries"/>
            </w:pPr>
            <w:r>
              <w:t>R9</w:t>
            </w:r>
            <w:r>
              <w:br/>
              <w:t>10 Jan 2005</w:t>
            </w:r>
          </w:p>
        </w:tc>
        <w:tc>
          <w:tcPr>
            <w:tcW w:w="1681" w:type="dxa"/>
            <w:tcBorders>
              <w:top w:val="single" w:sz="4" w:space="0" w:color="auto"/>
              <w:bottom w:val="single" w:sz="4" w:space="0" w:color="auto"/>
            </w:tcBorders>
          </w:tcPr>
          <w:p w:rsidR="00450C28" w:rsidRDefault="00450C28">
            <w:pPr>
              <w:pStyle w:val="EarlierRepubEntries"/>
            </w:pPr>
            <w:r>
              <w:t>10 Jan 2005–</w:t>
            </w:r>
            <w:r>
              <w:br/>
              <w:t>7 Mar 2005</w:t>
            </w:r>
          </w:p>
        </w:tc>
        <w:tc>
          <w:tcPr>
            <w:tcW w:w="1783" w:type="dxa"/>
            <w:tcBorders>
              <w:top w:val="single" w:sz="4" w:space="0" w:color="auto"/>
              <w:bottom w:val="single" w:sz="4" w:space="0" w:color="auto"/>
            </w:tcBorders>
          </w:tcPr>
          <w:p w:rsidR="00450C28" w:rsidRDefault="007C2037">
            <w:pPr>
              <w:pStyle w:val="EarlierRepubEntries"/>
            </w:pPr>
            <w:hyperlink r:id="rId956"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7"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r>
      <w:tr w:rsidR="00450C28" w:rsidTr="00BF1515">
        <w:trPr>
          <w:cantSplit/>
        </w:trPr>
        <w:tc>
          <w:tcPr>
            <w:tcW w:w="1576" w:type="dxa"/>
            <w:tcBorders>
              <w:top w:val="single" w:sz="4" w:space="0" w:color="auto"/>
              <w:bottom w:val="single" w:sz="4" w:space="0" w:color="auto"/>
            </w:tcBorders>
          </w:tcPr>
          <w:p w:rsidR="00450C28" w:rsidRDefault="00450C28" w:rsidP="00BF1515">
            <w:pPr>
              <w:pStyle w:val="EarlierRepubEntries"/>
            </w:pPr>
            <w:r>
              <w:t>R10</w:t>
            </w:r>
            <w:r>
              <w:br/>
              <w:t>8 Mar 2005</w:t>
            </w:r>
          </w:p>
        </w:tc>
        <w:tc>
          <w:tcPr>
            <w:tcW w:w="1681" w:type="dxa"/>
            <w:tcBorders>
              <w:top w:val="single" w:sz="4" w:space="0" w:color="auto"/>
              <w:bottom w:val="single" w:sz="4" w:space="0" w:color="auto"/>
            </w:tcBorders>
          </w:tcPr>
          <w:p w:rsidR="00450C28" w:rsidRDefault="00450C28">
            <w:pPr>
              <w:pStyle w:val="EarlierRepubEntries"/>
            </w:pPr>
            <w:r>
              <w:t>8 Mar 2005–</w:t>
            </w:r>
            <w:r>
              <w:br/>
              <w:t>8 Apr 2005</w:t>
            </w:r>
          </w:p>
        </w:tc>
        <w:tc>
          <w:tcPr>
            <w:tcW w:w="1783" w:type="dxa"/>
            <w:tcBorders>
              <w:top w:val="single" w:sz="4" w:space="0" w:color="auto"/>
              <w:bottom w:val="single" w:sz="4" w:space="0" w:color="auto"/>
            </w:tcBorders>
          </w:tcPr>
          <w:p w:rsidR="00450C28" w:rsidRDefault="007C2037">
            <w:pPr>
              <w:pStyle w:val="EarlierRepubEntries"/>
            </w:pPr>
            <w:hyperlink r:id="rId958"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59" w:tooltip="Residential Tenancies Amendment Act 2004" w:history="1">
              <w:r w:rsidR="009D74E7" w:rsidRPr="009D74E7">
                <w:rPr>
                  <w:rStyle w:val="charCitHyperlinkAbbrev"/>
                </w:rPr>
                <w:t>A2004</w:t>
              </w:r>
              <w:r w:rsidR="009D74E7" w:rsidRPr="009D74E7">
                <w:rPr>
                  <w:rStyle w:val="charCitHyperlinkAbbrev"/>
                </w:rPr>
                <w:noBreakHyphen/>
                <w:t>58</w:t>
              </w:r>
            </w:hyperlink>
          </w:p>
        </w:tc>
      </w:tr>
      <w:tr w:rsidR="00450C28" w:rsidTr="004B1135">
        <w:trPr>
          <w:cantSplit/>
        </w:trPr>
        <w:tc>
          <w:tcPr>
            <w:tcW w:w="1576" w:type="dxa"/>
            <w:tcBorders>
              <w:top w:val="single" w:sz="4" w:space="0" w:color="auto"/>
              <w:bottom w:val="single" w:sz="4" w:space="0" w:color="auto"/>
            </w:tcBorders>
          </w:tcPr>
          <w:p w:rsidR="00450C28" w:rsidRDefault="00450C28">
            <w:pPr>
              <w:pStyle w:val="EarlierRepubEntries"/>
            </w:pPr>
            <w:r>
              <w:t>R10 (RI)</w:t>
            </w:r>
            <w:r>
              <w:br/>
              <w:t>17 May 2005</w:t>
            </w:r>
          </w:p>
        </w:tc>
        <w:tc>
          <w:tcPr>
            <w:tcW w:w="1681" w:type="dxa"/>
            <w:tcBorders>
              <w:top w:val="single" w:sz="4" w:space="0" w:color="auto"/>
              <w:bottom w:val="single" w:sz="4" w:space="0" w:color="auto"/>
            </w:tcBorders>
          </w:tcPr>
          <w:p w:rsidR="00450C28" w:rsidRDefault="00450C28">
            <w:pPr>
              <w:pStyle w:val="EarlierRepubEntries"/>
            </w:pPr>
            <w:r>
              <w:t>8 Mar 2005–</w:t>
            </w:r>
            <w:r>
              <w:br/>
              <w:t>8 Apr 2005</w:t>
            </w:r>
          </w:p>
        </w:tc>
        <w:tc>
          <w:tcPr>
            <w:tcW w:w="1783" w:type="dxa"/>
            <w:tcBorders>
              <w:top w:val="single" w:sz="4" w:space="0" w:color="auto"/>
              <w:bottom w:val="single" w:sz="4" w:space="0" w:color="auto"/>
            </w:tcBorders>
          </w:tcPr>
          <w:p w:rsidR="00450C28" w:rsidRDefault="007C2037">
            <w:pPr>
              <w:pStyle w:val="EarlierRepubEntries"/>
            </w:pPr>
            <w:hyperlink r:id="rId960"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reissue for retrospective amendments by </w:t>
            </w:r>
            <w:hyperlink r:id="rId961"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tc>
          <w:tcPr>
            <w:tcW w:w="1576" w:type="dxa"/>
            <w:tcBorders>
              <w:top w:val="single" w:sz="4" w:space="0" w:color="auto"/>
              <w:bottom w:val="single" w:sz="4" w:space="0" w:color="auto"/>
            </w:tcBorders>
          </w:tcPr>
          <w:p w:rsidR="00450C28" w:rsidRDefault="00450C28">
            <w:pPr>
              <w:pStyle w:val="EarlierRepubEntries"/>
            </w:pPr>
            <w:r>
              <w:t>R11</w:t>
            </w:r>
            <w:r>
              <w:br/>
              <w:t>9 Apr 2005</w:t>
            </w:r>
          </w:p>
        </w:tc>
        <w:tc>
          <w:tcPr>
            <w:tcW w:w="1681" w:type="dxa"/>
            <w:tcBorders>
              <w:top w:val="single" w:sz="4" w:space="0" w:color="auto"/>
              <w:bottom w:val="single" w:sz="4" w:space="0" w:color="auto"/>
            </w:tcBorders>
          </w:tcPr>
          <w:p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rsidR="00450C28" w:rsidRDefault="007C2037">
            <w:pPr>
              <w:pStyle w:val="EarlierRepubEntries"/>
            </w:pPr>
            <w:hyperlink r:id="rId962"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R11 (RI)</w:t>
            </w:r>
            <w:r>
              <w:br/>
              <w:t>17 May 2005</w:t>
            </w:r>
          </w:p>
        </w:tc>
        <w:tc>
          <w:tcPr>
            <w:tcW w:w="1681" w:type="dxa"/>
            <w:tcBorders>
              <w:top w:val="single" w:sz="4" w:space="0" w:color="auto"/>
              <w:bottom w:val="single" w:sz="4" w:space="0" w:color="auto"/>
            </w:tcBorders>
          </w:tcPr>
          <w:p w:rsidR="00450C28" w:rsidRDefault="00450C28">
            <w:pPr>
              <w:pStyle w:val="EarlierRepubEntries"/>
            </w:pPr>
            <w:r>
              <w:t>9 Apr 2005–</w:t>
            </w:r>
            <w:r>
              <w:br/>
              <w:t>30 Sept 2005</w:t>
            </w:r>
          </w:p>
        </w:tc>
        <w:tc>
          <w:tcPr>
            <w:tcW w:w="1783" w:type="dxa"/>
            <w:tcBorders>
              <w:top w:val="single" w:sz="4" w:space="0" w:color="auto"/>
              <w:bottom w:val="single" w:sz="4" w:space="0" w:color="auto"/>
            </w:tcBorders>
          </w:tcPr>
          <w:p w:rsidR="00450C28" w:rsidRDefault="007C2037">
            <w:pPr>
              <w:pStyle w:val="EarlierRepubEntries"/>
            </w:pPr>
            <w:hyperlink r:id="rId963" w:tooltip="Court Procedures (Consequential Amendments) Act 2004" w:history="1">
              <w:r w:rsidR="009D74E7" w:rsidRPr="009D74E7">
                <w:rPr>
                  <w:rStyle w:val="charCitHyperlinkAbbrev"/>
                </w:rPr>
                <w:t>A2004</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reissue for retrospective amendments by </w:t>
            </w:r>
            <w:hyperlink r:id="rId964" w:tooltip="Statute Law Amendment Act 2005" w:history="1">
              <w:r w:rsidR="009D74E7" w:rsidRPr="009D74E7">
                <w:rPr>
                  <w:rStyle w:val="charCitHyperlinkAbbrev"/>
                </w:rPr>
                <w:t>A2005</w:t>
              </w:r>
              <w:r w:rsidR="009D74E7" w:rsidRPr="009D74E7">
                <w:rPr>
                  <w:rStyle w:val="charCitHyperlinkAbbrev"/>
                </w:rPr>
                <w:noBreakHyphen/>
                <w:t>20</w:t>
              </w:r>
            </w:hyperlink>
          </w:p>
        </w:tc>
      </w:tr>
      <w:tr w:rsidR="00450C28">
        <w:tc>
          <w:tcPr>
            <w:tcW w:w="1576" w:type="dxa"/>
            <w:tcBorders>
              <w:top w:val="single" w:sz="4" w:space="0" w:color="auto"/>
              <w:bottom w:val="single" w:sz="4" w:space="0" w:color="auto"/>
            </w:tcBorders>
          </w:tcPr>
          <w:p w:rsidR="00450C28" w:rsidRDefault="00450C28">
            <w:pPr>
              <w:pStyle w:val="EarlierRepubEntries"/>
            </w:pPr>
            <w:r>
              <w:t>R12</w:t>
            </w:r>
            <w:r>
              <w:br/>
              <w:t>1 Oct 2005</w:t>
            </w:r>
          </w:p>
        </w:tc>
        <w:tc>
          <w:tcPr>
            <w:tcW w:w="1681" w:type="dxa"/>
            <w:tcBorders>
              <w:top w:val="single" w:sz="4" w:space="0" w:color="auto"/>
              <w:bottom w:val="single" w:sz="4" w:space="0" w:color="auto"/>
            </w:tcBorders>
          </w:tcPr>
          <w:p w:rsidR="00450C28" w:rsidRDefault="00450C28">
            <w:pPr>
              <w:pStyle w:val="EarlierRepubEntries"/>
            </w:pPr>
            <w:r>
              <w:t>1 Oct 2005–</w:t>
            </w:r>
            <w:r>
              <w:br/>
              <w:t>22 Nov 2005</w:t>
            </w:r>
          </w:p>
        </w:tc>
        <w:tc>
          <w:tcPr>
            <w:tcW w:w="1783" w:type="dxa"/>
            <w:tcBorders>
              <w:top w:val="single" w:sz="4" w:space="0" w:color="auto"/>
              <w:bottom w:val="single" w:sz="4" w:space="0" w:color="auto"/>
            </w:tcBorders>
          </w:tcPr>
          <w:p w:rsidR="00450C28" w:rsidRDefault="007C2037">
            <w:pPr>
              <w:pStyle w:val="EarlierRepubEntries"/>
            </w:pPr>
            <w:hyperlink r:id="rId965"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6" w:tooltip="Justice and Community Safety Legislation Amendment Act 2005 (No 3)" w:history="1">
              <w:r w:rsidR="009D74E7" w:rsidRPr="009D74E7">
                <w:rPr>
                  <w:rStyle w:val="charCitHyperlinkAbbrev"/>
                </w:rPr>
                <w:t>A2005</w:t>
              </w:r>
              <w:r w:rsidR="009D74E7" w:rsidRPr="009D74E7">
                <w:rPr>
                  <w:rStyle w:val="charCitHyperlinkAbbrev"/>
                </w:rPr>
                <w:noBreakHyphen/>
                <w:t>43</w:t>
              </w:r>
            </w:hyperlink>
          </w:p>
        </w:tc>
      </w:tr>
      <w:tr w:rsidR="00450C28">
        <w:tc>
          <w:tcPr>
            <w:tcW w:w="1576" w:type="dxa"/>
            <w:tcBorders>
              <w:top w:val="single" w:sz="4" w:space="0" w:color="auto"/>
              <w:bottom w:val="single" w:sz="4" w:space="0" w:color="auto"/>
            </w:tcBorders>
          </w:tcPr>
          <w:p w:rsidR="00450C28" w:rsidRDefault="00450C28">
            <w:pPr>
              <w:pStyle w:val="EarlierRepubEntries"/>
            </w:pPr>
            <w:r>
              <w:t>R13</w:t>
            </w:r>
            <w:r>
              <w:br/>
              <w:t>23 Nov 2005</w:t>
            </w:r>
          </w:p>
        </w:tc>
        <w:tc>
          <w:tcPr>
            <w:tcW w:w="1681" w:type="dxa"/>
            <w:tcBorders>
              <w:top w:val="single" w:sz="4" w:space="0" w:color="auto"/>
              <w:bottom w:val="single" w:sz="4" w:space="0" w:color="auto"/>
            </w:tcBorders>
          </w:tcPr>
          <w:p w:rsidR="00450C28" w:rsidRDefault="00450C28">
            <w:pPr>
              <w:pStyle w:val="EarlierRepubEntries"/>
            </w:pPr>
            <w:r>
              <w:t>23 Nov 2005–</w:t>
            </w:r>
            <w:r>
              <w:br/>
              <w:t>23 Nov 2005</w:t>
            </w:r>
          </w:p>
        </w:tc>
        <w:tc>
          <w:tcPr>
            <w:tcW w:w="1783" w:type="dxa"/>
            <w:tcBorders>
              <w:top w:val="single" w:sz="4" w:space="0" w:color="auto"/>
              <w:bottom w:val="single" w:sz="4" w:space="0" w:color="auto"/>
            </w:tcBorders>
          </w:tcPr>
          <w:p w:rsidR="00450C28" w:rsidRPr="009D74E7" w:rsidRDefault="007C2037">
            <w:pPr>
              <w:pStyle w:val="EarlierRepubEntries"/>
              <w:rPr>
                <w:rStyle w:val="charUnderline"/>
              </w:rPr>
            </w:pPr>
            <w:hyperlink r:id="rId967" w:tooltip="Criminal Code Harmonisation Act 2005" w:history="1">
              <w:r w:rsidR="009D74E7" w:rsidRPr="009D74E7">
                <w:rPr>
                  <w:rStyle w:val="Hyperlink"/>
                </w:rPr>
                <w:t>A2005</w:t>
              </w:r>
              <w:r w:rsidR="009D74E7" w:rsidRPr="009D74E7">
                <w:rPr>
                  <w:rStyle w:val="Hyperlink"/>
                </w:rPr>
                <w:noBreakHyphen/>
                <w:t>54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68" w:tooltip="Criminal Code (Administration of Justice Offences) Amendment Act 2005" w:history="1">
              <w:r w:rsidR="009D74E7" w:rsidRPr="009D74E7">
                <w:rPr>
                  <w:rStyle w:val="charCitHyperlinkAbbrev"/>
                </w:rPr>
                <w:t>A2005</w:t>
              </w:r>
              <w:r w:rsidR="009D74E7" w:rsidRPr="009D74E7">
                <w:rPr>
                  <w:rStyle w:val="charCitHyperlinkAbbrev"/>
                </w:rPr>
                <w:noBreakHyphen/>
                <w:t>53</w:t>
              </w:r>
            </w:hyperlink>
          </w:p>
        </w:tc>
      </w:tr>
      <w:tr w:rsidR="00450C28">
        <w:tc>
          <w:tcPr>
            <w:tcW w:w="1576" w:type="dxa"/>
            <w:tcBorders>
              <w:top w:val="single" w:sz="4" w:space="0" w:color="auto"/>
              <w:bottom w:val="single" w:sz="4" w:space="0" w:color="auto"/>
            </w:tcBorders>
          </w:tcPr>
          <w:p w:rsidR="00450C28" w:rsidRDefault="00450C28">
            <w:pPr>
              <w:pStyle w:val="EarlierRepubEntries"/>
            </w:pPr>
            <w:r>
              <w:t>R14</w:t>
            </w:r>
            <w:r>
              <w:br/>
              <w:t>24 Nov 2005</w:t>
            </w:r>
          </w:p>
        </w:tc>
        <w:tc>
          <w:tcPr>
            <w:tcW w:w="1681" w:type="dxa"/>
            <w:tcBorders>
              <w:top w:val="single" w:sz="4" w:space="0" w:color="auto"/>
              <w:bottom w:val="single" w:sz="4" w:space="0" w:color="auto"/>
            </w:tcBorders>
          </w:tcPr>
          <w:p w:rsidR="00450C28" w:rsidRDefault="00450C28">
            <w:pPr>
              <w:pStyle w:val="EarlierRepubEntries"/>
            </w:pPr>
            <w:r>
              <w:t>24 Nov 2005–</w:t>
            </w:r>
            <w:r>
              <w:br/>
              <w:t>21 Dec 2005</w:t>
            </w:r>
          </w:p>
        </w:tc>
        <w:tc>
          <w:tcPr>
            <w:tcW w:w="1783" w:type="dxa"/>
            <w:tcBorders>
              <w:top w:val="single" w:sz="4" w:space="0" w:color="auto"/>
              <w:bottom w:val="single" w:sz="4" w:space="0" w:color="auto"/>
            </w:tcBorders>
          </w:tcPr>
          <w:p w:rsidR="00450C28" w:rsidRDefault="007C2037">
            <w:pPr>
              <w:pStyle w:val="EarlierRepubEntries"/>
            </w:pPr>
            <w:hyperlink r:id="rId969" w:tooltip="Criminal Code Harmonisation Act 2005" w:history="1">
              <w:r w:rsidR="009D74E7" w:rsidRPr="009D74E7">
                <w:rPr>
                  <w:rStyle w:val="charCitHyperlinkAbbrev"/>
                </w:rPr>
                <w:t>A2005</w:t>
              </w:r>
              <w:r w:rsidR="009D74E7" w:rsidRPr="009D74E7">
                <w:rPr>
                  <w:rStyle w:val="charCitHyperlinkAbbrev"/>
                </w:rPr>
                <w:noBreakHyphen/>
                <w:t>54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70" w:tooltip="Criminal Code Harmonisation Act 2005" w:history="1">
              <w:r w:rsidR="009D74E7" w:rsidRPr="009D74E7">
                <w:rPr>
                  <w:rStyle w:val="charCitHyperlinkAbbrev"/>
                </w:rPr>
                <w:t>A2005</w:t>
              </w:r>
              <w:r w:rsidR="009D74E7" w:rsidRPr="009D74E7">
                <w:rPr>
                  <w:rStyle w:val="charCitHyperlinkAbbrev"/>
                </w:rPr>
                <w:noBreakHyphen/>
                <w:t>54</w:t>
              </w:r>
            </w:hyperlink>
          </w:p>
        </w:tc>
      </w:tr>
      <w:tr w:rsidR="00450C28">
        <w:tc>
          <w:tcPr>
            <w:tcW w:w="1576" w:type="dxa"/>
            <w:tcBorders>
              <w:top w:val="single" w:sz="4" w:space="0" w:color="auto"/>
              <w:bottom w:val="single" w:sz="4" w:space="0" w:color="auto"/>
            </w:tcBorders>
          </w:tcPr>
          <w:p w:rsidR="00450C28" w:rsidRDefault="00450C28">
            <w:pPr>
              <w:pStyle w:val="EarlierRepubEntries"/>
            </w:pPr>
            <w:r>
              <w:t>R15</w:t>
            </w:r>
            <w:r>
              <w:br/>
              <w:t>22 Dec 2005</w:t>
            </w:r>
          </w:p>
        </w:tc>
        <w:tc>
          <w:tcPr>
            <w:tcW w:w="1681" w:type="dxa"/>
            <w:tcBorders>
              <w:top w:val="single" w:sz="4" w:space="0" w:color="auto"/>
              <w:bottom w:val="single" w:sz="4" w:space="0" w:color="auto"/>
            </w:tcBorders>
          </w:tcPr>
          <w:p w:rsidR="00450C28" w:rsidRDefault="00450C28">
            <w:pPr>
              <w:pStyle w:val="EarlierRepubEntries"/>
            </w:pPr>
            <w:r>
              <w:t>22 Dec 2005–</w:t>
            </w:r>
            <w:r>
              <w:br/>
              <w:t>31 Dec 2005</w:t>
            </w:r>
          </w:p>
        </w:tc>
        <w:tc>
          <w:tcPr>
            <w:tcW w:w="1783" w:type="dxa"/>
            <w:tcBorders>
              <w:top w:val="single" w:sz="4" w:space="0" w:color="auto"/>
              <w:bottom w:val="single" w:sz="4" w:space="0" w:color="auto"/>
            </w:tcBorders>
          </w:tcPr>
          <w:p w:rsidR="00450C28" w:rsidRDefault="007C2037">
            <w:pPr>
              <w:pStyle w:val="EarlierRepubEntries"/>
            </w:pPr>
            <w:hyperlink r:id="rId971"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72"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r>
      <w:tr w:rsidR="00450C28">
        <w:trPr>
          <w:cantSplit/>
        </w:trPr>
        <w:tc>
          <w:tcPr>
            <w:tcW w:w="1576" w:type="dxa"/>
            <w:tcBorders>
              <w:top w:val="single" w:sz="4" w:space="0" w:color="auto"/>
              <w:bottom w:val="single" w:sz="4" w:space="0" w:color="auto"/>
            </w:tcBorders>
          </w:tcPr>
          <w:p w:rsidR="00450C28" w:rsidRDefault="00450C28">
            <w:pPr>
              <w:pStyle w:val="EarlierRepubEntries"/>
            </w:pPr>
            <w:r>
              <w:t>R16</w:t>
            </w:r>
            <w:r>
              <w:br/>
              <w:t>1 Jan 2006</w:t>
            </w:r>
          </w:p>
        </w:tc>
        <w:tc>
          <w:tcPr>
            <w:tcW w:w="1681" w:type="dxa"/>
            <w:tcBorders>
              <w:top w:val="single" w:sz="4" w:space="0" w:color="auto"/>
              <w:bottom w:val="single" w:sz="4" w:space="0" w:color="auto"/>
            </w:tcBorders>
          </w:tcPr>
          <w:p w:rsidR="00450C28" w:rsidRDefault="00450C28">
            <w:pPr>
              <w:pStyle w:val="EarlierRepubEntries"/>
            </w:pPr>
            <w:r>
              <w:t>1 Jan 2006–</w:t>
            </w:r>
            <w:r>
              <w:br/>
              <w:t>10 Jan 2006</w:t>
            </w:r>
          </w:p>
        </w:tc>
        <w:tc>
          <w:tcPr>
            <w:tcW w:w="1783" w:type="dxa"/>
            <w:tcBorders>
              <w:top w:val="single" w:sz="4" w:space="0" w:color="auto"/>
              <w:bottom w:val="single" w:sz="4" w:space="0" w:color="auto"/>
            </w:tcBorders>
          </w:tcPr>
          <w:p w:rsidR="00450C28" w:rsidRDefault="007C2037">
            <w:pPr>
              <w:pStyle w:val="EarlierRepubEntries"/>
            </w:pPr>
            <w:hyperlink r:id="rId973"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74" w:tooltip="Residential Tenancies Amendment Act 2004" w:history="1">
              <w:r w:rsidR="009D74E7" w:rsidRPr="009D74E7">
                <w:rPr>
                  <w:rStyle w:val="charCitHyperlinkAbbrev"/>
                </w:rPr>
                <w:t>A2004</w:t>
              </w:r>
              <w:r w:rsidR="009D74E7" w:rsidRPr="009D74E7">
                <w:rPr>
                  <w:rStyle w:val="charCitHyperlinkAbbrev"/>
                </w:rPr>
                <w:noBreakHyphen/>
                <w:t>58</w:t>
              </w:r>
            </w:hyperlink>
            <w:r>
              <w:t xml:space="preserve"> and </w:t>
            </w:r>
            <w:hyperlink r:id="rId975"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tc>
          <w:tcPr>
            <w:tcW w:w="1576" w:type="dxa"/>
            <w:tcBorders>
              <w:top w:val="single" w:sz="4" w:space="0" w:color="auto"/>
              <w:bottom w:val="single" w:sz="4" w:space="0" w:color="auto"/>
            </w:tcBorders>
          </w:tcPr>
          <w:p w:rsidR="00450C28" w:rsidRDefault="00450C28">
            <w:pPr>
              <w:pStyle w:val="EarlierRepubEntries"/>
            </w:pPr>
            <w:r>
              <w:t>R17</w:t>
            </w:r>
            <w:r>
              <w:br/>
              <w:t>11 Jan 2006</w:t>
            </w:r>
          </w:p>
        </w:tc>
        <w:tc>
          <w:tcPr>
            <w:tcW w:w="1681" w:type="dxa"/>
            <w:tcBorders>
              <w:top w:val="single" w:sz="4" w:space="0" w:color="auto"/>
              <w:bottom w:val="single" w:sz="4" w:space="0" w:color="auto"/>
            </w:tcBorders>
          </w:tcPr>
          <w:p w:rsidR="00450C28" w:rsidRDefault="00450C28">
            <w:pPr>
              <w:pStyle w:val="EarlierRepubEntries"/>
            </w:pPr>
            <w:r>
              <w:t>11 Jan 2006–</w:t>
            </w:r>
            <w:r>
              <w:br/>
              <w:t>27 Feb 2006</w:t>
            </w:r>
          </w:p>
        </w:tc>
        <w:tc>
          <w:tcPr>
            <w:tcW w:w="1783" w:type="dxa"/>
            <w:tcBorders>
              <w:top w:val="single" w:sz="4" w:space="0" w:color="auto"/>
              <w:bottom w:val="single" w:sz="4" w:space="0" w:color="auto"/>
            </w:tcBorders>
          </w:tcPr>
          <w:p w:rsidR="00450C28" w:rsidRDefault="007C2037">
            <w:pPr>
              <w:pStyle w:val="EarlierRepubEntries"/>
            </w:pPr>
            <w:hyperlink r:id="rId976"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R18</w:t>
            </w:r>
            <w:r>
              <w:br/>
              <w:t>28 Feb 2006</w:t>
            </w:r>
          </w:p>
        </w:tc>
        <w:tc>
          <w:tcPr>
            <w:tcW w:w="1681" w:type="dxa"/>
            <w:tcBorders>
              <w:top w:val="single" w:sz="4" w:space="0" w:color="auto"/>
              <w:bottom w:val="single" w:sz="4" w:space="0" w:color="auto"/>
            </w:tcBorders>
          </w:tcPr>
          <w:p w:rsidR="00450C28" w:rsidRDefault="00450C28">
            <w:pPr>
              <w:pStyle w:val="EarlierRepubEntries"/>
            </w:pPr>
            <w:r>
              <w:t>28 Feb 2006–</w:t>
            </w:r>
            <w:r>
              <w:br/>
              <w:t>8 Mar 2006</w:t>
            </w:r>
          </w:p>
        </w:tc>
        <w:tc>
          <w:tcPr>
            <w:tcW w:w="1783" w:type="dxa"/>
            <w:tcBorders>
              <w:top w:val="single" w:sz="4" w:space="0" w:color="auto"/>
              <w:bottom w:val="single" w:sz="4" w:space="0" w:color="auto"/>
            </w:tcBorders>
          </w:tcPr>
          <w:p w:rsidR="00450C28" w:rsidRDefault="007C2037">
            <w:pPr>
              <w:pStyle w:val="EarlierRepubEntries"/>
            </w:pPr>
            <w:hyperlink r:id="rId977"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78" w:tooltip="Residential Tenancies Amendment Act 2005" w:history="1">
              <w:r w:rsidR="009D74E7" w:rsidRPr="009D74E7">
                <w:rPr>
                  <w:rStyle w:val="charCitHyperlinkAbbrev"/>
                </w:rPr>
                <w:t>A2005</w:t>
              </w:r>
              <w:r w:rsidR="009D74E7" w:rsidRPr="009D74E7">
                <w:rPr>
                  <w:rStyle w:val="charCitHyperlinkAbbrev"/>
                </w:rPr>
                <w:noBreakHyphen/>
                <w:t>39</w:t>
              </w:r>
            </w:hyperlink>
          </w:p>
        </w:tc>
      </w:tr>
      <w:tr w:rsidR="00450C28">
        <w:tc>
          <w:tcPr>
            <w:tcW w:w="1576" w:type="dxa"/>
            <w:tcBorders>
              <w:top w:val="single" w:sz="4" w:space="0" w:color="auto"/>
              <w:bottom w:val="single" w:sz="4" w:space="0" w:color="auto"/>
            </w:tcBorders>
          </w:tcPr>
          <w:p w:rsidR="00450C28" w:rsidRDefault="00450C28">
            <w:pPr>
              <w:pStyle w:val="EarlierRepubEntries"/>
            </w:pPr>
            <w:r>
              <w:lastRenderedPageBreak/>
              <w:t>R19</w:t>
            </w:r>
            <w:r>
              <w:br/>
              <w:t>9 Mar 2006</w:t>
            </w:r>
          </w:p>
        </w:tc>
        <w:tc>
          <w:tcPr>
            <w:tcW w:w="1681" w:type="dxa"/>
            <w:tcBorders>
              <w:top w:val="single" w:sz="4" w:space="0" w:color="auto"/>
              <w:bottom w:val="single" w:sz="4" w:space="0" w:color="auto"/>
            </w:tcBorders>
          </w:tcPr>
          <w:p w:rsidR="00450C28" w:rsidRDefault="00450C28">
            <w:pPr>
              <w:pStyle w:val="EarlierRepubEntries"/>
            </w:pPr>
            <w:r>
              <w:t>9 Mar 2006–</w:t>
            </w:r>
            <w:r>
              <w:br/>
              <w:t>22 Mar 2006</w:t>
            </w:r>
          </w:p>
        </w:tc>
        <w:tc>
          <w:tcPr>
            <w:tcW w:w="1783" w:type="dxa"/>
            <w:tcBorders>
              <w:top w:val="single" w:sz="4" w:space="0" w:color="auto"/>
              <w:bottom w:val="single" w:sz="4" w:space="0" w:color="auto"/>
            </w:tcBorders>
          </w:tcPr>
          <w:p w:rsidR="00450C28" w:rsidRDefault="007C2037">
            <w:pPr>
              <w:pStyle w:val="EarlierRepubEntries"/>
            </w:pPr>
            <w:hyperlink r:id="rId979"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R20*</w:t>
            </w:r>
            <w:r>
              <w:br/>
              <w:t>23 Mar 2006</w:t>
            </w:r>
          </w:p>
        </w:tc>
        <w:tc>
          <w:tcPr>
            <w:tcW w:w="1681" w:type="dxa"/>
            <w:tcBorders>
              <w:top w:val="single" w:sz="4" w:space="0" w:color="auto"/>
              <w:bottom w:val="single" w:sz="4" w:space="0" w:color="auto"/>
            </w:tcBorders>
          </w:tcPr>
          <w:p w:rsidR="00450C28" w:rsidRDefault="00450C28">
            <w:pPr>
              <w:pStyle w:val="EarlierRepubEntries"/>
            </w:pPr>
            <w:r>
              <w:t>23 Mar 2006–</w:t>
            </w:r>
            <w:r>
              <w:br/>
              <w:t>30 June 2006</w:t>
            </w:r>
          </w:p>
        </w:tc>
        <w:tc>
          <w:tcPr>
            <w:tcW w:w="1783" w:type="dxa"/>
            <w:tcBorders>
              <w:top w:val="single" w:sz="4" w:space="0" w:color="auto"/>
              <w:bottom w:val="single" w:sz="4" w:space="0" w:color="auto"/>
            </w:tcBorders>
          </w:tcPr>
          <w:p w:rsidR="00450C28" w:rsidRDefault="007C2037">
            <w:pPr>
              <w:pStyle w:val="EarlierRepubEntries"/>
            </w:pPr>
            <w:hyperlink r:id="rId980" w:tooltip="Justice and Community Safety Legislation Amendment Act 2005 (No 4)" w:history="1">
              <w:r w:rsidR="009D74E7" w:rsidRPr="009D74E7">
                <w:rPr>
                  <w:rStyle w:val="charCitHyperlinkAbbrev"/>
                </w:rPr>
                <w:t>A2005</w:t>
              </w:r>
              <w:r w:rsidR="009D74E7" w:rsidRPr="009D74E7">
                <w:rPr>
                  <w:rStyle w:val="charCitHyperlinkAbbrev"/>
                </w:rPr>
                <w:noBreakHyphen/>
                <w:t>60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rsidTr="00BF1515">
        <w:trPr>
          <w:cantSplit/>
        </w:trPr>
        <w:tc>
          <w:tcPr>
            <w:tcW w:w="1576" w:type="dxa"/>
            <w:tcBorders>
              <w:top w:val="single" w:sz="4" w:space="0" w:color="auto"/>
              <w:bottom w:val="single" w:sz="4" w:space="0" w:color="auto"/>
            </w:tcBorders>
          </w:tcPr>
          <w:p w:rsidR="00450C28" w:rsidRDefault="00450C28">
            <w:pPr>
              <w:pStyle w:val="EarlierRepubEntries"/>
            </w:pPr>
            <w:r>
              <w:t>R21</w:t>
            </w:r>
            <w:r>
              <w:br/>
              <w:t>1 July 2006</w:t>
            </w:r>
          </w:p>
        </w:tc>
        <w:tc>
          <w:tcPr>
            <w:tcW w:w="1681" w:type="dxa"/>
            <w:tcBorders>
              <w:top w:val="single" w:sz="4" w:space="0" w:color="auto"/>
              <w:bottom w:val="single" w:sz="4" w:space="0" w:color="auto"/>
            </w:tcBorders>
          </w:tcPr>
          <w:p w:rsidR="00450C28" w:rsidRDefault="00450C28">
            <w:pPr>
              <w:pStyle w:val="EarlierRepubEntries"/>
            </w:pPr>
            <w:r>
              <w:t>1 July 2006–</w:t>
            </w:r>
            <w:r>
              <w:br/>
              <w:t>28 Sept 2006</w:t>
            </w:r>
          </w:p>
        </w:tc>
        <w:tc>
          <w:tcPr>
            <w:tcW w:w="1783" w:type="dxa"/>
            <w:tcBorders>
              <w:top w:val="single" w:sz="4" w:space="0" w:color="auto"/>
              <w:bottom w:val="single" w:sz="4" w:space="0" w:color="auto"/>
            </w:tcBorders>
          </w:tcPr>
          <w:p w:rsidR="00450C28" w:rsidRDefault="007C2037">
            <w:pPr>
              <w:pStyle w:val="EarlierRepubEntries"/>
            </w:pPr>
            <w:hyperlink r:id="rId981"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82" w:tooltip="Asbestos Legislation Amendment Act 2006" w:history="1">
              <w:r w:rsidR="009D74E7" w:rsidRPr="009D74E7">
                <w:rPr>
                  <w:rStyle w:val="charCitHyperlinkAbbrev"/>
                </w:rPr>
                <w:t>A2006</w:t>
              </w:r>
              <w:r w:rsidR="009D74E7" w:rsidRPr="009D74E7">
                <w:rPr>
                  <w:rStyle w:val="charCitHyperlinkAbbrev"/>
                </w:rPr>
                <w:noBreakHyphen/>
                <w:t>16</w:t>
              </w:r>
            </w:hyperlink>
            <w:r>
              <w:t xml:space="preserve"> </w:t>
            </w:r>
            <w:r>
              <w:br/>
              <w:t xml:space="preserve">as amended by </w:t>
            </w:r>
            <w:hyperlink r:id="rId983" w:tooltip="Asbestos Legislation Amendment Act 2006 (No 2)" w:history="1">
              <w:r w:rsidR="009D74E7" w:rsidRPr="009D74E7">
                <w:rPr>
                  <w:rStyle w:val="charCitHyperlinkAbbrev"/>
                </w:rPr>
                <w:t>A2006</w:t>
              </w:r>
              <w:r w:rsidR="009D74E7" w:rsidRPr="009D74E7">
                <w:rPr>
                  <w:rStyle w:val="charCitHyperlinkAbbrev"/>
                </w:rPr>
                <w:noBreakHyphen/>
                <w:t>24</w:t>
              </w:r>
            </w:hyperlink>
          </w:p>
        </w:tc>
      </w:tr>
      <w:tr w:rsidR="00450C28" w:rsidTr="004B1135">
        <w:trPr>
          <w:cantSplit/>
        </w:trPr>
        <w:tc>
          <w:tcPr>
            <w:tcW w:w="1576" w:type="dxa"/>
            <w:tcBorders>
              <w:top w:val="single" w:sz="4" w:space="0" w:color="auto"/>
              <w:bottom w:val="single" w:sz="4" w:space="0" w:color="auto"/>
            </w:tcBorders>
          </w:tcPr>
          <w:p w:rsidR="00450C28" w:rsidRDefault="00450C28">
            <w:pPr>
              <w:pStyle w:val="EarlierRepubEntries"/>
            </w:pPr>
            <w:r>
              <w:t>R22</w:t>
            </w:r>
            <w:r>
              <w:br/>
              <w:t>29 Sept 2006</w:t>
            </w:r>
          </w:p>
        </w:tc>
        <w:tc>
          <w:tcPr>
            <w:tcW w:w="1681" w:type="dxa"/>
            <w:tcBorders>
              <w:top w:val="single" w:sz="4" w:space="0" w:color="auto"/>
              <w:bottom w:val="single" w:sz="4" w:space="0" w:color="auto"/>
            </w:tcBorders>
          </w:tcPr>
          <w:p w:rsidR="00450C28" w:rsidRDefault="00450C28">
            <w:pPr>
              <w:pStyle w:val="EarlierRepubEntries"/>
            </w:pPr>
            <w:r>
              <w:t>29 Sept 2006–</w:t>
            </w:r>
            <w:r>
              <w:br/>
              <w:t>18 Oct 2006</w:t>
            </w:r>
          </w:p>
        </w:tc>
        <w:tc>
          <w:tcPr>
            <w:tcW w:w="1783" w:type="dxa"/>
            <w:tcBorders>
              <w:top w:val="single" w:sz="4" w:space="0" w:color="auto"/>
              <w:bottom w:val="single" w:sz="4" w:space="0" w:color="auto"/>
            </w:tcBorders>
          </w:tcPr>
          <w:p w:rsidR="00450C28" w:rsidRPr="009D74E7" w:rsidRDefault="007C2037">
            <w:pPr>
              <w:pStyle w:val="EarlierRepubEntries"/>
              <w:rPr>
                <w:rStyle w:val="charUnderline"/>
              </w:rPr>
            </w:pPr>
            <w:hyperlink r:id="rId984" w:tooltip="Justice and Community Safety Legislation Amendment Act 2006" w:history="1">
              <w:r w:rsidR="009D74E7" w:rsidRPr="009D74E7">
                <w:rPr>
                  <w:rStyle w:val="Hyperlink"/>
                </w:rPr>
                <w:t>A2006</w:t>
              </w:r>
              <w:r w:rsidR="009D74E7" w:rsidRPr="009D74E7">
                <w:rPr>
                  <w:rStyle w:val="Hyperlink"/>
                </w:rPr>
                <w:noBreakHyphen/>
                <w:t>40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85"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tc>
          <w:tcPr>
            <w:tcW w:w="1576" w:type="dxa"/>
            <w:tcBorders>
              <w:top w:val="single" w:sz="4" w:space="0" w:color="auto"/>
              <w:bottom w:val="single" w:sz="4" w:space="0" w:color="auto"/>
            </w:tcBorders>
          </w:tcPr>
          <w:p w:rsidR="00450C28" w:rsidRDefault="00450C28">
            <w:pPr>
              <w:pStyle w:val="EarlierRepubEntries"/>
            </w:pPr>
            <w:r>
              <w:t>R23</w:t>
            </w:r>
            <w:r>
              <w:br/>
              <w:t>19 Oct 2006</w:t>
            </w:r>
          </w:p>
        </w:tc>
        <w:tc>
          <w:tcPr>
            <w:tcW w:w="1681" w:type="dxa"/>
            <w:tcBorders>
              <w:top w:val="single" w:sz="4" w:space="0" w:color="auto"/>
              <w:bottom w:val="single" w:sz="4" w:space="0" w:color="auto"/>
            </w:tcBorders>
          </w:tcPr>
          <w:p w:rsidR="00450C28" w:rsidRDefault="00450C28">
            <w:pPr>
              <w:pStyle w:val="EarlierRepubEntries"/>
            </w:pPr>
            <w:r>
              <w:t>19 Oct 2006–</w:t>
            </w:r>
            <w:r>
              <w:br/>
              <w:t>23 Nov 2006</w:t>
            </w:r>
          </w:p>
        </w:tc>
        <w:tc>
          <w:tcPr>
            <w:tcW w:w="1783" w:type="dxa"/>
            <w:tcBorders>
              <w:top w:val="single" w:sz="4" w:space="0" w:color="auto"/>
              <w:bottom w:val="single" w:sz="4" w:space="0" w:color="auto"/>
            </w:tcBorders>
          </w:tcPr>
          <w:p w:rsidR="00450C28" w:rsidRDefault="007C2037">
            <w:pPr>
              <w:pStyle w:val="EarlierRepubEntries"/>
            </w:pPr>
            <w:hyperlink r:id="rId986"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87"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r>
      <w:tr w:rsidR="00450C28">
        <w:tc>
          <w:tcPr>
            <w:tcW w:w="1576" w:type="dxa"/>
            <w:tcBorders>
              <w:top w:val="single" w:sz="4" w:space="0" w:color="auto"/>
              <w:bottom w:val="single" w:sz="4" w:space="0" w:color="auto"/>
            </w:tcBorders>
          </w:tcPr>
          <w:p w:rsidR="00450C28" w:rsidRDefault="00450C28">
            <w:pPr>
              <w:pStyle w:val="EarlierRepubEntries"/>
            </w:pPr>
            <w:r>
              <w:t>R24</w:t>
            </w:r>
            <w:r>
              <w:br/>
              <w:t>24 Nov 2006</w:t>
            </w:r>
          </w:p>
        </w:tc>
        <w:tc>
          <w:tcPr>
            <w:tcW w:w="1681" w:type="dxa"/>
            <w:tcBorders>
              <w:top w:val="single" w:sz="4" w:space="0" w:color="auto"/>
              <w:bottom w:val="single" w:sz="4" w:space="0" w:color="auto"/>
            </w:tcBorders>
          </w:tcPr>
          <w:p w:rsidR="00450C28" w:rsidRDefault="00450C28">
            <w:pPr>
              <w:pStyle w:val="EarlierRepubEntries"/>
            </w:pPr>
            <w:r>
              <w:t>24 Nov 2006–</w:t>
            </w:r>
            <w:r>
              <w:br/>
              <w:t>1 July 2007</w:t>
            </w:r>
          </w:p>
        </w:tc>
        <w:tc>
          <w:tcPr>
            <w:tcW w:w="1783" w:type="dxa"/>
            <w:tcBorders>
              <w:top w:val="single" w:sz="4" w:space="0" w:color="auto"/>
              <w:bottom w:val="single" w:sz="4" w:space="0" w:color="auto"/>
            </w:tcBorders>
          </w:tcPr>
          <w:p w:rsidR="00450C28" w:rsidRDefault="007C2037">
            <w:pPr>
              <w:pStyle w:val="EarlierRepubEntries"/>
            </w:pPr>
            <w:hyperlink r:id="rId988" w:tooltip="Justice and Community Safety Legislation Amendment Act 2006" w:history="1">
              <w:r w:rsidR="009D74E7" w:rsidRPr="009D74E7">
                <w:rPr>
                  <w:rStyle w:val="charCitHyperlinkAbbrev"/>
                </w:rPr>
                <w:t>A2006</w:t>
              </w:r>
              <w:r w:rsidR="009D74E7" w:rsidRPr="009D74E7">
                <w:rPr>
                  <w:rStyle w:val="charCitHyperlinkAbbrev"/>
                </w:rPr>
                <w:noBreakHyphen/>
                <w:t>40</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R25</w:t>
            </w:r>
            <w:r>
              <w:br/>
              <w:t>2 July 2007</w:t>
            </w:r>
          </w:p>
        </w:tc>
        <w:tc>
          <w:tcPr>
            <w:tcW w:w="1681" w:type="dxa"/>
            <w:tcBorders>
              <w:top w:val="single" w:sz="4" w:space="0" w:color="auto"/>
              <w:bottom w:val="single" w:sz="4" w:space="0" w:color="auto"/>
            </w:tcBorders>
          </w:tcPr>
          <w:p w:rsidR="00450C28" w:rsidRDefault="00450C28">
            <w:pPr>
              <w:pStyle w:val="EarlierRepubEntries"/>
            </w:pPr>
            <w:r>
              <w:t>2 July 2007–</w:t>
            </w:r>
            <w:r>
              <w:br/>
              <w:t>9 Nov 2007</w:t>
            </w:r>
          </w:p>
        </w:tc>
        <w:tc>
          <w:tcPr>
            <w:tcW w:w="1783" w:type="dxa"/>
            <w:tcBorders>
              <w:top w:val="single" w:sz="4" w:space="0" w:color="auto"/>
              <w:bottom w:val="single" w:sz="4" w:space="0" w:color="auto"/>
            </w:tcBorders>
          </w:tcPr>
          <w:p w:rsidR="00450C28" w:rsidRPr="009D74E7" w:rsidRDefault="007C2037">
            <w:pPr>
              <w:pStyle w:val="EarlierRepubEntries"/>
              <w:rPr>
                <w:rStyle w:val="charUnderline"/>
              </w:rPr>
            </w:pPr>
            <w:hyperlink r:id="rId989" w:tooltip="Housing Assistance Act 2007" w:history="1">
              <w:r w:rsidR="009D74E7" w:rsidRPr="009D74E7">
                <w:rPr>
                  <w:rStyle w:val="Hyperlink"/>
                </w:rPr>
                <w:t>A2007</w:t>
              </w:r>
              <w:r w:rsidR="009D74E7" w:rsidRPr="009D74E7">
                <w:rPr>
                  <w:rStyle w:val="Hyperlink"/>
                </w:rPr>
                <w:noBreakHyphen/>
                <w:t>8</w:t>
              </w:r>
            </w:hyperlink>
          </w:p>
        </w:tc>
        <w:tc>
          <w:tcPr>
            <w:tcW w:w="1783" w:type="dxa"/>
            <w:tcBorders>
              <w:top w:val="single" w:sz="4" w:space="0" w:color="auto"/>
              <w:bottom w:val="single" w:sz="4" w:space="0" w:color="auto"/>
            </w:tcBorders>
          </w:tcPr>
          <w:p w:rsidR="00450C28" w:rsidRDefault="00450C28">
            <w:pPr>
              <w:pStyle w:val="EarlierRepubEntries"/>
            </w:pPr>
            <w:r>
              <w:t>commenced expiry</w:t>
            </w:r>
          </w:p>
        </w:tc>
      </w:tr>
      <w:tr w:rsidR="00450C28">
        <w:tc>
          <w:tcPr>
            <w:tcW w:w="1576" w:type="dxa"/>
            <w:tcBorders>
              <w:top w:val="single" w:sz="4" w:space="0" w:color="auto"/>
              <w:bottom w:val="single" w:sz="4" w:space="0" w:color="auto"/>
            </w:tcBorders>
          </w:tcPr>
          <w:p w:rsidR="00450C28" w:rsidRDefault="00450C28">
            <w:pPr>
              <w:pStyle w:val="EarlierRepubEntries"/>
            </w:pPr>
            <w:r>
              <w:t>R26</w:t>
            </w:r>
            <w:r>
              <w:br/>
              <w:t>10 Nov 2007</w:t>
            </w:r>
          </w:p>
        </w:tc>
        <w:tc>
          <w:tcPr>
            <w:tcW w:w="1681" w:type="dxa"/>
            <w:tcBorders>
              <w:top w:val="single" w:sz="4" w:space="0" w:color="auto"/>
              <w:bottom w:val="single" w:sz="4" w:space="0" w:color="auto"/>
            </w:tcBorders>
          </w:tcPr>
          <w:p w:rsidR="00450C28" w:rsidRDefault="00450C28">
            <w:pPr>
              <w:pStyle w:val="EarlierRepubEntries"/>
            </w:pPr>
            <w:r>
              <w:t>10 Nov 2007–</w:t>
            </w:r>
            <w:r>
              <w:br/>
              <w:t>6 May 2007</w:t>
            </w:r>
          </w:p>
        </w:tc>
        <w:tc>
          <w:tcPr>
            <w:tcW w:w="1783" w:type="dxa"/>
            <w:tcBorders>
              <w:top w:val="single" w:sz="4" w:space="0" w:color="auto"/>
              <w:bottom w:val="single" w:sz="4" w:space="0" w:color="auto"/>
            </w:tcBorders>
          </w:tcPr>
          <w:p w:rsidR="00450C28" w:rsidRDefault="007C2037">
            <w:pPr>
              <w:pStyle w:val="EarlierRepubEntries"/>
            </w:pPr>
            <w:hyperlink r:id="rId990" w:tooltip="Housing Assistance Act 2007" w:history="1">
              <w:r w:rsidR="009D74E7" w:rsidRPr="009D74E7">
                <w:rPr>
                  <w:rStyle w:val="charCitHyperlinkAbbrev"/>
                </w:rPr>
                <w:t>A2007</w:t>
              </w:r>
              <w:r w:rsidR="009D74E7" w:rsidRPr="009D74E7">
                <w:rPr>
                  <w:rStyle w:val="charCitHyperlinkAbbrev"/>
                </w:rPr>
                <w:noBreakHyphen/>
                <w:t>8</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91" w:tooltip="Housing Assistance Act 2007" w:history="1">
              <w:r w:rsidR="009D74E7" w:rsidRPr="009D74E7">
                <w:rPr>
                  <w:rStyle w:val="charCitHyperlinkAbbrev"/>
                </w:rPr>
                <w:t>A2007</w:t>
              </w:r>
              <w:r w:rsidR="009D74E7" w:rsidRPr="009D74E7">
                <w:rPr>
                  <w:rStyle w:val="charCitHyperlinkAbbrev"/>
                </w:rPr>
                <w:noBreakHyphen/>
                <w:t>8</w:t>
              </w:r>
            </w:hyperlink>
          </w:p>
        </w:tc>
      </w:tr>
      <w:tr w:rsidR="00450C28">
        <w:tc>
          <w:tcPr>
            <w:tcW w:w="1576" w:type="dxa"/>
            <w:tcBorders>
              <w:top w:val="single" w:sz="4" w:space="0" w:color="auto"/>
              <w:bottom w:val="single" w:sz="4" w:space="0" w:color="auto"/>
            </w:tcBorders>
          </w:tcPr>
          <w:p w:rsidR="00450C28" w:rsidRDefault="00450C28">
            <w:pPr>
              <w:pStyle w:val="EarlierRepubEntries"/>
            </w:pPr>
            <w:r>
              <w:t>R27</w:t>
            </w:r>
            <w:r>
              <w:br/>
              <w:t>7 May 2008</w:t>
            </w:r>
          </w:p>
        </w:tc>
        <w:tc>
          <w:tcPr>
            <w:tcW w:w="1681" w:type="dxa"/>
            <w:tcBorders>
              <w:top w:val="single" w:sz="4" w:space="0" w:color="auto"/>
              <w:bottom w:val="single" w:sz="4" w:space="0" w:color="auto"/>
            </w:tcBorders>
          </w:tcPr>
          <w:p w:rsidR="00450C28" w:rsidRDefault="00450C28">
            <w:pPr>
              <w:pStyle w:val="EarlierRepubEntries"/>
            </w:pPr>
            <w:r>
              <w:t>7 May 2008–</w:t>
            </w:r>
            <w:r>
              <w:br/>
              <w:t>28 July 2008</w:t>
            </w:r>
          </w:p>
        </w:tc>
        <w:tc>
          <w:tcPr>
            <w:tcW w:w="1783" w:type="dxa"/>
            <w:tcBorders>
              <w:top w:val="single" w:sz="4" w:space="0" w:color="auto"/>
              <w:bottom w:val="single" w:sz="4" w:space="0" w:color="auto"/>
            </w:tcBorders>
          </w:tcPr>
          <w:p w:rsidR="00450C28" w:rsidRDefault="007C2037">
            <w:pPr>
              <w:pStyle w:val="EarlierRepubEntries"/>
            </w:pPr>
            <w:hyperlink r:id="rId992"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93" w:tooltip="Justice and Community Safety Legislation Amendment Act 2008" w:history="1">
              <w:r w:rsidR="009D74E7" w:rsidRPr="009D74E7">
                <w:rPr>
                  <w:rStyle w:val="charCitHyperlinkAbbrev"/>
                </w:rPr>
                <w:t>A2008</w:t>
              </w:r>
              <w:r w:rsidR="009D74E7" w:rsidRPr="009D74E7">
                <w:rPr>
                  <w:rStyle w:val="charCitHyperlinkAbbrev"/>
                </w:rPr>
                <w:noBreakHyphen/>
                <w:t>7</w:t>
              </w:r>
            </w:hyperlink>
          </w:p>
        </w:tc>
      </w:tr>
      <w:tr w:rsidR="00450C28">
        <w:tc>
          <w:tcPr>
            <w:tcW w:w="1576" w:type="dxa"/>
            <w:tcBorders>
              <w:top w:val="single" w:sz="4" w:space="0" w:color="auto"/>
              <w:bottom w:val="single" w:sz="4" w:space="0" w:color="auto"/>
            </w:tcBorders>
          </w:tcPr>
          <w:p w:rsidR="00450C28" w:rsidRDefault="00450C28">
            <w:pPr>
              <w:pStyle w:val="EarlierRepubEntries"/>
            </w:pPr>
            <w:r>
              <w:t>R28</w:t>
            </w:r>
            <w:r>
              <w:br/>
              <w:t>29 July 2008</w:t>
            </w:r>
          </w:p>
        </w:tc>
        <w:tc>
          <w:tcPr>
            <w:tcW w:w="1681" w:type="dxa"/>
            <w:tcBorders>
              <w:top w:val="single" w:sz="4" w:space="0" w:color="auto"/>
              <w:bottom w:val="single" w:sz="4" w:space="0" w:color="auto"/>
            </w:tcBorders>
          </w:tcPr>
          <w:p w:rsidR="00450C28" w:rsidRDefault="00450C28">
            <w:pPr>
              <w:pStyle w:val="EarlierRepubEntries"/>
            </w:pPr>
            <w:r>
              <w:t>29 July 2008–</w:t>
            </w:r>
            <w:r>
              <w:br/>
              <w:t>25 Aug 2008</w:t>
            </w:r>
          </w:p>
        </w:tc>
        <w:tc>
          <w:tcPr>
            <w:tcW w:w="1783" w:type="dxa"/>
            <w:tcBorders>
              <w:top w:val="single" w:sz="4" w:space="0" w:color="auto"/>
              <w:bottom w:val="single" w:sz="4" w:space="0" w:color="auto"/>
            </w:tcBorders>
          </w:tcPr>
          <w:p w:rsidR="00450C28" w:rsidRDefault="007C2037">
            <w:pPr>
              <w:pStyle w:val="EarlierRepubEntries"/>
            </w:pPr>
            <w:hyperlink r:id="rId994"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450C28" w:rsidRDefault="00450C28">
            <w:pPr>
              <w:pStyle w:val="EarlierRepubEntries"/>
            </w:pPr>
            <w:r>
              <w:t xml:space="preserve">amendments by </w:t>
            </w:r>
            <w:hyperlink r:id="rId995" w:tooltip="Justice and Community Safety Legislation Amendment Act 2008 (No 2)" w:history="1">
              <w:r w:rsidR="009D74E7" w:rsidRPr="009D74E7">
                <w:rPr>
                  <w:rStyle w:val="charCitHyperlinkAbbrev"/>
                </w:rPr>
                <w:t>A2008</w:t>
              </w:r>
              <w:r w:rsidR="009D74E7" w:rsidRPr="009D74E7">
                <w:rPr>
                  <w:rStyle w:val="charCitHyperlinkAbbrev"/>
                </w:rPr>
                <w:noBreakHyphen/>
                <w:t>22</w:t>
              </w:r>
            </w:hyperlink>
          </w:p>
        </w:tc>
      </w:tr>
      <w:tr w:rsidR="00B11736">
        <w:tc>
          <w:tcPr>
            <w:tcW w:w="1576" w:type="dxa"/>
            <w:tcBorders>
              <w:top w:val="single" w:sz="4" w:space="0" w:color="auto"/>
              <w:bottom w:val="single" w:sz="4" w:space="0" w:color="auto"/>
            </w:tcBorders>
          </w:tcPr>
          <w:p w:rsidR="00B11736" w:rsidRDefault="00B11736">
            <w:pPr>
              <w:pStyle w:val="EarlierRepubEntries"/>
            </w:pPr>
            <w:r>
              <w:t>R29</w:t>
            </w:r>
            <w:r>
              <w:br/>
              <w:t>26 Aug 2008</w:t>
            </w:r>
          </w:p>
        </w:tc>
        <w:tc>
          <w:tcPr>
            <w:tcW w:w="1681" w:type="dxa"/>
            <w:tcBorders>
              <w:top w:val="single" w:sz="4" w:space="0" w:color="auto"/>
              <w:bottom w:val="single" w:sz="4" w:space="0" w:color="auto"/>
            </w:tcBorders>
          </w:tcPr>
          <w:p w:rsidR="00B11736" w:rsidRDefault="00B11736">
            <w:pPr>
              <w:pStyle w:val="EarlierRepubEntries"/>
            </w:pPr>
            <w:r>
              <w:t>26 Aug 208–</w:t>
            </w:r>
            <w:r>
              <w:br/>
              <w:t>1 Feb 2009</w:t>
            </w:r>
          </w:p>
        </w:tc>
        <w:tc>
          <w:tcPr>
            <w:tcW w:w="1783" w:type="dxa"/>
            <w:tcBorders>
              <w:top w:val="single" w:sz="4" w:space="0" w:color="auto"/>
              <w:bottom w:val="single" w:sz="4" w:space="0" w:color="auto"/>
            </w:tcBorders>
          </w:tcPr>
          <w:p w:rsidR="00B11736" w:rsidRDefault="007C2037">
            <w:pPr>
              <w:pStyle w:val="EarlierRepubEntries"/>
            </w:pPr>
            <w:hyperlink r:id="rId996" w:tooltip="Statute Law Amendment Act 2008" w:history="1">
              <w:r w:rsidR="009D74E7" w:rsidRPr="009D74E7">
                <w:rPr>
                  <w:rStyle w:val="charCitHyperlinkAbbrev"/>
                </w:rPr>
                <w:t>A2008</w:t>
              </w:r>
              <w:r w:rsidR="009D74E7" w:rsidRPr="009D74E7">
                <w:rPr>
                  <w:rStyle w:val="charCitHyperlinkAbbrev"/>
                </w:rPr>
                <w:noBreakHyphen/>
                <w:t>28</w:t>
              </w:r>
            </w:hyperlink>
          </w:p>
        </w:tc>
        <w:tc>
          <w:tcPr>
            <w:tcW w:w="1783" w:type="dxa"/>
            <w:tcBorders>
              <w:top w:val="single" w:sz="4" w:space="0" w:color="auto"/>
              <w:bottom w:val="single" w:sz="4" w:space="0" w:color="auto"/>
            </w:tcBorders>
          </w:tcPr>
          <w:p w:rsidR="00B11736" w:rsidRDefault="00B11736">
            <w:pPr>
              <w:pStyle w:val="EarlierRepubEntries"/>
            </w:pPr>
            <w:r>
              <w:t xml:space="preserve">amendments by </w:t>
            </w:r>
            <w:hyperlink r:id="rId997" w:tooltip="Statute Law Amendment Act 2008" w:history="1">
              <w:r w:rsidR="009D74E7" w:rsidRPr="009D74E7">
                <w:rPr>
                  <w:rStyle w:val="charCitHyperlinkAbbrev"/>
                </w:rPr>
                <w:t>A2008</w:t>
              </w:r>
              <w:r w:rsidR="009D74E7" w:rsidRPr="009D74E7">
                <w:rPr>
                  <w:rStyle w:val="charCitHyperlinkAbbrev"/>
                </w:rPr>
                <w:noBreakHyphen/>
                <w:t>28</w:t>
              </w:r>
            </w:hyperlink>
          </w:p>
        </w:tc>
      </w:tr>
      <w:tr w:rsidR="0018595A">
        <w:tc>
          <w:tcPr>
            <w:tcW w:w="1576" w:type="dxa"/>
            <w:tcBorders>
              <w:top w:val="single" w:sz="4" w:space="0" w:color="auto"/>
              <w:bottom w:val="single" w:sz="4" w:space="0" w:color="auto"/>
            </w:tcBorders>
          </w:tcPr>
          <w:p w:rsidR="0018595A" w:rsidRDefault="0018595A">
            <w:pPr>
              <w:pStyle w:val="EarlierRepubEntries"/>
            </w:pPr>
            <w:r>
              <w:t>R30*</w:t>
            </w:r>
            <w:r>
              <w:br/>
              <w:t>2 Feb 2009</w:t>
            </w:r>
          </w:p>
        </w:tc>
        <w:tc>
          <w:tcPr>
            <w:tcW w:w="1681" w:type="dxa"/>
            <w:tcBorders>
              <w:top w:val="single" w:sz="4" w:space="0" w:color="auto"/>
              <w:bottom w:val="single" w:sz="4" w:space="0" w:color="auto"/>
            </w:tcBorders>
          </w:tcPr>
          <w:p w:rsidR="0018595A" w:rsidRDefault="0018595A">
            <w:pPr>
              <w:pStyle w:val="EarlierRepubEntries"/>
            </w:pPr>
            <w:r>
              <w:t>2 Feb 2009–</w:t>
            </w:r>
            <w:r>
              <w:br/>
              <w:t>5 Mar 2009</w:t>
            </w:r>
          </w:p>
        </w:tc>
        <w:tc>
          <w:tcPr>
            <w:tcW w:w="1783" w:type="dxa"/>
            <w:tcBorders>
              <w:top w:val="single" w:sz="4" w:space="0" w:color="auto"/>
              <w:bottom w:val="single" w:sz="4" w:space="0" w:color="auto"/>
            </w:tcBorders>
          </w:tcPr>
          <w:p w:rsidR="0018595A" w:rsidRDefault="007C2037">
            <w:pPr>
              <w:pStyle w:val="EarlierRepubEntries"/>
            </w:pPr>
            <w:hyperlink r:id="rId998"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c>
          <w:tcPr>
            <w:tcW w:w="1783" w:type="dxa"/>
            <w:tcBorders>
              <w:top w:val="single" w:sz="4" w:space="0" w:color="auto"/>
              <w:bottom w:val="single" w:sz="4" w:space="0" w:color="auto"/>
            </w:tcBorders>
          </w:tcPr>
          <w:p w:rsidR="0018595A" w:rsidRDefault="0018595A">
            <w:pPr>
              <w:pStyle w:val="EarlierRepubEntries"/>
            </w:pPr>
            <w:r>
              <w:t xml:space="preserve">amendments by </w:t>
            </w:r>
            <w:hyperlink r:id="rId999" w:tooltip="ACT Civil and Administrative Tribunal Legislation Amendment Act 2008" w:history="1">
              <w:r w:rsidR="009D74E7" w:rsidRPr="009D74E7">
                <w:rPr>
                  <w:rStyle w:val="charCitHyperlinkAbbrev"/>
                </w:rPr>
                <w:t>A2008</w:t>
              </w:r>
              <w:r w:rsidR="009D74E7" w:rsidRPr="009D74E7">
                <w:rPr>
                  <w:rStyle w:val="charCitHyperlinkAbbrev"/>
                </w:rPr>
                <w:noBreakHyphen/>
                <w:t>36</w:t>
              </w:r>
            </w:hyperlink>
            <w:r>
              <w:t xml:space="preserve"> and </w:t>
            </w:r>
            <w:hyperlink r:id="rId1000" w:tooltip="ACT Civil and Administrative Tribunal Legislation Amendment Act 2008 (No 2)" w:history="1">
              <w:r w:rsidR="009D74E7" w:rsidRPr="009D74E7">
                <w:rPr>
                  <w:rStyle w:val="charCitHyperlinkAbbrev"/>
                </w:rPr>
                <w:t>A2008</w:t>
              </w:r>
              <w:r w:rsidR="009D74E7" w:rsidRPr="009D74E7">
                <w:rPr>
                  <w:rStyle w:val="charCitHyperlinkAbbrev"/>
                </w:rPr>
                <w:noBreakHyphen/>
                <w:t>37</w:t>
              </w:r>
            </w:hyperlink>
          </w:p>
        </w:tc>
      </w:tr>
      <w:tr w:rsidR="006D0E86">
        <w:tc>
          <w:tcPr>
            <w:tcW w:w="1576" w:type="dxa"/>
            <w:tcBorders>
              <w:top w:val="single" w:sz="4" w:space="0" w:color="auto"/>
              <w:bottom w:val="single" w:sz="4" w:space="0" w:color="auto"/>
            </w:tcBorders>
          </w:tcPr>
          <w:p w:rsidR="006D0E86" w:rsidRDefault="006D0E86">
            <w:pPr>
              <w:pStyle w:val="EarlierRepubEntries"/>
            </w:pPr>
            <w:r>
              <w:t>R31</w:t>
            </w:r>
            <w:r>
              <w:br/>
              <w:t>6 Mar 2009</w:t>
            </w:r>
          </w:p>
        </w:tc>
        <w:tc>
          <w:tcPr>
            <w:tcW w:w="1681" w:type="dxa"/>
            <w:tcBorders>
              <w:top w:val="single" w:sz="4" w:space="0" w:color="auto"/>
              <w:bottom w:val="single" w:sz="4" w:space="0" w:color="auto"/>
            </w:tcBorders>
          </w:tcPr>
          <w:p w:rsidR="006D0E86" w:rsidRDefault="006D0E86">
            <w:pPr>
              <w:pStyle w:val="EarlierRepubEntries"/>
            </w:pPr>
            <w:r>
              <w:t>6 Mar 2009–</w:t>
            </w:r>
            <w:r>
              <w:br/>
              <w:t>6 Mar 2009</w:t>
            </w:r>
          </w:p>
        </w:tc>
        <w:tc>
          <w:tcPr>
            <w:tcW w:w="1783" w:type="dxa"/>
            <w:tcBorders>
              <w:top w:val="single" w:sz="4" w:space="0" w:color="auto"/>
              <w:bottom w:val="single" w:sz="4" w:space="0" w:color="auto"/>
            </w:tcBorders>
          </w:tcPr>
          <w:p w:rsidR="006D0E86" w:rsidRDefault="007C2037">
            <w:pPr>
              <w:pStyle w:val="EarlierRepubEntries"/>
            </w:pPr>
            <w:hyperlink r:id="rId1001"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6D0E86" w:rsidRDefault="006D0E86">
            <w:pPr>
              <w:pStyle w:val="EarlierRepubEntries"/>
            </w:pPr>
            <w:r>
              <w:t xml:space="preserve">amendments by </w:t>
            </w:r>
            <w:hyperlink r:id="rId1002"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r>
      <w:tr w:rsidR="00D83802">
        <w:tc>
          <w:tcPr>
            <w:tcW w:w="1576" w:type="dxa"/>
            <w:tcBorders>
              <w:top w:val="single" w:sz="4" w:space="0" w:color="auto"/>
              <w:bottom w:val="single" w:sz="4" w:space="0" w:color="auto"/>
            </w:tcBorders>
          </w:tcPr>
          <w:p w:rsidR="00D83802" w:rsidRDefault="00D83802">
            <w:pPr>
              <w:pStyle w:val="EarlierRepubEntries"/>
            </w:pPr>
            <w:r>
              <w:t>R32</w:t>
            </w:r>
            <w:r>
              <w:br/>
              <w:t>7 Mar 2009</w:t>
            </w:r>
          </w:p>
        </w:tc>
        <w:tc>
          <w:tcPr>
            <w:tcW w:w="1681" w:type="dxa"/>
            <w:tcBorders>
              <w:top w:val="single" w:sz="4" w:space="0" w:color="auto"/>
              <w:bottom w:val="single" w:sz="4" w:space="0" w:color="auto"/>
            </w:tcBorders>
          </w:tcPr>
          <w:p w:rsidR="00D83802" w:rsidRDefault="00D83802">
            <w:pPr>
              <w:pStyle w:val="EarlierRepubEntries"/>
            </w:pPr>
            <w:r>
              <w:t>7 Mar 2009–</w:t>
            </w:r>
            <w:r>
              <w:br/>
              <w:t>28 Sept 2009</w:t>
            </w:r>
          </w:p>
        </w:tc>
        <w:tc>
          <w:tcPr>
            <w:tcW w:w="1783" w:type="dxa"/>
            <w:tcBorders>
              <w:top w:val="single" w:sz="4" w:space="0" w:color="auto"/>
              <w:bottom w:val="single" w:sz="4" w:space="0" w:color="auto"/>
            </w:tcBorders>
          </w:tcPr>
          <w:p w:rsidR="00D83802" w:rsidRDefault="007C2037">
            <w:pPr>
              <w:pStyle w:val="EarlierRepubEntries"/>
            </w:pPr>
            <w:hyperlink r:id="rId1003" w:tooltip="Justice and Community Safety Legislation Amendment Act 2009" w:history="1">
              <w:r w:rsidR="009D74E7" w:rsidRPr="009D74E7">
                <w:rPr>
                  <w:rStyle w:val="charCitHyperlinkAbbrev"/>
                </w:rPr>
                <w:t>A2009</w:t>
              </w:r>
              <w:r w:rsidR="009D74E7" w:rsidRPr="009D74E7">
                <w:rPr>
                  <w:rStyle w:val="charCitHyperlinkAbbrev"/>
                </w:rPr>
                <w:noBreakHyphen/>
                <w:t>7</w:t>
              </w:r>
            </w:hyperlink>
          </w:p>
        </w:tc>
        <w:tc>
          <w:tcPr>
            <w:tcW w:w="1783" w:type="dxa"/>
            <w:tcBorders>
              <w:top w:val="single" w:sz="4" w:space="0" w:color="auto"/>
              <w:bottom w:val="single" w:sz="4" w:space="0" w:color="auto"/>
            </w:tcBorders>
          </w:tcPr>
          <w:p w:rsidR="00D83802" w:rsidRDefault="00D83802">
            <w:pPr>
              <w:pStyle w:val="EarlierRepubEntries"/>
            </w:pPr>
            <w:r>
              <w:t>commenced expiry</w:t>
            </w:r>
          </w:p>
        </w:tc>
      </w:tr>
      <w:tr w:rsidR="008B6365">
        <w:tc>
          <w:tcPr>
            <w:tcW w:w="1576" w:type="dxa"/>
            <w:tcBorders>
              <w:top w:val="single" w:sz="4" w:space="0" w:color="auto"/>
              <w:bottom w:val="single" w:sz="4" w:space="0" w:color="auto"/>
            </w:tcBorders>
          </w:tcPr>
          <w:p w:rsidR="008B6365" w:rsidRDefault="008B6365">
            <w:pPr>
              <w:pStyle w:val="EarlierRepubEntries"/>
            </w:pPr>
            <w:r>
              <w:t>R33</w:t>
            </w:r>
            <w:r>
              <w:br/>
              <w:t>29 Sept 2009</w:t>
            </w:r>
          </w:p>
        </w:tc>
        <w:tc>
          <w:tcPr>
            <w:tcW w:w="1681" w:type="dxa"/>
            <w:tcBorders>
              <w:top w:val="single" w:sz="4" w:space="0" w:color="auto"/>
              <w:bottom w:val="single" w:sz="4" w:space="0" w:color="auto"/>
            </w:tcBorders>
          </w:tcPr>
          <w:p w:rsidR="008B6365" w:rsidRDefault="008B6365">
            <w:pPr>
              <w:pStyle w:val="EarlierRepubEntries"/>
            </w:pPr>
            <w:r>
              <w:t>29 Sept 2009–</w:t>
            </w:r>
            <w:r>
              <w:br/>
              <w:t>21 Dec 2009</w:t>
            </w:r>
          </w:p>
        </w:tc>
        <w:tc>
          <w:tcPr>
            <w:tcW w:w="1783" w:type="dxa"/>
            <w:tcBorders>
              <w:top w:val="single" w:sz="4" w:space="0" w:color="auto"/>
              <w:bottom w:val="single" w:sz="4" w:space="0" w:color="auto"/>
            </w:tcBorders>
          </w:tcPr>
          <w:p w:rsidR="008B6365" w:rsidRDefault="007C2037">
            <w:pPr>
              <w:pStyle w:val="EarlierRepubEntries"/>
            </w:pPr>
            <w:hyperlink r:id="rId1004"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c>
          <w:tcPr>
            <w:tcW w:w="1783" w:type="dxa"/>
            <w:tcBorders>
              <w:top w:val="single" w:sz="4" w:space="0" w:color="auto"/>
              <w:bottom w:val="single" w:sz="4" w:space="0" w:color="auto"/>
            </w:tcBorders>
          </w:tcPr>
          <w:p w:rsidR="008B6365" w:rsidRDefault="008B6365">
            <w:pPr>
              <w:pStyle w:val="EarlierRepubEntries"/>
            </w:pPr>
            <w:r>
              <w:t xml:space="preserve">amendments by </w:t>
            </w:r>
            <w:hyperlink r:id="rId1005" w:tooltip="Justice and Community Safety Legislation Amendment Act 2009 (No 2)" w:history="1">
              <w:r w:rsidR="009D74E7" w:rsidRPr="009D74E7">
                <w:rPr>
                  <w:rStyle w:val="charCitHyperlinkAbbrev"/>
                </w:rPr>
                <w:t>A2009</w:t>
              </w:r>
              <w:r w:rsidR="009D74E7" w:rsidRPr="009D74E7">
                <w:rPr>
                  <w:rStyle w:val="charCitHyperlinkAbbrev"/>
                </w:rPr>
                <w:noBreakHyphen/>
                <w:t>19</w:t>
              </w:r>
            </w:hyperlink>
          </w:p>
        </w:tc>
      </w:tr>
      <w:tr w:rsidR="00143664" w:rsidTr="00832FF0">
        <w:trPr>
          <w:cantSplit/>
        </w:trPr>
        <w:tc>
          <w:tcPr>
            <w:tcW w:w="1576" w:type="dxa"/>
            <w:tcBorders>
              <w:top w:val="single" w:sz="4" w:space="0" w:color="auto"/>
              <w:bottom w:val="single" w:sz="4" w:space="0" w:color="auto"/>
            </w:tcBorders>
          </w:tcPr>
          <w:p w:rsidR="00143664" w:rsidRDefault="00143664">
            <w:pPr>
              <w:pStyle w:val="EarlierRepubEntries"/>
            </w:pPr>
            <w:r>
              <w:lastRenderedPageBreak/>
              <w:t>R34</w:t>
            </w:r>
            <w:r>
              <w:br/>
              <w:t>22 Dec 2009</w:t>
            </w:r>
          </w:p>
        </w:tc>
        <w:tc>
          <w:tcPr>
            <w:tcW w:w="1681" w:type="dxa"/>
            <w:tcBorders>
              <w:top w:val="single" w:sz="4" w:space="0" w:color="auto"/>
              <w:bottom w:val="single" w:sz="4" w:space="0" w:color="auto"/>
            </w:tcBorders>
          </w:tcPr>
          <w:p w:rsidR="00143664" w:rsidRDefault="00143664">
            <w:pPr>
              <w:pStyle w:val="EarlierRepubEntries"/>
            </w:pPr>
            <w:r>
              <w:t>22 Dec 2009–</w:t>
            </w:r>
            <w:r>
              <w:br/>
              <w:t>28 Feb 2011</w:t>
            </w:r>
          </w:p>
        </w:tc>
        <w:tc>
          <w:tcPr>
            <w:tcW w:w="1783" w:type="dxa"/>
            <w:tcBorders>
              <w:top w:val="single" w:sz="4" w:space="0" w:color="auto"/>
              <w:bottom w:val="single" w:sz="4" w:space="0" w:color="auto"/>
            </w:tcBorders>
          </w:tcPr>
          <w:p w:rsidR="00143664" w:rsidRDefault="007C2037">
            <w:pPr>
              <w:pStyle w:val="EarlierRepubEntries"/>
            </w:pPr>
            <w:hyperlink r:id="rId1006"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c>
          <w:tcPr>
            <w:tcW w:w="1783" w:type="dxa"/>
            <w:tcBorders>
              <w:top w:val="single" w:sz="4" w:space="0" w:color="auto"/>
              <w:bottom w:val="single" w:sz="4" w:space="0" w:color="auto"/>
            </w:tcBorders>
          </w:tcPr>
          <w:p w:rsidR="00143664" w:rsidRDefault="00143664">
            <w:pPr>
              <w:pStyle w:val="EarlierRepubEntries"/>
            </w:pPr>
            <w:r>
              <w:t xml:space="preserve">amendments by </w:t>
            </w:r>
            <w:hyperlink r:id="rId1007" w:tooltip="Justice and Community Safety Legislation Amendment Act 2009 (No 3)" w:history="1">
              <w:r w:rsidR="009D74E7" w:rsidRPr="009D74E7">
                <w:rPr>
                  <w:rStyle w:val="charCitHyperlinkAbbrev"/>
                </w:rPr>
                <w:t>A2009</w:t>
              </w:r>
              <w:r w:rsidR="009D74E7" w:rsidRPr="009D74E7">
                <w:rPr>
                  <w:rStyle w:val="charCitHyperlinkAbbrev"/>
                </w:rPr>
                <w:noBreakHyphen/>
                <w:t>44</w:t>
              </w:r>
            </w:hyperlink>
          </w:p>
        </w:tc>
      </w:tr>
      <w:tr w:rsidR="00EE3191">
        <w:tc>
          <w:tcPr>
            <w:tcW w:w="1576" w:type="dxa"/>
            <w:tcBorders>
              <w:top w:val="single" w:sz="4" w:space="0" w:color="auto"/>
              <w:bottom w:val="single" w:sz="4" w:space="0" w:color="auto"/>
            </w:tcBorders>
          </w:tcPr>
          <w:p w:rsidR="00EE3191" w:rsidRDefault="00EE3191">
            <w:pPr>
              <w:pStyle w:val="EarlierRepubEntries"/>
            </w:pPr>
            <w:r>
              <w:t>R35</w:t>
            </w:r>
            <w:r w:rsidR="002F3E29">
              <w:t>*</w:t>
            </w:r>
            <w:r>
              <w:br/>
              <w:t>1 Mar 2011</w:t>
            </w:r>
          </w:p>
        </w:tc>
        <w:tc>
          <w:tcPr>
            <w:tcW w:w="1681" w:type="dxa"/>
            <w:tcBorders>
              <w:top w:val="single" w:sz="4" w:space="0" w:color="auto"/>
              <w:bottom w:val="single" w:sz="4" w:space="0" w:color="auto"/>
            </w:tcBorders>
          </w:tcPr>
          <w:p w:rsidR="00EE3191" w:rsidRDefault="00EE3191">
            <w:pPr>
              <w:pStyle w:val="EarlierRepubEntries"/>
            </w:pPr>
            <w:r>
              <w:t>1 Mar 2011–</w:t>
            </w:r>
            <w:r>
              <w:br/>
              <w:t>30 June 2011</w:t>
            </w:r>
          </w:p>
        </w:tc>
        <w:tc>
          <w:tcPr>
            <w:tcW w:w="1783" w:type="dxa"/>
            <w:tcBorders>
              <w:top w:val="single" w:sz="4" w:space="0" w:color="auto"/>
              <w:bottom w:val="single" w:sz="4" w:space="0" w:color="auto"/>
            </w:tcBorders>
          </w:tcPr>
          <w:p w:rsidR="00EE3191" w:rsidRDefault="007C2037">
            <w:pPr>
              <w:pStyle w:val="EarlierRepubEntries"/>
            </w:pPr>
            <w:hyperlink r:id="rId1008"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c>
          <w:tcPr>
            <w:tcW w:w="1783" w:type="dxa"/>
            <w:tcBorders>
              <w:top w:val="single" w:sz="4" w:space="0" w:color="auto"/>
              <w:bottom w:val="single" w:sz="4" w:space="0" w:color="auto"/>
            </w:tcBorders>
          </w:tcPr>
          <w:p w:rsidR="00EE3191" w:rsidRDefault="00EE3191">
            <w:pPr>
              <w:pStyle w:val="EarlierRepubEntries"/>
            </w:pPr>
            <w:r>
              <w:t xml:space="preserve">amendments by </w:t>
            </w:r>
            <w:hyperlink r:id="rId1009" w:tooltip="Construction Occupations Legislation Amendment Act 2010 (No 2)" w:history="1">
              <w:r w:rsidR="009D74E7" w:rsidRPr="009D74E7">
                <w:rPr>
                  <w:rStyle w:val="charCitHyperlinkAbbrev"/>
                </w:rPr>
                <w:t>A2010</w:t>
              </w:r>
              <w:r w:rsidR="009D74E7" w:rsidRPr="009D74E7">
                <w:rPr>
                  <w:rStyle w:val="charCitHyperlinkAbbrev"/>
                </w:rPr>
                <w:noBreakHyphen/>
                <w:t>32</w:t>
              </w:r>
            </w:hyperlink>
          </w:p>
        </w:tc>
      </w:tr>
      <w:tr w:rsidR="009176A3">
        <w:tc>
          <w:tcPr>
            <w:tcW w:w="1576" w:type="dxa"/>
            <w:tcBorders>
              <w:top w:val="single" w:sz="4" w:space="0" w:color="auto"/>
              <w:bottom w:val="single" w:sz="4" w:space="0" w:color="auto"/>
            </w:tcBorders>
          </w:tcPr>
          <w:p w:rsidR="009176A3" w:rsidRDefault="009176A3">
            <w:pPr>
              <w:pStyle w:val="EarlierRepubEntries"/>
            </w:pPr>
            <w:r>
              <w:t>R36</w:t>
            </w:r>
            <w:r>
              <w:br/>
              <w:t>1 July 2011</w:t>
            </w:r>
          </w:p>
        </w:tc>
        <w:tc>
          <w:tcPr>
            <w:tcW w:w="1681" w:type="dxa"/>
            <w:tcBorders>
              <w:top w:val="single" w:sz="4" w:space="0" w:color="auto"/>
              <w:bottom w:val="single" w:sz="4" w:space="0" w:color="auto"/>
            </w:tcBorders>
          </w:tcPr>
          <w:p w:rsidR="009176A3" w:rsidRDefault="009176A3">
            <w:pPr>
              <w:pStyle w:val="EarlierRepubEntries"/>
            </w:pPr>
            <w:r>
              <w:t>1 July 2011–</w:t>
            </w:r>
            <w:r>
              <w:br/>
              <w:t>20 Sept 2011</w:t>
            </w:r>
          </w:p>
        </w:tc>
        <w:tc>
          <w:tcPr>
            <w:tcW w:w="1783" w:type="dxa"/>
            <w:tcBorders>
              <w:top w:val="single" w:sz="4" w:space="0" w:color="auto"/>
              <w:bottom w:val="single" w:sz="4" w:space="0" w:color="auto"/>
            </w:tcBorders>
          </w:tcPr>
          <w:p w:rsidR="009176A3" w:rsidRDefault="007C2037">
            <w:pPr>
              <w:pStyle w:val="EarlierRepubEntries"/>
            </w:pPr>
            <w:hyperlink r:id="rId1010"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c>
          <w:tcPr>
            <w:tcW w:w="1783" w:type="dxa"/>
            <w:tcBorders>
              <w:top w:val="single" w:sz="4" w:space="0" w:color="auto"/>
              <w:bottom w:val="single" w:sz="4" w:space="0" w:color="auto"/>
            </w:tcBorders>
          </w:tcPr>
          <w:p w:rsidR="009176A3" w:rsidRDefault="009176A3">
            <w:pPr>
              <w:pStyle w:val="EarlierRepubEntries"/>
            </w:pPr>
            <w:r>
              <w:t xml:space="preserve">amendments by </w:t>
            </w:r>
            <w:hyperlink r:id="rId1011" w:tooltip="Administrative (One ACT Public Service Miscellaneous Amendments) Act 2011" w:history="1">
              <w:r w:rsidR="009D74E7" w:rsidRPr="009D74E7">
                <w:rPr>
                  <w:rStyle w:val="charCitHyperlinkAbbrev"/>
                </w:rPr>
                <w:t>A2011</w:t>
              </w:r>
              <w:r w:rsidR="009D74E7" w:rsidRPr="009D74E7">
                <w:rPr>
                  <w:rStyle w:val="charCitHyperlinkAbbrev"/>
                </w:rPr>
                <w:noBreakHyphen/>
                <w:t>22</w:t>
              </w:r>
            </w:hyperlink>
          </w:p>
        </w:tc>
      </w:tr>
      <w:tr w:rsidR="00464171">
        <w:tc>
          <w:tcPr>
            <w:tcW w:w="1576" w:type="dxa"/>
            <w:tcBorders>
              <w:top w:val="single" w:sz="4" w:space="0" w:color="auto"/>
              <w:bottom w:val="single" w:sz="4" w:space="0" w:color="auto"/>
            </w:tcBorders>
          </w:tcPr>
          <w:p w:rsidR="00464171" w:rsidRDefault="00464171">
            <w:pPr>
              <w:pStyle w:val="EarlierRepubEntries"/>
            </w:pPr>
            <w:r>
              <w:t>R37</w:t>
            </w:r>
            <w:r>
              <w:br/>
              <w:t>21 Sept 2011</w:t>
            </w:r>
          </w:p>
        </w:tc>
        <w:tc>
          <w:tcPr>
            <w:tcW w:w="1681" w:type="dxa"/>
            <w:tcBorders>
              <w:top w:val="single" w:sz="4" w:space="0" w:color="auto"/>
              <w:bottom w:val="single" w:sz="4" w:space="0" w:color="auto"/>
            </w:tcBorders>
          </w:tcPr>
          <w:p w:rsidR="00464171" w:rsidRDefault="00464171">
            <w:pPr>
              <w:pStyle w:val="EarlierRepubEntries"/>
            </w:pPr>
            <w:r>
              <w:t>21 Sept 2011–</w:t>
            </w:r>
            <w:r>
              <w:br/>
              <w:t>28 Feb 2012</w:t>
            </w:r>
          </w:p>
        </w:tc>
        <w:tc>
          <w:tcPr>
            <w:tcW w:w="1783" w:type="dxa"/>
            <w:tcBorders>
              <w:top w:val="single" w:sz="4" w:space="0" w:color="auto"/>
              <w:bottom w:val="single" w:sz="4" w:space="0" w:color="auto"/>
            </w:tcBorders>
          </w:tcPr>
          <w:p w:rsidR="00464171" w:rsidRDefault="007C2037">
            <w:pPr>
              <w:pStyle w:val="EarlierRepubEntries"/>
            </w:pPr>
            <w:hyperlink r:id="rId1012" w:tooltip="Statute Law Amendment Act 2011 (No 2)" w:history="1">
              <w:r w:rsidR="009D74E7" w:rsidRPr="009D74E7">
                <w:rPr>
                  <w:rStyle w:val="charCitHyperlinkAbbrev"/>
                </w:rPr>
                <w:t>A2011</w:t>
              </w:r>
              <w:r w:rsidR="009D74E7" w:rsidRPr="009D74E7">
                <w:rPr>
                  <w:rStyle w:val="charCitHyperlinkAbbrev"/>
                </w:rPr>
                <w:noBreakHyphen/>
                <w:t>28</w:t>
              </w:r>
            </w:hyperlink>
          </w:p>
        </w:tc>
        <w:tc>
          <w:tcPr>
            <w:tcW w:w="1783" w:type="dxa"/>
            <w:tcBorders>
              <w:top w:val="single" w:sz="4" w:space="0" w:color="auto"/>
              <w:bottom w:val="single" w:sz="4" w:space="0" w:color="auto"/>
            </w:tcBorders>
          </w:tcPr>
          <w:p w:rsidR="00464171" w:rsidRDefault="00464171">
            <w:pPr>
              <w:pStyle w:val="EarlierRepubEntries"/>
            </w:pPr>
            <w:r>
              <w:t xml:space="preserve">amendments by </w:t>
            </w:r>
            <w:hyperlink r:id="rId1013" w:tooltip="Statute Law Amendment Act 2011 (No 2)" w:history="1">
              <w:r w:rsidR="009D74E7" w:rsidRPr="009D74E7">
                <w:rPr>
                  <w:rStyle w:val="charCitHyperlinkAbbrev"/>
                </w:rPr>
                <w:t>A2011</w:t>
              </w:r>
              <w:r w:rsidR="009D74E7" w:rsidRPr="009D74E7">
                <w:rPr>
                  <w:rStyle w:val="charCitHyperlinkAbbrev"/>
                </w:rPr>
                <w:noBreakHyphen/>
                <w:t>28</w:t>
              </w:r>
            </w:hyperlink>
          </w:p>
        </w:tc>
      </w:tr>
      <w:tr w:rsidR="00033D98">
        <w:tc>
          <w:tcPr>
            <w:tcW w:w="1576" w:type="dxa"/>
            <w:tcBorders>
              <w:top w:val="single" w:sz="4" w:space="0" w:color="auto"/>
              <w:bottom w:val="single" w:sz="4" w:space="0" w:color="auto"/>
            </w:tcBorders>
          </w:tcPr>
          <w:p w:rsidR="00033D98" w:rsidRDefault="00033D98">
            <w:pPr>
              <w:pStyle w:val="EarlierRepubEntries"/>
            </w:pPr>
            <w:r>
              <w:t>R38</w:t>
            </w:r>
            <w:r>
              <w:br/>
              <w:t>29 Feb 2012</w:t>
            </w:r>
          </w:p>
        </w:tc>
        <w:tc>
          <w:tcPr>
            <w:tcW w:w="1681" w:type="dxa"/>
            <w:tcBorders>
              <w:top w:val="single" w:sz="4" w:space="0" w:color="auto"/>
              <w:bottom w:val="single" w:sz="4" w:space="0" w:color="auto"/>
            </w:tcBorders>
          </w:tcPr>
          <w:p w:rsidR="00033D98" w:rsidRDefault="00033D98">
            <w:pPr>
              <w:pStyle w:val="EarlierRepubEntries"/>
            </w:pPr>
            <w:r>
              <w:t>29 Feb 2012–</w:t>
            </w:r>
            <w:r>
              <w:br/>
            </w:r>
            <w:r w:rsidR="00D131D9">
              <w:t>29 Mar 2012</w:t>
            </w:r>
          </w:p>
        </w:tc>
        <w:tc>
          <w:tcPr>
            <w:tcW w:w="1783" w:type="dxa"/>
            <w:tcBorders>
              <w:top w:val="single" w:sz="4" w:space="0" w:color="auto"/>
              <w:bottom w:val="single" w:sz="4" w:space="0" w:color="auto"/>
            </w:tcBorders>
          </w:tcPr>
          <w:p w:rsidR="00033D98" w:rsidRDefault="007C2037">
            <w:pPr>
              <w:pStyle w:val="EarlierRepubEntries"/>
            </w:pPr>
            <w:hyperlink r:id="rId1014"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c>
          <w:tcPr>
            <w:tcW w:w="1783" w:type="dxa"/>
            <w:tcBorders>
              <w:top w:val="single" w:sz="4" w:space="0" w:color="auto"/>
              <w:bottom w:val="single" w:sz="4" w:space="0" w:color="auto"/>
            </w:tcBorders>
          </w:tcPr>
          <w:p w:rsidR="00033D98" w:rsidRDefault="00D131D9">
            <w:pPr>
              <w:pStyle w:val="EarlierRepubEntries"/>
            </w:pPr>
            <w:r>
              <w:t xml:space="preserve">amendments by </w:t>
            </w:r>
            <w:hyperlink r:id="rId1015" w:tooltip="Residential Tenancies (Databases) Amendment Act 2011" w:history="1">
              <w:r w:rsidR="009D74E7" w:rsidRPr="009D74E7">
                <w:rPr>
                  <w:rStyle w:val="charCitHyperlinkAbbrev"/>
                </w:rPr>
                <w:t>A2011</w:t>
              </w:r>
              <w:r w:rsidR="009D74E7" w:rsidRPr="009D74E7">
                <w:rPr>
                  <w:rStyle w:val="charCitHyperlinkAbbrev"/>
                </w:rPr>
                <w:noBreakHyphen/>
                <w:t>31</w:t>
              </w:r>
            </w:hyperlink>
          </w:p>
        </w:tc>
      </w:tr>
      <w:tr w:rsidR="00E23F61">
        <w:tc>
          <w:tcPr>
            <w:tcW w:w="1576" w:type="dxa"/>
            <w:tcBorders>
              <w:top w:val="single" w:sz="4" w:space="0" w:color="auto"/>
              <w:bottom w:val="single" w:sz="4" w:space="0" w:color="auto"/>
            </w:tcBorders>
          </w:tcPr>
          <w:p w:rsidR="00E23F61" w:rsidRDefault="00E23F61">
            <w:pPr>
              <w:pStyle w:val="EarlierRepubEntries"/>
            </w:pPr>
            <w:r>
              <w:t>R39</w:t>
            </w:r>
            <w:r>
              <w:br/>
              <w:t>30 Mar 2012</w:t>
            </w:r>
          </w:p>
        </w:tc>
        <w:tc>
          <w:tcPr>
            <w:tcW w:w="1681" w:type="dxa"/>
            <w:tcBorders>
              <w:top w:val="single" w:sz="4" w:space="0" w:color="auto"/>
              <w:bottom w:val="single" w:sz="4" w:space="0" w:color="auto"/>
            </w:tcBorders>
          </w:tcPr>
          <w:p w:rsidR="00E23F61" w:rsidRDefault="00E23F61">
            <w:pPr>
              <w:pStyle w:val="EarlierRepubEntries"/>
            </w:pPr>
            <w:r>
              <w:t>30 Mar 2012–</w:t>
            </w:r>
            <w:r>
              <w:br/>
              <w:t>4 June 2012</w:t>
            </w:r>
          </w:p>
        </w:tc>
        <w:tc>
          <w:tcPr>
            <w:tcW w:w="1783" w:type="dxa"/>
            <w:tcBorders>
              <w:top w:val="single" w:sz="4" w:space="0" w:color="auto"/>
              <w:bottom w:val="single" w:sz="4" w:space="0" w:color="auto"/>
            </w:tcBorders>
          </w:tcPr>
          <w:p w:rsidR="00E23F61" w:rsidRDefault="007C2037">
            <w:pPr>
              <w:pStyle w:val="EarlierRepubEntries"/>
            </w:pPr>
            <w:hyperlink r:id="rId1016" w:tooltip="Unit Titles (Management) Act 2011" w:history="1">
              <w:r w:rsidR="009D74E7" w:rsidRPr="009D74E7">
                <w:rPr>
                  <w:rStyle w:val="charCitHyperlinkAbbrev"/>
                </w:rPr>
                <w:t>A2011</w:t>
              </w:r>
              <w:r w:rsidR="009D74E7" w:rsidRPr="009D74E7">
                <w:rPr>
                  <w:rStyle w:val="charCitHyperlinkAbbrev"/>
                </w:rPr>
                <w:noBreakHyphen/>
                <w:t>41</w:t>
              </w:r>
            </w:hyperlink>
          </w:p>
        </w:tc>
        <w:tc>
          <w:tcPr>
            <w:tcW w:w="1783" w:type="dxa"/>
            <w:tcBorders>
              <w:top w:val="single" w:sz="4" w:space="0" w:color="auto"/>
              <w:bottom w:val="single" w:sz="4" w:space="0" w:color="auto"/>
            </w:tcBorders>
          </w:tcPr>
          <w:p w:rsidR="00E23F61" w:rsidRDefault="00E23F61">
            <w:pPr>
              <w:pStyle w:val="EarlierRepubEntries"/>
            </w:pPr>
            <w:r>
              <w:t xml:space="preserve">amendments by </w:t>
            </w:r>
            <w:hyperlink r:id="rId1017" w:tooltip="Unit Titles (Management) Act 2011" w:history="1">
              <w:r w:rsidR="009D74E7" w:rsidRPr="009D74E7">
                <w:rPr>
                  <w:rStyle w:val="charCitHyperlinkAbbrev"/>
                </w:rPr>
                <w:t>A2011</w:t>
              </w:r>
              <w:r w:rsidR="009D74E7" w:rsidRPr="009D74E7">
                <w:rPr>
                  <w:rStyle w:val="charCitHyperlinkAbbrev"/>
                </w:rPr>
                <w:noBreakHyphen/>
                <w:t>41</w:t>
              </w:r>
            </w:hyperlink>
          </w:p>
        </w:tc>
      </w:tr>
      <w:tr w:rsidR="00E77DE9">
        <w:tc>
          <w:tcPr>
            <w:tcW w:w="1576" w:type="dxa"/>
            <w:tcBorders>
              <w:top w:val="single" w:sz="4" w:space="0" w:color="auto"/>
              <w:bottom w:val="single" w:sz="4" w:space="0" w:color="auto"/>
            </w:tcBorders>
          </w:tcPr>
          <w:p w:rsidR="00E77DE9" w:rsidRDefault="00E77DE9">
            <w:pPr>
              <w:pStyle w:val="EarlierRepubEntries"/>
            </w:pPr>
            <w:r>
              <w:t>R40</w:t>
            </w:r>
            <w:r>
              <w:br/>
              <w:t>5 June 2012</w:t>
            </w:r>
          </w:p>
        </w:tc>
        <w:tc>
          <w:tcPr>
            <w:tcW w:w="1681" w:type="dxa"/>
            <w:tcBorders>
              <w:top w:val="single" w:sz="4" w:space="0" w:color="auto"/>
              <w:bottom w:val="single" w:sz="4" w:space="0" w:color="auto"/>
            </w:tcBorders>
          </w:tcPr>
          <w:p w:rsidR="00E77DE9" w:rsidRDefault="00E77DE9">
            <w:pPr>
              <w:pStyle w:val="EarlierRepubEntries"/>
            </w:pPr>
            <w:r>
              <w:t>5 June 2012–</w:t>
            </w:r>
            <w:r>
              <w:br/>
              <w:t>3 Mar 2013</w:t>
            </w:r>
          </w:p>
        </w:tc>
        <w:tc>
          <w:tcPr>
            <w:tcW w:w="1783" w:type="dxa"/>
            <w:tcBorders>
              <w:top w:val="single" w:sz="4" w:space="0" w:color="auto"/>
              <w:bottom w:val="single" w:sz="4" w:space="0" w:color="auto"/>
            </w:tcBorders>
          </w:tcPr>
          <w:p w:rsidR="00E77DE9" w:rsidRDefault="007C2037">
            <w:pPr>
              <w:pStyle w:val="EarlierRepubEntries"/>
            </w:pPr>
            <w:hyperlink r:id="rId1018" w:tooltip="Statute Law Amendment Act 2012" w:history="1">
              <w:r w:rsidR="00456BF6">
                <w:rPr>
                  <w:rStyle w:val="charCitHyperlinkAbbrev"/>
                </w:rPr>
                <w:t>A2012–21</w:t>
              </w:r>
            </w:hyperlink>
          </w:p>
        </w:tc>
        <w:tc>
          <w:tcPr>
            <w:tcW w:w="1783" w:type="dxa"/>
            <w:tcBorders>
              <w:top w:val="single" w:sz="4" w:space="0" w:color="auto"/>
              <w:bottom w:val="single" w:sz="4" w:space="0" w:color="auto"/>
            </w:tcBorders>
          </w:tcPr>
          <w:p w:rsidR="00E77DE9" w:rsidRDefault="00E77DE9">
            <w:pPr>
              <w:pStyle w:val="EarlierRepubEntries"/>
            </w:pPr>
            <w:r>
              <w:t xml:space="preserve">amendments by </w:t>
            </w:r>
            <w:hyperlink r:id="rId1019" w:tooltip="Statute Law Amendment Act 2012" w:history="1">
              <w:r w:rsidR="00456BF6">
                <w:rPr>
                  <w:rStyle w:val="charCitHyperlinkAbbrev"/>
                </w:rPr>
                <w:t>A2012–21</w:t>
              </w:r>
            </w:hyperlink>
          </w:p>
        </w:tc>
      </w:tr>
      <w:tr w:rsidR="00C5585F">
        <w:tc>
          <w:tcPr>
            <w:tcW w:w="1576" w:type="dxa"/>
            <w:tcBorders>
              <w:top w:val="single" w:sz="4" w:space="0" w:color="auto"/>
              <w:bottom w:val="single" w:sz="4" w:space="0" w:color="auto"/>
            </w:tcBorders>
          </w:tcPr>
          <w:p w:rsidR="00C5585F" w:rsidRDefault="00C5585F">
            <w:pPr>
              <w:pStyle w:val="EarlierRepubEntries"/>
            </w:pPr>
            <w:r>
              <w:t>R41*</w:t>
            </w:r>
            <w:r>
              <w:br/>
              <w:t>4 Mar 2013</w:t>
            </w:r>
          </w:p>
        </w:tc>
        <w:tc>
          <w:tcPr>
            <w:tcW w:w="1681" w:type="dxa"/>
            <w:tcBorders>
              <w:top w:val="single" w:sz="4" w:space="0" w:color="auto"/>
              <w:bottom w:val="single" w:sz="4" w:space="0" w:color="auto"/>
            </w:tcBorders>
          </w:tcPr>
          <w:p w:rsidR="00C5585F" w:rsidRDefault="00C5585F">
            <w:pPr>
              <w:pStyle w:val="EarlierRepubEntries"/>
            </w:pPr>
            <w:r>
              <w:t>4 Mar 2013–</w:t>
            </w:r>
            <w:r>
              <w:br/>
              <w:t>11 Nov 2013</w:t>
            </w:r>
          </w:p>
        </w:tc>
        <w:tc>
          <w:tcPr>
            <w:tcW w:w="1783" w:type="dxa"/>
            <w:tcBorders>
              <w:top w:val="single" w:sz="4" w:space="0" w:color="auto"/>
              <w:bottom w:val="single" w:sz="4" w:space="0" w:color="auto"/>
            </w:tcBorders>
          </w:tcPr>
          <w:p w:rsidR="00C5585F" w:rsidRDefault="007C2037">
            <w:pPr>
              <w:pStyle w:val="EarlierRepubEntries"/>
            </w:pPr>
            <w:hyperlink r:id="rId1020" w:tooltip="Justice and Community Safety Legislation Amendment Act 2013" w:history="1">
              <w:r w:rsidR="00AD0B4C">
                <w:rPr>
                  <w:rStyle w:val="charCitHyperlinkAbbrev"/>
                </w:rPr>
                <w:t>A2013</w:t>
              </w:r>
              <w:r w:rsidR="00AD0B4C">
                <w:rPr>
                  <w:rStyle w:val="charCitHyperlinkAbbrev"/>
                </w:rPr>
                <w:noBreakHyphen/>
                <w:t>7</w:t>
              </w:r>
            </w:hyperlink>
          </w:p>
        </w:tc>
        <w:tc>
          <w:tcPr>
            <w:tcW w:w="1783" w:type="dxa"/>
            <w:tcBorders>
              <w:top w:val="single" w:sz="4" w:space="0" w:color="auto"/>
              <w:bottom w:val="single" w:sz="4" w:space="0" w:color="auto"/>
            </w:tcBorders>
          </w:tcPr>
          <w:p w:rsidR="00C5585F" w:rsidRDefault="00AD0B4C">
            <w:pPr>
              <w:pStyle w:val="EarlierRepubEntries"/>
            </w:pPr>
            <w:r>
              <w:t xml:space="preserve">amendments by </w:t>
            </w:r>
            <w:hyperlink r:id="rId1021" w:tooltip="Justice and Community Safety Legislation Amendment Act 2013" w:history="1">
              <w:r>
                <w:rPr>
                  <w:rStyle w:val="charCitHyperlinkAbbrev"/>
                </w:rPr>
                <w:t>A2013</w:t>
              </w:r>
              <w:r>
                <w:rPr>
                  <w:rStyle w:val="charCitHyperlinkAbbrev"/>
                </w:rPr>
                <w:noBreakHyphen/>
                <w:t>7</w:t>
              </w:r>
            </w:hyperlink>
          </w:p>
        </w:tc>
      </w:tr>
      <w:tr w:rsidR="000502DD">
        <w:tc>
          <w:tcPr>
            <w:tcW w:w="1576" w:type="dxa"/>
            <w:tcBorders>
              <w:top w:val="single" w:sz="4" w:space="0" w:color="auto"/>
              <w:bottom w:val="single" w:sz="4" w:space="0" w:color="auto"/>
            </w:tcBorders>
          </w:tcPr>
          <w:p w:rsidR="000502DD" w:rsidRDefault="000502DD">
            <w:pPr>
              <w:pStyle w:val="EarlierRepubEntries"/>
            </w:pPr>
            <w:r>
              <w:t>R42</w:t>
            </w:r>
            <w:r>
              <w:br/>
              <w:t>12 Nov 2013</w:t>
            </w:r>
          </w:p>
        </w:tc>
        <w:tc>
          <w:tcPr>
            <w:tcW w:w="1681" w:type="dxa"/>
            <w:tcBorders>
              <w:top w:val="single" w:sz="4" w:space="0" w:color="auto"/>
              <w:bottom w:val="single" w:sz="4" w:space="0" w:color="auto"/>
            </w:tcBorders>
          </w:tcPr>
          <w:p w:rsidR="000502DD" w:rsidRDefault="000502DD">
            <w:pPr>
              <w:pStyle w:val="EarlierRepubEntries"/>
            </w:pPr>
            <w:r>
              <w:t>12 Nov 2013–</w:t>
            </w:r>
            <w:r>
              <w:br/>
              <w:t>24 Nov 2013</w:t>
            </w:r>
          </w:p>
        </w:tc>
        <w:tc>
          <w:tcPr>
            <w:tcW w:w="1783" w:type="dxa"/>
            <w:tcBorders>
              <w:top w:val="single" w:sz="4" w:space="0" w:color="auto"/>
              <w:bottom w:val="single" w:sz="4" w:space="0" w:color="auto"/>
            </w:tcBorders>
          </w:tcPr>
          <w:p w:rsidR="000502DD" w:rsidRDefault="007C2037">
            <w:pPr>
              <w:pStyle w:val="EarlierRepubEntries"/>
            </w:pPr>
            <w:hyperlink r:id="rId1022" w:tooltip="Justice and Community Safety Legislation Amendment Act 2013 (No 4)" w:history="1">
              <w:r w:rsidR="000502DD">
                <w:rPr>
                  <w:rStyle w:val="charCitHyperlinkAbbrev"/>
                </w:rPr>
                <w:t>A2013</w:t>
              </w:r>
              <w:r w:rsidR="000502DD">
                <w:rPr>
                  <w:rStyle w:val="charCitHyperlinkAbbrev"/>
                </w:rPr>
                <w:noBreakHyphen/>
                <w:t>45</w:t>
              </w:r>
            </w:hyperlink>
          </w:p>
        </w:tc>
        <w:tc>
          <w:tcPr>
            <w:tcW w:w="1783" w:type="dxa"/>
            <w:tcBorders>
              <w:top w:val="single" w:sz="4" w:space="0" w:color="auto"/>
              <w:bottom w:val="single" w:sz="4" w:space="0" w:color="auto"/>
            </w:tcBorders>
          </w:tcPr>
          <w:p w:rsidR="000502DD" w:rsidRDefault="000502DD">
            <w:pPr>
              <w:pStyle w:val="EarlierRepubEntries"/>
            </w:pPr>
            <w:r>
              <w:t xml:space="preserve">amendments by </w:t>
            </w:r>
            <w:hyperlink r:id="rId1023" w:tooltip="Justice and Community Safety Legislation Amendment Act 2013 (No 4)" w:history="1">
              <w:r>
                <w:rPr>
                  <w:rStyle w:val="charCitHyperlinkAbbrev"/>
                </w:rPr>
                <w:t>A2013</w:t>
              </w:r>
              <w:r>
                <w:rPr>
                  <w:rStyle w:val="charCitHyperlinkAbbrev"/>
                </w:rPr>
                <w:noBreakHyphen/>
                <w:t>45</w:t>
              </w:r>
            </w:hyperlink>
          </w:p>
        </w:tc>
      </w:tr>
      <w:tr w:rsidR="004520FF">
        <w:tc>
          <w:tcPr>
            <w:tcW w:w="1576" w:type="dxa"/>
            <w:tcBorders>
              <w:top w:val="single" w:sz="4" w:space="0" w:color="auto"/>
              <w:bottom w:val="single" w:sz="4" w:space="0" w:color="auto"/>
            </w:tcBorders>
          </w:tcPr>
          <w:p w:rsidR="004520FF" w:rsidRDefault="004520FF">
            <w:pPr>
              <w:pStyle w:val="EarlierRepubEntries"/>
            </w:pPr>
            <w:r>
              <w:t>R43</w:t>
            </w:r>
            <w:r>
              <w:br/>
              <w:t>25 Nov 2013</w:t>
            </w:r>
          </w:p>
        </w:tc>
        <w:tc>
          <w:tcPr>
            <w:tcW w:w="1681" w:type="dxa"/>
            <w:tcBorders>
              <w:top w:val="single" w:sz="4" w:space="0" w:color="auto"/>
              <w:bottom w:val="single" w:sz="4" w:space="0" w:color="auto"/>
            </w:tcBorders>
          </w:tcPr>
          <w:p w:rsidR="004520FF" w:rsidRDefault="004520FF">
            <w:pPr>
              <w:pStyle w:val="EarlierRepubEntries"/>
            </w:pPr>
            <w:r>
              <w:t>25 Nov 2013–</w:t>
            </w:r>
            <w:r>
              <w:br/>
              <w:t>16 Nov 2014</w:t>
            </w:r>
          </w:p>
        </w:tc>
        <w:tc>
          <w:tcPr>
            <w:tcW w:w="1783" w:type="dxa"/>
            <w:tcBorders>
              <w:top w:val="single" w:sz="4" w:space="0" w:color="auto"/>
              <w:bottom w:val="single" w:sz="4" w:space="0" w:color="auto"/>
            </w:tcBorders>
          </w:tcPr>
          <w:p w:rsidR="004520FF" w:rsidRDefault="007C2037">
            <w:pPr>
              <w:pStyle w:val="EarlierRepubEntries"/>
            </w:pPr>
            <w:hyperlink r:id="rId1024" w:tooltip="Justice and Community Safety Legislation Amendment Act 2013 (No 4)" w:history="1">
              <w:r w:rsidR="004520FF">
                <w:rPr>
                  <w:rStyle w:val="charCitHyperlinkAbbrev"/>
                </w:rPr>
                <w:t>A2013</w:t>
              </w:r>
              <w:r w:rsidR="004520FF">
                <w:rPr>
                  <w:rStyle w:val="charCitHyperlinkAbbrev"/>
                </w:rPr>
                <w:noBreakHyphen/>
                <w:t>45</w:t>
              </w:r>
            </w:hyperlink>
          </w:p>
        </w:tc>
        <w:tc>
          <w:tcPr>
            <w:tcW w:w="1783" w:type="dxa"/>
            <w:tcBorders>
              <w:top w:val="single" w:sz="4" w:space="0" w:color="auto"/>
              <w:bottom w:val="single" w:sz="4" w:space="0" w:color="auto"/>
            </w:tcBorders>
          </w:tcPr>
          <w:p w:rsidR="004520FF" w:rsidRDefault="004520FF">
            <w:pPr>
              <w:pStyle w:val="EarlierRepubEntries"/>
            </w:pPr>
            <w:r>
              <w:t xml:space="preserve">amendments by </w:t>
            </w:r>
            <w:hyperlink r:id="rId1025" w:tooltip="Statute Law Amendment Act 2013 (No 2)" w:history="1">
              <w:r>
                <w:rPr>
                  <w:rStyle w:val="charCitHyperlinkAbbrev"/>
                </w:rPr>
                <w:t>A2013</w:t>
              </w:r>
              <w:r>
                <w:rPr>
                  <w:rStyle w:val="charCitHyperlinkAbbrev"/>
                </w:rPr>
                <w:noBreakHyphen/>
                <w:t>44</w:t>
              </w:r>
            </w:hyperlink>
          </w:p>
        </w:tc>
      </w:tr>
      <w:tr w:rsidR="00756A07">
        <w:tc>
          <w:tcPr>
            <w:tcW w:w="1576" w:type="dxa"/>
            <w:tcBorders>
              <w:top w:val="single" w:sz="4" w:space="0" w:color="auto"/>
              <w:bottom w:val="single" w:sz="4" w:space="0" w:color="auto"/>
            </w:tcBorders>
          </w:tcPr>
          <w:p w:rsidR="00756A07" w:rsidRDefault="00756A07">
            <w:pPr>
              <w:pStyle w:val="EarlierRepubEntries"/>
            </w:pPr>
            <w:r>
              <w:t>R44</w:t>
            </w:r>
            <w:r>
              <w:br/>
              <w:t>17 Nov 2014</w:t>
            </w:r>
          </w:p>
        </w:tc>
        <w:tc>
          <w:tcPr>
            <w:tcW w:w="1681" w:type="dxa"/>
            <w:tcBorders>
              <w:top w:val="single" w:sz="4" w:space="0" w:color="auto"/>
              <w:bottom w:val="single" w:sz="4" w:space="0" w:color="auto"/>
            </w:tcBorders>
          </w:tcPr>
          <w:p w:rsidR="00756A07" w:rsidRDefault="000125C1" w:rsidP="000125C1">
            <w:pPr>
              <w:pStyle w:val="EarlierRepubEntries"/>
            </w:pPr>
            <w:r>
              <w:t>17 Nov 2014</w:t>
            </w:r>
            <w:r w:rsidR="003C606A">
              <w:t>–</w:t>
            </w:r>
            <w:r>
              <w:br/>
              <w:t>16</w:t>
            </w:r>
            <w:r w:rsidR="00756A07">
              <w:t xml:space="preserve"> Apr 2015</w:t>
            </w:r>
          </w:p>
        </w:tc>
        <w:tc>
          <w:tcPr>
            <w:tcW w:w="1783" w:type="dxa"/>
            <w:tcBorders>
              <w:top w:val="single" w:sz="4" w:space="0" w:color="auto"/>
              <w:bottom w:val="single" w:sz="4" w:space="0" w:color="auto"/>
            </w:tcBorders>
          </w:tcPr>
          <w:p w:rsidR="00756A07" w:rsidRDefault="007C2037">
            <w:pPr>
              <w:pStyle w:val="EarlierRepubEntries"/>
            </w:pPr>
            <w:hyperlink r:id="rId1026" w:tooltip="Justice and Community Safety Legislation Amendment Act 2014 (No 2)" w:history="1">
              <w:r w:rsidR="00756A07" w:rsidRPr="00756A07">
                <w:rPr>
                  <w:rStyle w:val="charCitHyperlinkAbbrev"/>
                </w:rPr>
                <w:t>A2014-49</w:t>
              </w:r>
            </w:hyperlink>
          </w:p>
        </w:tc>
        <w:tc>
          <w:tcPr>
            <w:tcW w:w="1783" w:type="dxa"/>
            <w:tcBorders>
              <w:top w:val="single" w:sz="4" w:space="0" w:color="auto"/>
              <w:bottom w:val="single" w:sz="4" w:space="0" w:color="auto"/>
            </w:tcBorders>
          </w:tcPr>
          <w:p w:rsidR="00756A07" w:rsidRDefault="00756A07">
            <w:pPr>
              <w:pStyle w:val="EarlierRepubEntries"/>
            </w:pPr>
            <w:r>
              <w:t xml:space="preserve">amendments by </w:t>
            </w:r>
            <w:hyperlink r:id="rId1027" w:tooltip="Justice and Community Safety Legislation Amendment Act 2014 (No 2)" w:history="1">
              <w:r w:rsidRPr="00756A07">
                <w:rPr>
                  <w:rStyle w:val="charCitHyperlinkAbbrev"/>
                </w:rPr>
                <w:t>A2014-49</w:t>
              </w:r>
            </w:hyperlink>
          </w:p>
        </w:tc>
      </w:tr>
      <w:tr w:rsidR="003C606A">
        <w:tc>
          <w:tcPr>
            <w:tcW w:w="1576" w:type="dxa"/>
            <w:tcBorders>
              <w:top w:val="single" w:sz="4" w:space="0" w:color="auto"/>
              <w:bottom w:val="single" w:sz="4" w:space="0" w:color="auto"/>
            </w:tcBorders>
          </w:tcPr>
          <w:p w:rsidR="003C606A" w:rsidRDefault="003C606A">
            <w:pPr>
              <w:pStyle w:val="EarlierRepubEntries"/>
            </w:pPr>
            <w:r>
              <w:t>R45</w:t>
            </w:r>
            <w:r>
              <w:br/>
              <w:t>17 Apr 2015</w:t>
            </w:r>
          </w:p>
        </w:tc>
        <w:tc>
          <w:tcPr>
            <w:tcW w:w="1681" w:type="dxa"/>
            <w:tcBorders>
              <w:top w:val="single" w:sz="4" w:space="0" w:color="auto"/>
              <w:bottom w:val="single" w:sz="4" w:space="0" w:color="auto"/>
            </w:tcBorders>
          </w:tcPr>
          <w:p w:rsidR="003C606A" w:rsidRDefault="003C606A" w:rsidP="000125C1">
            <w:pPr>
              <w:pStyle w:val="EarlierRepubEntries"/>
            </w:pPr>
            <w:r>
              <w:t>17 Apr 2015–</w:t>
            </w:r>
            <w:r>
              <w:br/>
              <w:t>12 Nov 2015</w:t>
            </w:r>
          </w:p>
        </w:tc>
        <w:tc>
          <w:tcPr>
            <w:tcW w:w="1783" w:type="dxa"/>
            <w:tcBorders>
              <w:top w:val="single" w:sz="4" w:space="0" w:color="auto"/>
              <w:bottom w:val="single" w:sz="4" w:space="0" w:color="auto"/>
            </w:tcBorders>
          </w:tcPr>
          <w:p w:rsidR="003C606A" w:rsidRDefault="007C2037">
            <w:pPr>
              <w:pStyle w:val="EarlierRepubEntries"/>
            </w:pPr>
            <w:hyperlink r:id="rId1028" w:tooltip="Dangerous Substances (Loose-fill Asbestos Eradication) Legislation Amendment Act 2015" w:history="1">
              <w:r w:rsidR="003C606A">
                <w:rPr>
                  <w:rStyle w:val="charCitHyperlinkAbbrev"/>
                </w:rPr>
                <w:t>A2015</w:t>
              </w:r>
              <w:r w:rsidR="003C606A">
                <w:rPr>
                  <w:rStyle w:val="charCitHyperlinkAbbrev"/>
                </w:rPr>
                <w:noBreakHyphen/>
                <w:t>6</w:t>
              </w:r>
            </w:hyperlink>
          </w:p>
        </w:tc>
        <w:tc>
          <w:tcPr>
            <w:tcW w:w="1783" w:type="dxa"/>
            <w:tcBorders>
              <w:top w:val="single" w:sz="4" w:space="0" w:color="auto"/>
              <w:bottom w:val="single" w:sz="4" w:space="0" w:color="auto"/>
            </w:tcBorders>
          </w:tcPr>
          <w:p w:rsidR="003C606A" w:rsidRDefault="003C606A">
            <w:pPr>
              <w:pStyle w:val="EarlierRepubEntries"/>
            </w:pPr>
            <w:r>
              <w:t xml:space="preserve">amendments by </w:t>
            </w:r>
            <w:hyperlink r:id="rId1029" w:tooltip="Dangerous Substances (Loose-fill Asbestos Eradication) Legislation Amendment Act 2015" w:history="1">
              <w:r>
                <w:rPr>
                  <w:rStyle w:val="charCitHyperlinkAbbrev"/>
                </w:rPr>
                <w:t>A2015</w:t>
              </w:r>
              <w:r>
                <w:rPr>
                  <w:rStyle w:val="charCitHyperlinkAbbrev"/>
                </w:rPr>
                <w:noBreakHyphen/>
                <w:t>6</w:t>
              </w:r>
            </w:hyperlink>
          </w:p>
        </w:tc>
      </w:tr>
      <w:tr w:rsidR="00E03C18">
        <w:tc>
          <w:tcPr>
            <w:tcW w:w="1576" w:type="dxa"/>
            <w:tcBorders>
              <w:top w:val="single" w:sz="4" w:space="0" w:color="auto"/>
              <w:bottom w:val="single" w:sz="4" w:space="0" w:color="auto"/>
            </w:tcBorders>
          </w:tcPr>
          <w:p w:rsidR="00E03C18" w:rsidRDefault="00E03C18">
            <w:pPr>
              <w:pStyle w:val="EarlierRepubEntries"/>
            </w:pPr>
            <w:r>
              <w:t>R46</w:t>
            </w:r>
            <w:r>
              <w:br/>
              <w:t>13 Nov 2015</w:t>
            </w:r>
          </w:p>
        </w:tc>
        <w:tc>
          <w:tcPr>
            <w:tcW w:w="1681" w:type="dxa"/>
            <w:tcBorders>
              <w:top w:val="single" w:sz="4" w:space="0" w:color="auto"/>
              <w:bottom w:val="single" w:sz="4" w:space="0" w:color="auto"/>
            </w:tcBorders>
          </w:tcPr>
          <w:p w:rsidR="00E03C18" w:rsidRDefault="00E03C18" w:rsidP="000125C1">
            <w:pPr>
              <w:pStyle w:val="EarlierRepubEntries"/>
            </w:pPr>
            <w:r>
              <w:t>13 Nov 2015–</w:t>
            </w:r>
            <w:r>
              <w:br/>
              <w:t>8 Mar 2017</w:t>
            </w:r>
          </w:p>
        </w:tc>
        <w:tc>
          <w:tcPr>
            <w:tcW w:w="1783" w:type="dxa"/>
            <w:tcBorders>
              <w:top w:val="single" w:sz="4" w:space="0" w:color="auto"/>
              <w:bottom w:val="single" w:sz="4" w:space="0" w:color="auto"/>
            </w:tcBorders>
          </w:tcPr>
          <w:p w:rsidR="00E03C18" w:rsidRDefault="007C2037">
            <w:pPr>
              <w:pStyle w:val="EarlierRepubEntries"/>
            </w:pPr>
            <w:hyperlink r:id="rId1030" w:tooltip="Building (Loose-fill Asbestos Eradication) Legislation Amendment Act 2015 " w:history="1">
              <w:r w:rsidR="00E03C18" w:rsidRPr="00E03C18">
                <w:rPr>
                  <w:rStyle w:val="charCitHyperlinkAbbrev"/>
                </w:rPr>
                <w:t>A2015-42</w:t>
              </w:r>
            </w:hyperlink>
          </w:p>
        </w:tc>
        <w:tc>
          <w:tcPr>
            <w:tcW w:w="1783" w:type="dxa"/>
            <w:tcBorders>
              <w:top w:val="single" w:sz="4" w:space="0" w:color="auto"/>
              <w:bottom w:val="single" w:sz="4" w:space="0" w:color="auto"/>
            </w:tcBorders>
          </w:tcPr>
          <w:p w:rsidR="00E03C18" w:rsidRDefault="00E03C18">
            <w:pPr>
              <w:pStyle w:val="EarlierRepubEntries"/>
            </w:pPr>
            <w:r>
              <w:t xml:space="preserve">amendments by </w:t>
            </w:r>
            <w:hyperlink r:id="rId1031" w:tooltip="Building (Loose-fill Asbestos Eradication) Legislation Amendment Act 2015 " w:history="1">
              <w:r w:rsidRPr="00E03C18">
                <w:rPr>
                  <w:rStyle w:val="charCitHyperlinkAbbrev"/>
                </w:rPr>
                <w:t>A2015-42</w:t>
              </w:r>
            </w:hyperlink>
          </w:p>
        </w:tc>
      </w:tr>
      <w:tr w:rsidR="009223C6">
        <w:tc>
          <w:tcPr>
            <w:tcW w:w="1576" w:type="dxa"/>
            <w:tcBorders>
              <w:top w:val="single" w:sz="4" w:space="0" w:color="auto"/>
              <w:bottom w:val="single" w:sz="4" w:space="0" w:color="auto"/>
            </w:tcBorders>
          </w:tcPr>
          <w:p w:rsidR="009223C6" w:rsidRDefault="009223C6" w:rsidP="009223C6">
            <w:pPr>
              <w:pStyle w:val="EarlierRepubEntries"/>
            </w:pPr>
            <w:r>
              <w:t>R47</w:t>
            </w:r>
            <w:r>
              <w:br/>
              <w:t>9 Mar 2017</w:t>
            </w:r>
          </w:p>
        </w:tc>
        <w:tc>
          <w:tcPr>
            <w:tcW w:w="1681" w:type="dxa"/>
            <w:tcBorders>
              <w:top w:val="single" w:sz="4" w:space="0" w:color="auto"/>
              <w:bottom w:val="single" w:sz="4" w:space="0" w:color="auto"/>
            </w:tcBorders>
          </w:tcPr>
          <w:p w:rsidR="009223C6" w:rsidRDefault="009223C6" w:rsidP="000125C1">
            <w:pPr>
              <w:pStyle w:val="EarlierRepubEntries"/>
            </w:pPr>
            <w:r>
              <w:t>9 Mar 2017–</w:t>
            </w:r>
            <w:r>
              <w:br/>
              <w:t>30 Apr 2017</w:t>
            </w:r>
          </w:p>
        </w:tc>
        <w:tc>
          <w:tcPr>
            <w:tcW w:w="1783" w:type="dxa"/>
            <w:tcBorders>
              <w:top w:val="single" w:sz="4" w:space="0" w:color="auto"/>
              <w:bottom w:val="single" w:sz="4" w:space="0" w:color="auto"/>
            </w:tcBorders>
          </w:tcPr>
          <w:p w:rsidR="009223C6" w:rsidRDefault="007C2037">
            <w:pPr>
              <w:pStyle w:val="EarlierRepubEntries"/>
            </w:pPr>
            <w:hyperlink r:id="rId1032" w:tooltip="Statute Law Amendment Act 2017" w:history="1">
              <w:r w:rsidR="009223C6">
                <w:rPr>
                  <w:rStyle w:val="charCitHyperlinkAbbrev"/>
                </w:rPr>
                <w:t>A2017</w:t>
              </w:r>
              <w:r w:rsidR="009223C6">
                <w:rPr>
                  <w:rStyle w:val="charCitHyperlinkAbbrev"/>
                </w:rPr>
                <w:noBreakHyphen/>
                <w:t>4</w:t>
              </w:r>
            </w:hyperlink>
          </w:p>
        </w:tc>
        <w:tc>
          <w:tcPr>
            <w:tcW w:w="1783" w:type="dxa"/>
            <w:tcBorders>
              <w:top w:val="single" w:sz="4" w:space="0" w:color="auto"/>
              <w:bottom w:val="single" w:sz="4" w:space="0" w:color="auto"/>
            </w:tcBorders>
          </w:tcPr>
          <w:p w:rsidR="009223C6" w:rsidRDefault="009223C6" w:rsidP="009223C6">
            <w:pPr>
              <w:pStyle w:val="EarlierRepubEntries"/>
            </w:pPr>
            <w:r>
              <w:t xml:space="preserve">amendments by </w:t>
            </w:r>
            <w:hyperlink r:id="rId1033" w:tooltip="Statute Law Amendment Act 2017" w:history="1">
              <w:r>
                <w:rPr>
                  <w:rStyle w:val="charCitHyperlinkAbbrev"/>
                </w:rPr>
                <w:t>A2017</w:t>
              </w:r>
              <w:r>
                <w:rPr>
                  <w:rStyle w:val="charCitHyperlinkAbbrev"/>
                </w:rPr>
                <w:noBreakHyphen/>
                <w:t>4</w:t>
              </w:r>
            </w:hyperlink>
          </w:p>
        </w:tc>
      </w:tr>
      <w:tr w:rsidR="00B556FC">
        <w:tc>
          <w:tcPr>
            <w:tcW w:w="1576" w:type="dxa"/>
            <w:tcBorders>
              <w:top w:val="single" w:sz="4" w:space="0" w:color="auto"/>
              <w:bottom w:val="single" w:sz="4" w:space="0" w:color="auto"/>
            </w:tcBorders>
          </w:tcPr>
          <w:p w:rsidR="00B556FC" w:rsidRDefault="00B556FC" w:rsidP="009223C6">
            <w:pPr>
              <w:pStyle w:val="EarlierRepubEntries"/>
            </w:pPr>
            <w:r>
              <w:t>R48</w:t>
            </w:r>
            <w:r>
              <w:br/>
              <w:t>1 Mar 2017</w:t>
            </w:r>
          </w:p>
        </w:tc>
        <w:tc>
          <w:tcPr>
            <w:tcW w:w="1681" w:type="dxa"/>
            <w:tcBorders>
              <w:top w:val="single" w:sz="4" w:space="0" w:color="auto"/>
              <w:bottom w:val="single" w:sz="4" w:space="0" w:color="auto"/>
            </w:tcBorders>
          </w:tcPr>
          <w:p w:rsidR="00B556FC" w:rsidRDefault="00B556FC" w:rsidP="000125C1">
            <w:pPr>
              <w:pStyle w:val="EarlierRepubEntries"/>
            </w:pPr>
            <w:r>
              <w:t>1 Mar 2017</w:t>
            </w:r>
            <w:r w:rsidR="0061426D">
              <w:t>–</w:t>
            </w:r>
            <w:r>
              <w:br/>
              <w:t>23 Aug 2017</w:t>
            </w:r>
          </w:p>
        </w:tc>
        <w:tc>
          <w:tcPr>
            <w:tcW w:w="1783" w:type="dxa"/>
            <w:tcBorders>
              <w:top w:val="single" w:sz="4" w:space="0" w:color="auto"/>
              <w:bottom w:val="single" w:sz="4" w:space="0" w:color="auto"/>
            </w:tcBorders>
          </w:tcPr>
          <w:p w:rsidR="00B556FC" w:rsidRDefault="007C2037">
            <w:pPr>
              <w:pStyle w:val="EarlierRepubEntries"/>
            </w:pPr>
            <w:hyperlink r:id="rId1034" w:tooltip="Family and Personal Violence Legislation Amendment Act 2017" w:history="1">
              <w:r w:rsidR="00B556FC">
                <w:rPr>
                  <w:rStyle w:val="charCitHyperlinkAbbrev"/>
                </w:rPr>
                <w:t>A2017</w:t>
              </w:r>
              <w:r w:rsidR="00B556FC">
                <w:rPr>
                  <w:rStyle w:val="charCitHyperlinkAbbrev"/>
                </w:rPr>
                <w:noBreakHyphen/>
                <w:t>10</w:t>
              </w:r>
            </w:hyperlink>
          </w:p>
        </w:tc>
        <w:tc>
          <w:tcPr>
            <w:tcW w:w="1783" w:type="dxa"/>
            <w:tcBorders>
              <w:top w:val="single" w:sz="4" w:space="0" w:color="auto"/>
              <w:bottom w:val="single" w:sz="4" w:space="0" w:color="auto"/>
            </w:tcBorders>
          </w:tcPr>
          <w:p w:rsidR="00B556FC" w:rsidRDefault="00B556FC" w:rsidP="009223C6">
            <w:pPr>
              <w:pStyle w:val="EarlierRepubEntries"/>
            </w:pPr>
            <w:r w:rsidRPr="00FF4A3D">
              <w:t xml:space="preserve">amendments by </w:t>
            </w:r>
            <w:hyperlink r:id="rId1035" w:tooltip="Family Violence Act 2016" w:history="1">
              <w:r>
                <w:rPr>
                  <w:rStyle w:val="charCitHyperlinkAbbrev"/>
                </w:rPr>
                <w:t>A2016</w:t>
              </w:r>
              <w:r>
                <w:rPr>
                  <w:rStyle w:val="charCitHyperlinkAbbrev"/>
                </w:rPr>
                <w:noBreakHyphen/>
                <w:t>42</w:t>
              </w:r>
            </w:hyperlink>
            <w:r>
              <w:br/>
              <w:t xml:space="preserve">as amended by </w:t>
            </w:r>
            <w:hyperlink r:id="rId1036" w:tooltip="Family and Personal Violence Legislation Amendment Act 2017" w:history="1">
              <w:r>
                <w:rPr>
                  <w:rStyle w:val="charCitHyperlinkAbbrev"/>
                </w:rPr>
                <w:t>A2017</w:t>
              </w:r>
              <w:r>
                <w:rPr>
                  <w:rStyle w:val="charCitHyperlinkAbbrev"/>
                </w:rPr>
                <w:noBreakHyphen/>
                <w:t>10</w:t>
              </w:r>
            </w:hyperlink>
          </w:p>
        </w:tc>
      </w:tr>
      <w:tr w:rsidR="00B37E7A" w:rsidTr="00686E03">
        <w:trPr>
          <w:cantSplit/>
        </w:trPr>
        <w:tc>
          <w:tcPr>
            <w:tcW w:w="1576" w:type="dxa"/>
            <w:tcBorders>
              <w:top w:val="single" w:sz="4" w:space="0" w:color="auto"/>
              <w:bottom w:val="single" w:sz="4" w:space="0" w:color="auto"/>
            </w:tcBorders>
          </w:tcPr>
          <w:p w:rsidR="00B37E7A" w:rsidRDefault="00B37E7A" w:rsidP="009223C6">
            <w:pPr>
              <w:pStyle w:val="EarlierRepubEntries"/>
            </w:pPr>
            <w:r>
              <w:lastRenderedPageBreak/>
              <w:t>R49</w:t>
            </w:r>
            <w:r>
              <w:br/>
              <w:t>24 Aug 2017</w:t>
            </w:r>
          </w:p>
        </w:tc>
        <w:tc>
          <w:tcPr>
            <w:tcW w:w="1681" w:type="dxa"/>
            <w:tcBorders>
              <w:top w:val="single" w:sz="4" w:space="0" w:color="auto"/>
              <w:bottom w:val="single" w:sz="4" w:space="0" w:color="auto"/>
            </w:tcBorders>
          </w:tcPr>
          <w:p w:rsidR="00B37E7A" w:rsidRDefault="00B37E7A" w:rsidP="0061426D">
            <w:pPr>
              <w:pStyle w:val="EarlierRepubEntries"/>
            </w:pPr>
            <w:r>
              <w:t>24 Aug 2017</w:t>
            </w:r>
            <w:r w:rsidR="0061426D">
              <w:t>–</w:t>
            </w:r>
            <w:r>
              <w:br/>
            </w:r>
            <w:r w:rsidR="0061426D">
              <w:t>13 Sept</w:t>
            </w:r>
            <w:r>
              <w:t xml:space="preserve"> 2017</w:t>
            </w:r>
          </w:p>
        </w:tc>
        <w:tc>
          <w:tcPr>
            <w:tcW w:w="1783" w:type="dxa"/>
            <w:tcBorders>
              <w:top w:val="single" w:sz="4" w:space="0" w:color="auto"/>
              <w:bottom w:val="single" w:sz="4" w:space="0" w:color="auto"/>
            </w:tcBorders>
          </w:tcPr>
          <w:p w:rsidR="00B37E7A" w:rsidRDefault="007C2037">
            <w:pPr>
              <w:pStyle w:val="EarlierRepubEntries"/>
            </w:pPr>
            <w:hyperlink r:id="rId1037" w:tooltip="Family and Personal Violence Legislation Amendment Act 2017" w:history="1">
              <w:r w:rsidR="00B37E7A">
                <w:rPr>
                  <w:rStyle w:val="charCitHyperlinkAbbrev"/>
                </w:rPr>
                <w:t>A2017</w:t>
              </w:r>
              <w:r w:rsidR="00B37E7A">
                <w:rPr>
                  <w:rStyle w:val="charCitHyperlinkAbbrev"/>
                </w:rPr>
                <w:noBreakHyphen/>
                <w:t>10</w:t>
              </w:r>
            </w:hyperlink>
          </w:p>
        </w:tc>
        <w:tc>
          <w:tcPr>
            <w:tcW w:w="1783" w:type="dxa"/>
            <w:tcBorders>
              <w:top w:val="single" w:sz="4" w:space="0" w:color="auto"/>
              <w:bottom w:val="single" w:sz="4" w:space="0" w:color="auto"/>
            </w:tcBorders>
          </w:tcPr>
          <w:p w:rsidR="00B37E7A" w:rsidRPr="00FF4A3D" w:rsidRDefault="00B37E7A" w:rsidP="009223C6">
            <w:pPr>
              <w:pStyle w:val="EarlierRepubEntries"/>
            </w:pPr>
            <w:r w:rsidRPr="00FF4A3D">
              <w:t>amendments by</w:t>
            </w:r>
            <w:r>
              <w:t xml:space="preserve"> </w:t>
            </w:r>
            <w:hyperlink r:id="rId1038" w:tooltip="Residential Tenancies Legislation Amendment Act 2016" w:history="1">
              <w:r>
                <w:rPr>
                  <w:rStyle w:val="charCitHyperlinkAbbrev"/>
                </w:rPr>
                <w:t>A2016</w:t>
              </w:r>
              <w:r>
                <w:rPr>
                  <w:rStyle w:val="charCitHyperlinkAbbrev"/>
                </w:rPr>
                <w:noBreakHyphen/>
                <w:t>50</w:t>
              </w:r>
            </w:hyperlink>
            <w:r>
              <w:t xml:space="preserve"> and </w:t>
            </w:r>
            <w:hyperlink r:id="rId1039" w:tooltip="Justice and Community Safety Legislation Amendment Act 2017" w:history="1">
              <w:r>
                <w:rPr>
                  <w:rStyle w:val="charCitHyperlinkAbbrev"/>
                </w:rPr>
                <w:t>A2017</w:t>
              </w:r>
              <w:r>
                <w:rPr>
                  <w:rStyle w:val="charCitHyperlinkAbbrev"/>
                </w:rPr>
                <w:noBreakHyphen/>
                <w:t>5</w:t>
              </w:r>
            </w:hyperlink>
          </w:p>
        </w:tc>
      </w:tr>
      <w:tr w:rsidR="0061426D" w:rsidTr="00686E03">
        <w:trPr>
          <w:cantSplit/>
        </w:trPr>
        <w:tc>
          <w:tcPr>
            <w:tcW w:w="1576" w:type="dxa"/>
            <w:tcBorders>
              <w:top w:val="single" w:sz="4" w:space="0" w:color="auto"/>
              <w:bottom w:val="single" w:sz="4" w:space="0" w:color="auto"/>
            </w:tcBorders>
          </w:tcPr>
          <w:p w:rsidR="0061426D" w:rsidRDefault="0061426D" w:rsidP="009223C6">
            <w:pPr>
              <w:pStyle w:val="EarlierRepubEntries"/>
            </w:pPr>
            <w:r>
              <w:t>R49A</w:t>
            </w:r>
            <w:r>
              <w:br/>
              <w:t>14 Sept 2017</w:t>
            </w:r>
          </w:p>
        </w:tc>
        <w:tc>
          <w:tcPr>
            <w:tcW w:w="1681" w:type="dxa"/>
            <w:tcBorders>
              <w:top w:val="single" w:sz="4" w:space="0" w:color="auto"/>
              <w:bottom w:val="single" w:sz="4" w:space="0" w:color="auto"/>
            </w:tcBorders>
          </w:tcPr>
          <w:p w:rsidR="0061426D" w:rsidRDefault="0061426D" w:rsidP="000125C1">
            <w:pPr>
              <w:pStyle w:val="EarlierRepubEntries"/>
            </w:pPr>
            <w:r>
              <w:t>14 Sept 2017–</w:t>
            </w:r>
            <w:r>
              <w:br/>
              <w:t>10 Oct 2017</w:t>
            </w:r>
          </w:p>
        </w:tc>
        <w:tc>
          <w:tcPr>
            <w:tcW w:w="1783" w:type="dxa"/>
            <w:tcBorders>
              <w:top w:val="single" w:sz="4" w:space="0" w:color="auto"/>
              <w:bottom w:val="single" w:sz="4" w:space="0" w:color="auto"/>
            </w:tcBorders>
          </w:tcPr>
          <w:p w:rsidR="0061426D" w:rsidRPr="00EE533A" w:rsidRDefault="007C2037">
            <w:pPr>
              <w:pStyle w:val="EarlierRepubEntries"/>
              <w:rPr>
                <w:rStyle w:val="Hyperlink"/>
                <w:u w:val="none"/>
              </w:rPr>
            </w:pPr>
            <w:hyperlink r:id="rId1040" w:tooltip="Residential Tenancies Amendment Act 2017" w:history="1">
              <w:r w:rsidR="00054202" w:rsidRPr="00EE533A">
                <w:rPr>
                  <w:rStyle w:val="Hyperlink"/>
                  <w:u w:val="none"/>
                </w:rPr>
                <w:t>A2017</w:t>
              </w:r>
              <w:r w:rsidR="00054202" w:rsidRPr="00EE533A">
                <w:rPr>
                  <w:rStyle w:val="Hyperlink"/>
                  <w:u w:val="none"/>
                </w:rPr>
                <w:noBreakHyphen/>
                <w:t>32</w:t>
              </w:r>
            </w:hyperlink>
          </w:p>
        </w:tc>
        <w:tc>
          <w:tcPr>
            <w:tcW w:w="1783" w:type="dxa"/>
            <w:tcBorders>
              <w:top w:val="single" w:sz="4" w:space="0" w:color="auto"/>
              <w:bottom w:val="single" w:sz="4" w:space="0" w:color="auto"/>
            </w:tcBorders>
          </w:tcPr>
          <w:p w:rsidR="0061426D" w:rsidRPr="00FF4A3D" w:rsidRDefault="0061426D" w:rsidP="009223C6">
            <w:pPr>
              <w:pStyle w:val="EarlierRepubEntries"/>
            </w:pPr>
            <w:r>
              <w:t xml:space="preserve">retrospective amendments by </w:t>
            </w:r>
            <w:hyperlink r:id="rId1041" w:tooltip="Residential Tenancies Amendment Act 2017" w:history="1">
              <w:r w:rsidR="00054202">
                <w:rPr>
                  <w:rStyle w:val="charCitHyperlinkAbbrev"/>
                </w:rPr>
                <w:t>A2017</w:t>
              </w:r>
              <w:r w:rsidR="00054202">
                <w:rPr>
                  <w:rStyle w:val="charCitHyperlinkAbbrev"/>
                </w:rPr>
                <w:noBreakHyphen/>
                <w:t>32</w:t>
              </w:r>
            </w:hyperlink>
          </w:p>
        </w:tc>
      </w:tr>
      <w:tr w:rsidR="0005301A" w:rsidTr="00686E03">
        <w:trPr>
          <w:cantSplit/>
        </w:trPr>
        <w:tc>
          <w:tcPr>
            <w:tcW w:w="1576" w:type="dxa"/>
            <w:tcBorders>
              <w:top w:val="single" w:sz="4" w:space="0" w:color="auto"/>
              <w:bottom w:val="single" w:sz="4" w:space="0" w:color="auto"/>
            </w:tcBorders>
          </w:tcPr>
          <w:p w:rsidR="0005301A" w:rsidRDefault="0005301A" w:rsidP="009223C6">
            <w:pPr>
              <w:pStyle w:val="EarlierRepubEntries"/>
            </w:pPr>
            <w:r>
              <w:t>R50</w:t>
            </w:r>
            <w:r>
              <w:br/>
              <w:t>11 Oct 2017</w:t>
            </w:r>
          </w:p>
        </w:tc>
        <w:tc>
          <w:tcPr>
            <w:tcW w:w="1681" w:type="dxa"/>
            <w:tcBorders>
              <w:top w:val="single" w:sz="4" w:space="0" w:color="auto"/>
              <w:bottom w:val="single" w:sz="4" w:space="0" w:color="auto"/>
            </w:tcBorders>
          </w:tcPr>
          <w:p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rsidR="0005301A" w:rsidRDefault="007C2037">
            <w:pPr>
              <w:pStyle w:val="EarlierRepubEntries"/>
            </w:pPr>
            <w:hyperlink r:id="rId1042"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rsidR="0005301A" w:rsidRDefault="0005301A" w:rsidP="009223C6">
            <w:pPr>
              <w:pStyle w:val="EarlierRepubEntries"/>
            </w:pPr>
            <w:r w:rsidRPr="00FF4A3D">
              <w:t>amendments by</w:t>
            </w:r>
            <w:r>
              <w:t xml:space="preserve"> </w:t>
            </w:r>
            <w:hyperlink r:id="rId1043" w:tooltip="Statute Law Amendment Act 2017 (No 2)" w:history="1">
              <w:r>
                <w:rPr>
                  <w:rStyle w:val="charCitHyperlinkAbbrev"/>
                </w:rPr>
                <w:t>A2017</w:t>
              </w:r>
              <w:r>
                <w:rPr>
                  <w:rStyle w:val="charCitHyperlinkAbbrev"/>
                </w:rPr>
                <w:noBreakHyphen/>
                <w:t>28</w:t>
              </w:r>
            </w:hyperlink>
          </w:p>
        </w:tc>
      </w:tr>
      <w:tr w:rsidR="0005301A" w:rsidTr="00686E03">
        <w:trPr>
          <w:cantSplit/>
        </w:trPr>
        <w:tc>
          <w:tcPr>
            <w:tcW w:w="1576" w:type="dxa"/>
            <w:tcBorders>
              <w:top w:val="single" w:sz="4" w:space="0" w:color="auto"/>
              <w:bottom w:val="single" w:sz="4" w:space="0" w:color="auto"/>
            </w:tcBorders>
          </w:tcPr>
          <w:p w:rsidR="0005301A" w:rsidRDefault="0005301A" w:rsidP="0005301A">
            <w:pPr>
              <w:pStyle w:val="EarlierRepubEntries"/>
            </w:pPr>
            <w:r>
              <w:t>R50 (RI)</w:t>
            </w:r>
            <w:r>
              <w:br/>
              <w:t>7 Nov 2017</w:t>
            </w:r>
          </w:p>
        </w:tc>
        <w:tc>
          <w:tcPr>
            <w:tcW w:w="1681" w:type="dxa"/>
            <w:tcBorders>
              <w:top w:val="single" w:sz="4" w:space="0" w:color="auto"/>
              <w:bottom w:val="single" w:sz="4" w:space="0" w:color="auto"/>
            </w:tcBorders>
          </w:tcPr>
          <w:p w:rsidR="0005301A" w:rsidRDefault="0005301A" w:rsidP="000125C1">
            <w:pPr>
              <w:pStyle w:val="EarlierRepubEntries"/>
            </w:pPr>
            <w:r>
              <w:t>11 Oct 2017–</w:t>
            </w:r>
            <w:r>
              <w:br/>
              <w:t>23 Feb 2018</w:t>
            </w:r>
          </w:p>
        </w:tc>
        <w:tc>
          <w:tcPr>
            <w:tcW w:w="1783" w:type="dxa"/>
            <w:tcBorders>
              <w:top w:val="single" w:sz="4" w:space="0" w:color="auto"/>
              <w:bottom w:val="single" w:sz="4" w:space="0" w:color="auto"/>
            </w:tcBorders>
          </w:tcPr>
          <w:p w:rsidR="0005301A" w:rsidRDefault="007C2037">
            <w:pPr>
              <w:pStyle w:val="EarlierRepubEntries"/>
            </w:pPr>
            <w:hyperlink r:id="rId1044" w:tooltip="Statute Law Amendment Act 2017 (No 2)" w:history="1">
              <w:r w:rsidR="0005301A">
                <w:rPr>
                  <w:rStyle w:val="charCitHyperlinkAbbrev"/>
                </w:rPr>
                <w:t>A2017</w:t>
              </w:r>
              <w:r w:rsidR="0005301A">
                <w:rPr>
                  <w:rStyle w:val="charCitHyperlinkAbbrev"/>
                </w:rPr>
                <w:noBreakHyphen/>
                <w:t>28</w:t>
              </w:r>
            </w:hyperlink>
          </w:p>
        </w:tc>
        <w:tc>
          <w:tcPr>
            <w:tcW w:w="1783" w:type="dxa"/>
            <w:tcBorders>
              <w:top w:val="single" w:sz="4" w:space="0" w:color="auto"/>
              <w:bottom w:val="single" w:sz="4" w:space="0" w:color="auto"/>
            </w:tcBorders>
          </w:tcPr>
          <w:p w:rsidR="0005301A" w:rsidRDefault="00392427" w:rsidP="009223C6">
            <w:pPr>
              <w:pStyle w:val="EarlierRepubEntries"/>
            </w:pPr>
            <w:r>
              <w:t xml:space="preserve">reissued for retrospective amendments made by </w:t>
            </w:r>
            <w:hyperlink r:id="rId1045" w:tooltip="Residential Tenancies Amendment Act 2017" w:history="1">
              <w:r>
                <w:rPr>
                  <w:rStyle w:val="charCitHyperlinkAbbrev"/>
                </w:rPr>
                <w:t>A2017</w:t>
              </w:r>
              <w:r>
                <w:rPr>
                  <w:rStyle w:val="charCitHyperlinkAbbrev"/>
                </w:rPr>
                <w:noBreakHyphen/>
                <w:t>32</w:t>
              </w:r>
            </w:hyperlink>
          </w:p>
        </w:tc>
      </w:tr>
      <w:tr w:rsidR="00B66A02" w:rsidTr="00686E03">
        <w:trPr>
          <w:cantSplit/>
        </w:trPr>
        <w:tc>
          <w:tcPr>
            <w:tcW w:w="1576" w:type="dxa"/>
            <w:tcBorders>
              <w:top w:val="single" w:sz="4" w:space="0" w:color="auto"/>
              <w:bottom w:val="single" w:sz="4" w:space="0" w:color="auto"/>
            </w:tcBorders>
          </w:tcPr>
          <w:p w:rsidR="00B66A02" w:rsidRDefault="00B66A02" w:rsidP="0005301A">
            <w:pPr>
              <w:pStyle w:val="EarlierRepubEntries"/>
            </w:pPr>
            <w:r>
              <w:t>R51</w:t>
            </w:r>
            <w:r>
              <w:br/>
              <w:t>24 Feb 2018</w:t>
            </w:r>
          </w:p>
        </w:tc>
        <w:tc>
          <w:tcPr>
            <w:tcW w:w="1681" w:type="dxa"/>
            <w:tcBorders>
              <w:top w:val="single" w:sz="4" w:space="0" w:color="auto"/>
              <w:bottom w:val="single" w:sz="4" w:space="0" w:color="auto"/>
            </w:tcBorders>
          </w:tcPr>
          <w:p w:rsidR="00B66A02" w:rsidRDefault="00B66A02" w:rsidP="000125C1">
            <w:pPr>
              <w:pStyle w:val="EarlierRepubEntries"/>
            </w:pPr>
            <w:r>
              <w:t>24 Feb 2018–</w:t>
            </w:r>
            <w:r>
              <w:br/>
              <w:t>6 May 2018</w:t>
            </w:r>
          </w:p>
        </w:tc>
        <w:tc>
          <w:tcPr>
            <w:tcW w:w="1783" w:type="dxa"/>
            <w:tcBorders>
              <w:top w:val="single" w:sz="4" w:space="0" w:color="auto"/>
              <w:bottom w:val="single" w:sz="4" w:space="0" w:color="auto"/>
            </w:tcBorders>
          </w:tcPr>
          <w:p w:rsidR="00B66A02" w:rsidRPr="00EE533A" w:rsidRDefault="007C2037">
            <w:pPr>
              <w:pStyle w:val="EarlierRepubEntries"/>
              <w:rPr>
                <w:rStyle w:val="Hyperlink"/>
                <w:u w:val="none"/>
              </w:rPr>
            </w:pPr>
            <w:hyperlink r:id="rId1046" w:tooltip="Residential Tenancies Amendment Act 2017" w:history="1">
              <w:r w:rsidR="00B66A02" w:rsidRPr="00EE533A">
                <w:rPr>
                  <w:rStyle w:val="Hyperlink"/>
                  <w:u w:val="none"/>
                </w:rPr>
                <w:t>A2017</w:t>
              </w:r>
              <w:r w:rsidR="00B66A02" w:rsidRPr="00EE533A">
                <w:rPr>
                  <w:rStyle w:val="Hyperlink"/>
                  <w:u w:val="none"/>
                </w:rPr>
                <w:noBreakHyphen/>
                <w:t>32</w:t>
              </w:r>
            </w:hyperlink>
          </w:p>
        </w:tc>
        <w:tc>
          <w:tcPr>
            <w:tcW w:w="1783" w:type="dxa"/>
            <w:tcBorders>
              <w:top w:val="single" w:sz="4" w:space="0" w:color="auto"/>
              <w:bottom w:val="single" w:sz="4" w:space="0" w:color="auto"/>
            </w:tcBorders>
          </w:tcPr>
          <w:p w:rsidR="00B66A02" w:rsidRDefault="00B66A02" w:rsidP="009223C6">
            <w:pPr>
              <w:pStyle w:val="EarlierRepubEntries"/>
            </w:pPr>
            <w:r w:rsidRPr="00FF4A3D">
              <w:t>amendments by</w:t>
            </w:r>
            <w:r>
              <w:t xml:space="preserve"> </w:t>
            </w:r>
            <w:hyperlink r:id="rId1047" w:tooltip="Residential Tenancies Amendment Act 2017" w:history="1">
              <w:r>
                <w:rPr>
                  <w:rStyle w:val="charCitHyperlinkAbbrev"/>
                </w:rPr>
                <w:t>A2017</w:t>
              </w:r>
              <w:r>
                <w:rPr>
                  <w:rStyle w:val="charCitHyperlinkAbbrev"/>
                </w:rPr>
                <w:noBreakHyphen/>
                <w:t>32</w:t>
              </w:r>
            </w:hyperlink>
          </w:p>
        </w:tc>
      </w:tr>
      <w:tr w:rsidR="00776D08" w:rsidTr="00686E03">
        <w:trPr>
          <w:cantSplit/>
        </w:trPr>
        <w:tc>
          <w:tcPr>
            <w:tcW w:w="1576" w:type="dxa"/>
            <w:tcBorders>
              <w:top w:val="single" w:sz="4" w:space="0" w:color="auto"/>
              <w:bottom w:val="single" w:sz="4" w:space="0" w:color="auto"/>
            </w:tcBorders>
          </w:tcPr>
          <w:p w:rsidR="00776D08" w:rsidRDefault="00776D08" w:rsidP="0005301A">
            <w:pPr>
              <w:pStyle w:val="EarlierRepubEntries"/>
            </w:pPr>
            <w:r>
              <w:t>R52</w:t>
            </w:r>
            <w:r>
              <w:br/>
              <w:t>7 May 2018</w:t>
            </w:r>
          </w:p>
        </w:tc>
        <w:tc>
          <w:tcPr>
            <w:tcW w:w="1681" w:type="dxa"/>
            <w:tcBorders>
              <w:top w:val="single" w:sz="4" w:space="0" w:color="auto"/>
              <w:bottom w:val="single" w:sz="4" w:space="0" w:color="auto"/>
            </w:tcBorders>
          </w:tcPr>
          <w:p w:rsidR="00776D08" w:rsidRDefault="00776D08" w:rsidP="000125C1">
            <w:pPr>
              <w:pStyle w:val="EarlierRepubEntries"/>
            </w:pPr>
            <w:r>
              <w:t>7 May 2018–</w:t>
            </w:r>
            <w:r>
              <w:br/>
            </w:r>
            <w:r w:rsidR="00B96DE1">
              <w:t>14 June 2018</w:t>
            </w:r>
          </w:p>
        </w:tc>
        <w:tc>
          <w:tcPr>
            <w:tcW w:w="1783" w:type="dxa"/>
            <w:tcBorders>
              <w:top w:val="single" w:sz="4" w:space="0" w:color="auto"/>
              <w:bottom w:val="single" w:sz="4" w:space="0" w:color="auto"/>
            </w:tcBorders>
          </w:tcPr>
          <w:p w:rsidR="00776D08" w:rsidRDefault="007C2037">
            <w:pPr>
              <w:pStyle w:val="EarlierRepubEntries"/>
            </w:pPr>
            <w:hyperlink r:id="rId1048" w:tooltip="Residential Tenancies Amendment Act 2017" w:history="1">
              <w:r w:rsidR="00776D08">
                <w:rPr>
                  <w:rStyle w:val="charCitHyperlinkAbbrev"/>
                </w:rPr>
                <w:t>A2017</w:t>
              </w:r>
              <w:r w:rsidR="00776D08">
                <w:rPr>
                  <w:rStyle w:val="charCitHyperlinkAbbrev"/>
                </w:rPr>
                <w:noBreakHyphen/>
                <w:t>32</w:t>
              </w:r>
            </w:hyperlink>
          </w:p>
        </w:tc>
        <w:tc>
          <w:tcPr>
            <w:tcW w:w="1783" w:type="dxa"/>
            <w:tcBorders>
              <w:top w:val="single" w:sz="4" w:space="0" w:color="auto"/>
              <w:bottom w:val="single" w:sz="4" w:space="0" w:color="auto"/>
            </w:tcBorders>
          </w:tcPr>
          <w:p w:rsidR="00776D08" w:rsidRPr="00FF4A3D" w:rsidRDefault="00776D08" w:rsidP="009223C6">
            <w:pPr>
              <w:pStyle w:val="EarlierRepubEntries"/>
            </w:pPr>
            <w:r w:rsidRPr="00FF4A3D">
              <w:t>amendments by</w:t>
            </w:r>
            <w:r>
              <w:t xml:space="preserve"> </w:t>
            </w:r>
            <w:hyperlink r:id="rId1049" w:tooltip="Residential Tenancies Amendment Act 2017" w:history="1">
              <w:r>
                <w:rPr>
                  <w:rStyle w:val="charCitHyperlinkAbbrev"/>
                </w:rPr>
                <w:t>A2017</w:t>
              </w:r>
              <w:r>
                <w:rPr>
                  <w:rStyle w:val="charCitHyperlinkAbbrev"/>
                </w:rPr>
                <w:noBreakHyphen/>
                <w:t>32</w:t>
              </w:r>
            </w:hyperlink>
          </w:p>
        </w:tc>
      </w:tr>
      <w:tr w:rsidR="00DF23AA" w:rsidTr="00686E03">
        <w:trPr>
          <w:cantSplit/>
        </w:trPr>
        <w:tc>
          <w:tcPr>
            <w:tcW w:w="1576" w:type="dxa"/>
            <w:tcBorders>
              <w:top w:val="single" w:sz="4" w:space="0" w:color="auto"/>
              <w:bottom w:val="single" w:sz="4" w:space="0" w:color="auto"/>
            </w:tcBorders>
          </w:tcPr>
          <w:p w:rsidR="00DF23AA" w:rsidRDefault="00DF23AA" w:rsidP="0005301A">
            <w:pPr>
              <w:pStyle w:val="EarlierRepubEntries"/>
            </w:pPr>
            <w:r>
              <w:t>R53</w:t>
            </w:r>
            <w:r>
              <w:br/>
              <w:t>15 June 2018</w:t>
            </w:r>
          </w:p>
        </w:tc>
        <w:tc>
          <w:tcPr>
            <w:tcW w:w="1681" w:type="dxa"/>
            <w:tcBorders>
              <w:top w:val="single" w:sz="4" w:space="0" w:color="auto"/>
              <w:bottom w:val="single" w:sz="4" w:space="0" w:color="auto"/>
            </w:tcBorders>
          </w:tcPr>
          <w:p w:rsidR="00DF23AA" w:rsidRDefault="00DF23AA" w:rsidP="000125C1">
            <w:pPr>
              <w:pStyle w:val="EarlierRepubEntries"/>
            </w:pPr>
            <w:r>
              <w:t>15 June 2018–</w:t>
            </w:r>
            <w:r>
              <w:br/>
              <w:t>24 Aug 2018</w:t>
            </w:r>
          </w:p>
        </w:tc>
        <w:tc>
          <w:tcPr>
            <w:tcW w:w="1783" w:type="dxa"/>
            <w:tcBorders>
              <w:top w:val="single" w:sz="4" w:space="0" w:color="auto"/>
              <w:bottom w:val="single" w:sz="4" w:space="0" w:color="auto"/>
            </w:tcBorders>
          </w:tcPr>
          <w:p w:rsidR="00DF23AA" w:rsidRPr="00F97512" w:rsidRDefault="007C2037">
            <w:pPr>
              <w:pStyle w:val="EarlierRepubEntries"/>
              <w:rPr>
                <w:rStyle w:val="Hyperlink"/>
              </w:rPr>
            </w:pPr>
            <w:hyperlink r:id="rId1050" w:tooltip="Residential Tenancies Amendment Act 2018" w:history="1">
              <w:r w:rsidR="00DF23AA" w:rsidRPr="00F97512">
                <w:rPr>
                  <w:rStyle w:val="Hyperlink"/>
                </w:rPr>
                <w:t>A2018</w:t>
              </w:r>
              <w:r w:rsidR="00DF23AA" w:rsidRPr="00F97512">
                <w:rPr>
                  <w:rStyle w:val="Hyperlink"/>
                </w:rPr>
                <w:noBreakHyphen/>
                <w:t>20</w:t>
              </w:r>
            </w:hyperlink>
          </w:p>
        </w:tc>
        <w:tc>
          <w:tcPr>
            <w:tcW w:w="1783" w:type="dxa"/>
            <w:tcBorders>
              <w:top w:val="single" w:sz="4" w:space="0" w:color="auto"/>
              <w:bottom w:val="single" w:sz="4" w:space="0" w:color="auto"/>
            </w:tcBorders>
          </w:tcPr>
          <w:p w:rsidR="00DF23AA" w:rsidRPr="00FF4A3D" w:rsidRDefault="00DF23AA" w:rsidP="009223C6">
            <w:pPr>
              <w:pStyle w:val="EarlierRepubEntries"/>
            </w:pPr>
            <w:r w:rsidRPr="00FF4A3D">
              <w:t>amendments by</w:t>
            </w:r>
            <w:r>
              <w:t xml:space="preserve"> </w:t>
            </w:r>
            <w:hyperlink r:id="rId1051" w:tooltip="Residential Tenancies Amendment Act 2018" w:history="1">
              <w:r>
                <w:rPr>
                  <w:rStyle w:val="charCitHyperlinkAbbrev"/>
                </w:rPr>
                <w:t>A2018</w:t>
              </w:r>
              <w:r>
                <w:rPr>
                  <w:rStyle w:val="charCitHyperlinkAbbrev"/>
                </w:rPr>
                <w:noBreakHyphen/>
                <w:t>20</w:t>
              </w:r>
            </w:hyperlink>
          </w:p>
        </w:tc>
      </w:tr>
      <w:tr w:rsidR="000934A0" w:rsidTr="00686E03">
        <w:trPr>
          <w:cantSplit/>
        </w:trPr>
        <w:tc>
          <w:tcPr>
            <w:tcW w:w="1576" w:type="dxa"/>
            <w:tcBorders>
              <w:top w:val="single" w:sz="4" w:space="0" w:color="auto"/>
              <w:bottom w:val="single" w:sz="4" w:space="0" w:color="auto"/>
            </w:tcBorders>
          </w:tcPr>
          <w:p w:rsidR="000934A0" w:rsidRDefault="000934A0" w:rsidP="0005301A">
            <w:pPr>
              <w:pStyle w:val="EarlierRepubEntries"/>
            </w:pPr>
            <w:r>
              <w:t>R54</w:t>
            </w:r>
            <w:r>
              <w:br/>
              <w:t>25 Aug 2018</w:t>
            </w:r>
          </w:p>
        </w:tc>
        <w:tc>
          <w:tcPr>
            <w:tcW w:w="1681" w:type="dxa"/>
            <w:tcBorders>
              <w:top w:val="single" w:sz="4" w:space="0" w:color="auto"/>
              <w:bottom w:val="single" w:sz="4" w:space="0" w:color="auto"/>
            </w:tcBorders>
          </w:tcPr>
          <w:p w:rsidR="000934A0" w:rsidRDefault="000934A0" w:rsidP="000125C1">
            <w:pPr>
              <w:pStyle w:val="EarlierRepubEntries"/>
            </w:pPr>
            <w:r>
              <w:t>25 Aug 2018–</w:t>
            </w:r>
            <w:r>
              <w:br/>
              <w:t>11 Oct 2018</w:t>
            </w:r>
          </w:p>
        </w:tc>
        <w:tc>
          <w:tcPr>
            <w:tcW w:w="1783" w:type="dxa"/>
            <w:tcBorders>
              <w:top w:val="single" w:sz="4" w:space="0" w:color="auto"/>
              <w:bottom w:val="single" w:sz="4" w:space="0" w:color="auto"/>
            </w:tcBorders>
          </w:tcPr>
          <w:p w:rsidR="000934A0" w:rsidRPr="00F97512" w:rsidRDefault="007C2037">
            <w:pPr>
              <w:pStyle w:val="EarlierRepubEntries"/>
              <w:rPr>
                <w:rStyle w:val="Hyperlink"/>
              </w:rPr>
            </w:pPr>
            <w:hyperlink r:id="rId1052" w:tooltip="Residential Tenancies Amendment Act 2018" w:history="1">
              <w:r w:rsidR="000934A0" w:rsidRPr="00F97512">
                <w:rPr>
                  <w:rStyle w:val="Hyperlink"/>
                </w:rPr>
                <w:t>A2018</w:t>
              </w:r>
              <w:r w:rsidR="000934A0" w:rsidRPr="00F97512">
                <w:rPr>
                  <w:rStyle w:val="Hyperlink"/>
                </w:rPr>
                <w:noBreakHyphen/>
                <w:t>20</w:t>
              </w:r>
            </w:hyperlink>
          </w:p>
        </w:tc>
        <w:tc>
          <w:tcPr>
            <w:tcW w:w="1783" w:type="dxa"/>
            <w:tcBorders>
              <w:top w:val="single" w:sz="4" w:space="0" w:color="auto"/>
              <w:bottom w:val="single" w:sz="4" w:space="0" w:color="auto"/>
            </w:tcBorders>
          </w:tcPr>
          <w:p w:rsidR="000934A0" w:rsidRPr="00FF4A3D" w:rsidRDefault="000934A0" w:rsidP="009223C6">
            <w:pPr>
              <w:pStyle w:val="EarlierRepubEntries"/>
            </w:pPr>
            <w:r w:rsidRPr="005C0840">
              <w:t xml:space="preserve">expiry of </w:t>
            </w:r>
            <w:r>
              <w:t>transitional provisions</w:t>
            </w:r>
            <w:r w:rsidRPr="005C0840">
              <w:t xml:space="preserve"> (pt 13)</w:t>
            </w:r>
          </w:p>
        </w:tc>
      </w:tr>
      <w:tr w:rsidR="00EE533A" w:rsidTr="00686E03">
        <w:trPr>
          <w:cantSplit/>
        </w:trPr>
        <w:tc>
          <w:tcPr>
            <w:tcW w:w="1576" w:type="dxa"/>
            <w:tcBorders>
              <w:top w:val="single" w:sz="4" w:space="0" w:color="auto"/>
              <w:bottom w:val="single" w:sz="4" w:space="0" w:color="auto"/>
            </w:tcBorders>
          </w:tcPr>
          <w:p w:rsidR="00EE533A" w:rsidRDefault="00EE533A" w:rsidP="0005301A">
            <w:pPr>
              <w:pStyle w:val="EarlierRepubEntries"/>
            </w:pPr>
            <w:r>
              <w:t>R55</w:t>
            </w:r>
            <w:r>
              <w:br/>
              <w:t>12 Oct 2018</w:t>
            </w:r>
          </w:p>
        </w:tc>
        <w:tc>
          <w:tcPr>
            <w:tcW w:w="1681" w:type="dxa"/>
            <w:tcBorders>
              <w:top w:val="single" w:sz="4" w:space="0" w:color="auto"/>
              <w:bottom w:val="single" w:sz="4" w:space="0" w:color="auto"/>
            </w:tcBorders>
          </w:tcPr>
          <w:p w:rsidR="00EE533A" w:rsidRDefault="00EE533A" w:rsidP="000125C1">
            <w:pPr>
              <w:pStyle w:val="EarlierRepubEntries"/>
            </w:pPr>
            <w:r>
              <w:t>12 Oct 2018–</w:t>
            </w:r>
            <w:r>
              <w:br/>
              <w:t>13 Dec 2018</w:t>
            </w:r>
          </w:p>
        </w:tc>
        <w:tc>
          <w:tcPr>
            <w:tcW w:w="1783" w:type="dxa"/>
            <w:tcBorders>
              <w:top w:val="single" w:sz="4" w:space="0" w:color="auto"/>
              <w:bottom w:val="single" w:sz="4" w:space="0" w:color="auto"/>
            </w:tcBorders>
          </w:tcPr>
          <w:p w:rsidR="00EE533A" w:rsidRPr="00F97512" w:rsidRDefault="007C2037">
            <w:pPr>
              <w:pStyle w:val="EarlierRepubEntries"/>
              <w:rPr>
                <w:rStyle w:val="Hyperlink"/>
              </w:rPr>
            </w:pPr>
            <w:hyperlink r:id="rId1053" w:tooltip="Residential Tenancies Amendment Act 2018" w:history="1">
              <w:r w:rsidR="00EE533A" w:rsidRPr="00F97512">
                <w:rPr>
                  <w:rStyle w:val="Hyperlink"/>
                </w:rPr>
                <w:t>A2018</w:t>
              </w:r>
              <w:r w:rsidR="00EE533A" w:rsidRPr="00F97512">
                <w:rPr>
                  <w:rStyle w:val="Hyperlink"/>
                </w:rPr>
                <w:noBreakHyphen/>
                <w:t>20</w:t>
              </w:r>
            </w:hyperlink>
          </w:p>
        </w:tc>
        <w:tc>
          <w:tcPr>
            <w:tcW w:w="1783" w:type="dxa"/>
            <w:tcBorders>
              <w:top w:val="single" w:sz="4" w:space="0" w:color="auto"/>
              <w:bottom w:val="single" w:sz="4" w:space="0" w:color="auto"/>
            </w:tcBorders>
          </w:tcPr>
          <w:p w:rsidR="00EE533A" w:rsidRPr="005C0840" w:rsidRDefault="00EE533A" w:rsidP="009223C6">
            <w:pPr>
              <w:pStyle w:val="EarlierRepubEntries"/>
            </w:pPr>
            <w:r w:rsidRPr="00A20538">
              <w:t>expiry of transitional provisions (pt 14)</w:t>
            </w:r>
          </w:p>
        </w:tc>
      </w:tr>
      <w:tr w:rsidR="001B587E" w:rsidTr="00686E03">
        <w:trPr>
          <w:cantSplit/>
        </w:trPr>
        <w:tc>
          <w:tcPr>
            <w:tcW w:w="1576" w:type="dxa"/>
            <w:tcBorders>
              <w:top w:val="single" w:sz="4" w:space="0" w:color="auto"/>
              <w:bottom w:val="single" w:sz="4" w:space="0" w:color="auto"/>
            </w:tcBorders>
          </w:tcPr>
          <w:p w:rsidR="001B587E" w:rsidRDefault="001B587E" w:rsidP="0005301A">
            <w:pPr>
              <w:pStyle w:val="EarlierRepubEntries"/>
            </w:pPr>
            <w:r>
              <w:t>R56</w:t>
            </w:r>
            <w:r>
              <w:br/>
            </w:r>
            <w:r w:rsidR="008C2B90">
              <w:t>14 Dec 2018</w:t>
            </w:r>
          </w:p>
        </w:tc>
        <w:tc>
          <w:tcPr>
            <w:tcW w:w="1681" w:type="dxa"/>
            <w:tcBorders>
              <w:top w:val="single" w:sz="4" w:space="0" w:color="auto"/>
              <w:bottom w:val="single" w:sz="4" w:space="0" w:color="auto"/>
            </w:tcBorders>
          </w:tcPr>
          <w:p w:rsidR="001B587E" w:rsidRDefault="008C2B90" w:rsidP="000125C1">
            <w:pPr>
              <w:pStyle w:val="EarlierRepubEntries"/>
            </w:pPr>
            <w:r>
              <w:t>14 Dec 2018–</w:t>
            </w:r>
            <w:r>
              <w:br/>
              <w:t>20 June 2019</w:t>
            </w:r>
          </w:p>
        </w:tc>
        <w:tc>
          <w:tcPr>
            <w:tcW w:w="1783" w:type="dxa"/>
            <w:tcBorders>
              <w:top w:val="single" w:sz="4" w:space="0" w:color="auto"/>
              <w:bottom w:val="single" w:sz="4" w:space="0" w:color="auto"/>
            </w:tcBorders>
          </w:tcPr>
          <w:p w:rsidR="001B587E" w:rsidRDefault="007C2037">
            <w:pPr>
              <w:pStyle w:val="EarlierRepubEntries"/>
              <w:rPr>
                <w:rStyle w:val="Hyperlink"/>
              </w:rPr>
            </w:pPr>
            <w:hyperlink r:id="rId1054" w:tooltip="Residential Tenancies Amendment Act 2018" w:history="1">
              <w:r w:rsidR="001B587E">
                <w:rPr>
                  <w:rStyle w:val="charCitHyperlinkAbbrev"/>
                </w:rPr>
                <w:t>A2018</w:t>
              </w:r>
              <w:r w:rsidR="001B587E">
                <w:rPr>
                  <w:rStyle w:val="charCitHyperlinkAbbrev"/>
                </w:rPr>
                <w:noBreakHyphen/>
                <w:t>20</w:t>
              </w:r>
            </w:hyperlink>
          </w:p>
        </w:tc>
        <w:tc>
          <w:tcPr>
            <w:tcW w:w="1783" w:type="dxa"/>
            <w:tcBorders>
              <w:top w:val="single" w:sz="4" w:space="0" w:color="auto"/>
              <w:bottom w:val="single" w:sz="4" w:space="0" w:color="auto"/>
            </w:tcBorders>
          </w:tcPr>
          <w:p w:rsidR="001B587E" w:rsidRPr="00A20538" w:rsidRDefault="001B587E" w:rsidP="009223C6">
            <w:pPr>
              <w:pStyle w:val="EarlierRepubEntries"/>
            </w:pPr>
            <w:r>
              <w:t xml:space="preserve">amendments by </w:t>
            </w:r>
            <w:hyperlink r:id="rId1055" w:tooltip="Residential Tenancies Amendment Act 2018" w:history="1">
              <w:r>
                <w:rPr>
                  <w:rStyle w:val="charCitHyperlinkAbbrev"/>
                </w:rPr>
                <w:t>A2018</w:t>
              </w:r>
              <w:r>
                <w:rPr>
                  <w:rStyle w:val="charCitHyperlinkAbbrev"/>
                </w:rPr>
                <w:noBreakHyphen/>
                <w:t>20</w:t>
              </w:r>
            </w:hyperlink>
          </w:p>
        </w:tc>
      </w:tr>
      <w:tr w:rsidR="0089601C" w:rsidTr="00686E03">
        <w:trPr>
          <w:cantSplit/>
        </w:trPr>
        <w:tc>
          <w:tcPr>
            <w:tcW w:w="1576" w:type="dxa"/>
            <w:tcBorders>
              <w:top w:val="single" w:sz="4" w:space="0" w:color="auto"/>
              <w:bottom w:val="single" w:sz="4" w:space="0" w:color="auto"/>
            </w:tcBorders>
          </w:tcPr>
          <w:p w:rsidR="0089601C" w:rsidRDefault="0089601C" w:rsidP="0005301A">
            <w:pPr>
              <w:pStyle w:val="EarlierRepubEntries"/>
            </w:pPr>
            <w:r>
              <w:t>R57</w:t>
            </w:r>
            <w:r>
              <w:br/>
              <w:t>21 June 2019</w:t>
            </w:r>
          </w:p>
        </w:tc>
        <w:tc>
          <w:tcPr>
            <w:tcW w:w="1681" w:type="dxa"/>
            <w:tcBorders>
              <w:top w:val="single" w:sz="4" w:space="0" w:color="auto"/>
              <w:bottom w:val="single" w:sz="4" w:space="0" w:color="auto"/>
            </w:tcBorders>
          </w:tcPr>
          <w:p w:rsidR="0089601C" w:rsidRDefault="0089601C" w:rsidP="000125C1">
            <w:pPr>
              <w:pStyle w:val="EarlierRepubEntries"/>
            </w:pPr>
            <w:r>
              <w:t>21 June 2019–</w:t>
            </w:r>
            <w:r>
              <w:br/>
              <w:t>31 Oct 2019</w:t>
            </w:r>
          </w:p>
        </w:tc>
        <w:tc>
          <w:tcPr>
            <w:tcW w:w="1783" w:type="dxa"/>
            <w:tcBorders>
              <w:top w:val="single" w:sz="4" w:space="0" w:color="auto"/>
              <w:bottom w:val="single" w:sz="4" w:space="0" w:color="auto"/>
            </w:tcBorders>
          </w:tcPr>
          <w:p w:rsidR="0089601C" w:rsidRDefault="007C2037">
            <w:pPr>
              <w:pStyle w:val="EarlierRepubEntries"/>
            </w:pPr>
            <w:hyperlink r:id="rId1056" w:tooltip="Justice and Community Safety Legislation Amendment Act 2019" w:history="1">
              <w:r w:rsidR="0089601C">
                <w:rPr>
                  <w:rStyle w:val="charCitHyperlinkAbbrev"/>
                </w:rPr>
                <w:t>A2019-17</w:t>
              </w:r>
            </w:hyperlink>
          </w:p>
        </w:tc>
        <w:tc>
          <w:tcPr>
            <w:tcW w:w="1783" w:type="dxa"/>
            <w:tcBorders>
              <w:top w:val="single" w:sz="4" w:space="0" w:color="auto"/>
              <w:bottom w:val="single" w:sz="4" w:space="0" w:color="auto"/>
            </w:tcBorders>
          </w:tcPr>
          <w:p w:rsidR="0089601C" w:rsidRDefault="00D871B0" w:rsidP="009223C6">
            <w:pPr>
              <w:pStyle w:val="EarlierRepubEntries"/>
            </w:pPr>
            <w:r>
              <w:t xml:space="preserve">amendments by </w:t>
            </w:r>
            <w:hyperlink r:id="rId1057" w:tooltip="Justice and Community Safety Legislation Amendment Act 2019" w:history="1">
              <w:r>
                <w:rPr>
                  <w:rStyle w:val="charCitHyperlinkAbbrev"/>
                </w:rPr>
                <w:t>A2019-17</w:t>
              </w:r>
            </w:hyperlink>
          </w:p>
        </w:tc>
      </w:tr>
    </w:tbl>
    <w:p w:rsidR="00FF1DF1" w:rsidRPr="00FF1DF1" w:rsidRDefault="00FF1DF1" w:rsidP="00FF1DF1">
      <w:pPr>
        <w:pStyle w:val="PageBreak"/>
      </w:pPr>
      <w:r w:rsidRPr="00FF1DF1">
        <w:br w:type="page"/>
      </w:r>
    </w:p>
    <w:p w:rsidR="00916756" w:rsidRPr="001403E0" w:rsidRDefault="00916756" w:rsidP="007A2A2C">
      <w:pPr>
        <w:pStyle w:val="Endnote2"/>
      </w:pPr>
      <w:bookmarkStart w:id="214" w:name="_Toc23418021"/>
      <w:r w:rsidRPr="001403E0">
        <w:rPr>
          <w:rStyle w:val="charTableNo"/>
        </w:rPr>
        <w:lastRenderedPageBreak/>
        <w:t>6</w:t>
      </w:r>
      <w:r w:rsidRPr="00217CE1">
        <w:tab/>
      </w:r>
      <w:r w:rsidRPr="001403E0">
        <w:rPr>
          <w:rStyle w:val="charTableText"/>
        </w:rPr>
        <w:t>Expired transitional or validating provisions</w:t>
      </w:r>
      <w:bookmarkEnd w:id="214"/>
    </w:p>
    <w:p w:rsidR="00916756" w:rsidRDefault="00916756" w:rsidP="007A2A2C">
      <w:pPr>
        <w:pStyle w:val="EndNoteTextPub"/>
      </w:pPr>
      <w:r w:rsidRPr="00600F19">
        <w:t>This Act may be affected by transitional or validating provisions that have expired.  The expiry does not affect any continuing operation of the provisions (s</w:t>
      </w:r>
      <w:r>
        <w:t xml:space="preserve">ee </w:t>
      </w:r>
      <w:hyperlink r:id="rId1058" w:tooltip="A2001-14" w:history="1">
        <w:r w:rsidR="00FA4C3F" w:rsidRPr="00FA4C3F">
          <w:rPr>
            <w:rStyle w:val="charCitHyperlinkItal"/>
          </w:rPr>
          <w:t>Legislation Act 2001</w:t>
        </w:r>
      </w:hyperlink>
      <w:r>
        <w:t>, s 88 (1)).</w:t>
      </w:r>
    </w:p>
    <w:p w:rsidR="00916756" w:rsidRDefault="00916756" w:rsidP="007A2A2C">
      <w:pPr>
        <w:pStyle w:val="EndNoteTextPub"/>
        <w:spacing w:before="120"/>
      </w:pPr>
      <w:r>
        <w:t>Expired provisions are removed from the republished law when the expiry takes effect and are listed in the amendment history using the abbreviation ‘exp’ followed by the date of the expiry.</w:t>
      </w:r>
    </w:p>
    <w:p w:rsidR="00916756" w:rsidRDefault="00916756" w:rsidP="007A2A2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916756" w:rsidRDefault="00916756">
      <w:pPr>
        <w:pStyle w:val="05EndNote"/>
        <w:sectPr w:rsidR="00916756">
          <w:headerReference w:type="even" r:id="rId1059"/>
          <w:headerReference w:type="default" r:id="rId1060"/>
          <w:footerReference w:type="even" r:id="rId1061"/>
          <w:footerReference w:type="default" r:id="rId1062"/>
          <w:pgSz w:w="11907" w:h="16839" w:code="9"/>
          <w:pgMar w:top="3000" w:right="1900" w:bottom="2500" w:left="2300" w:header="2480" w:footer="2100" w:gutter="0"/>
          <w:cols w:space="720"/>
          <w:docGrid w:linePitch="254"/>
        </w:sectPr>
      </w:pPr>
    </w:p>
    <w:p w:rsidR="00450C28" w:rsidRDefault="00450C28">
      <w:pPr>
        <w:rPr>
          <w:color w:val="000000"/>
          <w:sz w:val="22"/>
        </w:rPr>
      </w:pPr>
    </w:p>
    <w:p w:rsidR="00450C28" w:rsidRDefault="00450C28">
      <w:pPr>
        <w:rPr>
          <w:color w:val="000000"/>
          <w:sz w:val="22"/>
        </w:rPr>
      </w:pPr>
    </w:p>
    <w:p w:rsidR="007B4B29" w:rsidRDefault="007B4B29">
      <w:pPr>
        <w:rPr>
          <w:color w:val="000000"/>
          <w:sz w:val="22"/>
        </w:rPr>
      </w:pPr>
    </w:p>
    <w:p w:rsidR="00FF1DF1" w:rsidRDefault="00FF1DF1">
      <w:pPr>
        <w:rPr>
          <w:color w:val="000000"/>
          <w:sz w:val="22"/>
        </w:rPr>
      </w:pPr>
    </w:p>
    <w:p w:rsidR="00FF1DF1" w:rsidRDefault="00FF1DF1">
      <w:pPr>
        <w:rPr>
          <w:color w:val="000000"/>
          <w:sz w:val="22"/>
        </w:rPr>
      </w:pPr>
    </w:p>
    <w:p w:rsidR="00FF1DF1" w:rsidRDefault="00FF1DF1">
      <w:pPr>
        <w:rPr>
          <w:color w:val="000000"/>
          <w:sz w:val="22"/>
        </w:rPr>
      </w:pPr>
    </w:p>
    <w:p w:rsidR="00916756" w:rsidRDefault="00916756">
      <w:pPr>
        <w:rPr>
          <w:color w:val="000000"/>
          <w:sz w:val="22"/>
        </w:rPr>
      </w:pPr>
    </w:p>
    <w:p w:rsidR="007B4B29" w:rsidRDefault="007B4B29">
      <w:pPr>
        <w:rPr>
          <w:color w:val="000000"/>
          <w:sz w:val="22"/>
        </w:rPr>
      </w:pPr>
    </w:p>
    <w:p w:rsidR="00450C28" w:rsidRDefault="00450C28">
      <w:r>
        <w:rPr>
          <w:color w:val="000000"/>
          <w:sz w:val="22"/>
        </w:rPr>
        <w:t>©  A</w:t>
      </w:r>
      <w:r w:rsidR="00B11736">
        <w:rPr>
          <w:color w:val="000000"/>
          <w:sz w:val="22"/>
        </w:rPr>
        <w:t xml:space="preserve">ustralian Capital Territory </w:t>
      </w:r>
      <w:r w:rsidR="001403E0">
        <w:rPr>
          <w:color w:val="000000"/>
          <w:sz w:val="22"/>
        </w:rPr>
        <w:t>2019</w:t>
      </w:r>
    </w:p>
    <w:p w:rsidR="00450C28" w:rsidRDefault="00450C28">
      <w:pPr>
        <w:pStyle w:val="06Copyright"/>
        <w:sectPr w:rsidR="00450C28">
          <w:headerReference w:type="even" r:id="rId1063"/>
          <w:headerReference w:type="default" r:id="rId1064"/>
          <w:footerReference w:type="even" r:id="rId1065"/>
          <w:footerReference w:type="default" r:id="rId1066"/>
          <w:headerReference w:type="first" r:id="rId1067"/>
          <w:footerReference w:type="first" r:id="rId1068"/>
          <w:type w:val="continuous"/>
          <w:pgSz w:w="11907" w:h="16839" w:code="9"/>
          <w:pgMar w:top="3000" w:right="2300" w:bottom="2500" w:left="2300" w:header="2480" w:footer="2100" w:gutter="0"/>
          <w:pgNumType w:fmt="lowerRoman"/>
          <w:cols w:space="720"/>
          <w:titlePg/>
        </w:sectPr>
      </w:pPr>
    </w:p>
    <w:p w:rsidR="00450C28" w:rsidRDefault="00450C28"/>
    <w:sectPr w:rsidR="00450C28" w:rsidSect="00EA4457">
      <w:headerReference w:type="first" r:id="rId1069"/>
      <w:footerReference w:type="first" r:id="rId1070"/>
      <w:type w:val="continuous"/>
      <w:pgSz w:w="11907" w:h="16839"/>
      <w:pgMar w:top="3000" w:right="2300" w:bottom="2500" w:left="2300" w:header="2480" w:footer="2100" w:gutter="0"/>
      <w:cols w:space="720"/>
      <w:titlePg/>
      <w:docGrid w:linePitch="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6A5C" w:rsidRDefault="00546A5C" w:rsidP="00450C28">
      <w:r>
        <w:separator/>
      </w:r>
    </w:p>
  </w:endnote>
  <w:endnote w:type="continuationSeparator" w:id="0">
    <w:p w:rsidR="00546A5C" w:rsidRDefault="00546A5C" w:rsidP="0045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CDE" w:rsidRPr="00E145B1" w:rsidRDefault="00E145B1" w:rsidP="00E145B1">
    <w:pPr>
      <w:pStyle w:val="Footer"/>
      <w:jc w:val="center"/>
      <w:rPr>
        <w:rFonts w:cs="Arial"/>
        <w:sz w:val="14"/>
      </w:rPr>
    </w:pPr>
    <w:r w:rsidRPr="00E145B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5A10EF">
      <w:tc>
        <w:tcPr>
          <w:tcW w:w="847" w:type="pct"/>
        </w:tcPr>
        <w:p w:rsidR="005A10EF" w:rsidRDefault="005A10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DOCPROPERTY "EndDt"  *\charformat </w:instrText>
          </w:r>
          <w:r>
            <w:fldChar w:fldCharType="separate"/>
          </w:r>
          <w:r w:rsidR="007D1CDE">
            <w:t>-14/12/19</w:t>
          </w:r>
          <w:r>
            <w:fldChar w:fldCharType="end"/>
          </w:r>
        </w:p>
      </w:tc>
      <w:tc>
        <w:tcPr>
          <w:tcW w:w="1061" w:type="pct"/>
        </w:tcPr>
        <w:p w:rsidR="005A10EF" w:rsidRDefault="007C2037">
          <w:pPr>
            <w:pStyle w:val="Footer"/>
            <w:jc w:val="right"/>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5A10EF">
      <w:tc>
        <w:tcPr>
          <w:tcW w:w="1061" w:type="pct"/>
        </w:tcPr>
        <w:p w:rsidR="005A10EF" w:rsidRDefault="007C2037">
          <w:pPr>
            <w:pStyle w:val="Footer"/>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w:instrText>
          </w:r>
          <w:r>
            <w:instrText xml:space="preserve">CPROPERTY "EndDt"  *\charformat </w:instrText>
          </w:r>
          <w:r>
            <w:fldChar w:fldCharType="separate"/>
          </w:r>
          <w:r w:rsidR="007D1CDE">
            <w:t>-14/12/19</w:t>
          </w:r>
          <w:r>
            <w:fldChar w:fldCharType="end"/>
          </w:r>
        </w:p>
      </w:tc>
      <w:tc>
        <w:tcPr>
          <w:tcW w:w="847" w:type="pct"/>
        </w:tcPr>
        <w:p w:rsidR="005A10EF" w:rsidRDefault="005A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5A10EF">
      <w:tc>
        <w:tcPr>
          <w:tcW w:w="1061" w:type="pct"/>
        </w:tcPr>
        <w:p w:rsidR="005A10EF" w:rsidRDefault="007C2037">
          <w:pPr>
            <w:pStyle w:val="Footer"/>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DOCPROPERTY "EndDt"  *\charformat </w:instrText>
          </w:r>
          <w:r>
            <w:fldChar w:fldCharType="separate"/>
          </w:r>
          <w:r w:rsidR="007D1CDE">
            <w:t>-14/12/19</w:t>
          </w:r>
          <w:r>
            <w:fldChar w:fldCharType="end"/>
          </w:r>
        </w:p>
      </w:tc>
      <w:tc>
        <w:tcPr>
          <w:tcW w:w="847" w:type="pct"/>
        </w:tcPr>
        <w:p w:rsidR="005A10EF" w:rsidRDefault="005A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tc>
    </w:tr>
  </w:tbl>
  <w:p w:rsidR="005A10EF" w:rsidRDefault="007C2037">
    <w:pPr>
      <w:pStyle w:val="Status"/>
    </w:pPr>
    <w:r>
      <w:fldChar w:fldCharType="begin"/>
    </w:r>
    <w:r>
      <w:instrText xml:space="preserve"> DOCPROPERTY "Status" </w:instrText>
    </w:r>
    <w:r>
      <w:fldChar w:fldCharType="separate"/>
    </w:r>
    <w:r w:rsidR="007D1CDE">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10EF">
      <w:tc>
        <w:tcPr>
          <w:tcW w:w="847" w:type="pct"/>
        </w:tcPr>
        <w:p w:rsidR="005A10EF" w:rsidRDefault="005A10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p>
      </w:tc>
      <w:tc>
        <w:tcPr>
          <w:tcW w:w="3092" w:type="pct"/>
        </w:tcPr>
        <w:p w:rsidR="005A10EF" w:rsidRDefault="007C2037">
          <w:pPr>
            <w:pStyle w:val="Footer"/>
            <w:jc w:val="center"/>
          </w:pPr>
          <w:r>
            <w:fldChar w:fldCharType="begin"/>
          </w:r>
          <w:r>
            <w:instrText xml:space="preserve"> REF Citation *\charfor</w:instrText>
          </w:r>
          <w:r>
            <w:instrText xml:space="preserve">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DOCPROPERTY "EndDt"  *\charformat </w:instrText>
          </w:r>
          <w:r>
            <w:fldChar w:fldCharType="separate"/>
          </w:r>
          <w:r w:rsidR="007D1CDE">
            <w:t>-14/12/19</w:t>
          </w:r>
          <w:r>
            <w:fldChar w:fldCharType="end"/>
          </w:r>
        </w:p>
      </w:tc>
      <w:tc>
        <w:tcPr>
          <w:tcW w:w="1061" w:type="pct"/>
        </w:tcPr>
        <w:p w:rsidR="005A10EF" w:rsidRDefault="007C2037">
          <w:pPr>
            <w:pStyle w:val="Footer"/>
            <w:jc w:val="right"/>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10EF">
      <w:tc>
        <w:tcPr>
          <w:tcW w:w="1061" w:type="pct"/>
        </w:tcPr>
        <w:p w:rsidR="005A10EF" w:rsidRDefault="007C2037">
          <w:pPr>
            <w:pStyle w:val="Footer"/>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DOCPROPERTY "EndDt"  *\charformat </w:instrText>
          </w:r>
          <w:r>
            <w:fldChar w:fldCharType="separate"/>
          </w:r>
          <w:r w:rsidR="007D1CDE">
            <w:t>-14/12/19</w:t>
          </w:r>
          <w:r>
            <w:fldChar w:fldCharType="end"/>
          </w:r>
        </w:p>
      </w:tc>
      <w:tc>
        <w:tcPr>
          <w:tcW w:w="847" w:type="pct"/>
        </w:tcPr>
        <w:p w:rsidR="005A10EF" w:rsidRDefault="005A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103</w:t>
          </w:r>
          <w:r>
            <w:rPr>
              <w:rStyle w:val="PageNumber"/>
            </w:rP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A10EF">
      <w:tc>
        <w:tcPr>
          <w:tcW w:w="1061" w:type="pct"/>
        </w:tcPr>
        <w:p w:rsidR="005A10EF" w:rsidRDefault="007C2037">
          <w:pPr>
            <w:pStyle w:val="Footer"/>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w:instrText>
          </w:r>
          <w:r>
            <w:instrText xml:space="preserve">CPROPERTY "EndDt"  *\charformat </w:instrText>
          </w:r>
          <w:r>
            <w:fldChar w:fldCharType="separate"/>
          </w:r>
          <w:r w:rsidR="007D1CDE">
            <w:t>-14/12/19</w:t>
          </w:r>
          <w:r>
            <w:fldChar w:fldCharType="end"/>
          </w:r>
        </w:p>
      </w:tc>
      <w:tc>
        <w:tcPr>
          <w:tcW w:w="847" w:type="pct"/>
        </w:tcPr>
        <w:p w:rsidR="005A10EF" w:rsidRDefault="005A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5A10EF" w:rsidRDefault="007C2037">
    <w:pPr>
      <w:pStyle w:val="Status"/>
    </w:pPr>
    <w:r>
      <w:fldChar w:fldCharType="begin"/>
    </w:r>
    <w:r>
      <w:instrText xml:space="preserve"> DOCPROPERTY "Status" </w:instrText>
    </w:r>
    <w:r>
      <w:fldChar w:fldCharType="separate"/>
    </w:r>
    <w:r w:rsidR="007D1CDE">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10EF" w:rsidRPr="00CB3D59">
      <w:tc>
        <w:tcPr>
          <w:tcW w:w="847" w:type="pct"/>
        </w:tcPr>
        <w:p w:rsidR="005A10EF" w:rsidRPr="00F02A14" w:rsidRDefault="005A10EF" w:rsidP="007D5CFD">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128</w:t>
          </w:r>
          <w:r w:rsidRPr="00F02A14">
            <w:rPr>
              <w:rStyle w:val="PageNumber"/>
              <w:rFonts w:cs="Arial"/>
              <w:szCs w:val="18"/>
            </w:rPr>
            <w:fldChar w:fldCharType="end"/>
          </w:r>
        </w:p>
      </w:tc>
      <w:tc>
        <w:tcPr>
          <w:tcW w:w="3092" w:type="pct"/>
        </w:tcPr>
        <w:p w:rsidR="005A10EF" w:rsidRPr="00F02A14" w:rsidRDefault="005A10EF"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1CDE" w:rsidRPr="007D1CDE">
            <w:rPr>
              <w:rFonts w:cs="Arial"/>
              <w:szCs w:val="18"/>
            </w:rPr>
            <w:t>Residential Tenancies Act 1997</w:t>
          </w:r>
          <w:r>
            <w:rPr>
              <w:rFonts w:cs="Arial"/>
              <w:szCs w:val="18"/>
            </w:rPr>
            <w:fldChar w:fldCharType="end"/>
          </w:r>
        </w:p>
        <w:p w:rsidR="005A10EF" w:rsidRPr="00F02A14" w:rsidRDefault="005A10EF"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D1CD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D1CDE">
            <w:rPr>
              <w:rFonts w:cs="Arial"/>
              <w:szCs w:val="18"/>
            </w:rPr>
            <w:t>01/11/19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D1CDE">
            <w:rPr>
              <w:rFonts w:cs="Arial"/>
              <w:szCs w:val="18"/>
            </w:rPr>
            <w:t>-14/12/19</w:t>
          </w:r>
          <w:r w:rsidRPr="00F02A14">
            <w:rPr>
              <w:rFonts w:cs="Arial"/>
              <w:szCs w:val="18"/>
            </w:rPr>
            <w:fldChar w:fldCharType="end"/>
          </w:r>
        </w:p>
      </w:tc>
      <w:tc>
        <w:tcPr>
          <w:tcW w:w="1061" w:type="pct"/>
        </w:tcPr>
        <w:p w:rsidR="005A10EF" w:rsidRPr="00F02A14" w:rsidRDefault="005A10EF" w:rsidP="007D5CFD">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D1CDE">
            <w:rPr>
              <w:rFonts w:cs="Arial"/>
              <w:szCs w:val="18"/>
            </w:rPr>
            <w:t>R58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D1CDE">
            <w:rPr>
              <w:rFonts w:cs="Arial"/>
              <w:szCs w:val="18"/>
            </w:rPr>
            <w:t>01/11/19</w:t>
          </w:r>
          <w:r w:rsidRPr="00F02A14">
            <w:rPr>
              <w:rFonts w:cs="Arial"/>
              <w:szCs w:val="18"/>
            </w:rP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10EF" w:rsidRPr="00CB3D59">
      <w:tc>
        <w:tcPr>
          <w:tcW w:w="1061" w:type="pct"/>
        </w:tcPr>
        <w:p w:rsidR="005A10EF" w:rsidRPr="00F02A14" w:rsidRDefault="005A10EF" w:rsidP="007D5CFD">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7D1CDE">
            <w:rPr>
              <w:rFonts w:cs="Arial"/>
              <w:szCs w:val="18"/>
            </w:rPr>
            <w:t>R58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7D1CDE">
            <w:rPr>
              <w:rFonts w:cs="Arial"/>
              <w:szCs w:val="18"/>
            </w:rPr>
            <w:t>01/11/19</w:t>
          </w:r>
          <w:r w:rsidRPr="00F02A14">
            <w:rPr>
              <w:rFonts w:cs="Arial"/>
              <w:szCs w:val="18"/>
            </w:rPr>
            <w:fldChar w:fldCharType="end"/>
          </w:r>
        </w:p>
      </w:tc>
      <w:tc>
        <w:tcPr>
          <w:tcW w:w="3092" w:type="pct"/>
        </w:tcPr>
        <w:p w:rsidR="005A10EF" w:rsidRPr="00F02A14" w:rsidRDefault="005A10EF" w:rsidP="007D5C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D1CDE" w:rsidRPr="007D1CDE">
            <w:rPr>
              <w:rFonts w:cs="Arial"/>
              <w:szCs w:val="18"/>
            </w:rPr>
            <w:t>Residential Tenancies Act 1997</w:t>
          </w:r>
          <w:r>
            <w:rPr>
              <w:rFonts w:cs="Arial"/>
              <w:szCs w:val="18"/>
            </w:rPr>
            <w:fldChar w:fldCharType="end"/>
          </w:r>
        </w:p>
        <w:p w:rsidR="005A10EF" w:rsidRPr="00F02A14" w:rsidRDefault="005A10EF" w:rsidP="007D5CFD">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7D1CDE">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7D1CDE">
            <w:rPr>
              <w:rFonts w:cs="Arial"/>
              <w:szCs w:val="18"/>
            </w:rPr>
            <w:t>01/11/19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7D1CDE">
            <w:rPr>
              <w:rFonts w:cs="Arial"/>
              <w:szCs w:val="18"/>
            </w:rPr>
            <w:t>-14/12/19</w:t>
          </w:r>
          <w:r w:rsidRPr="00F02A14">
            <w:rPr>
              <w:rFonts w:cs="Arial"/>
              <w:szCs w:val="18"/>
            </w:rPr>
            <w:fldChar w:fldCharType="end"/>
          </w:r>
        </w:p>
      </w:tc>
      <w:tc>
        <w:tcPr>
          <w:tcW w:w="847" w:type="pct"/>
        </w:tcPr>
        <w:p w:rsidR="005A10EF" w:rsidRPr="00F02A14" w:rsidRDefault="005A10EF" w:rsidP="007D5CFD">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129</w:t>
          </w:r>
          <w:r w:rsidRPr="00F02A14">
            <w:rPr>
              <w:rStyle w:val="PageNumber"/>
              <w:rFonts w:cs="Arial"/>
              <w:szCs w:val="18"/>
            </w:rP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10EF">
      <w:tc>
        <w:tcPr>
          <w:tcW w:w="847" w:type="pct"/>
        </w:tcPr>
        <w:p w:rsidR="005A10EF" w:rsidRDefault="005A10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134</w:t>
          </w:r>
          <w:r>
            <w:rPr>
              <w:rStyle w:val="PageNumber"/>
            </w:rP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DOCPROPERTY "EndDt"  *\charformat </w:instrText>
          </w:r>
          <w:r>
            <w:fldChar w:fldCharType="separate"/>
          </w:r>
          <w:r w:rsidR="007D1CDE">
            <w:t>-14/12/19</w:t>
          </w:r>
          <w:r>
            <w:fldChar w:fldCharType="end"/>
          </w:r>
        </w:p>
      </w:tc>
      <w:tc>
        <w:tcPr>
          <w:tcW w:w="1061" w:type="pct"/>
        </w:tcPr>
        <w:p w:rsidR="005A10EF" w:rsidRDefault="007C2037">
          <w:pPr>
            <w:pStyle w:val="Footer"/>
            <w:jc w:val="right"/>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10EF">
      <w:tc>
        <w:tcPr>
          <w:tcW w:w="1061" w:type="pct"/>
        </w:tcPr>
        <w:p w:rsidR="005A10EF" w:rsidRDefault="007C2037">
          <w:pPr>
            <w:pStyle w:val="Footer"/>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w:instrText>
          </w:r>
          <w:r>
            <w:instrText xml:space="preserve">*\charformat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DOCPROPERTY "EndDt"  *\charformat </w:instrText>
          </w:r>
          <w:r>
            <w:fldChar w:fldCharType="separate"/>
          </w:r>
          <w:r w:rsidR="007D1CDE">
            <w:t>-14/12/19</w:t>
          </w:r>
          <w:r>
            <w:fldChar w:fldCharType="end"/>
          </w:r>
        </w:p>
      </w:tc>
      <w:tc>
        <w:tcPr>
          <w:tcW w:w="847" w:type="pct"/>
        </w:tcPr>
        <w:p w:rsidR="005A10EF" w:rsidRDefault="005A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133</w:t>
          </w:r>
          <w:r>
            <w:rPr>
              <w:rStyle w:val="PageNumber"/>
            </w:rP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Pr="00E145B1" w:rsidRDefault="005A10EF" w:rsidP="00E145B1">
    <w:pPr>
      <w:pStyle w:val="Footer"/>
      <w:jc w:val="center"/>
      <w:rPr>
        <w:rFonts w:cs="Arial"/>
        <w:sz w:val="14"/>
      </w:rPr>
    </w:pPr>
    <w:r w:rsidRPr="00E145B1">
      <w:rPr>
        <w:rFonts w:cs="Arial"/>
        <w:sz w:val="14"/>
      </w:rPr>
      <w:fldChar w:fldCharType="begin"/>
    </w:r>
    <w:r w:rsidRPr="00E145B1">
      <w:rPr>
        <w:rFonts w:cs="Arial"/>
        <w:sz w:val="14"/>
      </w:rPr>
      <w:instrText xml:space="preserve"> DOCPROPERTY "Status" </w:instrText>
    </w:r>
    <w:r w:rsidRPr="00E145B1">
      <w:rPr>
        <w:rFonts w:cs="Arial"/>
        <w:sz w:val="14"/>
      </w:rPr>
      <w:fldChar w:fldCharType="separate"/>
    </w:r>
    <w:r w:rsidR="007D1CDE" w:rsidRPr="00E145B1">
      <w:rPr>
        <w:rFonts w:cs="Arial"/>
        <w:sz w:val="14"/>
      </w:rPr>
      <w:t xml:space="preserve"> </w:t>
    </w:r>
    <w:r w:rsidRPr="00E145B1">
      <w:rPr>
        <w:rFonts w:cs="Arial"/>
        <w:sz w:val="14"/>
      </w:rPr>
      <w:fldChar w:fldCharType="end"/>
    </w:r>
    <w:r w:rsidRPr="00E145B1">
      <w:rPr>
        <w:rFonts w:cs="Arial"/>
        <w:sz w:val="14"/>
      </w:rPr>
      <w:fldChar w:fldCharType="begin"/>
    </w:r>
    <w:r w:rsidRPr="00E145B1">
      <w:rPr>
        <w:rFonts w:cs="Arial"/>
        <w:sz w:val="14"/>
      </w:rPr>
      <w:instrText xml:space="preserve"> COMMENTS  \* MERGEFORMAT </w:instrText>
    </w:r>
    <w:r w:rsidRPr="00E145B1">
      <w:rPr>
        <w:rFonts w:cs="Arial"/>
        <w:sz w:val="14"/>
      </w:rPr>
      <w:fldChar w:fldCharType="end"/>
    </w:r>
    <w:r w:rsidR="00E145B1" w:rsidRPr="00E145B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10EF">
      <w:tc>
        <w:tcPr>
          <w:tcW w:w="847" w:type="pct"/>
        </w:tcPr>
        <w:p w:rsidR="005A10EF" w:rsidRDefault="005A10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174</w:t>
          </w:r>
          <w:r>
            <w:rPr>
              <w:rStyle w:val="PageNumber"/>
            </w:rP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DOCPROPERTY "EndDt"  *\charformat </w:instrText>
          </w:r>
          <w:r>
            <w:fldChar w:fldCharType="separate"/>
          </w:r>
          <w:r w:rsidR="007D1CDE">
            <w:t>-14/12/19</w:t>
          </w:r>
          <w:r>
            <w:fldChar w:fldCharType="end"/>
          </w:r>
        </w:p>
      </w:tc>
      <w:tc>
        <w:tcPr>
          <w:tcW w:w="1061" w:type="pct"/>
        </w:tcPr>
        <w:p w:rsidR="005A10EF" w:rsidRDefault="007C2037">
          <w:pPr>
            <w:pStyle w:val="Footer"/>
            <w:jc w:val="right"/>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10EF">
      <w:tc>
        <w:tcPr>
          <w:tcW w:w="1061" w:type="pct"/>
        </w:tcPr>
        <w:p w:rsidR="005A10EF" w:rsidRDefault="007C2037">
          <w:pPr>
            <w:pStyle w:val="Footer"/>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DOCPROPERTY "EndDt"  *\charformat </w:instrText>
          </w:r>
          <w:r>
            <w:fldChar w:fldCharType="separate"/>
          </w:r>
          <w:r w:rsidR="007D1CDE">
            <w:t>-14/12/19</w:t>
          </w:r>
          <w:r>
            <w:fldChar w:fldCharType="end"/>
          </w:r>
        </w:p>
      </w:tc>
      <w:tc>
        <w:tcPr>
          <w:tcW w:w="847" w:type="pct"/>
        </w:tcPr>
        <w:p w:rsidR="005A10EF" w:rsidRDefault="005A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173</w:t>
          </w:r>
          <w:r>
            <w:rPr>
              <w:rStyle w:val="PageNumber"/>
            </w:rP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Pr="00E145B1" w:rsidRDefault="00E145B1" w:rsidP="00E145B1">
    <w:pPr>
      <w:pStyle w:val="Footer"/>
      <w:jc w:val="center"/>
      <w:rPr>
        <w:rFonts w:cs="Arial"/>
        <w:sz w:val="14"/>
      </w:rPr>
    </w:pPr>
    <w:r w:rsidRPr="00E145B1">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Pr="00E145B1" w:rsidRDefault="005A10EF" w:rsidP="00E145B1">
    <w:pPr>
      <w:pStyle w:val="Footer"/>
      <w:jc w:val="center"/>
      <w:rPr>
        <w:rFonts w:cs="Arial"/>
        <w:sz w:val="14"/>
      </w:rPr>
    </w:pPr>
    <w:r w:rsidRPr="00E145B1">
      <w:rPr>
        <w:rFonts w:cs="Arial"/>
        <w:sz w:val="14"/>
      </w:rPr>
      <w:fldChar w:fldCharType="begin"/>
    </w:r>
    <w:r w:rsidRPr="00E145B1">
      <w:rPr>
        <w:rFonts w:cs="Arial"/>
        <w:sz w:val="14"/>
      </w:rPr>
      <w:instrText xml:space="preserve"> COMMENTS  \* MERGEFORMAT </w:instrText>
    </w:r>
    <w:r w:rsidRPr="00E145B1">
      <w:rPr>
        <w:rFonts w:cs="Arial"/>
        <w:sz w:val="14"/>
      </w:rPr>
      <w:fldChar w:fldCharType="end"/>
    </w:r>
    <w:r w:rsidR="00E145B1" w:rsidRPr="00E145B1">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Pr="00E145B1" w:rsidRDefault="00E145B1" w:rsidP="00E145B1">
    <w:pPr>
      <w:pStyle w:val="Footer"/>
      <w:jc w:val="center"/>
      <w:rPr>
        <w:rFonts w:cs="Arial"/>
        <w:sz w:val="14"/>
      </w:rPr>
    </w:pPr>
    <w:r w:rsidRPr="00E145B1">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pStyle w:val="Footer"/>
      <w:framePr w:wrap="around" w:vAnchor="text" w:hAnchor="margin" w:xAlign="center" w:y="1"/>
      <w:rPr>
        <w:rStyle w:val="PageNumber"/>
        <w:sz w:val="20"/>
      </w:rPr>
    </w:pPr>
  </w:p>
  <w:p w:rsidR="005A10EF" w:rsidRPr="00E145B1" w:rsidRDefault="00E145B1" w:rsidP="00E145B1">
    <w:pPr>
      <w:pStyle w:val="Footer"/>
      <w:jc w:val="center"/>
      <w:rPr>
        <w:rFonts w:cs="Arial"/>
        <w:sz w:val="14"/>
      </w:rPr>
    </w:pPr>
    <w:r w:rsidRPr="00E145B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CDE" w:rsidRPr="00E145B1" w:rsidRDefault="00E145B1" w:rsidP="00E145B1">
    <w:pPr>
      <w:pStyle w:val="Footer"/>
      <w:jc w:val="center"/>
      <w:rPr>
        <w:rFonts w:cs="Arial"/>
        <w:sz w:val="14"/>
      </w:rPr>
    </w:pPr>
    <w:r w:rsidRPr="00E145B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A10EF">
      <w:tc>
        <w:tcPr>
          <w:tcW w:w="846" w:type="pct"/>
        </w:tcPr>
        <w:p w:rsidR="005A10EF" w:rsidRDefault="005A10E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w:instrText>
          </w:r>
          <w:r>
            <w:fldChar w:fldCharType="separate"/>
          </w:r>
          <w:r w:rsidR="007D1CDE">
            <w:t xml:space="preserve">Effective:  </w:t>
          </w:r>
          <w:r>
            <w:fldChar w:fldCharType="end"/>
          </w:r>
          <w:r>
            <w:fldChar w:fldCharType="begin"/>
          </w:r>
          <w:r>
            <w:instrText xml:space="preserve"> DOCPROPERTY "StartDt"   </w:instrText>
          </w:r>
          <w:r>
            <w:fldChar w:fldCharType="separate"/>
          </w:r>
          <w:r w:rsidR="007D1CDE">
            <w:t>01/11/19</w:t>
          </w:r>
          <w:r>
            <w:fldChar w:fldCharType="end"/>
          </w:r>
          <w:r>
            <w:fldChar w:fldCharType="begin"/>
          </w:r>
          <w:r>
            <w:instrText xml:space="preserve"> DOCPROPERTY "EndDt"  </w:instrText>
          </w:r>
          <w:r>
            <w:fldChar w:fldCharType="separate"/>
          </w:r>
          <w:r w:rsidR="007D1CDE">
            <w:t>-14/12/19</w:t>
          </w:r>
          <w:r>
            <w:fldChar w:fldCharType="end"/>
          </w:r>
        </w:p>
      </w:tc>
      <w:tc>
        <w:tcPr>
          <w:tcW w:w="1061" w:type="pct"/>
        </w:tcPr>
        <w:p w:rsidR="005A10EF" w:rsidRDefault="007C2037">
          <w:pPr>
            <w:pStyle w:val="Footer"/>
            <w:jc w:val="right"/>
          </w:pPr>
          <w:r>
            <w:fldChar w:fldCharType="begin"/>
          </w:r>
          <w:r>
            <w:instrText xml:space="preserve"> DOCPROPERTY "Category"  </w:instrText>
          </w:r>
          <w:r>
            <w:fldChar w:fldCharType="separate"/>
          </w:r>
          <w:r w:rsidR="007D1CDE">
            <w:t>R58</w:t>
          </w:r>
          <w:r>
            <w:fldChar w:fldCharType="end"/>
          </w:r>
          <w:r w:rsidR="005A10EF">
            <w:br/>
          </w:r>
          <w:r>
            <w:fldChar w:fldCharType="begin"/>
          </w:r>
          <w:r>
            <w:instrText xml:space="preserve"> DOCPROPERTY "RepubDt"  </w:instrText>
          </w:r>
          <w:r>
            <w:fldChar w:fldCharType="separate"/>
          </w:r>
          <w:r w:rsidR="007D1CDE">
            <w:t>01/11/19</w:t>
          </w:r>
          <w: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A10EF">
      <w:tc>
        <w:tcPr>
          <w:tcW w:w="1061" w:type="pct"/>
        </w:tcPr>
        <w:p w:rsidR="005A10EF" w:rsidRDefault="007C2037">
          <w:pPr>
            <w:pStyle w:val="Footer"/>
          </w:pPr>
          <w:r>
            <w:fldChar w:fldCharType="begin"/>
          </w:r>
          <w:r>
            <w:instrText xml:space="preserve"> DOCPROPERTY "Category"  </w:instrText>
          </w:r>
          <w:r>
            <w:fldChar w:fldCharType="separate"/>
          </w:r>
          <w:r w:rsidR="007D1CDE">
            <w:t>R58</w:t>
          </w:r>
          <w:r>
            <w:fldChar w:fldCharType="end"/>
          </w:r>
          <w:r w:rsidR="005A10EF">
            <w:br/>
          </w:r>
          <w:r>
            <w:fldChar w:fldCharType="begin"/>
          </w:r>
          <w:r>
            <w:instrText xml:space="preserve"> DOCPROPERTY "RepubDt"  </w:instrText>
          </w:r>
          <w:r>
            <w:fldChar w:fldCharType="separate"/>
          </w:r>
          <w:r w:rsidR="007D1CDE">
            <w:t>01/11/19</w:t>
          </w:r>
          <w:r>
            <w:fldChar w:fldCharType="end"/>
          </w:r>
        </w:p>
      </w:tc>
      <w:tc>
        <w:tcPr>
          <w:tcW w:w="3093"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w:instrText>
          </w:r>
          <w:r>
            <w:fldChar w:fldCharType="separate"/>
          </w:r>
          <w:r w:rsidR="007D1CDE">
            <w:t xml:space="preserve">Effective:  </w:t>
          </w:r>
          <w:r>
            <w:fldChar w:fldCharType="end"/>
          </w:r>
          <w:r>
            <w:fldChar w:fldCharType="begin"/>
          </w:r>
          <w:r>
            <w:instrText xml:space="preserve"> DOCPROPERTY "StartDt"  </w:instrText>
          </w:r>
          <w:r>
            <w:fldChar w:fldCharType="separate"/>
          </w:r>
          <w:r w:rsidR="007D1CDE">
            <w:t>01/11/19</w:t>
          </w:r>
          <w:r>
            <w:fldChar w:fldCharType="end"/>
          </w:r>
          <w:r>
            <w:fldChar w:fldCharType="begin"/>
          </w:r>
          <w:r>
            <w:instrText xml:space="preserve"> DOCPROPERTY "EndDt"  </w:instrText>
          </w:r>
          <w:r>
            <w:fldChar w:fldCharType="separate"/>
          </w:r>
          <w:r w:rsidR="007D1CDE">
            <w:t>-14/12/19</w:t>
          </w:r>
          <w:r>
            <w:fldChar w:fldCharType="end"/>
          </w:r>
        </w:p>
      </w:tc>
      <w:tc>
        <w:tcPr>
          <w:tcW w:w="846" w:type="pct"/>
        </w:tcPr>
        <w:p w:rsidR="005A10EF" w:rsidRDefault="005A10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A10EF">
      <w:tc>
        <w:tcPr>
          <w:tcW w:w="1061" w:type="pct"/>
        </w:tcPr>
        <w:p w:rsidR="005A10EF" w:rsidRDefault="007C2037">
          <w:pPr>
            <w:pStyle w:val="Footer"/>
          </w:pPr>
          <w:r>
            <w:fldChar w:fldCharType="begin"/>
          </w:r>
          <w:r>
            <w:instrText xml:space="preserve"> DOCPROPERTY "Category"  </w:instrText>
          </w:r>
          <w:r>
            <w:fldChar w:fldCharType="separate"/>
          </w:r>
          <w:r w:rsidR="007D1CDE">
            <w:t>R58</w:t>
          </w:r>
          <w:r>
            <w:fldChar w:fldCharType="end"/>
          </w:r>
          <w:r w:rsidR="005A10EF">
            <w:br/>
          </w:r>
          <w:r>
            <w:fldChar w:fldCharType="begin"/>
          </w:r>
          <w:r>
            <w:instrText xml:space="preserve"> DOCPROPERTY "RepubDt"  </w:instrText>
          </w:r>
          <w:r>
            <w:fldChar w:fldCharType="separate"/>
          </w:r>
          <w:r w:rsidR="007D1CDE">
            <w:t>01/11/19</w:t>
          </w:r>
          <w:r>
            <w:fldChar w:fldCharType="end"/>
          </w:r>
        </w:p>
      </w:tc>
      <w:tc>
        <w:tcPr>
          <w:tcW w:w="3093"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w:instrText>
          </w:r>
          <w:r>
            <w:fldChar w:fldCharType="separate"/>
          </w:r>
          <w:r w:rsidR="007D1CDE">
            <w:t xml:space="preserve">Effective:  </w:t>
          </w:r>
          <w:r>
            <w:fldChar w:fldCharType="end"/>
          </w:r>
          <w:r>
            <w:fldChar w:fldCharType="begin"/>
          </w:r>
          <w:r>
            <w:instrText xml:space="preserve"> DOCPROPERTY "StartDt"   </w:instrText>
          </w:r>
          <w:r>
            <w:fldChar w:fldCharType="separate"/>
          </w:r>
          <w:r w:rsidR="007D1CDE">
            <w:t>01/11/19</w:t>
          </w:r>
          <w:r>
            <w:fldChar w:fldCharType="end"/>
          </w:r>
          <w:r>
            <w:fldChar w:fldCharType="begin"/>
          </w:r>
          <w:r>
            <w:instrText xml:space="preserve"> DOCPROPERTY "EndDt"  </w:instrText>
          </w:r>
          <w:r>
            <w:fldChar w:fldCharType="separate"/>
          </w:r>
          <w:r w:rsidR="007D1CDE">
            <w:t>-14/12/19</w:t>
          </w:r>
          <w:r>
            <w:fldChar w:fldCharType="end"/>
          </w:r>
        </w:p>
      </w:tc>
      <w:tc>
        <w:tcPr>
          <w:tcW w:w="846" w:type="pct"/>
        </w:tcPr>
        <w:p w:rsidR="005A10EF" w:rsidRDefault="005A10E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A10EF" w:rsidRPr="00E145B1" w:rsidRDefault="00E145B1" w:rsidP="00E145B1">
    <w:pPr>
      <w:pStyle w:val="Status"/>
      <w:rPr>
        <w:rFonts w:cs="Arial"/>
      </w:rPr>
    </w:pPr>
    <w:r w:rsidRPr="00E145B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A10EF">
      <w:tc>
        <w:tcPr>
          <w:tcW w:w="847" w:type="pct"/>
        </w:tcPr>
        <w:p w:rsidR="005A10EF" w:rsidRDefault="005A10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DOCPROPERTY "EndDt"  *\charformat </w:instrText>
          </w:r>
          <w:r>
            <w:fldChar w:fldCharType="separate"/>
          </w:r>
          <w:r w:rsidR="007D1CDE">
            <w:t>-14/12/19</w:t>
          </w:r>
          <w:r>
            <w:fldChar w:fldCharType="end"/>
          </w:r>
        </w:p>
      </w:tc>
      <w:tc>
        <w:tcPr>
          <w:tcW w:w="1061" w:type="pct"/>
        </w:tcPr>
        <w:p w:rsidR="005A10EF" w:rsidRDefault="007C2037">
          <w:pPr>
            <w:pStyle w:val="Footer"/>
            <w:jc w:val="right"/>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A10EF">
      <w:tc>
        <w:tcPr>
          <w:tcW w:w="1061" w:type="pct"/>
        </w:tcPr>
        <w:p w:rsidR="005A10EF" w:rsidRDefault="007C2037">
          <w:pPr>
            <w:pStyle w:val="Footer"/>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DOCPROPERTY "EndDt"  *\charformat </w:instrText>
          </w:r>
          <w:r>
            <w:fldChar w:fldCharType="separate"/>
          </w:r>
          <w:r w:rsidR="007D1CDE">
            <w:t>-14/12/19</w:t>
          </w:r>
          <w:r>
            <w:fldChar w:fldCharType="end"/>
          </w:r>
        </w:p>
      </w:tc>
      <w:tc>
        <w:tcPr>
          <w:tcW w:w="847" w:type="pct"/>
        </w:tcPr>
        <w:p w:rsidR="005A10EF" w:rsidRDefault="005A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A10EF">
      <w:tc>
        <w:tcPr>
          <w:tcW w:w="1061" w:type="pct"/>
        </w:tcPr>
        <w:p w:rsidR="005A10EF" w:rsidRDefault="007C2037">
          <w:pPr>
            <w:pStyle w:val="Footer"/>
          </w:pPr>
          <w:r>
            <w:fldChar w:fldCharType="begin"/>
          </w:r>
          <w:r>
            <w:instrText xml:space="preserve"> DOCPROPERTY "Category"  *\charformat  </w:instrText>
          </w:r>
          <w:r>
            <w:fldChar w:fldCharType="separate"/>
          </w:r>
          <w:r w:rsidR="007D1CDE">
            <w:t>R58</w:t>
          </w:r>
          <w:r>
            <w:fldChar w:fldCharType="end"/>
          </w:r>
          <w:r w:rsidR="005A10EF">
            <w:br/>
          </w:r>
          <w:r>
            <w:fldChar w:fldCharType="begin"/>
          </w:r>
          <w:r>
            <w:instrText xml:space="preserve"> DOCPROPERTY "RepubDt"  *\charformat  </w:instrText>
          </w:r>
          <w:r>
            <w:fldChar w:fldCharType="separate"/>
          </w:r>
          <w:r w:rsidR="007D1CDE">
            <w:t>01/11/19</w:t>
          </w:r>
          <w:r>
            <w:fldChar w:fldCharType="end"/>
          </w:r>
        </w:p>
      </w:tc>
      <w:tc>
        <w:tcPr>
          <w:tcW w:w="3092" w:type="pct"/>
        </w:tcPr>
        <w:p w:rsidR="005A10EF" w:rsidRDefault="007C2037">
          <w:pPr>
            <w:pStyle w:val="Footer"/>
            <w:jc w:val="center"/>
          </w:pPr>
          <w:r>
            <w:fldChar w:fldCharType="begin"/>
          </w:r>
          <w:r>
            <w:instrText xml:space="preserve"> REF Citation *\charformat </w:instrText>
          </w:r>
          <w:r>
            <w:fldChar w:fldCharType="separate"/>
          </w:r>
          <w:r w:rsidR="007D1CDE">
            <w:t>Residential Tenancies Act 1997</w:t>
          </w:r>
          <w:r>
            <w:fldChar w:fldCharType="end"/>
          </w:r>
        </w:p>
        <w:p w:rsidR="005A10EF" w:rsidRDefault="007C2037">
          <w:pPr>
            <w:pStyle w:val="FooterInfoCentre"/>
          </w:pPr>
          <w:r>
            <w:fldChar w:fldCharType="begin"/>
          </w:r>
          <w:r>
            <w:instrText xml:space="preserve"> DOCPROPERTY "Eff"  *\charformat </w:instrText>
          </w:r>
          <w:r>
            <w:fldChar w:fldCharType="separate"/>
          </w:r>
          <w:r w:rsidR="007D1CDE">
            <w:t xml:space="preserve">Effective:  </w:t>
          </w:r>
          <w:r>
            <w:fldChar w:fldCharType="end"/>
          </w:r>
          <w:r>
            <w:fldChar w:fldCharType="begin"/>
          </w:r>
          <w:r>
            <w:instrText xml:space="preserve"> DOCPROPERTY "StartDt"  *\charformat </w:instrText>
          </w:r>
          <w:r>
            <w:fldChar w:fldCharType="separate"/>
          </w:r>
          <w:r w:rsidR="007D1CDE">
            <w:t>01/11/19</w:t>
          </w:r>
          <w:r>
            <w:fldChar w:fldCharType="end"/>
          </w:r>
          <w:r>
            <w:fldChar w:fldCharType="begin"/>
          </w:r>
          <w:r>
            <w:instrText xml:space="preserve"> DOCPROPERTY "EndDt"  *\charformat </w:instrText>
          </w:r>
          <w:r>
            <w:fldChar w:fldCharType="separate"/>
          </w:r>
          <w:r w:rsidR="007D1CDE">
            <w:t>-14/12/19</w:t>
          </w:r>
          <w:r>
            <w:fldChar w:fldCharType="end"/>
          </w:r>
        </w:p>
      </w:tc>
      <w:tc>
        <w:tcPr>
          <w:tcW w:w="847" w:type="pct"/>
        </w:tcPr>
        <w:p w:rsidR="005A10EF" w:rsidRDefault="005A10E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5A10EF" w:rsidRPr="00E145B1" w:rsidRDefault="007C2037" w:rsidP="00E145B1">
    <w:pPr>
      <w:pStyle w:val="Status"/>
      <w:rPr>
        <w:rFonts w:cs="Arial"/>
      </w:rPr>
    </w:pPr>
    <w:r w:rsidRPr="00E145B1">
      <w:rPr>
        <w:rFonts w:cs="Arial"/>
      </w:rPr>
      <w:fldChar w:fldCharType="begin"/>
    </w:r>
    <w:r w:rsidRPr="00E145B1">
      <w:rPr>
        <w:rFonts w:cs="Arial"/>
      </w:rPr>
      <w:instrText xml:space="preserve"> DOCPROPERTY "Status" </w:instrText>
    </w:r>
    <w:r w:rsidRPr="00E145B1">
      <w:rPr>
        <w:rFonts w:cs="Arial"/>
      </w:rPr>
      <w:fldChar w:fldCharType="separate"/>
    </w:r>
    <w:r w:rsidR="007D1CDE" w:rsidRPr="00E145B1">
      <w:rPr>
        <w:rFonts w:cs="Arial"/>
      </w:rPr>
      <w:t xml:space="preserve"> </w:t>
    </w:r>
    <w:r w:rsidRPr="00E145B1">
      <w:rPr>
        <w:rFonts w:cs="Arial"/>
      </w:rPr>
      <w:fldChar w:fldCharType="end"/>
    </w:r>
    <w:r w:rsidR="00E145B1" w:rsidRPr="00E145B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6A5C" w:rsidRDefault="00546A5C" w:rsidP="00450C28">
      <w:r>
        <w:separator/>
      </w:r>
    </w:p>
  </w:footnote>
  <w:footnote w:type="continuationSeparator" w:id="0">
    <w:p w:rsidR="00546A5C" w:rsidRDefault="00546A5C" w:rsidP="00450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CDE" w:rsidRDefault="007D1CD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19"/>
    </w:tblGrid>
    <w:tr w:rsidR="005A10EF">
      <w:tc>
        <w:tcPr>
          <w:tcW w:w="900" w:type="pct"/>
        </w:tcPr>
        <w:p w:rsidR="005A10EF" w:rsidRDefault="005A10EF">
          <w:pPr>
            <w:pStyle w:val="HeaderEven"/>
            <w:rPr>
              <w:b/>
            </w:rPr>
          </w:pPr>
          <w:r>
            <w:rPr>
              <w:b/>
            </w:rPr>
            <w:fldChar w:fldCharType="begin"/>
          </w:r>
          <w:r>
            <w:rPr>
              <w:b/>
            </w:rPr>
            <w:instrText xml:space="preserve"> STYLEREF CharPartNo \*charformat </w:instrText>
          </w:r>
          <w:r>
            <w:rPr>
              <w:b/>
            </w:rPr>
            <w:fldChar w:fldCharType="separate"/>
          </w:r>
          <w:r w:rsidR="00E145B1">
            <w:rPr>
              <w:b/>
              <w:noProof/>
            </w:rPr>
            <w:t>Part 15</w:t>
          </w:r>
          <w:r>
            <w:rPr>
              <w:b/>
            </w:rPr>
            <w:fldChar w:fldCharType="end"/>
          </w:r>
        </w:p>
      </w:tc>
      <w:tc>
        <w:tcPr>
          <w:tcW w:w="4100" w:type="pct"/>
        </w:tcPr>
        <w:p w:rsidR="005A10EF" w:rsidRDefault="005A10EF">
          <w:pPr>
            <w:pStyle w:val="HeaderEven"/>
          </w:pPr>
          <w:r>
            <w:rPr>
              <w:noProof/>
            </w:rPr>
            <w:fldChar w:fldCharType="begin"/>
          </w:r>
          <w:r>
            <w:rPr>
              <w:noProof/>
            </w:rPr>
            <w:instrText xml:space="preserve"> STYLEREF CharPartText \*charformat </w:instrText>
          </w:r>
          <w:r>
            <w:rPr>
              <w:noProof/>
            </w:rPr>
            <w:fldChar w:fldCharType="separate"/>
          </w:r>
          <w:r w:rsidR="00E145B1">
            <w:rPr>
              <w:noProof/>
            </w:rPr>
            <w:t>Transitional—Residential Tenancies Amendment Act 2018</w:t>
          </w:r>
          <w:r>
            <w:rPr>
              <w:noProof/>
            </w:rPr>
            <w:fldChar w:fldCharType="end"/>
          </w:r>
        </w:p>
      </w:tc>
    </w:tr>
    <w:tr w:rsidR="005A10EF">
      <w:tc>
        <w:tcPr>
          <w:tcW w:w="900" w:type="pct"/>
        </w:tcPr>
        <w:p w:rsidR="005A10EF" w:rsidRDefault="005A10E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A10EF" w:rsidRDefault="007C2037">
          <w:pPr>
            <w:pStyle w:val="HeaderEven"/>
          </w:pPr>
          <w:r>
            <w:fldChar w:fldCharType="begin"/>
          </w:r>
          <w:r>
            <w:instrText xml:space="preserve"> STYLEREF CharDivText \*charformat </w:instrText>
          </w:r>
          <w:r>
            <w:rPr>
              <w:noProof/>
            </w:rPr>
            <w:fldChar w:fldCharType="end"/>
          </w:r>
        </w:p>
      </w:tc>
    </w:tr>
    <w:tr w:rsidR="005A10EF">
      <w:trPr>
        <w:cantSplit/>
      </w:trPr>
      <w:tc>
        <w:tcPr>
          <w:tcW w:w="4997" w:type="pct"/>
          <w:gridSpan w:val="2"/>
          <w:tcBorders>
            <w:bottom w:val="single" w:sz="4" w:space="0" w:color="auto"/>
          </w:tcBorders>
        </w:tcPr>
        <w:p w:rsidR="005A10EF" w:rsidRDefault="007C2037">
          <w:pPr>
            <w:pStyle w:val="HeaderEven6"/>
          </w:pPr>
          <w:r>
            <w:fldChar w:fldCharType="begin"/>
          </w:r>
          <w:r>
            <w:instrText xml:space="preserve"> DOCPROPERTY "Company"  \* MERGEFORMAT </w:instrText>
          </w:r>
          <w:r>
            <w:fldChar w:fldCharType="separate"/>
          </w:r>
          <w:r w:rsidR="007D1CDE">
            <w:t>Section</w:t>
          </w:r>
          <w:r>
            <w:fldChar w:fldCharType="end"/>
          </w:r>
          <w:r w:rsidR="005A10EF">
            <w:t xml:space="preserve"> </w:t>
          </w:r>
          <w:r w:rsidR="005A10EF">
            <w:rPr>
              <w:noProof/>
            </w:rPr>
            <w:fldChar w:fldCharType="begin"/>
          </w:r>
          <w:r w:rsidR="005A10EF">
            <w:rPr>
              <w:noProof/>
            </w:rPr>
            <w:instrText xml:space="preserve"> STYLEREF CharSectNo \*charformat </w:instrText>
          </w:r>
          <w:r w:rsidR="005A10EF">
            <w:rPr>
              <w:noProof/>
            </w:rPr>
            <w:fldChar w:fldCharType="separate"/>
          </w:r>
          <w:r w:rsidR="00E145B1">
            <w:rPr>
              <w:noProof/>
            </w:rPr>
            <w:t>154</w:t>
          </w:r>
          <w:r w:rsidR="005A10EF">
            <w:rPr>
              <w:noProof/>
            </w:rPr>
            <w:fldChar w:fldCharType="end"/>
          </w:r>
        </w:p>
      </w:tc>
    </w:tr>
  </w:tbl>
  <w:p w:rsidR="005A10EF" w:rsidRDefault="005A10E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A10EF">
      <w:tc>
        <w:tcPr>
          <w:tcW w:w="4100" w:type="pct"/>
        </w:tcPr>
        <w:p w:rsidR="005A10EF" w:rsidRDefault="005A10EF">
          <w:pPr>
            <w:pStyle w:val="HeaderEven"/>
            <w:jc w:val="right"/>
          </w:pPr>
          <w:r>
            <w:rPr>
              <w:noProof/>
            </w:rPr>
            <w:fldChar w:fldCharType="begin"/>
          </w:r>
          <w:r>
            <w:rPr>
              <w:noProof/>
            </w:rPr>
            <w:instrText xml:space="preserve"> STYLEREF CharPartText \*charformat </w:instrText>
          </w:r>
          <w:r>
            <w:rPr>
              <w:noProof/>
            </w:rPr>
            <w:fldChar w:fldCharType="separate"/>
          </w:r>
          <w:r w:rsidR="00E145B1">
            <w:rPr>
              <w:noProof/>
            </w:rPr>
            <w:t>Transitional—Residential Tenancies Amendment Act 2018</w:t>
          </w:r>
          <w:r>
            <w:rPr>
              <w:noProof/>
            </w:rPr>
            <w:fldChar w:fldCharType="end"/>
          </w:r>
        </w:p>
      </w:tc>
      <w:tc>
        <w:tcPr>
          <w:tcW w:w="900" w:type="pct"/>
        </w:tcPr>
        <w:p w:rsidR="005A10EF" w:rsidRDefault="005A10EF">
          <w:pPr>
            <w:pStyle w:val="HeaderEven"/>
            <w:jc w:val="right"/>
            <w:rPr>
              <w:b/>
            </w:rPr>
          </w:pPr>
          <w:r>
            <w:rPr>
              <w:b/>
            </w:rPr>
            <w:fldChar w:fldCharType="begin"/>
          </w:r>
          <w:r>
            <w:rPr>
              <w:b/>
            </w:rPr>
            <w:instrText xml:space="preserve"> STYLEREF CharPartNo \*charformat </w:instrText>
          </w:r>
          <w:r>
            <w:rPr>
              <w:b/>
            </w:rPr>
            <w:fldChar w:fldCharType="separate"/>
          </w:r>
          <w:r w:rsidR="00E145B1">
            <w:rPr>
              <w:b/>
              <w:noProof/>
            </w:rPr>
            <w:t>Part 15</w:t>
          </w:r>
          <w:r>
            <w:rPr>
              <w:b/>
            </w:rPr>
            <w:fldChar w:fldCharType="end"/>
          </w:r>
        </w:p>
      </w:tc>
    </w:tr>
    <w:tr w:rsidR="005A10EF">
      <w:tc>
        <w:tcPr>
          <w:tcW w:w="4100" w:type="pct"/>
        </w:tcPr>
        <w:p w:rsidR="005A10EF" w:rsidRDefault="007C2037">
          <w:pPr>
            <w:pStyle w:val="HeaderEven"/>
            <w:jc w:val="right"/>
          </w:pPr>
          <w:r>
            <w:fldChar w:fldCharType="begin"/>
          </w:r>
          <w:r>
            <w:instrText xml:space="preserve"> STYLEREF CharDivText \*charformat </w:instrText>
          </w:r>
          <w:r>
            <w:rPr>
              <w:noProof/>
            </w:rPr>
            <w:fldChar w:fldCharType="end"/>
          </w:r>
        </w:p>
      </w:tc>
      <w:tc>
        <w:tcPr>
          <w:tcW w:w="900" w:type="pct"/>
        </w:tcPr>
        <w:p w:rsidR="005A10EF" w:rsidRDefault="005A10EF">
          <w:pPr>
            <w:pStyle w:val="HeaderEven"/>
            <w:jc w:val="right"/>
            <w:rPr>
              <w:b/>
            </w:rPr>
          </w:pPr>
          <w:r>
            <w:rPr>
              <w:b/>
            </w:rPr>
            <w:fldChar w:fldCharType="begin"/>
          </w:r>
          <w:r>
            <w:rPr>
              <w:b/>
            </w:rPr>
            <w:instrText xml:space="preserve"> STYLEREF CharDivNo \*charformat </w:instrText>
          </w:r>
          <w:r>
            <w:rPr>
              <w:b/>
            </w:rPr>
            <w:fldChar w:fldCharType="end"/>
          </w:r>
        </w:p>
      </w:tc>
    </w:tr>
    <w:tr w:rsidR="005A10EF">
      <w:trPr>
        <w:cantSplit/>
      </w:trPr>
      <w:tc>
        <w:tcPr>
          <w:tcW w:w="5000" w:type="pct"/>
          <w:gridSpan w:val="2"/>
          <w:tcBorders>
            <w:bottom w:val="single" w:sz="4" w:space="0" w:color="auto"/>
          </w:tcBorders>
        </w:tcPr>
        <w:p w:rsidR="005A10EF" w:rsidRDefault="007C2037">
          <w:pPr>
            <w:pStyle w:val="HeaderOdd6"/>
          </w:pPr>
          <w:r>
            <w:fldChar w:fldCharType="begin"/>
          </w:r>
          <w:r>
            <w:instrText xml:space="preserve"> DOCPROPERTY "Company"  \* MERGEFORMAT </w:instrText>
          </w:r>
          <w:r>
            <w:fldChar w:fldCharType="separate"/>
          </w:r>
          <w:r w:rsidR="007D1CDE">
            <w:t>Section</w:t>
          </w:r>
          <w:r>
            <w:fldChar w:fldCharType="end"/>
          </w:r>
          <w:r w:rsidR="005A10EF">
            <w:t xml:space="preserve"> </w:t>
          </w:r>
          <w:r w:rsidR="005A10EF">
            <w:rPr>
              <w:noProof/>
            </w:rPr>
            <w:fldChar w:fldCharType="begin"/>
          </w:r>
          <w:r w:rsidR="005A10EF">
            <w:rPr>
              <w:noProof/>
            </w:rPr>
            <w:instrText xml:space="preserve"> STYLEREF CharSectNo \*charformat </w:instrText>
          </w:r>
          <w:r w:rsidR="005A10EF">
            <w:rPr>
              <w:noProof/>
            </w:rPr>
            <w:fldChar w:fldCharType="separate"/>
          </w:r>
          <w:r w:rsidR="00E145B1">
            <w:rPr>
              <w:noProof/>
            </w:rPr>
            <w:t>151</w:t>
          </w:r>
          <w:r w:rsidR="005A10EF">
            <w:rPr>
              <w:noProof/>
            </w:rPr>
            <w:fldChar w:fldCharType="end"/>
          </w:r>
        </w:p>
      </w:tc>
    </w:tr>
  </w:tbl>
  <w:p w:rsidR="005A10EF" w:rsidRDefault="005A10E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5A10EF" w:rsidRPr="00CB3D59">
      <w:trPr>
        <w:jc w:val="center"/>
      </w:trPr>
      <w:tc>
        <w:tcPr>
          <w:tcW w:w="1560" w:type="dxa"/>
        </w:tcPr>
        <w:p w:rsidR="005A10EF" w:rsidRPr="00F02A14" w:rsidRDefault="005A10EF">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145B1">
            <w:rPr>
              <w:rFonts w:cs="Arial"/>
              <w:b/>
              <w:noProof/>
              <w:szCs w:val="18"/>
            </w:rPr>
            <w:t>Schedule 1</w:t>
          </w:r>
          <w:r w:rsidRPr="00F02A14">
            <w:rPr>
              <w:rFonts w:cs="Arial"/>
              <w:b/>
              <w:szCs w:val="18"/>
            </w:rPr>
            <w:fldChar w:fldCharType="end"/>
          </w:r>
        </w:p>
      </w:tc>
      <w:tc>
        <w:tcPr>
          <w:tcW w:w="5741" w:type="dxa"/>
        </w:tcPr>
        <w:p w:rsidR="005A10EF" w:rsidRPr="00F02A14" w:rsidRDefault="005A10EF">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145B1">
            <w:rPr>
              <w:rFonts w:cs="Arial"/>
              <w:noProof/>
              <w:szCs w:val="18"/>
            </w:rPr>
            <w:t>Standard residential tenancy terms</w:t>
          </w:r>
          <w:r w:rsidRPr="00F02A14">
            <w:rPr>
              <w:rFonts w:cs="Arial"/>
              <w:szCs w:val="18"/>
            </w:rPr>
            <w:fldChar w:fldCharType="end"/>
          </w:r>
        </w:p>
      </w:tc>
    </w:tr>
    <w:tr w:rsidR="005A10EF" w:rsidRPr="00CB3D59">
      <w:trPr>
        <w:jc w:val="center"/>
      </w:trPr>
      <w:tc>
        <w:tcPr>
          <w:tcW w:w="1560" w:type="dxa"/>
        </w:tcPr>
        <w:p w:rsidR="005A10EF" w:rsidRPr="00F02A14" w:rsidRDefault="005A10EF">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5A10EF" w:rsidRPr="00F02A14" w:rsidRDefault="005A10EF">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5A10EF" w:rsidRPr="00CB3D59">
      <w:trPr>
        <w:jc w:val="center"/>
      </w:trPr>
      <w:tc>
        <w:tcPr>
          <w:tcW w:w="7296" w:type="dxa"/>
          <w:gridSpan w:val="2"/>
          <w:tcBorders>
            <w:bottom w:val="single" w:sz="4" w:space="0" w:color="auto"/>
          </w:tcBorders>
        </w:tcPr>
        <w:p w:rsidR="005A10EF" w:rsidRPr="00783A18" w:rsidRDefault="005A10EF" w:rsidP="007D5CFD">
          <w:pPr>
            <w:pStyle w:val="HeaderEven6"/>
            <w:spacing w:before="0" w:after="0"/>
            <w:rPr>
              <w:rFonts w:ascii="Times New Roman" w:hAnsi="Times New Roman"/>
              <w:sz w:val="24"/>
              <w:szCs w:val="24"/>
            </w:rPr>
          </w:pPr>
        </w:p>
      </w:tc>
    </w:tr>
  </w:tbl>
  <w:p w:rsidR="005A10EF" w:rsidRDefault="005A10E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5A10EF" w:rsidRPr="00CB3D59">
      <w:trPr>
        <w:jc w:val="center"/>
      </w:trPr>
      <w:tc>
        <w:tcPr>
          <w:tcW w:w="5741" w:type="dxa"/>
        </w:tcPr>
        <w:p w:rsidR="005A10EF" w:rsidRPr="00F02A14" w:rsidRDefault="005A10E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E145B1">
            <w:rPr>
              <w:rFonts w:cs="Arial"/>
              <w:noProof/>
              <w:szCs w:val="18"/>
            </w:rPr>
            <w:t>Standard residential tenancy terms</w:t>
          </w:r>
          <w:r w:rsidRPr="00F02A14">
            <w:rPr>
              <w:rFonts w:cs="Arial"/>
              <w:szCs w:val="18"/>
            </w:rPr>
            <w:fldChar w:fldCharType="end"/>
          </w:r>
        </w:p>
      </w:tc>
      <w:tc>
        <w:tcPr>
          <w:tcW w:w="1560" w:type="dxa"/>
        </w:tcPr>
        <w:p w:rsidR="005A10EF" w:rsidRPr="00F02A14" w:rsidRDefault="005A10E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E145B1">
            <w:rPr>
              <w:rFonts w:cs="Arial"/>
              <w:b/>
              <w:noProof/>
              <w:szCs w:val="18"/>
            </w:rPr>
            <w:t>Schedule 1</w:t>
          </w:r>
          <w:r w:rsidRPr="00F02A14">
            <w:rPr>
              <w:rFonts w:cs="Arial"/>
              <w:b/>
              <w:szCs w:val="18"/>
            </w:rPr>
            <w:fldChar w:fldCharType="end"/>
          </w:r>
        </w:p>
      </w:tc>
    </w:tr>
    <w:tr w:rsidR="005A10EF" w:rsidRPr="00CB3D59">
      <w:trPr>
        <w:jc w:val="center"/>
      </w:trPr>
      <w:tc>
        <w:tcPr>
          <w:tcW w:w="5741" w:type="dxa"/>
        </w:tcPr>
        <w:p w:rsidR="005A10EF" w:rsidRPr="00F02A14" w:rsidRDefault="005A10EF">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5A10EF" w:rsidRPr="00F02A14" w:rsidRDefault="005A10EF">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5A10EF" w:rsidRPr="00CB3D59">
      <w:trPr>
        <w:jc w:val="center"/>
      </w:trPr>
      <w:tc>
        <w:tcPr>
          <w:tcW w:w="7296" w:type="dxa"/>
          <w:gridSpan w:val="2"/>
          <w:tcBorders>
            <w:bottom w:val="single" w:sz="4" w:space="0" w:color="auto"/>
          </w:tcBorders>
        </w:tcPr>
        <w:p w:rsidR="005A10EF" w:rsidRPr="00783A18" w:rsidRDefault="005A10EF" w:rsidP="007D5CFD">
          <w:pPr>
            <w:pStyle w:val="HeaderOdd6"/>
            <w:spacing w:before="0" w:after="0"/>
            <w:jc w:val="left"/>
            <w:rPr>
              <w:rFonts w:ascii="Times New Roman" w:hAnsi="Times New Roman"/>
              <w:sz w:val="24"/>
              <w:szCs w:val="24"/>
            </w:rPr>
          </w:pPr>
        </w:p>
      </w:tc>
    </w:tr>
  </w:tbl>
  <w:p w:rsidR="005A10EF" w:rsidRDefault="005A10E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A10EF">
      <w:trPr>
        <w:jc w:val="center"/>
      </w:trPr>
      <w:tc>
        <w:tcPr>
          <w:tcW w:w="1340" w:type="dxa"/>
        </w:tcPr>
        <w:p w:rsidR="005A10EF" w:rsidRDefault="005A10EF">
          <w:pPr>
            <w:pStyle w:val="HeaderEven"/>
          </w:pPr>
        </w:p>
      </w:tc>
      <w:tc>
        <w:tcPr>
          <w:tcW w:w="6583" w:type="dxa"/>
        </w:tcPr>
        <w:p w:rsidR="005A10EF" w:rsidRDefault="005A10EF">
          <w:pPr>
            <w:pStyle w:val="HeaderEven"/>
          </w:pPr>
        </w:p>
      </w:tc>
    </w:tr>
    <w:tr w:rsidR="005A10EF">
      <w:trPr>
        <w:jc w:val="center"/>
      </w:trPr>
      <w:tc>
        <w:tcPr>
          <w:tcW w:w="7923" w:type="dxa"/>
          <w:gridSpan w:val="2"/>
          <w:tcBorders>
            <w:bottom w:val="single" w:sz="4" w:space="0" w:color="auto"/>
          </w:tcBorders>
        </w:tcPr>
        <w:p w:rsidR="005A10EF" w:rsidRDefault="005A10EF">
          <w:pPr>
            <w:pStyle w:val="HeaderEven6"/>
          </w:pPr>
          <w:r>
            <w:t>Dictionary</w:t>
          </w:r>
        </w:p>
      </w:tc>
    </w:tr>
  </w:tbl>
  <w:p w:rsidR="005A10EF" w:rsidRDefault="005A10E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A10EF">
      <w:trPr>
        <w:jc w:val="center"/>
      </w:trPr>
      <w:tc>
        <w:tcPr>
          <w:tcW w:w="6583" w:type="dxa"/>
        </w:tcPr>
        <w:p w:rsidR="005A10EF" w:rsidRDefault="005A10EF">
          <w:pPr>
            <w:pStyle w:val="HeaderOdd"/>
          </w:pPr>
        </w:p>
      </w:tc>
      <w:tc>
        <w:tcPr>
          <w:tcW w:w="1340" w:type="dxa"/>
        </w:tcPr>
        <w:p w:rsidR="005A10EF" w:rsidRDefault="005A10EF">
          <w:pPr>
            <w:pStyle w:val="HeaderOdd"/>
          </w:pPr>
        </w:p>
      </w:tc>
    </w:tr>
    <w:tr w:rsidR="005A10EF">
      <w:trPr>
        <w:jc w:val="center"/>
      </w:trPr>
      <w:tc>
        <w:tcPr>
          <w:tcW w:w="7923" w:type="dxa"/>
          <w:gridSpan w:val="2"/>
          <w:tcBorders>
            <w:bottom w:val="single" w:sz="4" w:space="0" w:color="auto"/>
          </w:tcBorders>
        </w:tcPr>
        <w:p w:rsidR="005A10EF" w:rsidRDefault="005A10EF">
          <w:pPr>
            <w:pStyle w:val="HeaderOdd6"/>
          </w:pPr>
          <w:r>
            <w:t>Dictionary</w:t>
          </w:r>
        </w:p>
      </w:tc>
    </w:tr>
  </w:tbl>
  <w:p w:rsidR="005A10EF" w:rsidRDefault="005A10EF">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A10EF">
      <w:trPr>
        <w:jc w:val="center"/>
      </w:trPr>
      <w:tc>
        <w:tcPr>
          <w:tcW w:w="1234" w:type="dxa"/>
          <w:gridSpan w:val="2"/>
        </w:tcPr>
        <w:p w:rsidR="005A10EF" w:rsidRDefault="005A10EF">
          <w:pPr>
            <w:pStyle w:val="HeaderEven"/>
            <w:rPr>
              <w:b/>
            </w:rPr>
          </w:pPr>
          <w:r>
            <w:rPr>
              <w:b/>
            </w:rPr>
            <w:t>Endnotes</w:t>
          </w:r>
        </w:p>
      </w:tc>
      <w:tc>
        <w:tcPr>
          <w:tcW w:w="6062" w:type="dxa"/>
        </w:tcPr>
        <w:p w:rsidR="005A10EF" w:rsidRDefault="005A10EF">
          <w:pPr>
            <w:pStyle w:val="HeaderEven"/>
          </w:pPr>
        </w:p>
      </w:tc>
    </w:tr>
    <w:tr w:rsidR="005A10EF">
      <w:trPr>
        <w:cantSplit/>
        <w:jc w:val="center"/>
      </w:trPr>
      <w:tc>
        <w:tcPr>
          <w:tcW w:w="7296" w:type="dxa"/>
          <w:gridSpan w:val="3"/>
        </w:tcPr>
        <w:p w:rsidR="005A10EF" w:rsidRDefault="005A10EF">
          <w:pPr>
            <w:pStyle w:val="HeaderEven"/>
          </w:pPr>
        </w:p>
      </w:tc>
    </w:tr>
    <w:tr w:rsidR="005A10EF">
      <w:trPr>
        <w:cantSplit/>
        <w:jc w:val="center"/>
      </w:trPr>
      <w:tc>
        <w:tcPr>
          <w:tcW w:w="700" w:type="dxa"/>
          <w:tcBorders>
            <w:bottom w:val="single" w:sz="4" w:space="0" w:color="auto"/>
          </w:tcBorders>
        </w:tcPr>
        <w:p w:rsidR="005A10EF" w:rsidRDefault="005A10EF">
          <w:pPr>
            <w:pStyle w:val="HeaderEven6"/>
          </w:pPr>
          <w:r>
            <w:rPr>
              <w:noProof/>
            </w:rPr>
            <w:fldChar w:fldCharType="begin"/>
          </w:r>
          <w:r>
            <w:rPr>
              <w:noProof/>
            </w:rPr>
            <w:instrText xml:space="preserve"> STYLEREF charTableNo \*charformat </w:instrText>
          </w:r>
          <w:r>
            <w:rPr>
              <w:noProof/>
            </w:rPr>
            <w:fldChar w:fldCharType="separate"/>
          </w:r>
          <w:r w:rsidR="00E145B1">
            <w:rPr>
              <w:noProof/>
            </w:rPr>
            <w:t>5</w:t>
          </w:r>
          <w:r>
            <w:rPr>
              <w:noProof/>
            </w:rPr>
            <w:fldChar w:fldCharType="end"/>
          </w:r>
        </w:p>
      </w:tc>
      <w:tc>
        <w:tcPr>
          <w:tcW w:w="6600" w:type="dxa"/>
          <w:gridSpan w:val="2"/>
          <w:tcBorders>
            <w:bottom w:val="single" w:sz="4" w:space="0" w:color="auto"/>
          </w:tcBorders>
        </w:tcPr>
        <w:p w:rsidR="005A10EF" w:rsidRDefault="005A10EF">
          <w:pPr>
            <w:pStyle w:val="HeaderEven6"/>
          </w:pPr>
          <w:r>
            <w:rPr>
              <w:noProof/>
            </w:rPr>
            <w:fldChar w:fldCharType="begin"/>
          </w:r>
          <w:r>
            <w:rPr>
              <w:noProof/>
            </w:rPr>
            <w:instrText xml:space="preserve"> STYLEREF charTableText \*charformat </w:instrText>
          </w:r>
          <w:r>
            <w:rPr>
              <w:noProof/>
            </w:rPr>
            <w:fldChar w:fldCharType="separate"/>
          </w:r>
          <w:r w:rsidR="00E145B1">
            <w:rPr>
              <w:noProof/>
            </w:rPr>
            <w:t>Earlier republications</w:t>
          </w:r>
          <w:r>
            <w:rPr>
              <w:noProof/>
            </w:rPr>
            <w:fldChar w:fldCharType="end"/>
          </w:r>
        </w:p>
      </w:tc>
    </w:tr>
  </w:tbl>
  <w:p w:rsidR="005A10EF" w:rsidRDefault="005A10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A10EF">
      <w:trPr>
        <w:jc w:val="center"/>
      </w:trPr>
      <w:tc>
        <w:tcPr>
          <w:tcW w:w="5741" w:type="dxa"/>
        </w:tcPr>
        <w:p w:rsidR="005A10EF" w:rsidRDefault="005A10EF">
          <w:pPr>
            <w:pStyle w:val="HeaderEven"/>
            <w:jc w:val="right"/>
          </w:pPr>
        </w:p>
      </w:tc>
      <w:tc>
        <w:tcPr>
          <w:tcW w:w="1560" w:type="dxa"/>
          <w:gridSpan w:val="2"/>
        </w:tcPr>
        <w:p w:rsidR="005A10EF" w:rsidRDefault="005A10EF">
          <w:pPr>
            <w:pStyle w:val="HeaderEven"/>
            <w:jc w:val="right"/>
            <w:rPr>
              <w:b/>
            </w:rPr>
          </w:pPr>
          <w:r>
            <w:rPr>
              <w:b/>
            </w:rPr>
            <w:t>Endnotes</w:t>
          </w:r>
        </w:p>
      </w:tc>
    </w:tr>
    <w:tr w:rsidR="005A10EF">
      <w:trPr>
        <w:jc w:val="center"/>
      </w:trPr>
      <w:tc>
        <w:tcPr>
          <w:tcW w:w="7301" w:type="dxa"/>
          <w:gridSpan w:val="3"/>
        </w:tcPr>
        <w:p w:rsidR="005A10EF" w:rsidRDefault="005A10EF">
          <w:pPr>
            <w:pStyle w:val="HeaderEven"/>
            <w:jc w:val="right"/>
            <w:rPr>
              <w:b/>
            </w:rPr>
          </w:pPr>
        </w:p>
      </w:tc>
    </w:tr>
    <w:tr w:rsidR="005A10EF">
      <w:trPr>
        <w:jc w:val="center"/>
      </w:trPr>
      <w:tc>
        <w:tcPr>
          <w:tcW w:w="6600" w:type="dxa"/>
          <w:gridSpan w:val="2"/>
          <w:tcBorders>
            <w:bottom w:val="single" w:sz="4" w:space="0" w:color="auto"/>
          </w:tcBorders>
        </w:tcPr>
        <w:p w:rsidR="005A10EF" w:rsidRDefault="005A10EF">
          <w:pPr>
            <w:pStyle w:val="HeaderOdd6"/>
          </w:pPr>
          <w:r>
            <w:rPr>
              <w:noProof/>
            </w:rPr>
            <w:fldChar w:fldCharType="begin"/>
          </w:r>
          <w:r>
            <w:rPr>
              <w:noProof/>
            </w:rPr>
            <w:instrText xml:space="preserve"> STYLEREF charTableText \*charformat </w:instrText>
          </w:r>
          <w:r>
            <w:rPr>
              <w:noProof/>
            </w:rPr>
            <w:fldChar w:fldCharType="separate"/>
          </w:r>
          <w:r w:rsidR="00E145B1">
            <w:rPr>
              <w:noProof/>
            </w:rPr>
            <w:t>Expired transitional or validating provisions</w:t>
          </w:r>
          <w:r>
            <w:rPr>
              <w:noProof/>
            </w:rPr>
            <w:fldChar w:fldCharType="end"/>
          </w:r>
        </w:p>
      </w:tc>
      <w:tc>
        <w:tcPr>
          <w:tcW w:w="700" w:type="dxa"/>
          <w:tcBorders>
            <w:bottom w:val="single" w:sz="4" w:space="0" w:color="auto"/>
          </w:tcBorders>
        </w:tcPr>
        <w:p w:rsidR="005A10EF" w:rsidRDefault="005A10EF">
          <w:pPr>
            <w:pStyle w:val="HeaderOdd6"/>
          </w:pPr>
          <w:r>
            <w:rPr>
              <w:noProof/>
            </w:rPr>
            <w:fldChar w:fldCharType="begin"/>
          </w:r>
          <w:r>
            <w:rPr>
              <w:noProof/>
            </w:rPr>
            <w:instrText xml:space="preserve"> STYLEREF charTableNo \*charformat </w:instrText>
          </w:r>
          <w:r>
            <w:rPr>
              <w:noProof/>
            </w:rPr>
            <w:fldChar w:fldCharType="separate"/>
          </w:r>
          <w:r w:rsidR="00E145B1">
            <w:rPr>
              <w:noProof/>
            </w:rPr>
            <w:t>6</w:t>
          </w:r>
          <w:r>
            <w:rPr>
              <w:noProof/>
            </w:rPr>
            <w:fldChar w:fldCharType="end"/>
          </w:r>
        </w:p>
      </w:tc>
    </w:tr>
  </w:tbl>
  <w:p w:rsidR="005A10EF" w:rsidRDefault="005A10E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CDE" w:rsidRDefault="007D1CD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0EF" w:rsidRDefault="005A1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CDE" w:rsidRDefault="007D1C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A10EF">
      <w:tc>
        <w:tcPr>
          <w:tcW w:w="900" w:type="pct"/>
        </w:tcPr>
        <w:p w:rsidR="005A10EF" w:rsidRDefault="005A10EF">
          <w:pPr>
            <w:pStyle w:val="HeaderEven"/>
          </w:pPr>
        </w:p>
      </w:tc>
      <w:tc>
        <w:tcPr>
          <w:tcW w:w="4100" w:type="pct"/>
        </w:tcPr>
        <w:p w:rsidR="005A10EF" w:rsidRDefault="005A10EF">
          <w:pPr>
            <w:pStyle w:val="HeaderEven"/>
          </w:pPr>
        </w:p>
      </w:tc>
    </w:tr>
    <w:tr w:rsidR="005A10EF">
      <w:tc>
        <w:tcPr>
          <w:tcW w:w="4100" w:type="pct"/>
          <w:gridSpan w:val="2"/>
          <w:tcBorders>
            <w:bottom w:val="single" w:sz="4" w:space="0" w:color="auto"/>
          </w:tcBorders>
        </w:tcPr>
        <w:p w:rsidR="005A10EF" w:rsidRDefault="007C2037">
          <w:pPr>
            <w:pStyle w:val="HeaderEven6"/>
          </w:pPr>
          <w:r>
            <w:fldChar w:fldCharType="begin"/>
          </w:r>
          <w:r>
            <w:instrText xml:space="preserve"> STYLEREF charContents \* MERGEFORMAT </w:instrText>
          </w:r>
          <w:r>
            <w:fldChar w:fldCharType="separate"/>
          </w:r>
          <w:r w:rsidR="00E145B1">
            <w:rPr>
              <w:noProof/>
            </w:rPr>
            <w:t>Contents</w:t>
          </w:r>
          <w:r>
            <w:rPr>
              <w:noProof/>
            </w:rPr>
            <w:fldChar w:fldCharType="end"/>
          </w:r>
        </w:p>
      </w:tc>
    </w:tr>
  </w:tbl>
  <w:p w:rsidR="005A10EF" w:rsidRDefault="005A10EF">
    <w:pPr>
      <w:pStyle w:val="N-9pt"/>
    </w:pPr>
    <w:r>
      <w:tab/>
    </w:r>
    <w:r w:rsidR="007C2037">
      <w:fldChar w:fldCharType="begin"/>
    </w:r>
    <w:r w:rsidR="007C2037">
      <w:instrText xml:space="preserve"> STYLEREF charPage \* MERGEFORMAT </w:instrText>
    </w:r>
    <w:r w:rsidR="007C2037">
      <w:fldChar w:fldCharType="separate"/>
    </w:r>
    <w:r w:rsidR="00E145B1">
      <w:rPr>
        <w:noProof/>
      </w:rPr>
      <w:t>Page</w:t>
    </w:r>
    <w:r w:rsidR="007C203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A10EF">
      <w:tc>
        <w:tcPr>
          <w:tcW w:w="4100" w:type="pct"/>
        </w:tcPr>
        <w:p w:rsidR="005A10EF" w:rsidRDefault="005A10EF">
          <w:pPr>
            <w:pStyle w:val="HeaderOdd"/>
          </w:pPr>
        </w:p>
      </w:tc>
      <w:tc>
        <w:tcPr>
          <w:tcW w:w="900" w:type="pct"/>
        </w:tcPr>
        <w:p w:rsidR="005A10EF" w:rsidRDefault="005A10EF">
          <w:pPr>
            <w:pStyle w:val="HeaderOdd"/>
          </w:pPr>
        </w:p>
      </w:tc>
    </w:tr>
    <w:tr w:rsidR="005A10EF">
      <w:tc>
        <w:tcPr>
          <w:tcW w:w="900" w:type="pct"/>
          <w:gridSpan w:val="2"/>
          <w:tcBorders>
            <w:bottom w:val="single" w:sz="4" w:space="0" w:color="auto"/>
          </w:tcBorders>
        </w:tcPr>
        <w:p w:rsidR="005A10EF" w:rsidRDefault="007C2037">
          <w:pPr>
            <w:pStyle w:val="HeaderOdd6"/>
          </w:pPr>
          <w:r>
            <w:fldChar w:fldCharType="begin"/>
          </w:r>
          <w:r>
            <w:instrText xml:space="preserve"> STYLEREF charContents \* MERGEFORMAT </w:instrText>
          </w:r>
          <w:r>
            <w:fldChar w:fldCharType="separate"/>
          </w:r>
          <w:r w:rsidR="00E145B1">
            <w:rPr>
              <w:noProof/>
            </w:rPr>
            <w:t>Contents</w:t>
          </w:r>
          <w:r>
            <w:rPr>
              <w:noProof/>
            </w:rPr>
            <w:fldChar w:fldCharType="end"/>
          </w:r>
        </w:p>
      </w:tc>
    </w:tr>
  </w:tbl>
  <w:p w:rsidR="005A10EF" w:rsidRDefault="005A10EF">
    <w:pPr>
      <w:pStyle w:val="N-9pt"/>
    </w:pPr>
    <w:r>
      <w:tab/>
    </w:r>
    <w:r w:rsidR="007C2037">
      <w:fldChar w:fldCharType="begin"/>
    </w:r>
    <w:r w:rsidR="007C2037">
      <w:instrText xml:space="preserve"> STYLEREF charPage \* MERGEFORMAT </w:instrText>
    </w:r>
    <w:r w:rsidR="007C2037">
      <w:fldChar w:fldCharType="separate"/>
    </w:r>
    <w:r w:rsidR="00E145B1">
      <w:rPr>
        <w:noProof/>
      </w:rPr>
      <w:t>Page</w:t>
    </w:r>
    <w:r w:rsidR="007C2037">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A10EF">
      <w:tc>
        <w:tcPr>
          <w:tcW w:w="900" w:type="pct"/>
        </w:tcPr>
        <w:p w:rsidR="005A10EF" w:rsidRDefault="005A10EF">
          <w:pPr>
            <w:pStyle w:val="HeaderEven"/>
            <w:rPr>
              <w:b/>
            </w:rPr>
          </w:pPr>
          <w:r>
            <w:rPr>
              <w:b/>
            </w:rPr>
            <w:fldChar w:fldCharType="begin"/>
          </w:r>
          <w:r>
            <w:rPr>
              <w:b/>
            </w:rPr>
            <w:instrText xml:space="preserve"> STYLEREF CharPartNo \*charformat </w:instrText>
          </w:r>
          <w:r>
            <w:rPr>
              <w:b/>
            </w:rPr>
            <w:fldChar w:fldCharType="separate"/>
          </w:r>
          <w:r w:rsidR="00E145B1">
            <w:rPr>
              <w:b/>
              <w:noProof/>
            </w:rPr>
            <w:t>Part 6</w:t>
          </w:r>
          <w:r>
            <w:rPr>
              <w:b/>
            </w:rPr>
            <w:fldChar w:fldCharType="end"/>
          </w:r>
        </w:p>
      </w:tc>
      <w:tc>
        <w:tcPr>
          <w:tcW w:w="4100" w:type="pct"/>
        </w:tcPr>
        <w:p w:rsidR="005A10EF" w:rsidRDefault="005A10EF">
          <w:pPr>
            <w:pStyle w:val="HeaderEven"/>
          </w:pPr>
          <w:r>
            <w:rPr>
              <w:noProof/>
            </w:rPr>
            <w:fldChar w:fldCharType="begin"/>
          </w:r>
          <w:r>
            <w:rPr>
              <w:noProof/>
            </w:rPr>
            <w:instrText xml:space="preserve"> STYLEREF CharPartText \*charformat </w:instrText>
          </w:r>
          <w:r>
            <w:rPr>
              <w:noProof/>
            </w:rPr>
            <w:fldChar w:fldCharType="separate"/>
          </w:r>
          <w:r w:rsidR="00E145B1">
            <w:rPr>
              <w:noProof/>
            </w:rPr>
            <w:t>Resolution of residential tenancy and occupancy disputes</w:t>
          </w:r>
          <w:r>
            <w:rPr>
              <w:noProof/>
            </w:rPr>
            <w:fldChar w:fldCharType="end"/>
          </w:r>
        </w:p>
      </w:tc>
    </w:tr>
    <w:tr w:rsidR="005A10EF">
      <w:tc>
        <w:tcPr>
          <w:tcW w:w="900" w:type="pct"/>
        </w:tcPr>
        <w:p w:rsidR="005A10EF" w:rsidRDefault="005A10EF">
          <w:pPr>
            <w:pStyle w:val="HeaderEven"/>
            <w:rPr>
              <w:b/>
            </w:rPr>
          </w:pPr>
          <w:r>
            <w:rPr>
              <w:b/>
            </w:rPr>
            <w:fldChar w:fldCharType="begin"/>
          </w:r>
          <w:r>
            <w:rPr>
              <w:b/>
            </w:rPr>
            <w:instrText xml:space="preserve"> STYLEREF CharDivNo \*charformat </w:instrText>
          </w:r>
          <w:r w:rsidR="00E145B1">
            <w:rPr>
              <w:b/>
            </w:rPr>
            <w:fldChar w:fldCharType="separate"/>
          </w:r>
          <w:r w:rsidR="00E145B1">
            <w:rPr>
              <w:b/>
              <w:noProof/>
            </w:rPr>
            <w:t>Division 6.1</w:t>
          </w:r>
          <w:r>
            <w:rPr>
              <w:b/>
            </w:rPr>
            <w:fldChar w:fldCharType="end"/>
          </w:r>
        </w:p>
      </w:tc>
      <w:tc>
        <w:tcPr>
          <w:tcW w:w="4100" w:type="pct"/>
        </w:tcPr>
        <w:p w:rsidR="005A10EF" w:rsidRDefault="005A10EF">
          <w:pPr>
            <w:pStyle w:val="HeaderEven"/>
          </w:pPr>
          <w:r>
            <w:rPr>
              <w:noProof/>
            </w:rPr>
            <w:fldChar w:fldCharType="begin"/>
          </w:r>
          <w:r>
            <w:rPr>
              <w:noProof/>
            </w:rPr>
            <w:instrText xml:space="preserve"> STYLEREF CharDivText \*charformat </w:instrText>
          </w:r>
          <w:r w:rsidR="00E145B1">
            <w:rPr>
              <w:noProof/>
            </w:rPr>
            <w:fldChar w:fldCharType="separate"/>
          </w:r>
          <w:r w:rsidR="00E145B1">
            <w:rPr>
              <w:noProof/>
            </w:rPr>
            <w:t>Important concepts</w:t>
          </w:r>
          <w:r>
            <w:rPr>
              <w:noProof/>
            </w:rPr>
            <w:fldChar w:fldCharType="end"/>
          </w:r>
        </w:p>
      </w:tc>
    </w:tr>
    <w:tr w:rsidR="005A10EF">
      <w:trPr>
        <w:cantSplit/>
      </w:trPr>
      <w:tc>
        <w:tcPr>
          <w:tcW w:w="4997" w:type="pct"/>
          <w:gridSpan w:val="2"/>
          <w:tcBorders>
            <w:bottom w:val="single" w:sz="4" w:space="0" w:color="auto"/>
          </w:tcBorders>
        </w:tcPr>
        <w:p w:rsidR="005A10EF" w:rsidRDefault="007C2037">
          <w:pPr>
            <w:pStyle w:val="HeaderEven6"/>
          </w:pPr>
          <w:r>
            <w:fldChar w:fldCharType="begin"/>
          </w:r>
          <w:r>
            <w:instrText xml:space="preserve"> DOCPROPERTY "Company"  \* MERGEFORMAT </w:instrText>
          </w:r>
          <w:r>
            <w:fldChar w:fldCharType="separate"/>
          </w:r>
          <w:r w:rsidR="007D1CDE">
            <w:t>Section</w:t>
          </w:r>
          <w:r>
            <w:fldChar w:fldCharType="end"/>
          </w:r>
          <w:r w:rsidR="005A10EF">
            <w:t xml:space="preserve"> </w:t>
          </w:r>
          <w:r w:rsidR="005A10EF">
            <w:rPr>
              <w:noProof/>
            </w:rPr>
            <w:fldChar w:fldCharType="begin"/>
          </w:r>
          <w:r w:rsidR="005A10EF">
            <w:rPr>
              <w:noProof/>
            </w:rPr>
            <w:instrText xml:space="preserve"> STYLEREF CharSectNo \*charformat </w:instrText>
          </w:r>
          <w:r w:rsidR="005A10EF">
            <w:rPr>
              <w:noProof/>
            </w:rPr>
            <w:fldChar w:fldCharType="separate"/>
          </w:r>
          <w:r w:rsidR="00E145B1">
            <w:rPr>
              <w:noProof/>
            </w:rPr>
            <w:t>72</w:t>
          </w:r>
          <w:r w:rsidR="005A10EF">
            <w:rPr>
              <w:noProof/>
            </w:rPr>
            <w:fldChar w:fldCharType="end"/>
          </w:r>
        </w:p>
      </w:tc>
    </w:tr>
  </w:tbl>
  <w:p w:rsidR="005A10EF" w:rsidRDefault="005A10E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A10EF">
      <w:tc>
        <w:tcPr>
          <w:tcW w:w="4100" w:type="pct"/>
        </w:tcPr>
        <w:p w:rsidR="005A10EF" w:rsidRDefault="005A10EF">
          <w:pPr>
            <w:pStyle w:val="HeaderEven"/>
            <w:jc w:val="right"/>
          </w:pPr>
          <w:r>
            <w:rPr>
              <w:noProof/>
            </w:rPr>
            <w:fldChar w:fldCharType="begin"/>
          </w:r>
          <w:r>
            <w:rPr>
              <w:noProof/>
            </w:rPr>
            <w:instrText xml:space="preserve"> STYLEREF CharPartText \*charformat </w:instrText>
          </w:r>
          <w:r>
            <w:rPr>
              <w:noProof/>
            </w:rPr>
            <w:fldChar w:fldCharType="separate"/>
          </w:r>
          <w:r w:rsidR="00E145B1">
            <w:rPr>
              <w:noProof/>
            </w:rPr>
            <w:t>Resolution of residential tenancy and occupancy disputes</w:t>
          </w:r>
          <w:r>
            <w:rPr>
              <w:noProof/>
            </w:rPr>
            <w:fldChar w:fldCharType="end"/>
          </w:r>
        </w:p>
      </w:tc>
      <w:tc>
        <w:tcPr>
          <w:tcW w:w="900" w:type="pct"/>
        </w:tcPr>
        <w:p w:rsidR="005A10EF" w:rsidRDefault="005A10EF">
          <w:pPr>
            <w:pStyle w:val="HeaderEven"/>
            <w:jc w:val="right"/>
            <w:rPr>
              <w:b/>
            </w:rPr>
          </w:pPr>
          <w:r>
            <w:rPr>
              <w:b/>
            </w:rPr>
            <w:fldChar w:fldCharType="begin"/>
          </w:r>
          <w:r>
            <w:rPr>
              <w:b/>
            </w:rPr>
            <w:instrText xml:space="preserve"> STYLEREF CharPartNo \*charformat </w:instrText>
          </w:r>
          <w:r>
            <w:rPr>
              <w:b/>
            </w:rPr>
            <w:fldChar w:fldCharType="separate"/>
          </w:r>
          <w:r w:rsidR="00E145B1">
            <w:rPr>
              <w:b/>
              <w:noProof/>
            </w:rPr>
            <w:t>Part 6</w:t>
          </w:r>
          <w:r>
            <w:rPr>
              <w:b/>
            </w:rPr>
            <w:fldChar w:fldCharType="end"/>
          </w:r>
        </w:p>
      </w:tc>
    </w:tr>
    <w:tr w:rsidR="005A10EF">
      <w:tc>
        <w:tcPr>
          <w:tcW w:w="4100" w:type="pct"/>
        </w:tcPr>
        <w:p w:rsidR="005A10EF" w:rsidRDefault="005A10EF">
          <w:pPr>
            <w:pStyle w:val="HeaderEven"/>
            <w:jc w:val="right"/>
          </w:pPr>
          <w:r>
            <w:rPr>
              <w:noProof/>
            </w:rPr>
            <w:fldChar w:fldCharType="begin"/>
          </w:r>
          <w:r>
            <w:rPr>
              <w:noProof/>
            </w:rPr>
            <w:instrText xml:space="preserve"> STYLEREF CharDivText \*charformat </w:instrText>
          </w:r>
          <w:r w:rsidR="00E145B1">
            <w:rPr>
              <w:noProof/>
            </w:rPr>
            <w:fldChar w:fldCharType="separate"/>
          </w:r>
          <w:r w:rsidR="00E145B1">
            <w:rPr>
              <w:noProof/>
            </w:rPr>
            <w:t>Action by registrar</w:t>
          </w:r>
          <w:r>
            <w:rPr>
              <w:noProof/>
            </w:rPr>
            <w:fldChar w:fldCharType="end"/>
          </w:r>
        </w:p>
      </w:tc>
      <w:tc>
        <w:tcPr>
          <w:tcW w:w="900" w:type="pct"/>
        </w:tcPr>
        <w:p w:rsidR="005A10EF" w:rsidRDefault="005A10EF">
          <w:pPr>
            <w:pStyle w:val="HeaderEven"/>
            <w:jc w:val="right"/>
            <w:rPr>
              <w:b/>
            </w:rPr>
          </w:pPr>
          <w:r>
            <w:rPr>
              <w:b/>
            </w:rPr>
            <w:fldChar w:fldCharType="begin"/>
          </w:r>
          <w:r>
            <w:rPr>
              <w:b/>
            </w:rPr>
            <w:instrText xml:space="preserve"> STYLEREF CharDivNo \*charformat </w:instrText>
          </w:r>
          <w:r w:rsidR="00E145B1">
            <w:rPr>
              <w:b/>
            </w:rPr>
            <w:fldChar w:fldCharType="separate"/>
          </w:r>
          <w:r w:rsidR="00E145B1">
            <w:rPr>
              <w:b/>
              <w:noProof/>
            </w:rPr>
            <w:t>Division 6.2</w:t>
          </w:r>
          <w:r>
            <w:rPr>
              <w:b/>
            </w:rPr>
            <w:fldChar w:fldCharType="end"/>
          </w:r>
        </w:p>
      </w:tc>
    </w:tr>
    <w:tr w:rsidR="005A10EF">
      <w:trPr>
        <w:cantSplit/>
      </w:trPr>
      <w:tc>
        <w:tcPr>
          <w:tcW w:w="5000" w:type="pct"/>
          <w:gridSpan w:val="2"/>
          <w:tcBorders>
            <w:bottom w:val="single" w:sz="4" w:space="0" w:color="auto"/>
          </w:tcBorders>
        </w:tcPr>
        <w:p w:rsidR="005A10EF" w:rsidRDefault="007C2037">
          <w:pPr>
            <w:pStyle w:val="HeaderOdd6"/>
          </w:pPr>
          <w:r>
            <w:fldChar w:fldCharType="begin"/>
          </w:r>
          <w:r>
            <w:instrText xml:space="preserve"> DOCPROPERTY "Company"  \* MERGEFORMAT </w:instrText>
          </w:r>
          <w:r>
            <w:fldChar w:fldCharType="separate"/>
          </w:r>
          <w:r w:rsidR="007D1CDE">
            <w:t>Section</w:t>
          </w:r>
          <w:r>
            <w:fldChar w:fldCharType="end"/>
          </w:r>
          <w:r w:rsidR="005A10EF">
            <w:t xml:space="preserve"> </w:t>
          </w:r>
          <w:r w:rsidR="005A10EF">
            <w:rPr>
              <w:noProof/>
            </w:rPr>
            <w:fldChar w:fldCharType="begin"/>
          </w:r>
          <w:r w:rsidR="005A10EF">
            <w:rPr>
              <w:noProof/>
            </w:rPr>
            <w:instrText xml:space="preserve"> STYLEREF CharSectNo \*charformat </w:instrText>
          </w:r>
          <w:r w:rsidR="005A10EF">
            <w:rPr>
              <w:noProof/>
            </w:rPr>
            <w:fldChar w:fldCharType="separate"/>
          </w:r>
          <w:r w:rsidR="00E145B1">
            <w:rPr>
              <w:noProof/>
            </w:rPr>
            <w:t>75</w:t>
          </w:r>
          <w:r w:rsidR="005A10EF">
            <w:rPr>
              <w:noProof/>
            </w:rPr>
            <w:fldChar w:fldCharType="end"/>
          </w:r>
        </w:p>
      </w:tc>
    </w:tr>
  </w:tbl>
  <w:p w:rsidR="005A10EF" w:rsidRDefault="005A10E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A10EF">
      <w:tc>
        <w:tcPr>
          <w:tcW w:w="900" w:type="pct"/>
        </w:tcPr>
        <w:p w:rsidR="005A10EF" w:rsidRDefault="005A10EF">
          <w:pPr>
            <w:pStyle w:val="HeaderEven"/>
            <w:rPr>
              <w:b/>
            </w:rPr>
          </w:pPr>
          <w:r>
            <w:rPr>
              <w:b/>
            </w:rPr>
            <w:fldChar w:fldCharType="begin"/>
          </w:r>
          <w:r>
            <w:rPr>
              <w:b/>
            </w:rPr>
            <w:instrText xml:space="preserve"> STYLEREF CharPartNo \*charformat </w:instrText>
          </w:r>
          <w:r>
            <w:rPr>
              <w:b/>
            </w:rPr>
            <w:fldChar w:fldCharType="separate"/>
          </w:r>
          <w:r w:rsidR="00E145B1">
            <w:rPr>
              <w:b/>
              <w:noProof/>
            </w:rPr>
            <w:t>Part 6</w:t>
          </w:r>
          <w:r>
            <w:rPr>
              <w:b/>
            </w:rPr>
            <w:fldChar w:fldCharType="end"/>
          </w:r>
        </w:p>
      </w:tc>
      <w:tc>
        <w:tcPr>
          <w:tcW w:w="4100" w:type="pct"/>
        </w:tcPr>
        <w:p w:rsidR="005A10EF" w:rsidRDefault="005A10EF">
          <w:pPr>
            <w:pStyle w:val="HeaderEven"/>
          </w:pPr>
          <w:r>
            <w:rPr>
              <w:noProof/>
            </w:rPr>
            <w:fldChar w:fldCharType="begin"/>
          </w:r>
          <w:r>
            <w:rPr>
              <w:noProof/>
            </w:rPr>
            <w:instrText xml:space="preserve"> STYLEREF CharPartText \*charformat </w:instrText>
          </w:r>
          <w:r>
            <w:rPr>
              <w:noProof/>
            </w:rPr>
            <w:fldChar w:fldCharType="separate"/>
          </w:r>
          <w:r w:rsidR="00E145B1">
            <w:rPr>
              <w:noProof/>
            </w:rPr>
            <w:t>Resolution of residential tenancy and occupancy disputes</w:t>
          </w:r>
          <w:r>
            <w:rPr>
              <w:noProof/>
            </w:rPr>
            <w:fldChar w:fldCharType="end"/>
          </w:r>
        </w:p>
      </w:tc>
    </w:tr>
    <w:tr w:rsidR="005A10EF">
      <w:tc>
        <w:tcPr>
          <w:tcW w:w="900" w:type="pct"/>
        </w:tcPr>
        <w:p w:rsidR="005A10EF" w:rsidRDefault="005A10EF">
          <w:pPr>
            <w:pStyle w:val="HeaderEven"/>
            <w:rPr>
              <w:b/>
            </w:rPr>
          </w:pPr>
          <w:r>
            <w:rPr>
              <w:b/>
            </w:rPr>
            <w:fldChar w:fldCharType="begin"/>
          </w:r>
          <w:r>
            <w:rPr>
              <w:b/>
            </w:rPr>
            <w:instrText xml:space="preserve"> STYLEREF CharDivNo \*charformat </w:instrText>
          </w:r>
          <w:r>
            <w:rPr>
              <w:b/>
            </w:rPr>
            <w:fldChar w:fldCharType="separate"/>
          </w:r>
          <w:r w:rsidR="00E145B1">
            <w:rPr>
              <w:b/>
              <w:noProof/>
            </w:rPr>
            <w:t>Division 6.3</w:t>
          </w:r>
          <w:r>
            <w:rPr>
              <w:b/>
            </w:rPr>
            <w:fldChar w:fldCharType="end"/>
          </w:r>
        </w:p>
      </w:tc>
      <w:tc>
        <w:tcPr>
          <w:tcW w:w="4100" w:type="pct"/>
        </w:tcPr>
        <w:p w:rsidR="005A10EF" w:rsidRDefault="005A10EF">
          <w:pPr>
            <w:pStyle w:val="HeaderEven"/>
          </w:pPr>
          <w:r>
            <w:rPr>
              <w:noProof/>
            </w:rPr>
            <w:fldChar w:fldCharType="begin"/>
          </w:r>
          <w:r>
            <w:rPr>
              <w:noProof/>
            </w:rPr>
            <w:instrText xml:space="preserve"> STYLEREF CharDivText \*charformat </w:instrText>
          </w:r>
          <w:r>
            <w:rPr>
              <w:noProof/>
            </w:rPr>
            <w:fldChar w:fldCharType="separate"/>
          </w:r>
          <w:r w:rsidR="00E145B1">
            <w:rPr>
              <w:noProof/>
            </w:rPr>
            <w:t>Jurisdiction of ACAT—this Act, standard residential tenancy terms and standard occupancy terms</w:t>
          </w:r>
          <w:r>
            <w:rPr>
              <w:noProof/>
            </w:rPr>
            <w:fldChar w:fldCharType="end"/>
          </w:r>
        </w:p>
      </w:tc>
    </w:tr>
    <w:tr w:rsidR="005A10EF">
      <w:trPr>
        <w:cantSplit/>
      </w:trPr>
      <w:tc>
        <w:tcPr>
          <w:tcW w:w="4997" w:type="pct"/>
          <w:gridSpan w:val="2"/>
          <w:tcBorders>
            <w:bottom w:val="single" w:sz="4" w:space="0" w:color="auto"/>
          </w:tcBorders>
        </w:tcPr>
        <w:p w:rsidR="005A10EF" w:rsidRDefault="007C2037">
          <w:pPr>
            <w:pStyle w:val="HeaderEven6"/>
          </w:pPr>
          <w:r>
            <w:fldChar w:fldCharType="begin"/>
          </w:r>
          <w:r>
            <w:instrText xml:space="preserve"> DOCPROPERTY "Company"  \* MERGEFORMAT </w:instrText>
          </w:r>
          <w:r>
            <w:fldChar w:fldCharType="separate"/>
          </w:r>
          <w:r w:rsidR="007D1CDE">
            <w:t>Section</w:t>
          </w:r>
          <w:r>
            <w:fldChar w:fldCharType="end"/>
          </w:r>
          <w:r w:rsidR="005A10EF">
            <w:t xml:space="preserve"> </w:t>
          </w:r>
          <w:r w:rsidR="005A10EF">
            <w:rPr>
              <w:noProof/>
            </w:rPr>
            <w:fldChar w:fldCharType="begin"/>
          </w:r>
          <w:r w:rsidR="005A10EF">
            <w:rPr>
              <w:noProof/>
            </w:rPr>
            <w:instrText xml:space="preserve"> STYLEREF CharSectNo \*charformat </w:instrText>
          </w:r>
          <w:r w:rsidR="005A10EF">
            <w:rPr>
              <w:noProof/>
            </w:rPr>
            <w:fldChar w:fldCharType="separate"/>
          </w:r>
          <w:r w:rsidR="00E145B1">
            <w:rPr>
              <w:noProof/>
            </w:rPr>
            <w:t>77</w:t>
          </w:r>
          <w:r w:rsidR="005A10EF">
            <w:rPr>
              <w:noProof/>
            </w:rPr>
            <w:fldChar w:fldCharType="end"/>
          </w:r>
        </w:p>
      </w:tc>
    </w:tr>
  </w:tbl>
  <w:p w:rsidR="005A10EF" w:rsidRDefault="005A10E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9"/>
      <w:gridCol w:w="1387"/>
    </w:tblGrid>
    <w:tr w:rsidR="005A10EF">
      <w:tc>
        <w:tcPr>
          <w:tcW w:w="4100" w:type="pct"/>
        </w:tcPr>
        <w:p w:rsidR="005A10EF" w:rsidRDefault="005A10EF">
          <w:pPr>
            <w:pStyle w:val="HeaderEven"/>
            <w:jc w:val="right"/>
          </w:pPr>
          <w:r>
            <w:rPr>
              <w:noProof/>
            </w:rPr>
            <w:fldChar w:fldCharType="begin"/>
          </w:r>
          <w:r>
            <w:rPr>
              <w:noProof/>
            </w:rPr>
            <w:instrText xml:space="preserve"> STYLEREF CharPartText \*charformat </w:instrText>
          </w:r>
          <w:r>
            <w:rPr>
              <w:noProof/>
            </w:rPr>
            <w:fldChar w:fldCharType="separate"/>
          </w:r>
          <w:r w:rsidR="00E145B1">
            <w:rPr>
              <w:noProof/>
            </w:rPr>
            <w:t>Resolution of residential tenancy and occupancy disputes</w:t>
          </w:r>
          <w:r>
            <w:rPr>
              <w:noProof/>
            </w:rPr>
            <w:fldChar w:fldCharType="end"/>
          </w:r>
        </w:p>
      </w:tc>
      <w:tc>
        <w:tcPr>
          <w:tcW w:w="900" w:type="pct"/>
        </w:tcPr>
        <w:p w:rsidR="005A10EF" w:rsidRDefault="005A10EF">
          <w:pPr>
            <w:pStyle w:val="HeaderEven"/>
            <w:jc w:val="right"/>
            <w:rPr>
              <w:b/>
            </w:rPr>
          </w:pPr>
          <w:r>
            <w:rPr>
              <w:b/>
            </w:rPr>
            <w:fldChar w:fldCharType="begin"/>
          </w:r>
          <w:r>
            <w:rPr>
              <w:b/>
            </w:rPr>
            <w:instrText xml:space="preserve"> STYLEREF CharPartNo \*charformat </w:instrText>
          </w:r>
          <w:r>
            <w:rPr>
              <w:b/>
            </w:rPr>
            <w:fldChar w:fldCharType="separate"/>
          </w:r>
          <w:r w:rsidR="00E145B1">
            <w:rPr>
              <w:b/>
              <w:noProof/>
            </w:rPr>
            <w:t>Part 6</w:t>
          </w:r>
          <w:r>
            <w:rPr>
              <w:b/>
            </w:rPr>
            <w:fldChar w:fldCharType="end"/>
          </w:r>
        </w:p>
      </w:tc>
    </w:tr>
    <w:tr w:rsidR="005A10EF">
      <w:tc>
        <w:tcPr>
          <w:tcW w:w="4100" w:type="pct"/>
        </w:tcPr>
        <w:p w:rsidR="005A10EF" w:rsidRDefault="005A10EF">
          <w:pPr>
            <w:pStyle w:val="HeaderEven"/>
            <w:jc w:val="right"/>
          </w:pPr>
          <w:r>
            <w:rPr>
              <w:noProof/>
            </w:rPr>
            <w:fldChar w:fldCharType="begin"/>
          </w:r>
          <w:r>
            <w:rPr>
              <w:noProof/>
            </w:rPr>
            <w:instrText xml:space="preserve"> STYLEREF CharDivText \*charformat </w:instrText>
          </w:r>
          <w:r>
            <w:rPr>
              <w:noProof/>
            </w:rPr>
            <w:fldChar w:fldCharType="separate"/>
          </w:r>
          <w:r w:rsidR="00E145B1">
            <w:rPr>
              <w:noProof/>
            </w:rPr>
            <w:t>Jurisdiction of ACAT—this Act, standard residential tenancy terms and standard occupancy terms</w:t>
          </w:r>
          <w:r>
            <w:rPr>
              <w:noProof/>
            </w:rPr>
            <w:fldChar w:fldCharType="end"/>
          </w:r>
        </w:p>
      </w:tc>
      <w:tc>
        <w:tcPr>
          <w:tcW w:w="900" w:type="pct"/>
        </w:tcPr>
        <w:p w:rsidR="005A10EF" w:rsidRDefault="005A10EF">
          <w:pPr>
            <w:pStyle w:val="HeaderEven"/>
            <w:jc w:val="right"/>
            <w:rPr>
              <w:b/>
            </w:rPr>
          </w:pPr>
          <w:r>
            <w:rPr>
              <w:b/>
            </w:rPr>
            <w:fldChar w:fldCharType="begin"/>
          </w:r>
          <w:r>
            <w:rPr>
              <w:b/>
            </w:rPr>
            <w:instrText xml:space="preserve"> STYLEREF CharDivNo \*charformat </w:instrText>
          </w:r>
          <w:r>
            <w:rPr>
              <w:b/>
            </w:rPr>
            <w:fldChar w:fldCharType="separate"/>
          </w:r>
          <w:r w:rsidR="00E145B1">
            <w:rPr>
              <w:b/>
              <w:noProof/>
            </w:rPr>
            <w:t>Division 6.3</w:t>
          </w:r>
          <w:r>
            <w:rPr>
              <w:b/>
            </w:rPr>
            <w:fldChar w:fldCharType="end"/>
          </w:r>
        </w:p>
      </w:tc>
    </w:tr>
    <w:tr w:rsidR="005A10EF">
      <w:trPr>
        <w:cantSplit/>
      </w:trPr>
      <w:tc>
        <w:tcPr>
          <w:tcW w:w="5000" w:type="pct"/>
          <w:gridSpan w:val="2"/>
          <w:tcBorders>
            <w:bottom w:val="single" w:sz="4" w:space="0" w:color="auto"/>
          </w:tcBorders>
        </w:tcPr>
        <w:p w:rsidR="005A10EF" w:rsidRDefault="007C2037">
          <w:pPr>
            <w:pStyle w:val="HeaderOdd6"/>
          </w:pPr>
          <w:r>
            <w:fldChar w:fldCharType="begin"/>
          </w:r>
          <w:r>
            <w:instrText xml:space="preserve"> DOCPROPERTY "Company"  \* MERGEFORMAT </w:instrText>
          </w:r>
          <w:r>
            <w:fldChar w:fldCharType="separate"/>
          </w:r>
          <w:r w:rsidR="007D1CDE">
            <w:t>Section</w:t>
          </w:r>
          <w:r>
            <w:fldChar w:fldCharType="end"/>
          </w:r>
          <w:r w:rsidR="005A10EF">
            <w:t xml:space="preserve"> </w:t>
          </w:r>
          <w:r w:rsidR="005A10EF">
            <w:rPr>
              <w:noProof/>
            </w:rPr>
            <w:fldChar w:fldCharType="begin"/>
          </w:r>
          <w:r w:rsidR="005A10EF">
            <w:rPr>
              <w:noProof/>
            </w:rPr>
            <w:instrText xml:space="preserve"> STYLEREF CharSectNo \*charformat </w:instrText>
          </w:r>
          <w:r w:rsidR="005A10EF">
            <w:rPr>
              <w:noProof/>
            </w:rPr>
            <w:fldChar w:fldCharType="separate"/>
          </w:r>
          <w:r w:rsidR="00E145B1">
            <w:rPr>
              <w:noProof/>
            </w:rPr>
            <w:t>78</w:t>
          </w:r>
          <w:r w:rsidR="005A10EF">
            <w:rPr>
              <w:noProof/>
            </w:rPr>
            <w:fldChar w:fldCharType="end"/>
          </w:r>
        </w:p>
      </w:tc>
    </w:tr>
  </w:tbl>
  <w:p w:rsidR="005A10EF" w:rsidRDefault="005A1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56532F"/>
    <w:multiLevelType w:val="multilevel"/>
    <w:tmpl w:val="00AE4F3A"/>
    <w:lvl w:ilvl="0">
      <w:start w:val="1"/>
      <w:numFmt w:val="decimal"/>
      <w:pStyle w:val="aExamBulletsubp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733479C"/>
    <w:multiLevelType w:val="multilevel"/>
    <w:tmpl w:val="083E8E68"/>
    <w:name w:val="SchedHeading"/>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lowerLetter"/>
      <w:suff w:val="nothing"/>
      <w:lvlText w:val="(%4)"/>
      <w:lvlJc w:val="left"/>
      <w:pPr>
        <w:ind w:left="0" w:firstLine="0"/>
      </w:pPr>
    </w:lvl>
    <w:lvl w:ilvl="4">
      <w:start w:val="1"/>
      <w:numFmt w:val="lowerRoman"/>
      <w:suff w:val="nothing"/>
      <w:lvlText w:val="(%5)"/>
      <w:lvlJc w:val="left"/>
      <w:pPr>
        <w:ind w:left="0" w:firstLine="0"/>
      </w:pPr>
    </w:lvl>
    <w:lvl w:ilvl="5">
      <w:start w:val="1"/>
      <w:numFmt w:val="upperLetter"/>
      <w:suff w:val="nothing"/>
      <w:lvlText w:val="(%6)"/>
      <w:lvlJc w:val="left"/>
      <w:pPr>
        <w:ind w:left="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9D26BA"/>
    <w:multiLevelType w:val="hybridMultilevel"/>
    <w:tmpl w:val="29028D50"/>
    <w:name w:val="Schedule"/>
    <w:lvl w:ilvl="0" w:tplc="D24679AE">
      <w:start w:val="2"/>
      <w:numFmt w:val="lowerRoman"/>
      <w:lvlText w:val="(%1)"/>
      <w:lvlJc w:val="left"/>
      <w:pPr>
        <w:tabs>
          <w:tab w:val="num" w:pos="2385"/>
        </w:tabs>
        <w:ind w:left="2385" w:hanging="720"/>
      </w:pPr>
      <w:rPr>
        <w:rFonts w:hint="default"/>
      </w:rPr>
    </w:lvl>
    <w:lvl w:ilvl="1" w:tplc="6866B098" w:tentative="1">
      <w:start w:val="1"/>
      <w:numFmt w:val="lowerLetter"/>
      <w:lvlText w:val="%2."/>
      <w:lvlJc w:val="left"/>
      <w:pPr>
        <w:tabs>
          <w:tab w:val="num" w:pos="2745"/>
        </w:tabs>
        <w:ind w:left="2745" w:hanging="360"/>
      </w:pPr>
    </w:lvl>
    <w:lvl w:ilvl="2" w:tplc="5AF6E15C" w:tentative="1">
      <w:start w:val="1"/>
      <w:numFmt w:val="lowerRoman"/>
      <w:lvlText w:val="%3."/>
      <w:lvlJc w:val="right"/>
      <w:pPr>
        <w:tabs>
          <w:tab w:val="num" w:pos="3465"/>
        </w:tabs>
        <w:ind w:left="3465" w:hanging="180"/>
      </w:pPr>
    </w:lvl>
    <w:lvl w:ilvl="3" w:tplc="1BD063C0" w:tentative="1">
      <w:start w:val="1"/>
      <w:numFmt w:val="decimal"/>
      <w:lvlText w:val="%4."/>
      <w:lvlJc w:val="left"/>
      <w:pPr>
        <w:tabs>
          <w:tab w:val="num" w:pos="4185"/>
        </w:tabs>
        <w:ind w:left="4185" w:hanging="360"/>
      </w:pPr>
    </w:lvl>
    <w:lvl w:ilvl="4" w:tplc="491AE4C2" w:tentative="1">
      <w:start w:val="1"/>
      <w:numFmt w:val="lowerLetter"/>
      <w:lvlText w:val="%5."/>
      <w:lvlJc w:val="left"/>
      <w:pPr>
        <w:tabs>
          <w:tab w:val="num" w:pos="4905"/>
        </w:tabs>
        <w:ind w:left="4905" w:hanging="360"/>
      </w:pPr>
    </w:lvl>
    <w:lvl w:ilvl="5" w:tplc="79CAC4EE" w:tentative="1">
      <w:start w:val="1"/>
      <w:numFmt w:val="lowerRoman"/>
      <w:lvlText w:val="%6."/>
      <w:lvlJc w:val="right"/>
      <w:pPr>
        <w:tabs>
          <w:tab w:val="num" w:pos="5625"/>
        </w:tabs>
        <w:ind w:left="5625" w:hanging="180"/>
      </w:pPr>
    </w:lvl>
    <w:lvl w:ilvl="6" w:tplc="99E45BF8" w:tentative="1">
      <w:start w:val="1"/>
      <w:numFmt w:val="decimal"/>
      <w:lvlText w:val="%7."/>
      <w:lvlJc w:val="left"/>
      <w:pPr>
        <w:tabs>
          <w:tab w:val="num" w:pos="6345"/>
        </w:tabs>
        <w:ind w:left="6345" w:hanging="360"/>
      </w:pPr>
    </w:lvl>
    <w:lvl w:ilvl="7" w:tplc="C4102E30" w:tentative="1">
      <w:start w:val="1"/>
      <w:numFmt w:val="lowerLetter"/>
      <w:lvlText w:val="%8."/>
      <w:lvlJc w:val="left"/>
      <w:pPr>
        <w:tabs>
          <w:tab w:val="num" w:pos="7065"/>
        </w:tabs>
        <w:ind w:left="7065" w:hanging="360"/>
      </w:pPr>
    </w:lvl>
    <w:lvl w:ilvl="8" w:tplc="3AB0EAE6" w:tentative="1">
      <w:start w:val="1"/>
      <w:numFmt w:val="lowerRoman"/>
      <w:lvlText w:val="%9."/>
      <w:lvlJc w:val="right"/>
      <w:pPr>
        <w:tabs>
          <w:tab w:val="num" w:pos="7785"/>
        </w:tabs>
        <w:ind w:left="7785" w:hanging="180"/>
      </w:pPr>
    </w:lvl>
  </w:abstractNum>
  <w:abstractNum w:abstractNumId="16" w15:restartNumberingAfterBreak="0">
    <w:nsid w:val="31D03CEE"/>
    <w:multiLevelType w:val="hybridMultilevel"/>
    <w:tmpl w:val="5DB2CD8E"/>
    <w:lvl w:ilvl="0" w:tplc="A9F6B78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Times New Roman" w:hint="default"/>
      </w:rPr>
    </w:lvl>
    <w:lvl w:ilvl="3" w:tplc="0409000F">
      <w:start w:val="1"/>
      <w:numFmt w:val="bullet"/>
      <w:lvlText w:val=""/>
      <w:lvlJc w:val="left"/>
      <w:pPr>
        <w:tabs>
          <w:tab w:val="num" w:pos="2880"/>
        </w:tabs>
        <w:ind w:left="2880" w:hanging="360"/>
      </w:pPr>
      <w:rPr>
        <w:rFonts w:ascii="Symbol" w:hAnsi="Symbol"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Times New Roman" w:hint="default"/>
      </w:rPr>
    </w:lvl>
    <w:lvl w:ilvl="6" w:tplc="0409000F">
      <w:start w:val="1"/>
      <w:numFmt w:val="bullet"/>
      <w:lvlText w:val=""/>
      <w:lvlJc w:val="left"/>
      <w:pPr>
        <w:tabs>
          <w:tab w:val="num" w:pos="5040"/>
        </w:tabs>
        <w:ind w:left="5040" w:hanging="360"/>
      </w:pPr>
      <w:rPr>
        <w:rFonts w:ascii="Symbol" w:hAnsi="Symbol" w:cs="Times New Roman"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1D004D"/>
    <w:multiLevelType w:val="singleLevel"/>
    <w:tmpl w:val="B6A6922A"/>
    <w:name w:val="Sections"/>
    <w:lvl w:ilvl="0">
      <w:start w:val="1"/>
      <w:numFmt w:val="decimal"/>
      <w:lvlRestart w:val="0"/>
      <w:pStyle w:val="bullet"/>
      <w:lvlText w:val="%1"/>
      <w:lvlJc w:val="left"/>
      <w:pPr>
        <w:tabs>
          <w:tab w:val="num" w:pos="1300"/>
        </w:tabs>
        <w:ind w:left="1300" w:hanging="600"/>
      </w:pPr>
      <w:rPr>
        <w:b w:val="0"/>
        <w:i w:val="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lvl w:ilvl="0" w:tplc="5B68093A">
      <w:start w:val="1"/>
      <w:numFmt w:val="bullet"/>
      <w:pStyle w:val="TableBullet"/>
      <w:lvlText w:val=""/>
      <w:lvlJc w:val="left"/>
      <w:pPr>
        <w:ind w:left="720" w:hanging="360"/>
      </w:pPr>
      <w:rPr>
        <w:rFonts w:ascii="Symbol" w:hAnsi="Symbol" w:hint="default"/>
      </w:rPr>
    </w:lvl>
    <w:lvl w:ilvl="1" w:tplc="40964118" w:tentative="1">
      <w:start w:val="1"/>
      <w:numFmt w:val="bullet"/>
      <w:lvlText w:val="o"/>
      <w:lvlJc w:val="left"/>
      <w:pPr>
        <w:ind w:left="1440" w:hanging="360"/>
      </w:pPr>
      <w:rPr>
        <w:rFonts w:ascii="Courier New" w:hAnsi="Courier New" w:cs="Courier New" w:hint="default"/>
      </w:rPr>
    </w:lvl>
    <w:lvl w:ilvl="2" w:tplc="B0F2E8C0" w:tentative="1">
      <w:start w:val="1"/>
      <w:numFmt w:val="bullet"/>
      <w:lvlText w:val=""/>
      <w:lvlJc w:val="left"/>
      <w:pPr>
        <w:ind w:left="2160" w:hanging="360"/>
      </w:pPr>
      <w:rPr>
        <w:rFonts w:ascii="Wingdings" w:hAnsi="Wingdings" w:hint="default"/>
      </w:rPr>
    </w:lvl>
    <w:lvl w:ilvl="3" w:tplc="92E4A39A" w:tentative="1">
      <w:start w:val="1"/>
      <w:numFmt w:val="bullet"/>
      <w:lvlText w:val=""/>
      <w:lvlJc w:val="left"/>
      <w:pPr>
        <w:ind w:left="2880" w:hanging="360"/>
      </w:pPr>
      <w:rPr>
        <w:rFonts w:ascii="Symbol" w:hAnsi="Symbol" w:hint="default"/>
      </w:rPr>
    </w:lvl>
    <w:lvl w:ilvl="4" w:tplc="D30CEE5C" w:tentative="1">
      <w:start w:val="1"/>
      <w:numFmt w:val="bullet"/>
      <w:lvlText w:val="o"/>
      <w:lvlJc w:val="left"/>
      <w:pPr>
        <w:ind w:left="3600" w:hanging="360"/>
      </w:pPr>
      <w:rPr>
        <w:rFonts w:ascii="Courier New" w:hAnsi="Courier New" w:cs="Courier New" w:hint="default"/>
      </w:rPr>
    </w:lvl>
    <w:lvl w:ilvl="5" w:tplc="CD0E2F10" w:tentative="1">
      <w:start w:val="1"/>
      <w:numFmt w:val="bullet"/>
      <w:lvlText w:val=""/>
      <w:lvlJc w:val="left"/>
      <w:pPr>
        <w:ind w:left="4320" w:hanging="360"/>
      </w:pPr>
      <w:rPr>
        <w:rFonts w:ascii="Wingdings" w:hAnsi="Wingdings" w:hint="default"/>
      </w:rPr>
    </w:lvl>
    <w:lvl w:ilvl="6" w:tplc="04FEF572" w:tentative="1">
      <w:start w:val="1"/>
      <w:numFmt w:val="bullet"/>
      <w:lvlText w:val=""/>
      <w:lvlJc w:val="left"/>
      <w:pPr>
        <w:ind w:left="5040" w:hanging="360"/>
      </w:pPr>
      <w:rPr>
        <w:rFonts w:ascii="Symbol" w:hAnsi="Symbol" w:hint="default"/>
      </w:rPr>
    </w:lvl>
    <w:lvl w:ilvl="7" w:tplc="DDB2B966" w:tentative="1">
      <w:start w:val="1"/>
      <w:numFmt w:val="bullet"/>
      <w:lvlText w:val="o"/>
      <w:lvlJc w:val="left"/>
      <w:pPr>
        <w:ind w:left="5760" w:hanging="360"/>
      </w:pPr>
      <w:rPr>
        <w:rFonts w:ascii="Courier New" w:hAnsi="Courier New" w:cs="Courier New" w:hint="default"/>
      </w:rPr>
    </w:lvl>
    <w:lvl w:ilvl="8" w:tplc="382C787E"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B0A7756"/>
    <w:multiLevelType w:val="singleLevel"/>
    <w:tmpl w:val="09823C8E"/>
    <w:name w:val="SchClause"/>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BA947E9"/>
    <w:multiLevelType w:val="singleLevel"/>
    <w:tmpl w:val="1D86117E"/>
    <w:name w:val="Main"/>
    <w:lvl w:ilvl="0">
      <w:start w:val="1"/>
      <w:numFmt w:val="decimal"/>
      <w:lvlRestart w:val="0"/>
      <w:lvlText w:val="%1"/>
      <w:lvlJc w:val="left"/>
      <w:pPr>
        <w:tabs>
          <w:tab w:val="num" w:pos="1500"/>
        </w:tabs>
        <w:ind w:left="1500" w:hanging="400"/>
      </w:pPr>
      <w:rPr>
        <w:rFonts w:cs="Times New Roman"/>
        <w:b/>
        <w:i w:val="0"/>
      </w:rPr>
    </w:lvl>
  </w:abstractNum>
  <w:abstractNum w:abstractNumId="29"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0" w15:restartNumberingAfterBreak="0">
    <w:nsid w:val="7FE9684D"/>
    <w:multiLevelType w:val="multilevel"/>
    <w:tmpl w:val="BC84ABB6"/>
    <w:name w:val="Lower"/>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7"/>
  </w:num>
  <w:num w:numId="13">
    <w:abstractNumId w:val="18"/>
  </w:num>
  <w:num w:numId="14">
    <w:abstractNumId w:val="16"/>
  </w:num>
  <w:num w:numId="15">
    <w:abstractNumId w:val="15"/>
  </w:num>
  <w:num w:numId="16">
    <w:abstractNumId w:val="11"/>
  </w:num>
  <w:num w:numId="17">
    <w:abstractNumId w:val="28"/>
  </w:num>
  <w:num w:numId="18">
    <w:abstractNumId w:val="14"/>
  </w:num>
  <w:num w:numId="19">
    <w:abstractNumId w:val="23"/>
  </w:num>
  <w:num w:numId="20">
    <w:abstractNumId w:val="29"/>
  </w:num>
  <w:num w:numId="21">
    <w:abstractNumId w:val="26"/>
  </w:num>
  <w:num w:numId="22">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71"/>
  <w:drawingGridVerticalSpacing w:val="48"/>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C28"/>
    <w:rsid w:val="00000D2A"/>
    <w:rsid w:val="000015AE"/>
    <w:rsid w:val="00001872"/>
    <w:rsid w:val="00001EA4"/>
    <w:rsid w:val="0000287D"/>
    <w:rsid w:val="000125C1"/>
    <w:rsid w:val="00012DF1"/>
    <w:rsid w:val="0001595F"/>
    <w:rsid w:val="00016BDA"/>
    <w:rsid w:val="00017FC7"/>
    <w:rsid w:val="0002011C"/>
    <w:rsid w:val="00020F08"/>
    <w:rsid w:val="00024C68"/>
    <w:rsid w:val="00033D98"/>
    <w:rsid w:val="000351B9"/>
    <w:rsid w:val="000359C5"/>
    <w:rsid w:val="0003790D"/>
    <w:rsid w:val="000422EE"/>
    <w:rsid w:val="000424B5"/>
    <w:rsid w:val="000448B6"/>
    <w:rsid w:val="000502DD"/>
    <w:rsid w:val="00050946"/>
    <w:rsid w:val="00051BC3"/>
    <w:rsid w:val="0005301A"/>
    <w:rsid w:val="00053676"/>
    <w:rsid w:val="00054202"/>
    <w:rsid w:val="00060B75"/>
    <w:rsid w:val="00064045"/>
    <w:rsid w:val="00065BAA"/>
    <w:rsid w:val="00065EF4"/>
    <w:rsid w:val="0006646E"/>
    <w:rsid w:val="0006652F"/>
    <w:rsid w:val="000675A7"/>
    <w:rsid w:val="000713D4"/>
    <w:rsid w:val="00072670"/>
    <w:rsid w:val="00072E00"/>
    <w:rsid w:val="00081BD0"/>
    <w:rsid w:val="00082E1F"/>
    <w:rsid w:val="000834E1"/>
    <w:rsid w:val="000835A9"/>
    <w:rsid w:val="00083AF4"/>
    <w:rsid w:val="00090C9B"/>
    <w:rsid w:val="000934A0"/>
    <w:rsid w:val="0009379C"/>
    <w:rsid w:val="00093AC7"/>
    <w:rsid w:val="00093E42"/>
    <w:rsid w:val="000A04DC"/>
    <w:rsid w:val="000A11B0"/>
    <w:rsid w:val="000A2168"/>
    <w:rsid w:val="000A3B34"/>
    <w:rsid w:val="000A3F2B"/>
    <w:rsid w:val="000A55E2"/>
    <w:rsid w:val="000A7DD4"/>
    <w:rsid w:val="000B263F"/>
    <w:rsid w:val="000B381E"/>
    <w:rsid w:val="000B4AFE"/>
    <w:rsid w:val="000B667A"/>
    <w:rsid w:val="000B6B69"/>
    <w:rsid w:val="000C2AC0"/>
    <w:rsid w:val="000D1562"/>
    <w:rsid w:val="000E041D"/>
    <w:rsid w:val="000E3630"/>
    <w:rsid w:val="000F05C1"/>
    <w:rsid w:val="000F167C"/>
    <w:rsid w:val="000F2F83"/>
    <w:rsid w:val="000F54CC"/>
    <w:rsid w:val="001012A4"/>
    <w:rsid w:val="001056C9"/>
    <w:rsid w:val="00105881"/>
    <w:rsid w:val="0010663A"/>
    <w:rsid w:val="001114DB"/>
    <w:rsid w:val="00111B16"/>
    <w:rsid w:val="0011374D"/>
    <w:rsid w:val="00114C24"/>
    <w:rsid w:val="00115170"/>
    <w:rsid w:val="00120CC5"/>
    <w:rsid w:val="001214D5"/>
    <w:rsid w:val="0012511B"/>
    <w:rsid w:val="00130206"/>
    <w:rsid w:val="00130C5E"/>
    <w:rsid w:val="00131C90"/>
    <w:rsid w:val="00133B6B"/>
    <w:rsid w:val="001403E0"/>
    <w:rsid w:val="00141743"/>
    <w:rsid w:val="00142DE4"/>
    <w:rsid w:val="00143664"/>
    <w:rsid w:val="00145739"/>
    <w:rsid w:val="001461F1"/>
    <w:rsid w:val="00147568"/>
    <w:rsid w:val="00150A69"/>
    <w:rsid w:val="00151C2F"/>
    <w:rsid w:val="001549EF"/>
    <w:rsid w:val="001607E4"/>
    <w:rsid w:val="00161866"/>
    <w:rsid w:val="00162E31"/>
    <w:rsid w:val="001640E8"/>
    <w:rsid w:val="00166EF8"/>
    <w:rsid w:val="001708A3"/>
    <w:rsid w:val="00171F5A"/>
    <w:rsid w:val="001755F2"/>
    <w:rsid w:val="0017607E"/>
    <w:rsid w:val="00176C4C"/>
    <w:rsid w:val="0018072C"/>
    <w:rsid w:val="00183E17"/>
    <w:rsid w:val="001848C9"/>
    <w:rsid w:val="00185857"/>
    <w:rsid w:val="0018595A"/>
    <w:rsid w:val="001925A9"/>
    <w:rsid w:val="00196A8F"/>
    <w:rsid w:val="001B587E"/>
    <w:rsid w:val="001B7836"/>
    <w:rsid w:val="001B7BD4"/>
    <w:rsid w:val="001C3FA1"/>
    <w:rsid w:val="001C50C1"/>
    <w:rsid w:val="001C56BD"/>
    <w:rsid w:val="001D3F60"/>
    <w:rsid w:val="001D4438"/>
    <w:rsid w:val="001D7131"/>
    <w:rsid w:val="001E4489"/>
    <w:rsid w:val="001E5007"/>
    <w:rsid w:val="001E518F"/>
    <w:rsid w:val="001E521D"/>
    <w:rsid w:val="001F2868"/>
    <w:rsid w:val="001F3679"/>
    <w:rsid w:val="001F49B8"/>
    <w:rsid w:val="001F4A50"/>
    <w:rsid w:val="001F7B83"/>
    <w:rsid w:val="00206D38"/>
    <w:rsid w:val="002128A4"/>
    <w:rsid w:val="002130A6"/>
    <w:rsid w:val="002154C4"/>
    <w:rsid w:val="002159F6"/>
    <w:rsid w:val="00216C4C"/>
    <w:rsid w:val="0022626C"/>
    <w:rsid w:val="002311F8"/>
    <w:rsid w:val="00231D4A"/>
    <w:rsid w:val="00234ACE"/>
    <w:rsid w:val="002355BA"/>
    <w:rsid w:val="00242ED6"/>
    <w:rsid w:val="002438F2"/>
    <w:rsid w:val="00244257"/>
    <w:rsid w:val="00244295"/>
    <w:rsid w:val="0024716D"/>
    <w:rsid w:val="00255366"/>
    <w:rsid w:val="00256F51"/>
    <w:rsid w:val="002600F8"/>
    <w:rsid w:val="00263265"/>
    <w:rsid w:val="00263C5E"/>
    <w:rsid w:val="0027007A"/>
    <w:rsid w:val="00272F7D"/>
    <w:rsid w:val="00276925"/>
    <w:rsid w:val="0027798D"/>
    <w:rsid w:val="00284980"/>
    <w:rsid w:val="00291908"/>
    <w:rsid w:val="00294C42"/>
    <w:rsid w:val="00296D9C"/>
    <w:rsid w:val="002973EC"/>
    <w:rsid w:val="002B1B6D"/>
    <w:rsid w:val="002B5362"/>
    <w:rsid w:val="002C00B0"/>
    <w:rsid w:val="002C16DA"/>
    <w:rsid w:val="002D0744"/>
    <w:rsid w:val="002D5F39"/>
    <w:rsid w:val="002E4A82"/>
    <w:rsid w:val="002F066D"/>
    <w:rsid w:val="002F23A1"/>
    <w:rsid w:val="002F3E29"/>
    <w:rsid w:val="00302D32"/>
    <w:rsid w:val="00302FB9"/>
    <w:rsid w:val="003036E6"/>
    <w:rsid w:val="003038FE"/>
    <w:rsid w:val="003078A1"/>
    <w:rsid w:val="00307A32"/>
    <w:rsid w:val="00307CE8"/>
    <w:rsid w:val="003122C6"/>
    <w:rsid w:val="003149C5"/>
    <w:rsid w:val="00323107"/>
    <w:rsid w:val="00326C58"/>
    <w:rsid w:val="00327210"/>
    <w:rsid w:val="0033005B"/>
    <w:rsid w:val="00331449"/>
    <w:rsid w:val="00331605"/>
    <w:rsid w:val="00332238"/>
    <w:rsid w:val="0033399B"/>
    <w:rsid w:val="00334B9B"/>
    <w:rsid w:val="00335051"/>
    <w:rsid w:val="00340A17"/>
    <w:rsid w:val="0034288F"/>
    <w:rsid w:val="0034402F"/>
    <w:rsid w:val="0034684F"/>
    <w:rsid w:val="00351076"/>
    <w:rsid w:val="00361942"/>
    <w:rsid w:val="00365097"/>
    <w:rsid w:val="0036536B"/>
    <w:rsid w:val="003668DF"/>
    <w:rsid w:val="00367369"/>
    <w:rsid w:val="003775A7"/>
    <w:rsid w:val="003828F5"/>
    <w:rsid w:val="00387822"/>
    <w:rsid w:val="003905CC"/>
    <w:rsid w:val="00392427"/>
    <w:rsid w:val="003945F2"/>
    <w:rsid w:val="0039572D"/>
    <w:rsid w:val="00395F8B"/>
    <w:rsid w:val="0039698F"/>
    <w:rsid w:val="003A115F"/>
    <w:rsid w:val="003A163C"/>
    <w:rsid w:val="003A4390"/>
    <w:rsid w:val="003B30A5"/>
    <w:rsid w:val="003C0CB6"/>
    <w:rsid w:val="003C1164"/>
    <w:rsid w:val="003C2AE2"/>
    <w:rsid w:val="003C34DA"/>
    <w:rsid w:val="003C606A"/>
    <w:rsid w:val="003D0A13"/>
    <w:rsid w:val="003D16FC"/>
    <w:rsid w:val="003D1715"/>
    <w:rsid w:val="003D174D"/>
    <w:rsid w:val="003D61B6"/>
    <w:rsid w:val="003D684A"/>
    <w:rsid w:val="003D7926"/>
    <w:rsid w:val="003E1525"/>
    <w:rsid w:val="003E30E5"/>
    <w:rsid w:val="003E680B"/>
    <w:rsid w:val="003F0101"/>
    <w:rsid w:val="003F3049"/>
    <w:rsid w:val="003F737A"/>
    <w:rsid w:val="00403CF0"/>
    <w:rsid w:val="00403F30"/>
    <w:rsid w:val="00407A8D"/>
    <w:rsid w:val="004102A0"/>
    <w:rsid w:val="0041356D"/>
    <w:rsid w:val="00414F10"/>
    <w:rsid w:val="004207B1"/>
    <w:rsid w:val="00423E16"/>
    <w:rsid w:val="00424B1E"/>
    <w:rsid w:val="00424CEF"/>
    <w:rsid w:val="004251C6"/>
    <w:rsid w:val="004262D7"/>
    <w:rsid w:val="00433126"/>
    <w:rsid w:val="00440EB9"/>
    <w:rsid w:val="00442939"/>
    <w:rsid w:val="00443060"/>
    <w:rsid w:val="00446586"/>
    <w:rsid w:val="00447313"/>
    <w:rsid w:val="00447433"/>
    <w:rsid w:val="00447B92"/>
    <w:rsid w:val="00450C28"/>
    <w:rsid w:val="004520FF"/>
    <w:rsid w:val="00455B31"/>
    <w:rsid w:val="004567D4"/>
    <w:rsid w:val="00456BF6"/>
    <w:rsid w:val="0046085E"/>
    <w:rsid w:val="00462EC1"/>
    <w:rsid w:val="00464171"/>
    <w:rsid w:val="00464CAC"/>
    <w:rsid w:val="00464DE6"/>
    <w:rsid w:val="0046747F"/>
    <w:rsid w:val="00470136"/>
    <w:rsid w:val="00471467"/>
    <w:rsid w:val="00474FF7"/>
    <w:rsid w:val="004768C2"/>
    <w:rsid w:val="00476DE1"/>
    <w:rsid w:val="00476E42"/>
    <w:rsid w:val="00487FCD"/>
    <w:rsid w:val="00492A42"/>
    <w:rsid w:val="00492E17"/>
    <w:rsid w:val="004946F3"/>
    <w:rsid w:val="004A0A7A"/>
    <w:rsid w:val="004A0B4C"/>
    <w:rsid w:val="004A0FA0"/>
    <w:rsid w:val="004A551B"/>
    <w:rsid w:val="004A5BC3"/>
    <w:rsid w:val="004A72B9"/>
    <w:rsid w:val="004A7367"/>
    <w:rsid w:val="004A76D1"/>
    <w:rsid w:val="004B1135"/>
    <w:rsid w:val="004B345E"/>
    <w:rsid w:val="004B4389"/>
    <w:rsid w:val="004B587B"/>
    <w:rsid w:val="004C084C"/>
    <w:rsid w:val="004C1316"/>
    <w:rsid w:val="004C1DEC"/>
    <w:rsid w:val="004C3CAF"/>
    <w:rsid w:val="004C3DAD"/>
    <w:rsid w:val="004C3DCD"/>
    <w:rsid w:val="004C40BB"/>
    <w:rsid w:val="004C5DA1"/>
    <w:rsid w:val="004C78F3"/>
    <w:rsid w:val="004D0647"/>
    <w:rsid w:val="004D42C0"/>
    <w:rsid w:val="004D713A"/>
    <w:rsid w:val="004D735A"/>
    <w:rsid w:val="004E5D78"/>
    <w:rsid w:val="004E795C"/>
    <w:rsid w:val="004E7C5A"/>
    <w:rsid w:val="004F1336"/>
    <w:rsid w:val="004F18CD"/>
    <w:rsid w:val="00502642"/>
    <w:rsid w:val="005027EA"/>
    <w:rsid w:val="00502AAB"/>
    <w:rsid w:val="005044F8"/>
    <w:rsid w:val="00506A5D"/>
    <w:rsid w:val="005077BB"/>
    <w:rsid w:val="005105B5"/>
    <w:rsid w:val="005168F5"/>
    <w:rsid w:val="00517312"/>
    <w:rsid w:val="00520F5A"/>
    <w:rsid w:val="00521E68"/>
    <w:rsid w:val="00522178"/>
    <w:rsid w:val="00523523"/>
    <w:rsid w:val="00523BCA"/>
    <w:rsid w:val="00527B41"/>
    <w:rsid w:val="00533016"/>
    <w:rsid w:val="00535D07"/>
    <w:rsid w:val="00541365"/>
    <w:rsid w:val="00542426"/>
    <w:rsid w:val="005440B2"/>
    <w:rsid w:val="00544165"/>
    <w:rsid w:val="005445B0"/>
    <w:rsid w:val="00546A5C"/>
    <w:rsid w:val="005512C2"/>
    <w:rsid w:val="00556706"/>
    <w:rsid w:val="00557277"/>
    <w:rsid w:val="005578AA"/>
    <w:rsid w:val="00560F43"/>
    <w:rsid w:val="00561CE4"/>
    <w:rsid w:val="005636DC"/>
    <w:rsid w:val="00564104"/>
    <w:rsid w:val="005668E7"/>
    <w:rsid w:val="00574DC4"/>
    <w:rsid w:val="0057511F"/>
    <w:rsid w:val="0058331B"/>
    <w:rsid w:val="00584DC5"/>
    <w:rsid w:val="005862BD"/>
    <w:rsid w:val="005955DC"/>
    <w:rsid w:val="00595AC1"/>
    <w:rsid w:val="005979FA"/>
    <w:rsid w:val="005A10EF"/>
    <w:rsid w:val="005A2601"/>
    <w:rsid w:val="005A3CE0"/>
    <w:rsid w:val="005B0D03"/>
    <w:rsid w:val="005B66B7"/>
    <w:rsid w:val="005B7B08"/>
    <w:rsid w:val="005B7B98"/>
    <w:rsid w:val="005C0840"/>
    <w:rsid w:val="005C0CBB"/>
    <w:rsid w:val="005C176D"/>
    <w:rsid w:val="005C37C2"/>
    <w:rsid w:val="005C5A40"/>
    <w:rsid w:val="005C7CAC"/>
    <w:rsid w:val="005D08CF"/>
    <w:rsid w:val="005D6832"/>
    <w:rsid w:val="005E0852"/>
    <w:rsid w:val="005E0CA0"/>
    <w:rsid w:val="005E1833"/>
    <w:rsid w:val="005E37A7"/>
    <w:rsid w:val="005E3EFA"/>
    <w:rsid w:val="005F3CA8"/>
    <w:rsid w:val="005F6BC8"/>
    <w:rsid w:val="006006FF"/>
    <w:rsid w:val="0060260E"/>
    <w:rsid w:val="00604A83"/>
    <w:rsid w:val="00611B22"/>
    <w:rsid w:val="00613CA7"/>
    <w:rsid w:val="0061426D"/>
    <w:rsid w:val="00615D63"/>
    <w:rsid w:val="00615E8F"/>
    <w:rsid w:val="0061785C"/>
    <w:rsid w:val="00617C69"/>
    <w:rsid w:val="00636321"/>
    <w:rsid w:val="0064270E"/>
    <w:rsid w:val="00644243"/>
    <w:rsid w:val="0064495E"/>
    <w:rsid w:val="006466D8"/>
    <w:rsid w:val="00646ACD"/>
    <w:rsid w:val="00646CE4"/>
    <w:rsid w:val="00650ECE"/>
    <w:rsid w:val="006537E5"/>
    <w:rsid w:val="00653B5E"/>
    <w:rsid w:val="0065580A"/>
    <w:rsid w:val="006560A1"/>
    <w:rsid w:val="006613E9"/>
    <w:rsid w:val="00662CEF"/>
    <w:rsid w:val="006672A8"/>
    <w:rsid w:val="00674A11"/>
    <w:rsid w:val="00675A72"/>
    <w:rsid w:val="0068000E"/>
    <w:rsid w:val="00683679"/>
    <w:rsid w:val="00684716"/>
    <w:rsid w:val="00685716"/>
    <w:rsid w:val="00686E03"/>
    <w:rsid w:val="00690D18"/>
    <w:rsid w:val="00691CC4"/>
    <w:rsid w:val="006924C9"/>
    <w:rsid w:val="00696027"/>
    <w:rsid w:val="00696331"/>
    <w:rsid w:val="00697003"/>
    <w:rsid w:val="006A1A53"/>
    <w:rsid w:val="006A2405"/>
    <w:rsid w:val="006A3E6E"/>
    <w:rsid w:val="006A6632"/>
    <w:rsid w:val="006A6D55"/>
    <w:rsid w:val="006B5499"/>
    <w:rsid w:val="006B5D2D"/>
    <w:rsid w:val="006C03F1"/>
    <w:rsid w:val="006C06C9"/>
    <w:rsid w:val="006C0C10"/>
    <w:rsid w:val="006C3B25"/>
    <w:rsid w:val="006C452C"/>
    <w:rsid w:val="006C52EE"/>
    <w:rsid w:val="006C78FA"/>
    <w:rsid w:val="006D0E86"/>
    <w:rsid w:val="006D2D59"/>
    <w:rsid w:val="006E3B49"/>
    <w:rsid w:val="006E43F6"/>
    <w:rsid w:val="006E7147"/>
    <w:rsid w:val="006F06A9"/>
    <w:rsid w:val="006F2FEE"/>
    <w:rsid w:val="006F3F52"/>
    <w:rsid w:val="006F5879"/>
    <w:rsid w:val="006F6740"/>
    <w:rsid w:val="007015FF"/>
    <w:rsid w:val="00701CF6"/>
    <w:rsid w:val="0070373A"/>
    <w:rsid w:val="007060AB"/>
    <w:rsid w:val="00707B7C"/>
    <w:rsid w:val="0071292D"/>
    <w:rsid w:val="007137F3"/>
    <w:rsid w:val="00721DD0"/>
    <w:rsid w:val="0072270C"/>
    <w:rsid w:val="00726AE7"/>
    <w:rsid w:val="00727C89"/>
    <w:rsid w:val="00727EF0"/>
    <w:rsid w:val="0073144C"/>
    <w:rsid w:val="0073362B"/>
    <w:rsid w:val="00736A65"/>
    <w:rsid w:val="00737E6B"/>
    <w:rsid w:val="00741C0F"/>
    <w:rsid w:val="0075432C"/>
    <w:rsid w:val="00755F4C"/>
    <w:rsid w:val="00756623"/>
    <w:rsid w:val="0075695D"/>
    <w:rsid w:val="00756A07"/>
    <w:rsid w:val="00761444"/>
    <w:rsid w:val="00765B79"/>
    <w:rsid w:val="00767AEE"/>
    <w:rsid w:val="00773547"/>
    <w:rsid w:val="00775F61"/>
    <w:rsid w:val="00776D08"/>
    <w:rsid w:val="0078380F"/>
    <w:rsid w:val="0079535A"/>
    <w:rsid w:val="00795F82"/>
    <w:rsid w:val="00796227"/>
    <w:rsid w:val="007A1016"/>
    <w:rsid w:val="007A2A2C"/>
    <w:rsid w:val="007A68D3"/>
    <w:rsid w:val="007A69C2"/>
    <w:rsid w:val="007B1B81"/>
    <w:rsid w:val="007B379B"/>
    <w:rsid w:val="007B43A5"/>
    <w:rsid w:val="007B43B4"/>
    <w:rsid w:val="007B4B29"/>
    <w:rsid w:val="007B7D2B"/>
    <w:rsid w:val="007C0A2C"/>
    <w:rsid w:val="007C2037"/>
    <w:rsid w:val="007C218D"/>
    <w:rsid w:val="007C2F15"/>
    <w:rsid w:val="007C66B6"/>
    <w:rsid w:val="007C6BCB"/>
    <w:rsid w:val="007D0760"/>
    <w:rsid w:val="007D124F"/>
    <w:rsid w:val="007D1CDE"/>
    <w:rsid w:val="007D2E7B"/>
    <w:rsid w:val="007D3982"/>
    <w:rsid w:val="007D5CFD"/>
    <w:rsid w:val="007D7F0A"/>
    <w:rsid w:val="007E2397"/>
    <w:rsid w:val="007E3FCD"/>
    <w:rsid w:val="007E451A"/>
    <w:rsid w:val="007E61E5"/>
    <w:rsid w:val="007F4D82"/>
    <w:rsid w:val="007F6B13"/>
    <w:rsid w:val="00802EBF"/>
    <w:rsid w:val="00803720"/>
    <w:rsid w:val="008064FE"/>
    <w:rsid w:val="00806B7B"/>
    <w:rsid w:val="00811398"/>
    <w:rsid w:val="00811EC1"/>
    <w:rsid w:val="00813D20"/>
    <w:rsid w:val="00815068"/>
    <w:rsid w:val="0081506F"/>
    <w:rsid w:val="008155CA"/>
    <w:rsid w:val="00822E6F"/>
    <w:rsid w:val="00824B71"/>
    <w:rsid w:val="00832FF0"/>
    <w:rsid w:val="008334D5"/>
    <w:rsid w:val="008353E4"/>
    <w:rsid w:val="008403B5"/>
    <w:rsid w:val="00843998"/>
    <w:rsid w:val="00846026"/>
    <w:rsid w:val="008504EE"/>
    <w:rsid w:val="008629E3"/>
    <w:rsid w:val="00863162"/>
    <w:rsid w:val="0086439B"/>
    <w:rsid w:val="00866C29"/>
    <w:rsid w:val="00874FDE"/>
    <w:rsid w:val="00881FD4"/>
    <w:rsid w:val="0088697E"/>
    <w:rsid w:val="0089601C"/>
    <w:rsid w:val="008A0960"/>
    <w:rsid w:val="008A0ABB"/>
    <w:rsid w:val="008A6816"/>
    <w:rsid w:val="008A6A87"/>
    <w:rsid w:val="008B10ED"/>
    <w:rsid w:val="008B2217"/>
    <w:rsid w:val="008B2376"/>
    <w:rsid w:val="008B3699"/>
    <w:rsid w:val="008B3AA8"/>
    <w:rsid w:val="008B4A3F"/>
    <w:rsid w:val="008B6365"/>
    <w:rsid w:val="008B6A1B"/>
    <w:rsid w:val="008C0F67"/>
    <w:rsid w:val="008C2B90"/>
    <w:rsid w:val="008C5FA2"/>
    <w:rsid w:val="008D11FC"/>
    <w:rsid w:val="008D1D65"/>
    <w:rsid w:val="008D226A"/>
    <w:rsid w:val="008D2CCC"/>
    <w:rsid w:val="008D7349"/>
    <w:rsid w:val="008E3D33"/>
    <w:rsid w:val="008E6C89"/>
    <w:rsid w:val="008E7E76"/>
    <w:rsid w:val="008F031B"/>
    <w:rsid w:val="008F0F9E"/>
    <w:rsid w:val="008F3AE5"/>
    <w:rsid w:val="00901504"/>
    <w:rsid w:val="009026B3"/>
    <w:rsid w:val="0090341A"/>
    <w:rsid w:val="00914BD6"/>
    <w:rsid w:val="00916756"/>
    <w:rsid w:val="009176A3"/>
    <w:rsid w:val="00921B60"/>
    <w:rsid w:val="009223C6"/>
    <w:rsid w:val="00922AF7"/>
    <w:rsid w:val="009237A7"/>
    <w:rsid w:val="00930455"/>
    <w:rsid w:val="0093616C"/>
    <w:rsid w:val="00936923"/>
    <w:rsid w:val="00936A7E"/>
    <w:rsid w:val="00937F95"/>
    <w:rsid w:val="00940E62"/>
    <w:rsid w:val="00943372"/>
    <w:rsid w:val="00945B9D"/>
    <w:rsid w:val="00947786"/>
    <w:rsid w:val="0095124F"/>
    <w:rsid w:val="00951423"/>
    <w:rsid w:val="00957D34"/>
    <w:rsid w:val="0096304A"/>
    <w:rsid w:val="00966C2E"/>
    <w:rsid w:val="00966EE9"/>
    <w:rsid w:val="00970BE1"/>
    <w:rsid w:val="00973EAB"/>
    <w:rsid w:val="00976A72"/>
    <w:rsid w:val="00980188"/>
    <w:rsid w:val="009805A6"/>
    <w:rsid w:val="00983ED3"/>
    <w:rsid w:val="00987580"/>
    <w:rsid w:val="009918C0"/>
    <w:rsid w:val="00992D67"/>
    <w:rsid w:val="00996229"/>
    <w:rsid w:val="009A1987"/>
    <w:rsid w:val="009A39F9"/>
    <w:rsid w:val="009A6B56"/>
    <w:rsid w:val="009B222A"/>
    <w:rsid w:val="009B5A09"/>
    <w:rsid w:val="009B6024"/>
    <w:rsid w:val="009B798F"/>
    <w:rsid w:val="009B7F56"/>
    <w:rsid w:val="009C05E0"/>
    <w:rsid w:val="009C129F"/>
    <w:rsid w:val="009D0596"/>
    <w:rsid w:val="009D1559"/>
    <w:rsid w:val="009D194C"/>
    <w:rsid w:val="009D3627"/>
    <w:rsid w:val="009D747D"/>
    <w:rsid w:val="009D74E7"/>
    <w:rsid w:val="009D76DA"/>
    <w:rsid w:val="009D7AD2"/>
    <w:rsid w:val="009D7B15"/>
    <w:rsid w:val="009E09CD"/>
    <w:rsid w:val="009E34B9"/>
    <w:rsid w:val="009F0281"/>
    <w:rsid w:val="009F089C"/>
    <w:rsid w:val="009F0D25"/>
    <w:rsid w:val="009F0D88"/>
    <w:rsid w:val="00A00059"/>
    <w:rsid w:val="00A008C8"/>
    <w:rsid w:val="00A01CE9"/>
    <w:rsid w:val="00A0346A"/>
    <w:rsid w:val="00A03BC8"/>
    <w:rsid w:val="00A057EB"/>
    <w:rsid w:val="00A106DF"/>
    <w:rsid w:val="00A10BB6"/>
    <w:rsid w:val="00A11453"/>
    <w:rsid w:val="00A11812"/>
    <w:rsid w:val="00A129FE"/>
    <w:rsid w:val="00A13A41"/>
    <w:rsid w:val="00A141A6"/>
    <w:rsid w:val="00A159D8"/>
    <w:rsid w:val="00A16D76"/>
    <w:rsid w:val="00A20538"/>
    <w:rsid w:val="00A2471F"/>
    <w:rsid w:val="00A24CD7"/>
    <w:rsid w:val="00A2638D"/>
    <w:rsid w:val="00A308D1"/>
    <w:rsid w:val="00A31192"/>
    <w:rsid w:val="00A32B33"/>
    <w:rsid w:val="00A33E5F"/>
    <w:rsid w:val="00A34439"/>
    <w:rsid w:val="00A37923"/>
    <w:rsid w:val="00A4011B"/>
    <w:rsid w:val="00A41EB1"/>
    <w:rsid w:val="00A4243A"/>
    <w:rsid w:val="00A425A8"/>
    <w:rsid w:val="00A43A92"/>
    <w:rsid w:val="00A44672"/>
    <w:rsid w:val="00A44D52"/>
    <w:rsid w:val="00A45833"/>
    <w:rsid w:val="00A5145D"/>
    <w:rsid w:val="00A52575"/>
    <w:rsid w:val="00A53317"/>
    <w:rsid w:val="00A53457"/>
    <w:rsid w:val="00A5347A"/>
    <w:rsid w:val="00A55734"/>
    <w:rsid w:val="00A559CB"/>
    <w:rsid w:val="00A60C8B"/>
    <w:rsid w:val="00A625A2"/>
    <w:rsid w:val="00A644B8"/>
    <w:rsid w:val="00A653DD"/>
    <w:rsid w:val="00A65CA0"/>
    <w:rsid w:val="00A67BAB"/>
    <w:rsid w:val="00A7222B"/>
    <w:rsid w:val="00A82051"/>
    <w:rsid w:val="00A83ABF"/>
    <w:rsid w:val="00A84D9A"/>
    <w:rsid w:val="00A9169C"/>
    <w:rsid w:val="00A93666"/>
    <w:rsid w:val="00AA04CF"/>
    <w:rsid w:val="00AA0CC6"/>
    <w:rsid w:val="00AA48A1"/>
    <w:rsid w:val="00AA4E71"/>
    <w:rsid w:val="00AA52F2"/>
    <w:rsid w:val="00AA6500"/>
    <w:rsid w:val="00AA69E9"/>
    <w:rsid w:val="00AA725B"/>
    <w:rsid w:val="00AA73A7"/>
    <w:rsid w:val="00AA77E6"/>
    <w:rsid w:val="00AA7AE9"/>
    <w:rsid w:val="00AB1D8D"/>
    <w:rsid w:val="00AB2708"/>
    <w:rsid w:val="00AB3AA0"/>
    <w:rsid w:val="00AB4954"/>
    <w:rsid w:val="00AB578F"/>
    <w:rsid w:val="00AC007E"/>
    <w:rsid w:val="00AC20CE"/>
    <w:rsid w:val="00AC24DF"/>
    <w:rsid w:val="00AC4E9F"/>
    <w:rsid w:val="00AC589D"/>
    <w:rsid w:val="00AD01D2"/>
    <w:rsid w:val="00AD09BF"/>
    <w:rsid w:val="00AD0B4C"/>
    <w:rsid w:val="00AD0BDC"/>
    <w:rsid w:val="00AD1646"/>
    <w:rsid w:val="00AD39E0"/>
    <w:rsid w:val="00AD4BF4"/>
    <w:rsid w:val="00AD4FD2"/>
    <w:rsid w:val="00AD6172"/>
    <w:rsid w:val="00AD7420"/>
    <w:rsid w:val="00AF00EA"/>
    <w:rsid w:val="00AF6021"/>
    <w:rsid w:val="00B015CA"/>
    <w:rsid w:val="00B02D05"/>
    <w:rsid w:val="00B033FF"/>
    <w:rsid w:val="00B11736"/>
    <w:rsid w:val="00B13333"/>
    <w:rsid w:val="00B238A3"/>
    <w:rsid w:val="00B31691"/>
    <w:rsid w:val="00B32193"/>
    <w:rsid w:val="00B32EBA"/>
    <w:rsid w:val="00B34519"/>
    <w:rsid w:val="00B37BA1"/>
    <w:rsid w:val="00B37E7A"/>
    <w:rsid w:val="00B41456"/>
    <w:rsid w:val="00B42461"/>
    <w:rsid w:val="00B47063"/>
    <w:rsid w:val="00B556FC"/>
    <w:rsid w:val="00B5665D"/>
    <w:rsid w:val="00B66A02"/>
    <w:rsid w:val="00B6799F"/>
    <w:rsid w:val="00B70116"/>
    <w:rsid w:val="00B809C5"/>
    <w:rsid w:val="00B814D7"/>
    <w:rsid w:val="00B819CB"/>
    <w:rsid w:val="00B828ED"/>
    <w:rsid w:val="00B870CC"/>
    <w:rsid w:val="00B902FE"/>
    <w:rsid w:val="00B938D0"/>
    <w:rsid w:val="00B96D0C"/>
    <w:rsid w:val="00B96DE1"/>
    <w:rsid w:val="00BA19DF"/>
    <w:rsid w:val="00BA1D79"/>
    <w:rsid w:val="00BA37F5"/>
    <w:rsid w:val="00BA5044"/>
    <w:rsid w:val="00BA7A06"/>
    <w:rsid w:val="00BB540D"/>
    <w:rsid w:val="00BB7DB6"/>
    <w:rsid w:val="00BC26AD"/>
    <w:rsid w:val="00BC2787"/>
    <w:rsid w:val="00BC5160"/>
    <w:rsid w:val="00BD0133"/>
    <w:rsid w:val="00BD1610"/>
    <w:rsid w:val="00BD2A68"/>
    <w:rsid w:val="00BD3FB2"/>
    <w:rsid w:val="00BD5479"/>
    <w:rsid w:val="00BD5F39"/>
    <w:rsid w:val="00BE0E96"/>
    <w:rsid w:val="00BE11A8"/>
    <w:rsid w:val="00BE2DB8"/>
    <w:rsid w:val="00BE51BC"/>
    <w:rsid w:val="00BF1515"/>
    <w:rsid w:val="00BF386B"/>
    <w:rsid w:val="00BF3C63"/>
    <w:rsid w:val="00BF5017"/>
    <w:rsid w:val="00BF5A2E"/>
    <w:rsid w:val="00BF767A"/>
    <w:rsid w:val="00C0138D"/>
    <w:rsid w:val="00C02255"/>
    <w:rsid w:val="00C04AB0"/>
    <w:rsid w:val="00C05A67"/>
    <w:rsid w:val="00C05CC8"/>
    <w:rsid w:val="00C11EFB"/>
    <w:rsid w:val="00C1342C"/>
    <w:rsid w:val="00C1572D"/>
    <w:rsid w:val="00C17584"/>
    <w:rsid w:val="00C2318E"/>
    <w:rsid w:val="00C24176"/>
    <w:rsid w:val="00C26049"/>
    <w:rsid w:val="00C46EB3"/>
    <w:rsid w:val="00C47C92"/>
    <w:rsid w:val="00C5189B"/>
    <w:rsid w:val="00C5585F"/>
    <w:rsid w:val="00C61301"/>
    <w:rsid w:val="00C628CD"/>
    <w:rsid w:val="00C6408C"/>
    <w:rsid w:val="00C64490"/>
    <w:rsid w:val="00C669D9"/>
    <w:rsid w:val="00C71471"/>
    <w:rsid w:val="00C7278A"/>
    <w:rsid w:val="00C728F7"/>
    <w:rsid w:val="00C73075"/>
    <w:rsid w:val="00C75A3B"/>
    <w:rsid w:val="00C81193"/>
    <w:rsid w:val="00C82990"/>
    <w:rsid w:val="00C8390A"/>
    <w:rsid w:val="00C84158"/>
    <w:rsid w:val="00C85FE7"/>
    <w:rsid w:val="00C86C44"/>
    <w:rsid w:val="00C9545F"/>
    <w:rsid w:val="00C960AD"/>
    <w:rsid w:val="00CA38C4"/>
    <w:rsid w:val="00CA3D67"/>
    <w:rsid w:val="00CA5713"/>
    <w:rsid w:val="00CB0404"/>
    <w:rsid w:val="00CB1B8A"/>
    <w:rsid w:val="00CB1D44"/>
    <w:rsid w:val="00CB3162"/>
    <w:rsid w:val="00CB3533"/>
    <w:rsid w:val="00CC4D5F"/>
    <w:rsid w:val="00CC743C"/>
    <w:rsid w:val="00CD2DDC"/>
    <w:rsid w:val="00CE171B"/>
    <w:rsid w:val="00CE1D64"/>
    <w:rsid w:val="00CE249E"/>
    <w:rsid w:val="00CE510B"/>
    <w:rsid w:val="00CE665B"/>
    <w:rsid w:val="00CF1E91"/>
    <w:rsid w:val="00CF37A2"/>
    <w:rsid w:val="00D003BC"/>
    <w:rsid w:val="00D0156C"/>
    <w:rsid w:val="00D0266B"/>
    <w:rsid w:val="00D02D5F"/>
    <w:rsid w:val="00D045AC"/>
    <w:rsid w:val="00D053A4"/>
    <w:rsid w:val="00D06DF6"/>
    <w:rsid w:val="00D131D9"/>
    <w:rsid w:val="00D20E5D"/>
    <w:rsid w:val="00D20FAD"/>
    <w:rsid w:val="00D2279C"/>
    <w:rsid w:val="00D22D42"/>
    <w:rsid w:val="00D25898"/>
    <w:rsid w:val="00D328C5"/>
    <w:rsid w:val="00D36C99"/>
    <w:rsid w:val="00D45431"/>
    <w:rsid w:val="00D501E2"/>
    <w:rsid w:val="00D5234D"/>
    <w:rsid w:val="00D52698"/>
    <w:rsid w:val="00D52C57"/>
    <w:rsid w:val="00D53A62"/>
    <w:rsid w:val="00D554B0"/>
    <w:rsid w:val="00D557E8"/>
    <w:rsid w:val="00D56020"/>
    <w:rsid w:val="00D6494E"/>
    <w:rsid w:val="00D75918"/>
    <w:rsid w:val="00D76CCA"/>
    <w:rsid w:val="00D77B09"/>
    <w:rsid w:val="00D81763"/>
    <w:rsid w:val="00D83802"/>
    <w:rsid w:val="00D85A64"/>
    <w:rsid w:val="00D871B0"/>
    <w:rsid w:val="00D87357"/>
    <w:rsid w:val="00D90392"/>
    <w:rsid w:val="00D96F70"/>
    <w:rsid w:val="00D973CF"/>
    <w:rsid w:val="00DA0076"/>
    <w:rsid w:val="00DA243A"/>
    <w:rsid w:val="00DB41CC"/>
    <w:rsid w:val="00DB5148"/>
    <w:rsid w:val="00DB5B9E"/>
    <w:rsid w:val="00DB7CCE"/>
    <w:rsid w:val="00DC0A3E"/>
    <w:rsid w:val="00DC1A53"/>
    <w:rsid w:val="00DC35D6"/>
    <w:rsid w:val="00DC3650"/>
    <w:rsid w:val="00DC6953"/>
    <w:rsid w:val="00DC708C"/>
    <w:rsid w:val="00DD588C"/>
    <w:rsid w:val="00DD5C8D"/>
    <w:rsid w:val="00DD7E34"/>
    <w:rsid w:val="00DE2959"/>
    <w:rsid w:val="00DE2C3A"/>
    <w:rsid w:val="00DE4975"/>
    <w:rsid w:val="00DE4BB5"/>
    <w:rsid w:val="00DE57EB"/>
    <w:rsid w:val="00DE5B91"/>
    <w:rsid w:val="00DE6582"/>
    <w:rsid w:val="00DE7C66"/>
    <w:rsid w:val="00DF1BC5"/>
    <w:rsid w:val="00DF2152"/>
    <w:rsid w:val="00DF23AA"/>
    <w:rsid w:val="00DF3033"/>
    <w:rsid w:val="00DF3C7D"/>
    <w:rsid w:val="00DF6289"/>
    <w:rsid w:val="00E0083A"/>
    <w:rsid w:val="00E03C18"/>
    <w:rsid w:val="00E04C99"/>
    <w:rsid w:val="00E06178"/>
    <w:rsid w:val="00E07264"/>
    <w:rsid w:val="00E07477"/>
    <w:rsid w:val="00E10751"/>
    <w:rsid w:val="00E10D38"/>
    <w:rsid w:val="00E115FD"/>
    <w:rsid w:val="00E122A5"/>
    <w:rsid w:val="00E128E5"/>
    <w:rsid w:val="00E131FE"/>
    <w:rsid w:val="00E13DFF"/>
    <w:rsid w:val="00E145B1"/>
    <w:rsid w:val="00E14FAB"/>
    <w:rsid w:val="00E15BC5"/>
    <w:rsid w:val="00E16BB0"/>
    <w:rsid w:val="00E20D5B"/>
    <w:rsid w:val="00E22BB2"/>
    <w:rsid w:val="00E22FCA"/>
    <w:rsid w:val="00E23F61"/>
    <w:rsid w:val="00E248DB"/>
    <w:rsid w:val="00E32790"/>
    <w:rsid w:val="00E33283"/>
    <w:rsid w:val="00E33718"/>
    <w:rsid w:val="00E40B25"/>
    <w:rsid w:val="00E42486"/>
    <w:rsid w:val="00E55764"/>
    <w:rsid w:val="00E55F83"/>
    <w:rsid w:val="00E57ED6"/>
    <w:rsid w:val="00E627A9"/>
    <w:rsid w:val="00E6524B"/>
    <w:rsid w:val="00E71929"/>
    <w:rsid w:val="00E742D8"/>
    <w:rsid w:val="00E76814"/>
    <w:rsid w:val="00E7694A"/>
    <w:rsid w:val="00E77A14"/>
    <w:rsid w:val="00E77DE9"/>
    <w:rsid w:val="00E83B27"/>
    <w:rsid w:val="00E84120"/>
    <w:rsid w:val="00E84BA3"/>
    <w:rsid w:val="00E85279"/>
    <w:rsid w:val="00E942BF"/>
    <w:rsid w:val="00E96EDC"/>
    <w:rsid w:val="00EA4201"/>
    <w:rsid w:val="00EA4457"/>
    <w:rsid w:val="00EB1D3E"/>
    <w:rsid w:val="00EB5E68"/>
    <w:rsid w:val="00EB5F3B"/>
    <w:rsid w:val="00EC13AF"/>
    <w:rsid w:val="00EC5816"/>
    <w:rsid w:val="00EC617D"/>
    <w:rsid w:val="00EC6E33"/>
    <w:rsid w:val="00EC7FC4"/>
    <w:rsid w:val="00ED1EAF"/>
    <w:rsid w:val="00ED5757"/>
    <w:rsid w:val="00ED6887"/>
    <w:rsid w:val="00EE0000"/>
    <w:rsid w:val="00EE2FFB"/>
    <w:rsid w:val="00EE3191"/>
    <w:rsid w:val="00EE36A2"/>
    <w:rsid w:val="00EE533A"/>
    <w:rsid w:val="00EE7D77"/>
    <w:rsid w:val="00EF0DB4"/>
    <w:rsid w:val="00EF5353"/>
    <w:rsid w:val="00EF5A29"/>
    <w:rsid w:val="00EF697A"/>
    <w:rsid w:val="00EF7E67"/>
    <w:rsid w:val="00F00DF5"/>
    <w:rsid w:val="00F02179"/>
    <w:rsid w:val="00F03B02"/>
    <w:rsid w:val="00F03F7F"/>
    <w:rsid w:val="00F05F14"/>
    <w:rsid w:val="00F07378"/>
    <w:rsid w:val="00F118DB"/>
    <w:rsid w:val="00F21DD7"/>
    <w:rsid w:val="00F22045"/>
    <w:rsid w:val="00F24025"/>
    <w:rsid w:val="00F256E2"/>
    <w:rsid w:val="00F26691"/>
    <w:rsid w:val="00F27727"/>
    <w:rsid w:val="00F3174E"/>
    <w:rsid w:val="00F3378B"/>
    <w:rsid w:val="00F361CE"/>
    <w:rsid w:val="00F36799"/>
    <w:rsid w:val="00F36940"/>
    <w:rsid w:val="00F401E2"/>
    <w:rsid w:val="00F40430"/>
    <w:rsid w:val="00F41A22"/>
    <w:rsid w:val="00F41EE6"/>
    <w:rsid w:val="00F42AEF"/>
    <w:rsid w:val="00F42D33"/>
    <w:rsid w:val="00F47F44"/>
    <w:rsid w:val="00F500FF"/>
    <w:rsid w:val="00F50771"/>
    <w:rsid w:val="00F601AF"/>
    <w:rsid w:val="00F61D42"/>
    <w:rsid w:val="00F62A91"/>
    <w:rsid w:val="00F6538E"/>
    <w:rsid w:val="00F70884"/>
    <w:rsid w:val="00F71564"/>
    <w:rsid w:val="00F72106"/>
    <w:rsid w:val="00F771C6"/>
    <w:rsid w:val="00F77955"/>
    <w:rsid w:val="00F77D7E"/>
    <w:rsid w:val="00F80BD6"/>
    <w:rsid w:val="00F81790"/>
    <w:rsid w:val="00F842CC"/>
    <w:rsid w:val="00F87CDE"/>
    <w:rsid w:val="00F91123"/>
    <w:rsid w:val="00F9506B"/>
    <w:rsid w:val="00F97512"/>
    <w:rsid w:val="00FA1747"/>
    <w:rsid w:val="00FA4C3F"/>
    <w:rsid w:val="00FA7856"/>
    <w:rsid w:val="00FC2678"/>
    <w:rsid w:val="00FC3783"/>
    <w:rsid w:val="00FC37E2"/>
    <w:rsid w:val="00FC5D96"/>
    <w:rsid w:val="00FC6979"/>
    <w:rsid w:val="00FD0321"/>
    <w:rsid w:val="00FD609F"/>
    <w:rsid w:val="00FD69CD"/>
    <w:rsid w:val="00FF1DF1"/>
    <w:rsid w:val="00FF4B1F"/>
    <w:rsid w:val="00FF4E7D"/>
    <w:rsid w:val="00FF5FBE"/>
    <w:rsid w:val="00FF6A3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A5577A9-01CC-4537-8FA0-61CF96F6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74E7"/>
    <w:rPr>
      <w:sz w:val="24"/>
      <w:lang w:eastAsia="en-US"/>
    </w:rPr>
  </w:style>
  <w:style w:type="paragraph" w:styleId="Heading1">
    <w:name w:val="heading 1"/>
    <w:aliases w:val="h1,heading 1"/>
    <w:basedOn w:val="Normal"/>
    <w:next w:val="Normal"/>
    <w:qFormat/>
    <w:rsid w:val="009D74E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eading 2,H2"/>
    <w:basedOn w:val="Normal"/>
    <w:next w:val="Normal"/>
    <w:qFormat/>
    <w:rsid w:val="009D74E7"/>
    <w:pPr>
      <w:keepNext/>
      <w:shd w:val="clear" w:color="auto" w:fill="E0E0E0"/>
      <w:spacing w:before="320" w:after="60"/>
      <w:outlineLvl w:val="1"/>
    </w:pPr>
    <w:rPr>
      <w:rFonts w:ascii="Arial" w:hAnsi="Arial" w:cs="Arial"/>
      <w:b/>
      <w:bCs/>
      <w:iCs/>
      <w:sz w:val="28"/>
      <w:szCs w:val="28"/>
    </w:rPr>
  </w:style>
  <w:style w:type="paragraph" w:styleId="Heading3">
    <w:name w:val="heading 3"/>
    <w:aliases w:val="h3,H3,heading 3,sec"/>
    <w:basedOn w:val="Normal"/>
    <w:next w:val="Amain"/>
    <w:link w:val="Heading3Char"/>
    <w:qFormat/>
    <w:rsid w:val="009D74E7"/>
    <w:pPr>
      <w:keepNext/>
      <w:spacing w:before="140"/>
      <w:outlineLvl w:val="2"/>
    </w:pPr>
    <w:rPr>
      <w:b/>
    </w:rPr>
  </w:style>
  <w:style w:type="paragraph" w:styleId="Heading4">
    <w:name w:val="heading 4"/>
    <w:basedOn w:val="Normal"/>
    <w:next w:val="Normal"/>
    <w:qFormat/>
    <w:rsid w:val="009D74E7"/>
    <w:pPr>
      <w:keepNext/>
      <w:spacing w:before="240" w:after="60"/>
      <w:outlineLvl w:val="3"/>
    </w:pPr>
    <w:rPr>
      <w:rFonts w:ascii="Arial" w:hAnsi="Arial"/>
      <w:b/>
      <w:bCs/>
      <w:sz w:val="22"/>
      <w:szCs w:val="28"/>
    </w:rPr>
  </w:style>
  <w:style w:type="paragraph" w:styleId="Heading5">
    <w:name w:val="heading 5"/>
    <w:basedOn w:val="Normal"/>
    <w:next w:val="Normal"/>
    <w:qFormat/>
    <w:rsid w:val="00EA4457"/>
    <w:pPr>
      <w:spacing w:before="240" w:after="60"/>
      <w:jc w:val="both"/>
      <w:outlineLvl w:val="4"/>
    </w:pPr>
    <w:rPr>
      <w:sz w:val="22"/>
    </w:rPr>
  </w:style>
  <w:style w:type="paragraph" w:styleId="Heading6">
    <w:name w:val="heading 6"/>
    <w:basedOn w:val="Normal"/>
    <w:next w:val="Normal"/>
    <w:qFormat/>
    <w:rsid w:val="00EA4457"/>
    <w:pPr>
      <w:spacing w:before="240" w:after="60"/>
      <w:jc w:val="both"/>
      <w:outlineLvl w:val="5"/>
    </w:pPr>
    <w:rPr>
      <w:i/>
      <w:sz w:val="22"/>
    </w:rPr>
  </w:style>
  <w:style w:type="paragraph" w:styleId="Heading7">
    <w:name w:val="heading 7"/>
    <w:basedOn w:val="Normal"/>
    <w:next w:val="Normal"/>
    <w:qFormat/>
    <w:rsid w:val="00EA4457"/>
    <w:pPr>
      <w:spacing w:before="240" w:after="60"/>
      <w:jc w:val="both"/>
      <w:outlineLvl w:val="6"/>
    </w:pPr>
    <w:rPr>
      <w:rFonts w:ascii="Arial" w:hAnsi="Arial"/>
    </w:rPr>
  </w:style>
  <w:style w:type="paragraph" w:styleId="Heading8">
    <w:name w:val="heading 8"/>
    <w:basedOn w:val="Normal"/>
    <w:next w:val="Normal"/>
    <w:qFormat/>
    <w:rsid w:val="00EA4457"/>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EA4457"/>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EA4457"/>
    <w:pPr>
      <w:keepNext/>
      <w:spacing w:before="320"/>
      <w:jc w:val="center"/>
      <w:outlineLvl w:val="0"/>
    </w:pPr>
    <w:rPr>
      <w:b/>
      <w:caps/>
    </w:rPr>
  </w:style>
  <w:style w:type="paragraph" w:customStyle="1" w:styleId="BillBasic">
    <w:name w:val="Bill Basic"/>
    <w:rsid w:val="00EA4457"/>
    <w:pPr>
      <w:spacing w:before="80" w:after="60"/>
      <w:jc w:val="both"/>
    </w:pPr>
    <w:rPr>
      <w:sz w:val="24"/>
      <w:lang w:eastAsia="en-US"/>
    </w:rPr>
  </w:style>
  <w:style w:type="paragraph" w:customStyle="1" w:styleId="AH2Div">
    <w:name w:val="A H2 Div"/>
    <w:basedOn w:val="BillBasic"/>
    <w:next w:val="Normal"/>
    <w:rsid w:val="00EA4457"/>
    <w:pPr>
      <w:keepNext/>
      <w:spacing w:before="180"/>
      <w:jc w:val="center"/>
      <w:outlineLvl w:val="2"/>
    </w:pPr>
    <w:rPr>
      <w:b/>
      <w:i/>
    </w:rPr>
  </w:style>
  <w:style w:type="paragraph" w:customStyle="1" w:styleId="AH3sec">
    <w:name w:val="A H3 sec"/>
    <w:aliases w:val=" H3"/>
    <w:basedOn w:val="BillBasic"/>
    <w:next w:val="Normal"/>
    <w:rsid w:val="00EA4457"/>
    <w:pPr>
      <w:keepNext/>
      <w:spacing w:before="180"/>
      <w:ind w:left="700" w:hanging="700"/>
      <w:outlineLvl w:val="4"/>
    </w:pPr>
    <w:rPr>
      <w:b/>
    </w:rPr>
  </w:style>
  <w:style w:type="paragraph" w:customStyle="1" w:styleId="Amain">
    <w:name w:val="A main"/>
    <w:basedOn w:val="BillBasic0"/>
    <w:rsid w:val="009D74E7"/>
    <w:pPr>
      <w:tabs>
        <w:tab w:val="right" w:pos="900"/>
        <w:tab w:val="left" w:pos="1100"/>
      </w:tabs>
      <w:ind w:left="1100" w:hanging="1100"/>
      <w:outlineLvl w:val="5"/>
    </w:pPr>
  </w:style>
  <w:style w:type="paragraph" w:customStyle="1" w:styleId="BillBasic0">
    <w:name w:val="BillBasic"/>
    <w:rsid w:val="009D74E7"/>
    <w:pPr>
      <w:spacing w:before="140"/>
      <w:jc w:val="both"/>
    </w:pPr>
    <w:rPr>
      <w:sz w:val="24"/>
      <w:lang w:eastAsia="en-US"/>
    </w:rPr>
  </w:style>
  <w:style w:type="paragraph" w:customStyle="1" w:styleId="Amainreturn">
    <w:name w:val="A main return"/>
    <w:basedOn w:val="BillBasic0"/>
    <w:link w:val="AmainreturnChar"/>
    <w:rsid w:val="009D74E7"/>
    <w:pPr>
      <w:ind w:left="1100"/>
    </w:pPr>
  </w:style>
  <w:style w:type="paragraph" w:customStyle="1" w:styleId="Apara">
    <w:name w:val="A para"/>
    <w:basedOn w:val="BillBasic0"/>
    <w:rsid w:val="009D74E7"/>
    <w:pPr>
      <w:tabs>
        <w:tab w:val="right" w:pos="1400"/>
        <w:tab w:val="left" w:pos="1600"/>
      </w:tabs>
      <w:ind w:left="1600" w:hanging="1600"/>
      <w:outlineLvl w:val="6"/>
    </w:pPr>
  </w:style>
  <w:style w:type="paragraph" w:customStyle="1" w:styleId="Asubpara">
    <w:name w:val="A subpara"/>
    <w:basedOn w:val="BillBasic0"/>
    <w:rsid w:val="009D74E7"/>
    <w:pPr>
      <w:tabs>
        <w:tab w:val="right" w:pos="1900"/>
        <w:tab w:val="left" w:pos="2100"/>
      </w:tabs>
      <w:ind w:left="2100" w:hanging="2100"/>
      <w:outlineLvl w:val="7"/>
    </w:pPr>
  </w:style>
  <w:style w:type="paragraph" w:customStyle="1" w:styleId="Asubsubpara">
    <w:name w:val="A subsubpara"/>
    <w:basedOn w:val="BillBasic0"/>
    <w:rsid w:val="009D74E7"/>
    <w:pPr>
      <w:tabs>
        <w:tab w:val="right" w:pos="2400"/>
        <w:tab w:val="left" w:pos="2600"/>
      </w:tabs>
      <w:ind w:left="2600" w:hanging="2600"/>
      <w:outlineLvl w:val="8"/>
    </w:pPr>
  </w:style>
  <w:style w:type="paragraph" w:customStyle="1" w:styleId="aDef">
    <w:name w:val="aDef"/>
    <w:basedOn w:val="BillBasic0"/>
    <w:link w:val="aDefChar"/>
    <w:rsid w:val="009D74E7"/>
    <w:pPr>
      <w:ind w:left="1100"/>
    </w:pPr>
  </w:style>
  <w:style w:type="paragraph" w:customStyle="1" w:styleId="aExamhead">
    <w:name w:val="aExam head"/>
    <w:basedOn w:val="BillBasic"/>
    <w:next w:val="Normal"/>
    <w:rsid w:val="00EA4457"/>
    <w:pPr>
      <w:keepNext/>
    </w:pPr>
    <w:rPr>
      <w:i/>
    </w:rPr>
  </w:style>
  <w:style w:type="paragraph" w:customStyle="1" w:styleId="aNote">
    <w:name w:val="aNote"/>
    <w:basedOn w:val="BillBasic0"/>
    <w:link w:val="aNoteChar"/>
    <w:rsid w:val="009D74E7"/>
    <w:pPr>
      <w:ind w:left="1900" w:hanging="800"/>
    </w:pPr>
    <w:rPr>
      <w:sz w:val="20"/>
    </w:rPr>
  </w:style>
  <w:style w:type="paragraph" w:customStyle="1" w:styleId="BillField">
    <w:name w:val="BillField"/>
    <w:basedOn w:val="Amain"/>
    <w:rsid w:val="00EA4457"/>
  </w:style>
  <w:style w:type="paragraph" w:customStyle="1" w:styleId="Billfooter">
    <w:name w:val="Billfooter"/>
    <w:basedOn w:val="BillBasic"/>
    <w:rsid w:val="00EA4457"/>
    <w:pPr>
      <w:tabs>
        <w:tab w:val="right" w:pos="7200"/>
      </w:tabs>
      <w:spacing w:before="0" w:after="0"/>
    </w:pPr>
    <w:rPr>
      <w:sz w:val="18"/>
    </w:rPr>
  </w:style>
  <w:style w:type="paragraph" w:customStyle="1" w:styleId="Billheader">
    <w:name w:val="Billheader"/>
    <w:basedOn w:val="BillBasic"/>
    <w:rsid w:val="00EA4457"/>
    <w:pPr>
      <w:tabs>
        <w:tab w:val="center" w:pos="3600"/>
        <w:tab w:val="right" w:pos="7200"/>
      </w:tabs>
      <w:jc w:val="center"/>
    </w:pPr>
    <w:rPr>
      <w:i/>
      <w:sz w:val="20"/>
    </w:rPr>
  </w:style>
  <w:style w:type="paragraph" w:customStyle="1" w:styleId="Billname">
    <w:name w:val="Billname"/>
    <w:basedOn w:val="Normal"/>
    <w:rsid w:val="009D74E7"/>
    <w:pPr>
      <w:spacing w:before="1220"/>
    </w:pPr>
    <w:rPr>
      <w:rFonts w:ascii="Arial" w:hAnsi="Arial"/>
      <w:b/>
      <w:sz w:val="40"/>
    </w:rPr>
  </w:style>
  <w:style w:type="paragraph" w:styleId="BodyText">
    <w:name w:val="Body Text"/>
    <w:basedOn w:val="Normal"/>
    <w:rsid w:val="00EA4457"/>
    <w:pPr>
      <w:spacing w:before="80" w:after="120"/>
      <w:jc w:val="both"/>
    </w:pPr>
  </w:style>
  <w:style w:type="paragraph" w:styleId="BodyTextIndent">
    <w:name w:val="Body Text Indent"/>
    <w:basedOn w:val="Normal"/>
    <w:rsid w:val="00EA4457"/>
    <w:pPr>
      <w:spacing w:before="80" w:after="120"/>
      <w:ind w:left="283"/>
      <w:jc w:val="both"/>
    </w:pPr>
  </w:style>
  <w:style w:type="paragraph" w:customStyle="1" w:styleId="Comment">
    <w:name w:val="Comment"/>
    <w:basedOn w:val="BillBasic0"/>
    <w:rsid w:val="009D74E7"/>
    <w:pPr>
      <w:tabs>
        <w:tab w:val="left" w:pos="1800"/>
      </w:tabs>
      <w:ind w:left="1300"/>
      <w:jc w:val="left"/>
    </w:pPr>
    <w:rPr>
      <w:b/>
      <w:sz w:val="18"/>
    </w:rPr>
  </w:style>
  <w:style w:type="paragraph" w:customStyle="1" w:styleId="Endnote1">
    <w:name w:val="Endnote1"/>
    <w:basedOn w:val="BillBasic0"/>
    <w:next w:val="Normal"/>
    <w:rsid w:val="009D74E7"/>
    <w:pPr>
      <w:keepNext/>
      <w:tabs>
        <w:tab w:val="left" w:pos="400"/>
      </w:tabs>
      <w:spacing w:before="0"/>
      <w:jc w:val="left"/>
    </w:pPr>
    <w:rPr>
      <w:rFonts w:ascii="Arial" w:hAnsi="Arial"/>
      <w:b/>
      <w:sz w:val="28"/>
    </w:rPr>
  </w:style>
  <w:style w:type="paragraph" w:customStyle="1" w:styleId="Endnote2">
    <w:name w:val="Endnote2"/>
    <w:basedOn w:val="Normal"/>
    <w:rsid w:val="009D74E7"/>
    <w:pPr>
      <w:keepNext/>
      <w:tabs>
        <w:tab w:val="left" w:pos="1100"/>
      </w:tabs>
      <w:spacing w:before="360"/>
    </w:pPr>
    <w:rPr>
      <w:rFonts w:ascii="Arial" w:hAnsi="Arial"/>
      <w:b/>
    </w:rPr>
  </w:style>
  <w:style w:type="paragraph" w:customStyle="1" w:styleId="IH4Part">
    <w:name w:val="I H4 Part"/>
    <w:basedOn w:val="AH1Part"/>
    <w:rsid w:val="00EA4457"/>
  </w:style>
  <w:style w:type="paragraph" w:customStyle="1" w:styleId="IH5Div">
    <w:name w:val="I H5 Div"/>
    <w:basedOn w:val="AH2Div"/>
    <w:rsid w:val="00EA4457"/>
  </w:style>
  <w:style w:type="paragraph" w:customStyle="1" w:styleId="IH6sec">
    <w:name w:val="I H6 sec"/>
    <w:aliases w:val="H6"/>
    <w:basedOn w:val="AH3sec"/>
    <w:next w:val="Amain"/>
    <w:rsid w:val="00EA4457"/>
    <w:pPr>
      <w:spacing w:after="0"/>
      <w:jc w:val="left"/>
    </w:pPr>
  </w:style>
  <w:style w:type="paragraph" w:styleId="Index1">
    <w:name w:val="index 1"/>
    <w:basedOn w:val="Normal"/>
    <w:next w:val="Normal"/>
    <w:semiHidden/>
    <w:rsid w:val="00EA4457"/>
    <w:pPr>
      <w:spacing w:before="80" w:after="60"/>
      <w:ind w:left="240" w:hanging="240"/>
      <w:jc w:val="both"/>
    </w:pPr>
  </w:style>
  <w:style w:type="paragraph" w:customStyle="1" w:styleId="InparaH3sec">
    <w:name w:val="Inpara H3 sec"/>
    <w:basedOn w:val="BillBasic"/>
    <w:rsid w:val="00EA4457"/>
    <w:pPr>
      <w:ind w:left="1600" w:hanging="700"/>
      <w:jc w:val="left"/>
    </w:pPr>
    <w:rPr>
      <w:b/>
    </w:rPr>
  </w:style>
  <w:style w:type="paragraph" w:customStyle="1" w:styleId="Inparamain">
    <w:name w:val="Inpara main"/>
    <w:basedOn w:val="BillBasic"/>
    <w:rsid w:val="00EA4457"/>
    <w:pPr>
      <w:tabs>
        <w:tab w:val="left" w:pos="1400"/>
      </w:tabs>
      <w:ind w:left="900"/>
    </w:pPr>
  </w:style>
  <w:style w:type="paragraph" w:customStyle="1" w:styleId="Inparamainreturn">
    <w:name w:val="Inpara main return"/>
    <w:basedOn w:val="Inparamain"/>
    <w:rsid w:val="00EA4457"/>
    <w:pPr>
      <w:spacing w:before="0"/>
    </w:pPr>
  </w:style>
  <w:style w:type="paragraph" w:customStyle="1" w:styleId="Inparapara">
    <w:name w:val="Inpara para"/>
    <w:basedOn w:val="BillBasic"/>
    <w:rsid w:val="00EA4457"/>
    <w:pPr>
      <w:tabs>
        <w:tab w:val="right" w:pos="1600"/>
      </w:tabs>
      <w:spacing w:before="0"/>
      <w:ind w:left="1800" w:hanging="1800"/>
    </w:pPr>
  </w:style>
  <w:style w:type="paragraph" w:customStyle="1" w:styleId="Inparasubpara">
    <w:name w:val="Inpara subpara"/>
    <w:basedOn w:val="BillBasic"/>
    <w:rsid w:val="00EA4457"/>
    <w:pPr>
      <w:tabs>
        <w:tab w:val="right" w:pos="2240"/>
      </w:tabs>
      <w:spacing w:before="0"/>
      <w:ind w:left="2440" w:hanging="2440"/>
    </w:pPr>
  </w:style>
  <w:style w:type="paragraph" w:customStyle="1" w:styleId="Inparasubsubpara">
    <w:name w:val="Inpara subsubpara"/>
    <w:basedOn w:val="BillBasic"/>
    <w:rsid w:val="00EA4457"/>
    <w:pPr>
      <w:tabs>
        <w:tab w:val="right" w:pos="2880"/>
      </w:tabs>
      <w:spacing w:before="0"/>
      <w:ind w:left="3080" w:hanging="3080"/>
    </w:pPr>
  </w:style>
  <w:style w:type="paragraph" w:customStyle="1" w:styleId="InparaDef">
    <w:name w:val="InparaDef"/>
    <w:basedOn w:val="BillBasic"/>
    <w:rsid w:val="00EA4457"/>
    <w:pPr>
      <w:ind w:left="1720" w:hanging="380"/>
    </w:pPr>
  </w:style>
  <w:style w:type="paragraph" w:customStyle="1" w:styleId="N-14pt">
    <w:name w:val="N-14pt"/>
    <w:basedOn w:val="BillBasic0"/>
    <w:rsid w:val="009D74E7"/>
    <w:pPr>
      <w:spacing w:before="0"/>
    </w:pPr>
    <w:rPr>
      <w:b/>
      <w:sz w:val="28"/>
    </w:rPr>
  </w:style>
  <w:style w:type="paragraph" w:customStyle="1" w:styleId="N-9pt">
    <w:name w:val="N-9pt"/>
    <w:basedOn w:val="BillBasic0"/>
    <w:next w:val="BillBasic0"/>
    <w:rsid w:val="009D74E7"/>
    <w:pPr>
      <w:keepNext/>
      <w:tabs>
        <w:tab w:val="right" w:pos="7707"/>
      </w:tabs>
      <w:spacing w:before="120"/>
    </w:pPr>
    <w:rPr>
      <w:rFonts w:ascii="Arial" w:hAnsi="Arial"/>
      <w:sz w:val="18"/>
    </w:rPr>
  </w:style>
  <w:style w:type="paragraph" w:customStyle="1" w:styleId="N-line1">
    <w:name w:val="N-line1"/>
    <w:basedOn w:val="BillBasic0"/>
    <w:rsid w:val="009D74E7"/>
    <w:pPr>
      <w:pBdr>
        <w:bottom w:val="single" w:sz="4" w:space="0" w:color="auto"/>
      </w:pBdr>
      <w:spacing w:before="100"/>
      <w:ind w:left="2980" w:right="3020"/>
      <w:jc w:val="center"/>
    </w:pPr>
  </w:style>
  <w:style w:type="paragraph" w:customStyle="1" w:styleId="Norm-5pt">
    <w:name w:val="Norm-5pt"/>
    <w:basedOn w:val="Normal"/>
    <w:rsid w:val="009D74E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9D74E7"/>
    <w:pPr>
      <w:pBdr>
        <w:bottom w:val="single" w:sz="4" w:space="1" w:color="auto"/>
      </w:pBdr>
      <w:spacing w:before="800"/>
    </w:pPr>
    <w:rPr>
      <w:sz w:val="32"/>
    </w:rPr>
  </w:style>
  <w:style w:type="paragraph" w:customStyle="1" w:styleId="BillBasicHeading">
    <w:name w:val="BillBasicHeading"/>
    <w:basedOn w:val="BillBasic0"/>
    <w:rsid w:val="009D74E7"/>
    <w:pPr>
      <w:keepNext/>
      <w:tabs>
        <w:tab w:val="left" w:pos="2600"/>
      </w:tabs>
      <w:jc w:val="left"/>
    </w:pPr>
    <w:rPr>
      <w:rFonts w:ascii="Arial" w:hAnsi="Arial"/>
      <w:b/>
    </w:rPr>
  </w:style>
  <w:style w:type="paragraph" w:customStyle="1" w:styleId="Schclauseheading">
    <w:name w:val="Sch clause heading"/>
    <w:basedOn w:val="BillBasic0"/>
    <w:next w:val="SchAmain"/>
    <w:rsid w:val="009D74E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
    <w:rsid w:val="009D74E7"/>
    <w:pPr>
      <w:spacing w:before="380"/>
      <w:ind w:left="2600" w:hanging="2600"/>
      <w:outlineLvl w:val="0"/>
    </w:pPr>
    <w:rPr>
      <w:sz w:val="34"/>
    </w:rPr>
  </w:style>
  <w:style w:type="paragraph" w:customStyle="1" w:styleId="ref">
    <w:name w:val="ref"/>
    <w:basedOn w:val="BillBasic0"/>
    <w:next w:val="Normal"/>
    <w:rsid w:val="009D74E7"/>
    <w:pPr>
      <w:spacing w:before="60"/>
    </w:pPr>
    <w:rPr>
      <w:sz w:val="18"/>
    </w:rPr>
  </w:style>
  <w:style w:type="paragraph" w:customStyle="1" w:styleId="Sched-name">
    <w:name w:val="Sched-name"/>
    <w:basedOn w:val="BillBasic"/>
    <w:rsid w:val="00EA4457"/>
    <w:pPr>
      <w:keepNext/>
      <w:tabs>
        <w:tab w:val="center" w:pos="3600"/>
        <w:tab w:val="right" w:pos="7200"/>
      </w:tabs>
      <w:spacing w:before="160"/>
      <w:jc w:val="left"/>
    </w:pPr>
    <w:rPr>
      <w:caps/>
    </w:rPr>
  </w:style>
  <w:style w:type="paragraph" w:styleId="BlockText">
    <w:name w:val="Block Text"/>
    <w:basedOn w:val="Normal"/>
    <w:rsid w:val="00EA4457"/>
    <w:pPr>
      <w:spacing w:before="80" w:after="120"/>
      <w:ind w:left="1440" w:right="1440"/>
      <w:jc w:val="both"/>
    </w:pPr>
  </w:style>
  <w:style w:type="paragraph" w:styleId="BodyText2">
    <w:name w:val="Body Text 2"/>
    <w:basedOn w:val="Normal"/>
    <w:rsid w:val="00EA4457"/>
    <w:pPr>
      <w:spacing w:before="80" w:after="120" w:line="480" w:lineRule="auto"/>
      <w:jc w:val="both"/>
    </w:pPr>
  </w:style>
  <w:style w:type="paragraph" w:styleId="BodyText3">
    <w:name w:val="Body Text 3"/>
    <w:basedOn w:val="Normal"/>
    <w:rsid w:val="00EA4457"/>
    <w:pPr>
      <w:spacing w:before="80" w:after="120"/>
      <w:jc w:val="both"/>
    </w:pPr>
    <w:rPr>
      <w:sz w:val="16"/>
    </w:rPr>
  </w:style>
  <w:style w:type="paragraph" w:styleId="BodyTextFirstIndent">
    <w:name w:val="Body Text First Indent"/>
    <w:basedOn w:val="BlockText"/>
    <w:rsid w:val="00EA4457"/>
    <w:pPr>
      <w:ind w:left="0" w:right="0" w:firstLine="210"/>
    </w:pPr>
  </w:style>
  <w:style w:type="paragraph" w:styleId="BodyTextFirstIndent2">
    <w:name w:val="Body Text First Indent 2"/>
    <w:basedOn w:val="BodyText"/>
    <w:rsid w:val="00EA4457"/>
    <w:pPr>
      <w:ind w:left="283" w:firstLine="210"/>
    </w:pPr>
  </w:style>
  <w:style w:type="paragraph" w:styleId="BodyTextIndent2">
    <w:name w:val="Body Text Indent 2"/>
    <w:basedOn w:val="Normal"/>
    <w:rsid w:val="00EA4457"/>
    <w:pPr>
      <w:spacing w:before="80" w:after="120" w:line="480" w:lineRule="auto"/>
      <w:ind w:left="283"/>
      <w:jc w:val="both"/>
    </w:pPr>
  </w:style>
  <w:style w:type="paragraph" w:styleId="BodyTextIndent3">
    <w:name w:val="Body Text Indent 3"/>
    <w:basedOn w:val="Normal"/>
    <w:rsid w:val="00EA4457"/>
    <w:pPr>
      <w:spacing w:before="80" w:after="120"/>
      <w:ind w:left="283"/>
      <w:jc w:val="both"/>
    </w:pPr>
    <w:rPr>
      <w:sz w:val="16"/>
    </w:rPr>
  </w:style>
  <w:style w:type="paragraph" w:styleId="Caption">
    <w:name w:val="caption"/>
    <w:basedOn w:val="Normal"/>
    <w:next w:val="Normal"/>
    <w:qFormat/>
    <w:rsid w:val="00EA4457"/>
    <w:pPr>
      <w:spacing w:before="120" w:after="120"/>
      <w:jc w:val="both"/>
    </w:pPr>
    <w:rPr>
      <w:b/>
    </w:rPr>
  </w:style>
  <w:style w:type="paragraph" w:styleId="Closing">
    <w:name w:val="Closing"/>
    <w:basedOn w:val="Normal"/>
    <w:rsid w:val="00EA4457"/>
    <w:pPr>
      <w:spacing w:before="80" w:after="60"/>
      <w:ind w:left="4252"/>
      <w:jc w:val="both"/>
    </w:pPr>
  </w:style>
  <w:style w:type="character" w:styleId="CommentReference">
    <w:name w:val="annotation reference"/>
    <w:basedOn w:val="DefaultParagraphFont"/>
    <w:semiHidden/>
    <w:rsid w:val="00EA4457"/>
    <w:rPr>
      <w:rFonts w:ascii="Times New Roman" w:hAnsi="Times New Roman"/>
      <w:b w:val="0"/>
      <w:i w:val="0"/>
      <w:caps w:val="0"/>
      <w:sz w:val="16"/>
    </w:rPr>
  </w:style>
  <w:style w:type="paragraph" w:styleId="CommentText">
    <w:name w:val="annotation text"/>
    <w:basedOn w:val="Normal"/>
    <w:link w:val="CommentTextChar"/>
    <w:semiHidden/>
    <w:rsid w:val="00EA4457"/>
    <w:pPr>
      <w:spacing w:before="80" w:after="60"/>
      <w:jc w:val="both"/>
    </w:pPr>
  </w:style>
  <w:style w:type="paragraph" w:styleId="Date">
    <w:name w:val="Date"/>
    <w:basedOn w:val="Normal"/>
    <w:next w:val="Normal"/>
    <w:rsid w:val="00EA4457"/>
    <w:pPr>
      <w:spacing w:before="80" w:after="60"/>
      <w:jc w:val="both"/>
    </w:pPr>
  </w:style>
  <w:style w:type="paragraph" w:styleId="DocumentMap">
    <w:name w:val="Document Map"/>
    <w:basedOn w:val="Normal"/>
    <w:semiHidden/>
    <w:rsid w:val="00EA4457"/>
    <w:pPr>
      <w:shd w:val="clear" w:color="auto" w:fill="000080"/>
      <w:spacing w:before="80" w:after="60"/>
      <w:jc w:val="both"/>
    </w:pPr>
    <w:rPr>
      <w:rFonts w:ascii="Tahoma" w:hAnsi="Tahoma"/>
    </w:rPr>
  </w:style>
  <w:style w:type="character" w:styleId="Emphasis">
    <w:name w:val="Emphasis"/>
    <w:basedOn w:val="DefaultParagraphFont"/>
    <w:qFormat/>
    <w:rsid w:val="00EA4457"/>
    <w:rPr>
      <w:i/>
    </w:rPr>
  </w:style>
  <w:style w:type="character" w:styleId="EndnoteReference">
    <w:name w:val="endnote reference"/>
    <w:basedOn w:val="DefaultParagraphFont"/>
    <w:semiHidden/>
    <w:rsid w:val="00EA4457"/>
    <w:rPr>
      <w:vertAlign w:val="superscript"/>
    </w:rPr>
  </w:style>
  <w:style w:type="paragraph" w:styleId="EndnoteText">
    <w:name w:val="endnote text"/>
    <w:basedOn w:val="Normal"/>
    <w:semiHidden/>
    <w:rsid w:val="00EA4457"/>
    <w:pPr>
      <w:spacing w:before="80" w:after="60"/>
      <w:jc w:val="both"/>
    </w:pPr>
  </w:style>
  <w:style w:type="paragraph" w:styleId="EnvelopeAddress">
    <w:name w:val="envelope address"/>
    <w:basedOn w:val="Normal"/>
    <w:rsid w:val="00EA4457"/>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EA4457"/>
    <w:pPr>
      <w:spacing w:before="80" w:after="60"/>
      <w:jc w:val="both"/>
    </w:pPr>
    <w:rPr>
      <w:rFonts w:ascii="Arial" w:hAnsi="Arial"/>
    </w:rPr>
  </w:style>
  <w:style w:type="character" w:styleId="FollowedHyperlink">
    <w:name w:val="FollowedHyperlink"/>
    <w:basedOn w:val="DefaultParagraphFont"/>
    <w:rsid w:val="00EA4457"/>
    <w:rPr>
      <w:color w:val="800080"/>
      <w:u w:val="single"/>
    </w:rPr>
  </w:style>
  <w:style w:type="paragraph" w:styleId="Footer">
    <w:name w:val="footer"/>
    <w:basedOn w:val="Normal"/>
    <w:link w:val="FooterChar"/>
    <w:rsid w:val="009D74E7"/>
    <w:pPr>
      <w:spacing w:before="120" w:line="240" w:lineRule="exact"/>
    </w:pPr>
    <w:rPr>
      <w:rFonts w:ascii="Arial" w:hAnsi="Arial"/>
      <w:sz w:val="18"/>
    </w:rPr>
  </w:style>
  <w:style w:type="character" w:styleId="FootnoteReference">
    <w:name w:val="footnote reference"/>
    <w:basedOn w:val="DefaultParagraphFont"/>
    <w:semiHidden/>
    <w:rsid w:val="00EA4457"/>
    <w:rPr>
      <w:vertAlign w:val="superscript"/>
    </w:rPr>
  </w:style>
  <w:style w:type="paragraph" w:styleId="FootnoteText">
    <w:name w:val="footnote text"/>
    <w:basedOn w:val="Normal"/>
    <w:semiHidden/>
    <w:rsid w:val="00EA4457"/>
    <w:pPr>
      <w:spacing w:before="80" w:after="60"/>
      <w:jc w:val="both"/>
    </w:pPr>
  </w:style>
  <w:style w:type="paragraph" w:styleId="Header">
    <w:name w:val="header"/>
    <w:basedOn w:val="Normal"/>
    <w:link w:val="HeaderChar"/>
    <w:rsid w:val="009D74E7"/>
    <w:pPr>
      <w:tabs>
        <w:tab w:val="center" w:pos="4153"/>
        <w:tab w:val="right" w:pos="8306"/>
      </w:tabs>
    </w:pPr>
  </w:style>
  <w:style w:type="character" w:styleId="Hyperlink">
    <w:name w:val="Hyperlink"/>
    <w:basedOn w:val="DefaultParagraphFont"/>
    <w:uiPriority w:val="99"/>
    <w:unhideWhenUsed/>
    <w:rsid w:val="009D74E7"/>
    <w:rPr>
      <w:color w:val="0000FF" w:themeColor="hyperlink"/>
      <w:u w:val="single"/>
    </w:rPr>
  </w:style>
  <w:style w:type="paragraph" w:styleId="Index2">
    <w:name w:val="index 2"/>
    <w:basedOn w:val="Normal"/>
    <w:next w:val="Normal"/>
    <w:semiHidden/>
    <w:rsid w:val="00EA4457"/>
    <w:pPr>
      <w:spacing w:before="80" w:after="60"/>
      <w:ind w:left="480" w:hanging="240"/>
      <w:jc w:val="both"/>
    </w:pPr>
  </w:style>
  <w:style w:type="paragraph" w:styleId="Index3">
    <w:name w:val="index 3"/>
    <w:basedOn w:val="Normal"/>
    <w:next w:val="Normal"/>
    <w:semiHidden/>
    <w:rsid w:val="00EA4457"/>
    <w:pPr>
      <w:spacing w:before="80" w:after="60"/>
      <w:ind w:left="720" w:hanging="240"/>
      <w:jc w:val="both"/>
    </w:pPr>
  </w:style>
  <w:style w:type="paragraph" w:styleId="Index4">
    <w:name w:val="index 4"/>
    <w:basedOn w:val="Normal"/>
    <w:next w:val="Normal"/>
    <w:semiHidden/>
    <w:rsid w:val="00EA4457"/>
    <w:pPr>
      <w:spacing w:before="80" w:after="60"/>
      <w:ind w:left="960" w:hanging="240"/>
      <w:jc w:val="both"/>
    </w:pPr>
  </w:style>
  <w:style w:type="paragraph" w:styleId="Index5">
    <w:name w:val="index 5"/>
    <w:basedOn w:val="Normal"/>
    <w:next w:val="Normal"/>
    <w:semiHidden/>
    <w:rsid w:val="00EA4457"/>
    <w:pPr>
      <w:spacing w:before="80" w:after="60"/>
      <w:ind w:left="1200" w:hanging="240"/>
      <w:jc w:val="both"/>
    </w:pPr>
  </w:style>
  <w:style w:type="paragraph" w:styleId="Index6">
    <w:name w:val="index 6"/>
    <w:basedOn w:val="Normal"/>
    <w:next w:val="Normal"/>
    <w:semiHidden/>
    <w:rsid w:val="00EA4457"/>
    <w:pPr>
      <w:spacing w:before="80" w:after="60"/>
      <w:ind w:left="1440" w:hanging="240"/>
      <w:jc w:val="both"/>
    </w:pPr>
  </w:style>
  <w:style w:type="paragraph" w:styleId="Index7">
    <w:name w:val="index 7"/>
    <w:basedOn w:val="Normal"/>
    <w:next w:val="Normal"/>
    <w:semiHidden/>
    <w:rsid w:val="00EA4457"/>
    <w:pPr>
      <w:spacing w:before="80" w:after="60"/>
      <w:ind w:left="1680" w:hanging="240"/>
      <w:jc w:val="both"/>
    </w:pPr>
  </w:style>
  <w:style w:type="paragraph" w:styleId="Index8">
    <w:name w:val="index 8"/>
    <w:basedOn w:val="Normal"/>
    <w:next w:val="Normal"/>
    <w:semiHidden/>
    <w:rsid w:val="00EA4457"/>
    <w:pPr>
      <w:spacing w:before="80" w:after="60"/>
      <w:ind w:left="1920" w:hanging="240"/>
      <w:jc w:val="both"/>
    </w:pPr>
  </w:style>
  <w:style w:type="paragraph" w:styleId="Index9">
    <w:name w:val="index 9"/>
    <w:basedOn w:val="Normal"/>
    <w:next w:val="Normal"/>
    <w:semiHidden/>
    <w:rsid w:val="00EA4457"/>
    <w:pPr>
      <w:spacing w:before="80" w:after="60"/>
      <w:ind w:left="2160" w:hanging="240"/>
      <w:jc w:val="both"/>
    </w:pPr>
  </w:style>
  <w:style w:type="paragraph" w:styleId="IndexHeading">
    <w:name w:val="index heading"/>
    <w:basedOn w:val="Normal"/>
    <w:next w:val="Index1"/>
    <w:semiHidden/>
    <w:rsid w:val="00EA4457"/>
    <w:pPr>
      <w:spacing w:before="80" w:after="60"/>
      <w:jc w:val="both"/>
    </w:pPr>
    <w:rPr>
      <w:rFonts w:ascii="Arial" w:hAnsi="Arial"/>
      <w:b/>
    </w:rPr>
  </w:style>
  <w:style w:type="character" w:styleId="LineNumber">
    <w:name w:val="line number"/>
    <w:basedOn w:val="DefaultParagraphFont"/>
    <w:rsid w:val="009D74E7"/>
    <w:rPr>
      <w:rFonts w:ascii="Arial" w:hAnsi="Arial"/>
      <w:sz w:val="16"/>
    </w:rPr>
  </w:style>
  <w:style w:type="paragraph" w:styleId="List">
    <w:name w:val="List"/>
    <w:basedOn w:val="Normal"/>
    <w:rsid w:val="00EA4457"/>
    <w:pPr>
      <w:spacing w:before="80" w:after="60"/>
      <w:ind w:left="283" w:hanging="283"/>
      <w:jc w:val="both"/>
    </w:pPr>
  </w:style>
  <w:style w:type="paragraph" w:styleId="List2">
    <w:name w:val="List 2"/>
    <w:basedOn w:val="Normal"/>
    <w:rsid w:val="00EA4457"/>
    <w:pPr>
      <w:spacing w:before="80" w:after="60"/>
      <w:ind w:left="566" w:hanging="283"/>
      <w:jc w:val="both"/>
    </w:pPr>
  </w:style>
  <w:style w:type="paragraph" w:styleId="List3">
    <w:name w:val="List 3"/>
    <w:basedOn w:val="Normal"/>
    <w:rsid w:val="00EA4457"/>
    <w:pPr>
      <w:spacing w:before="80" w:after="60"/>
      <w:ind w:left="849" w:hanging="283"/>
      <w:jc w:val="both"/>
    </w:pPr>
  </w:style>
  <w:style w:type="paragraph" w:styleId="List4">
    <w:name w:val="List 4"/>
    <w:basedOn w:val="Normal"/>
    <w:rsid w:val="00EA4457"/>
    <w:pPr>
      <w:spacing w:before="80" w:after="60"/>
      <w:ind w:left="1132" w:hanging="283"/>
      <w:jc w:val="both"/>
    </w:pPr>
  </w:style>
  <w:style w:type="paragraph" w:styleId="List5">
    <w:name w:val="List 5"/>
    <w:basedOn w:val="Normal"/>
    <w:rsid w:val="00EA4457"/>
    <w:pPr>
      <w:spacing w:before="80" w:after="60"/>
      <w:ind w:left="1415" w:hanging="283"/>
      <w:jc w:val="both"/>
    </w:pPr>
  </w:style>
  <w:style w:type="paragraph" w:styleId="ListBullet">
    <w:name w:val="List Bullet"/>
    <w:basedOn w:val="Normal"/>
    <w:rsid w:val="00EA4457"/>
    <w:pPr>
      <w:numPr>
        <w:numId w:val="1"/>
      </w:numPr>
      <w:spacing w:before="80" w:after="60"/>
      <w:jc w:val="both"/>
    </w:pPr>
  </w:style>
  <w:style w:type="paragraph" w:styleId="ListBullet2">
    <w:name w:val="List Bullet 2"/>
    <w:basedOn w:val="Normal"/>
    <w:rsid w:val="00EA4457"/>
    <w:pPr>
      <w:numPr>
        <w:numId w:val="2"/>
      </w:numPr>
      <w:spacing w:before="80" w:after="60"/>
      <w:jc w:val="both"/>
    </w:pPr>
  </w:style>
  <w:style w:type="paragraph" w:styleId="ListBullet3">
    <w:name w:val="List Bullet 3"/>
    <w:basedOn w:val="Normal"/>
    <w:rsid w:val="00EA4457"/>
    <w:pPr>
      <w:numPr>
        <w:numId w:val="3"/>
      </w:numPr>
      <w:spacing w:before="80" w:after="60"/>
      <w:jc w:val="both"/>
    </w:pPr>
  </w:style>
  <w:style w:type="paragraph" w:styleId="ListBullet4">
    <w:name w:val="List Bullet 4"/>
    <w:basedOn w:val="Normal"/>
    <w:rsid w:val="00EA4457"/>
    <w:pPr>
      <w:numPr>
        <w:numId w:val="4"/>
      </w:numPr>
      <w:spacing w:before="80" w:after="60"/>
      <w:jc w:val="both"/>
    </w:pPr>
  </w:style>
  <w:style w:type="paragraph" w:styleId="ListBullet5">
    <w:name w:val="List Bullet 5"/>
    <w:basedOn w:val="Normal"/>
    <w:rsid w:val="00EA4457"/>
    <w:pPr>
      <w:numPr>
        <w:numId w:val="5"/>
      </w:numPr>
      <w:spacing w:before="80" w:after="60"/>
      <w:jc w:val="both"/>
    </w:pPr>
  </w:style>
  <w:style w:type="paragraph" w:styleId="ListContinue">
    <w:name w:val="List Continue"/>
    <w:basedOn w:val="Normal"/>
    <w:rsid w:val="00EA4457"/>
    <w:pPr>
      <w:spacing w:before="80" w:after="120"/>
      <w:ind w:left="283"/>
      <w:jc w:val="both"/>
    </w:pPr>
  </w:style>
  <w:style w:type="paragraph" w:styleId="ListContinue2">
    <w:name w:val="List Continue 2"/>
    <w:basedOn w:val="Normal"/>
    <w:rsid w:val="00EA4457"/>
    <w:pPr>
      <w:spacing w:before="80" w:after="120"/>
      <w:ind w:left="566"/>
      <w:jc w:val="both"/>
    </w:pPr>
  </w:style>
  <w:style w:type="paragraph" w:styleId="ListContinue3">
    <w:name w:val="List Continue 3"/>
    <w:basedOn w:val="Normal"/>
    <w:rsid w:val="00EA4457"/>
    <w:pPr>
      <w:spacing w:before="80" w:after="120"/>
      <w:ind w:left="849"/>
      <w:jc w:val="both"/>
    </w:pPr>
  </w:style>
  <w:style w:type="paragraph" w:styleId="ListContinue4">
    <w:name w:val="List Continue 4"/>
    <w:basedOn w:val="Normal"/>
    <w:rsid w:val="00EA4457"/>
    <w:pPr>
      <w:spacing w:before="80" w:after="120"/>
      <w:ind w:left="1132"/>
      <w:jc w:val="both"/>
    </w:pPr>
  </w:style>
  <w:style w:type="paragraph" w:styleId="ListContinue5">
    <w:name w:val="List Continue 5"/>
    <w:basedOn w:val="Normal"/>
    <w:rsid w:val="00EA4457"/>
    <w:pPr>
      <w:spacing w:before="80" w:after="120"/>
      <w:ind w:left="1415"/>
      <w:jc w:val="both"/>
    </w:pPr>
  </w:style>
  <w:style w:type="paragraph" w:styleId="ListNumber">
    <w:name w:val="List Number"/>
    <w:basedOn w:val="Normal"/>
    <w:rsid w:val="00EA4457"/>
    <w:pPr>
      <w:numPr>
        <w:numId w:val="6"/>
      </w:numPr>
      <w:spacing w:before="80" w:after="60"/>
      <w:jc w:val="both"/>
    </w:pPr>
  </w:style>
  <w:style w:type="paragraph" w:styleId="ListNumber2">
    <w:name w:val="List Number 2"/>
    <w:basedOn w:val="Normal"/>
    <w:rsid w:val="00EA4457"/>
    <w:pPr>
      <w:numPr>
        <w:numId w:val="7"/>
      </w:numPr>
      <w:spacing w:before="80" w:after="60"/>
      <w:jc w:val="both"/>
    </w:pPr>
  </w:style>
  <w:style w:type="paragraph" w:styleId="ListNumber3">
    <w:name w:val="List Number 3"/>
    <w:basedOn w:val="Normal"/>
    <w:rsid w:val="00EA4457"/>
    <w:pPr>
      <w:numPr>
        <w:numId w:val="8"/>
      </w:numPr>
      <w:spacing w:before="80" w:after="60"/>
      <w:jc w:val="both"/>
    </w:pPr>
  </w:style>
  <w:style w:type="paragraph" w:styleId="ListNumber4">
    <w:name w:val="List Number 4"/>
    <w:basedOn w:val="Normal"/>
    <w:rsid w:val="00EA4457"/>
    <w:pPr>
      <w:numPr>
        <w:numId w:val="9"/>
      </w:numPr>
      <w:spacing w:before="80" w:after="60"/>
      <w:jc w:val="both"/>
    </w:pPr>
  </w:style>
  <w:style w:type="paragraph" w:styleId="ListNumber5">
    <w:name w:val="List Number 5"/>
    <w:basedOn w:val="Normal"/>
    <w:rsid w:val="00EA4457"/>
    <w:pPr>
      <w:numPr>
        <w:numId w:val="10"/>
      </w:numPr>
      <w:spacing w:before="80" w:after="60"/>
      <w:jc w:val="both"/>
    </w:pPr>
  </w:style>
  <w:style w:type="paragraph" w:styleId="MacroText">
    <w:name w:val="macro"/>
    <w:semiHidden/>
    <w:rsid w:val="009D74E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EA4457"/>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EA4457"/>
    <w:pPr>
      <w:ind w:left="720"/>
    </w:pPr>
  </w:style>
  <w:style w:type="paragraph" w:styleId="NoteHeading">
    <w:name w:val="Note Heading"/>
    <w:basedOn w:val="Normal"/>
    <w:next w:val="Normal"/>
    <w:rsid w:val="00EA4457"/>
  </w:style>
  <w:style w:type="character" w:styleId="PageNumber">
    <w:name w:val="page number"/>
    <w:basedOn w:val="DefaultParagraphFont"/>
    <w:rsid w:val="009D74E7"/>
  </w:style>
  <w:style w:type="paragraph" w:styleId="PlainText">
    <w:name w:val="Plain Text"/>
    <w:basedOn w:val="Normal"/>
    <w:rsid w:val="009D74E7"/>
    <w:rPr>
      <w:rFonts w:ascii="Courier New" w:hAnsi="Courier New"/>
      <w:sz w:val="20"/>
    </w:rPr>
  </w:style>
  <w:style w:type="paragraph" w:styleId="Salutation">
    <w:name w:val="Salutation"/>
    <w:basedOn w:val="Normal"/>
    <w:next w:val="Normal"/>
    <w:rsid w:val="00EA4457"/>
  </w:style>
  <w:style w:type="paragraph" w:styleId="Signature">
    <w:name w:val="Signature"/>
    <w:basedOn w:val="Normal"/>
    <w:rsid w:val="009D74E7"/>
    <w:pPr>
      <w:ind w:left="4252"/>
    </w:pPr>
  </w:style>
  <w:style w:type="character" w:styleId="Strong">
    <w:name w:val="Strong"/>
    <w:basedOn w:val="DefaultParagraphFont"/>
    <w:qFormat/>
    <w:rsid w:val="00EA4457"/>
    <w:rPr>
      <w:b/>
    </w:rPr>
  </w:style>
  <w:style w:type="paragraph" w:styleId="Subtitle">
    <w:name w:val="Subtitle"/>
    <w:basedOn w:val="Normal"/>
    <w:qFormat/>
    <w:rsid w:val="009D74E7"/>
    <w:pPr>
      <w:spacing w:after="60"/>
      <w:jc w:val="center"/>
      <w:outlineLvl w:val="1"/>
    </w:pPr>
    <w:rPr>
      <w:rFonts w:ascii="Arial" w:hAnsi="Arial"/>
    </w:rPr>
  </w:style>
  <w:style w:type="paragraph" w:styleId="TableofAuthorities">
    <w:name w:val="table of authorities"/>
    <w:basedOn w:val="Normal"/>
    <w:next w:val="Normal"/>
    <w:semiHidden/>
    <w:rsid w:val="00EA4457"/>
    <w:pPr>
      <w:ind w:left="240" w:hanging="240"/>
    </w:pPr>
  </w:style>
  <w:style w:type="paragraph" w:styleId="TableofFigures">
    <w:name w:val="table of figures"/>
    <w:basedOn w:val="Normal"/>
    <w:next w:val="Normal"/>
    <w:semiHidden/>
    <w:rsid w:val="00EA4457"/>
    <w:pPr>
      <w:ind w:left="480" w:hanging="480"/>
    </w:pPr>
  </w:style>
  <w:style w:type="paragraph" w:styleId="Title">
    <w:name w:val="Title"/>
    <w:basedOn w:val="Normal"/>
    <w:qFormat/>
    <w:rsid w:val="00EA4457"/>
    <w:pPr>
      <w:spacing w:before="240"/>
      <w:jc w:val="center"/>
      <w:outlineLvl w:val="0"/>
    </w:pPr>
    <w:rPr>
      <w:rFonts w:ascii="Arial" w:hAnsi="Arial"/>
      <w:b/>
      <w:kern w:val="28"/>
      <w:sz w:val="32"/>
    </w:rPr>
  </w:style>
  <w:style w:type="paragraph" w:styleId="TOAHeading">
    <w:name w:val="toa heading"/>
    <w:basedOn w:val="Normal"/>
    <w:next w:val="Normal"/>
    <w:semiHidden/>
    <w:rsid w:val="00EA4457"/>
    <w:pPr>
      <w:spacing w:before="120"/>
    </w:pPr>
    <w:rPr>
      <w:rFonts w:ascii="Arial" w:hAnsi="Arial"/>
      <w:b/>
    </w:rPr>
  </w:style>
  <w:style w:type="paragraph" w:styleId="TOC1">
    <w:name w:val="toc 1"/>
    <w:basedOn w:val="Normal"/>
    <w:next w:val="Normal"/>
    <w:autoRedefine/>
    <w:uiPriority w:val="39"/>
    <w:rsid w:val="009D74E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072670"/>
    <w:pPr>
      <w:keepNext/>
      <w:tabs>
        <w:tab w:val="left" w:pos="2000"/>
        <w:tab w:val="right" w:pos="7672"/>
      </w:tabs>
      <w:spacing w:before="120"/>
      <w:ind w:left="2002" w:right="442" w:hanging="2002"/>
    </w:pPr>
    <w:rPr>
      <w:rFonts w:ascii="Arial" w:hAnsi="Arial"/>
      <w:b/>
      <w:noProof/>
    </w:rPr>
  </w:style>
  <w:style w:type="paragraph" w:styleId="TOC3">
    <w:name w:val="toc 3"/>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D74E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D74E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D74E7"/>
  </w:style>
  <w:style w:type="paragraph" w:styleId="TOC7">
    <w:name w:val="toc 7"/>
    <w:basedOn w:val="TOC2"/>
    <w:next w:val="Normal"/>
    <w:autoRedefine/>
    <w:uiPriority w:val="39"/>
    <w:rsid w:val="009D74E7"/>
    <w:pPr>
      <w:keepNext w:val="0"/>
    </w:pPr>
    <w:rPr>
      <w:sz w:val="20"/>
    </w:rPr>
  </w:style>
  <w:style w:type="paragraph" w:styleId="TOC8">
    <w:name w:val="toc 8"/>
    <w:basedOn w:val="TOC3"/>
    <w:next w:val="Normal"/>
    <w:autoRedefine/>
    <w:uiPriority w:val="39"/>
    <w:rsid w:val="009D74E7"/>
    <w:pPr>
      <w:keepNext w:val="0"/>
      <w:spacing w:before="120"/>
    </w:pPr>
  </w:style>
  <w:style w:type="paragraph" w:styleId="TOC9">
    <w:name w:val="toc 9"/>
    <w:basedOn w:val="Normal"/>
    <w:next w:val="Normal"/>
    <w:autoRedefine/>
    <w:uiPriority w:val="39"/>
    <w:rsid w:val="009D74E7"/>
    <w:pPr>
      <w:ind w:left="1920" w:right="600"/>
    </w:pPr>
  </w:style>
  <w:style w:type="paragraph" w:customStyle="1" w:styleId="N-line2">
    <w:name w:val="N-line2"/>
    <w:basedOn w:val="Normal"/>
    <w:rsid w:val="009D74E7"/>
    <w:pPr>
      <w:pBdr>
        <w:bottom w:val="single" w:sz="8" w:space="0" w:color="auto"/>
      </w:pBdr>
    </w:pPr>
  </w:style>
  <w:style w:type="paragraph" w:customStyle="1" w:styleId="BillCrest">
    <w:name w:val="Bill Crest"/>
    <w:basedOn w:val="Normal"/>
    <w:next w:val="Normal"/>
    <w:rsid w:val="009D74E7"/>
    <w:pPr>
      <w:tabs>
        <w:tab w:val="center" w:pos="3160"/>
      </w:tabs>
      <w:spacing w:after="60"/>
    </w:pPr>
    <w:rPr>
      <w:sz w:val="216"/>
    </w:rPr>
  </w:style>
  <w:style w:type="paragraph" w:customStyle="1" w:styleId="parainpara">
    <w:name w:val="para in para"/>
    <w:rsid w:val="009D74E7"/>
    <w:pPr>
      <w:tabs>
        <w:tab w:val="right" w:pos="1500"/>
      </w:tabs>
      <w:spacing w:before="80" w:after="80"/>
      <w:ind w:left="1800" w:hanging="1800"/>
      <w:jc w:val="both"/>
    </w:pPr>
    <w:rPr>
      <w:rFonts w:ascii="Times" w:hAnsi="Times"/>
      <w:sz w:val="24"/>
      <w:lang w:eastAsia="en-US"/>
    </w:rPr>
  </w:style>
  <w:style w:type="paragraph" w:customStyle="1" w:styleId="aindentdef">
    <w:name w:val="a indent/def"/>
    <w:basedOn w:val="Normal"/>
    <w:rsid w:val="00EA4457"/>
    <w:pPr>
      <w:spacing w:before="60" w:after="80"/>
      <w:ind w:left="900" w:hanging="500"/>
    </w:pPr>
    <w:rPr>
      <w:rFonts w:ascii="Times" w:hAnsi="Times"/>
    </w:rPr>
  </w:style>
  <w:style w:type="paragraph" w:customStyle="1" w:styleId="Aparareturn">
    <w:name w:val="A para return"/>
    <w:basedOn w:val="BillBasic0"/>
    <w:rsid w:val="009D74E7"/>
    <w:pPr>
      <w:ind w:left="1600"/>
    </w:pPr>
  </w:style>
  <w:style w:type="paragraph" w:customStyle="1" w:styleId="aindent">
    <w:name w:val="a indent"/>
    <w:aliases w:val="a ind,ai"/>
    <w:basedOn w:val="Normal"/>
    <w:rsid w:val="00EA4457"/>
    <w:pPr>
      <w:tabs>
        <w:tab w:val="right" w:pos="700"/>
      </w:tabs>
      <w:spacing w:before="60" w:after="80"/>
      <w:ind w:left="900" w:hanging="900"/>
    </w:pPr>
    <w:rPr>
      <w:rFonts w:ascii="Times" w:hAnsi="Times"/>
    </w:rPr>
  </w:style>
  <w:style w:type="paragraph" w:customStyle="1" w:styleId="iindent">
    <w:name w:val="i indent"/>
    <w:rsid w:val="00EA4457"/>
    <w:pPr>
      <w:tabs>
        <w:tab w:val="right" w:pos="1340"/>
      </w:tabs>
      <w:spacing w:before="80" w:after="80"/>
      <w:ind w:left="1600" w:hanging="1600"/>
      <w:jc w:val="both"/>
    </w:pPr>
    <w:rPr>
      <w:rFonts w:ascii="Times" w:hAnsi="Times"/>
      <w:sz w:val="24"/>
      <w:lang w:eastAsia="en-US"/>
    </w:rPr>
  </w:style>
  <w:style w:type="paragraph" w:customStyle="1" w:styleId="Bindent">
    <w:name w:val="B indent"/>
    <w:rsid w:val="00EA4457"/>
    <w:pPr>
      <w:spacing w:before="80" w:after="80"/>
      <w:ind w:left="2260" w:hanging="500"/>
      <w:jc w:val="both"/>
    </w:pPr>
    <w:rPr>
      <w:rFonts w:ascii="Times" w:hAnsi="Times"/>
      <w:sz w:val="24"/>
      <w:lang w:eastAsia="en-US"/>
    </w:rPr>
  </w:style>
  <w:style w:type="paragraph" w:customStyle="1" w:styleId="quarterout">
    <w:name w:val="quarter out"/>
    <w:rsid w:val="00EA4457"/>
    <w:pPr>
      <w:spacing w:before="80" w:after="80"/>
      <w:ind w:left="1600"/>
      <w:jc w:val="both"/>
    </w:pPr>
    <w:rPr>
      <w:rFonts w:ascii="Times" w:hAnsi="Times"/>
      <w:sz w:val="24"/>
      <w:lang w:eastAsia="en-US"/>
    </w:rPr>
  </w:style>
  <w:style w:type="paragraph" w:customStyle="1" w:styleId="01Contents">
    <w:name w:val="01Contents"/>
    <w:basedOn w:val="Normal"/>
    <w:rsid w:val="009D74E7"/>
  </w:style>
  <w:style w:type="paragraph" w:customStyle="1" w:styleId="00ClientCover">
    <w:name w:val="00ClientCover"/>
    <w:basedOn w:val="Normal"/>
    <w:rsid w:val="009D74E7"/>
  </w:style>
  <w:style w:type="paragraph" w:customStyle="1" w:styleId="02Text">
    <w:name w:val="02Text"/>
    <w:basedOn w:val="Normal"/>
    <w:rsid w:val="009D74E7"/>
  </w:style>
  <w:style w:type="paragraph" w:customStyle="1" w:styleId="draft">
    <w:name w:val="draft"/>
    <w:basedOn w:val="Normal"/>
    <w:rsid w:val="009D74E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9D74E7"/>
    <w:pPr>
      <w:tabs>
        <w:tab w:val="clear" w:pos="2600"/>
      </w:tabs>
      <w:ind w:left="1100"/>
    </w:pPr>
    <w:rPr>
      <w:sz w:val="18"/>
    </w:rPr>
  </w:style>
  <w:style w:type="paragraph" w:customStyle="1" w:styleId="aExam">
    <w:name w:val="aExam"/>
    <w:basedOn w:val="aNote"/>
    <w:rsid w:val="009D74E7"/>
    <w:pPr>
      <w:spacing w:before="60"/>
      <w:ind w:left="1100" w:firstLine="0"/>
    </w:pPr>
  </w:style>
  <w:style w:type="paragraph" w:customStyle="1" w:styleId="HeaderEven">
    <w:name w:val="HeaderEven"/>
    <w:basedOn w:val="Normal"/>
    <w:rsid w:val="009D74E7"/>
    <w:rPr>
      <w:rFonts w:ascii="Arial" w:hAnsi="Arial"/>
      <w:sz w:val="18"/>
    </w:rPr>
  </w:style>
  <w:style w:type="paragraph" w:customStyle="1" w:styleId="HeaderEven6">
    <w:name w:val="HeaderEven6"/>
    <w:basedOn w:val="HeaderEven"/>
    <w:rsid w:val="009D74E7"/>
    <w:pPr>
      <w:spacing w:before="120" w:after="60"/>
    </w:pPr>
  </w:style>
  <w:style w:type="paragraph" w:customStyle="1" w:styleId="HeaderOdd6">
    <w:name w:val="HeaderOdd6"/>
    <w:basedOn w:val="HeaderEven6"/>
    <w:rsid w:val="009D74E7"/>
    <w:pPr>
      <w:jc w:val="right"/>
    </w:pPr>
  </w:style>
  <w:style w:type="paragraph" w:customStyle="1" w:styleId="HeaderOdd">
    <w:name w:val="HeaderOdd"/>
    <w:basedOn w:val="HeaderEven"/>
    <w:rsid w:val="009D74E7"/>
    <w:pPr>
      <w:jc w:val="right"/>
    </w:pPr>
  </w:style>
  <w:style w:type="paragraph" w:customStyle="1" w:styleId="BillNo">
    <w:name w:val="BillNo"/>
    <w:basedOn w:val="BillBasicHeading"/>
    <w:rsid w:val="009D74E7"/>
    <w:pPr>
      <w:keepNext w:val="0"/>
      <w:spacing w:before="240"/>
      <w:jc w:val="both"/>
    </w:pPr>
  </w:style>
  <w:style w:type="paragraph" w:customStyle="1" w:styleId="N-16pt">
    <w:name w:val="N-16pt"/>
    <w:basedOn w:val="BillBasic0"/>
    <w:rsid w:val="009D74E7"/>
    <w:pPr>
      <w:spacing w:before="800"/>
    </w:pPr>
    <w:rPr>
      <w:b/>
      <w:sz w:val="32"/>
    </w:rPr>
  </w:style>
  <w:style w:type="paragraph" w:customStyle="1" w:styleId="N-line3">
    <w:name w:val="N-line3"/>
    <w:basedOn w:val="BillBasic0"/>
    <w:next w:val="BillBasic0"/>
    <w:rsid w:val="009D74E7"/>
    <w:pPr>
      <w:pBdr>
        <w:bottom w:val="single" w:sz="12" w:space="1" w:color="auto"/>
      </w:pBdr>
      <w:spacing w:before="60"/>
    </w:pPr>
  </w:style>
  <w:style w:type="paragraph" w:customStyle="1" w:styleId="EnactingWords">
    <w:name w:val="EnactingWords"/>
    <w:basedOn w:val="BillBasic0"/>
    <w:rsid w:val="009D74E7"/>
    <w:pPr>
      <w:spacing w:before="120"/>
    </w:pPr>
  </w:style>
  <w:style w:type="paragraph" w:customStyle="1" w:styleId="FooterInfo">
    <w:name w:val="FooterInfo"/>
    <w:basedOn w:val="Normal"/>
    <w:rsid w:val="009D74E7"/>
    <w:pPr>
      <w:tabs>
        <w:tab w:val="right" w:pos="7707"/>
      </w:tabs>
    </w:pPr>
    <w:rPr>
      <w:rFonts w:ascii="Arial" w:hAnsi="Arial"/>
      <w:sz w:val="18"/>
    </w:rPr>
  </w:style>
  <w:style w:type="paragraph" w:customStyle="1" w:styleId="AH1Chapter">
    <w:name w:val="A H1 Chapter"/>
    <w:basedOn w:val="BillBasicHeading"/>
    <w:next w:val="AH2Part"/>
    <w:rsid w:val="009D74E7"/>
    <w:pPr>
      <w:spacing w:before="320"/>
      <w:ind w:left="2600" w:hanging="2600"/>
      <w:outlineLvl w:val="0"/>
    </w:pPr>
    <w:rPr>
      <w:sz w:val="34"/>
    </w:rPr>
  </w:style>
  <w:style w:type="paragraph" w:customStyle="1" w:styleId="AH2Part">
    <w:name w:val="A H2 Part"/>
    <w:basedOn w:val="BillBasicHeading"/>
    <w:next w:val="AH3Div"/>
    <w:rsid w:val="009D74E7"/>
    <w:pPr>
      <w:spacing w:before="380"/>
      <w:ind w:left="2600" w:hanging="2600"/>
      <w:outlineLvl w:val="1"/>
    </w:pPr>
    <w:rPr>
      <w:sz w:val="32"/>
    </w:rPr>
  </w:style>
  <w:style w:type="paragraph" w:customStyle="1" w:styleId="AH3Div">
    <w:name w:val="A H3 Div"/>
    <w:basedOn w:val="BillBasicHeading"/>
    <w:next w:val="AH5Sec"/>
    <w:rsid w:val="009D74E7"/>
    <w:pPr>
      <w:spacing w:before="240"/>
      <w:ind w:left="2600" w:hanging="2600"/>
      <w:outlineLvl w:val="2"/>
    </w:pPr>
    <w:rPr>
      <w:sz w:val="28"/>
    </w:rPr>
  </w:style>
  <w:style w:type="paragraph" w:customStyle="1" w:styleId="AH5Sec">
    <w:name w:val="A H5 Sec"/>
    <w:basedOn w:val="BillBasicHeading"/>
    <w:next w:val="Amain"/>
    <w:link w:val="AH5SecChar"/>
    <w:rsid w:val="009D74E7"/>
    <w:pPr>
      <w:tabs>
        <w:tab w:val="clear" w:pos="2600"/>
        <w:tab w:val="left" w:pos="1100"/>
      </w:tabs>
      <w:spacing w:before="240"/>
      <w:ind w:left="1100" w:hanging="1100"/>
      <w:outlineLvl w:val="4"/>
    </w:pPr>
  </w:style>
  <w:style w:type="paragraph" w:customStyle="1" w:styleId="AH4SubDiv">
    <w:name w:val="A H4 SubDiv"/>
    <w:basedOn w:val="BillBasicHeading"/>
    <w:next w:val="AH5Sec"/>
    <w:rsid w:val="009D74E7"/>
    <w:pPr>
      <w:spacing w:before="240"/>
      <w:ind w:left="2600" w:hanging="2600"/>
      <w:outlineLvl w:val="3"/>
    </w:pPr>
    <w:rPr>
      <w:sz w:val="26"/>
    </w:rPr>
  </w:style>
  <w:style w:type="paragraph" w:customStyle="1" w:styleId="Sched-Part">
    <w:name w:val="Sched-Part"/>
    <w:basedOn w:val="BillBasicHeading"/>
    <w:next w:val="Sched-Form"/>
    <w:rsid w:val="009D74E7"/>
    <w:pPr>
      <w:spacing w:before="380"/>
      <w:ind w:left="2600" w:hanging="2600"/>
      <w:outlineLvl w:val="1"/>
    </w:pPr>
    <w:rPr>
      <w:sz w:val="32"/>
    </w:rPr>
  </w:style>
  <w:style w:type="paragraph" w:customStyle="1" w:styleId="Sched-Form">
    <w:name w:val="Sched-Form"/>
    <w:basedOn w:val="BillBasicHeading"/>
    <w:next w:val="Schclauseheading"/>
    <w:rsid w:val="009D74E7"/>
    <w:pPr>
      <w:tabs>
        <w:tab w:val="right" w:pos="7200"/>
      </w:tabs>
      <w:spacing w:before="240"/>
      <w:ind w:left="2600" w:hanging="2600"/>
      <w:outlineLvl w:val="2"/>
    </w:pPr>
    <w:rPr>
      <w:sz w:val="28"/>
    </w:rPr>
  </w:style>
  <w:style w:type="paragraph" w:customStyle="1" w:styleId="Dict-Heading">
    <w:name w:val="Dict-Heading"/>
    <w:basedOn w:val="BillBasicHeading"/>
    <w:next w:val="Normal"/>
    <w:rsid w:val="009D74E7"/>
    <w:pPr>
      <w:spacing w:before="320"/>
      <w:ind w:left="2600" w:hanging="2600"/>
      <w:jc w:val="both"/>
      <w:outlineLvl w:val="0"/>
    </w:pPr>
    <w:rPr>
      <w:sz w:val="34"/>
    </w:rPr>
  </w:style>
  <w:style w:type="paragraph" w:customStyle="1" w:styleId="Sched-Form-18Space">
    <w:name w:val="Sched-Form-18Space"/>
    <w:basedOn w:val="Normal"/>
    <w:rsid w:val="009D74E7"/>
    <w:pPr>
      <w:spacing w:before="360" w:after="60"/>
    </w:pPr>
    <w:rPr>
      <w:sz w:val="22"/>
    </w:rPr>
  </w:style>
  <w:style w:type="paragraph" w:customStyle="1" w:styleId="AH1ChapterSymb">
    <w:name w:val="A H1 Chapter Symb"/>
    <w:basedOn w:val="AH1Chapter"/>
    <w:next w:val="AH2Part"/>
    <w:rsid w:val="009D74E7"/>
    <w:pPr>
      <w:tabs>
        <w:tab w:val="clear" w:pos="2600"/>
        <w:tab w:val="left" w:pos="0"/>
      </w:tabs>
      <w:ind w:left="2480" w:hanging="2960"/>
    </w:pPr>
  </w:style>
  <w:style w:type="paragraph" w:customStyle="1" w:styleId="IH1Chap">
    <w:name w:val="I H1 Chap"/>
    <w:basedOn w:val="BillBasicHeading"/>
    <w:next w:val="Normal"/>
    <w:rsid w:val="009D74E7"/>
    <w:pPr>
      <w:spacing w:before="320"/>
      <w:ind w:left="2600" w:hanging="2600"/>
    </w:pPr>
    <w:rPr>
      <w:sz w:val="34"/>
    </w:rPr>
  </w:style>
  <w:style w:type="paragraph" w:customStyle="1" w:styleId="IH2Part">
    <w:name w:val="I H2 Part"/>
    <w:basedOn w:val="BillBasicHeading"/>
    <w:next w:val="Normal"/>
    <w:rsid w:val="009D74E7"/>
    <w:pPr>
      <w:spacing w:before="380"/>
      <w:ind w:left="2600" w:hanging="2600"/>
    </w:pPr>
    <w:rPr>
      <w:sz w:val="32"/>
    </w:rPr>
  </w:style>
  <w:style w:type="paragraph" w:customStyle="1" w:styleId="IH3Div">
    <w:name w:val="I H3 Div"/>
    <w:basedOn w:val="BillBasicHeading"/>
    <w:next w:val="Normal"/>
    <w:rsid w:val="009D74E7"/>
    <w:pPr>
      <w:spacing w:before="240"/>
      <w:ind w:left="2600" w:hanging="2600"/>
    </w:pPr>
    <w:rPr>
      <w:sz w:val="28"/>
    </w:rPr>
  </w:style>
  <w:style w:type="paragraph" w:customStyle="1" w:styleId="IH4SubDiv">
    <w:name w:val="I H4 SubDiv"/>
    <w:basedOn w:val="BillBasicHeading"/>
    <w:next w:val="Normal"/>
    <w:rsid w:val="009D74E7"/>
    <w:pPr>
      <w:spacing w:before="240"/>
      <w:ind w:left="2600" w:hanging="2600"/>
      <w:jc w:val="both"/>
    </w:pPr>
    <w:rPr>
      <w:sz w:val="26"/>
    </w:rPr>
  </w:style>
  <w:style w:type="paragraph" w:customStyle="1" w:styleId="IH5Sec">
    <w:name w:val="I H5 Sec"/>
    <w:basedOn w:val="BillBasicHeading"/>
    <w:next w:val="Normal"/>
    <w:rsid w:val="009D74E7"/>
    <w:pPr>
      <w:tabs>
        <w:tab w:val="clear" w:pos="2600"/>
        <w:tab w:val="left" w:pos="1100"/>
      </w:tabs>
      <w:spacing w:before="240"/>
      <w:ind w:left="1100" w:hanging="1100"/>
    </w:pPr>
  </w:style>
  <w:style w:type="paragraph" w:customStyle="1" w:styleId="PageBreak">
    <w:name w:val="PageBreak"/>
    <w:basedOn w:val="Normal"/>
    <w:rsid w:val="009D74E7"/>
    <w:rPr>
      <w:sz w:val="4"/>
    </w:rPr>
  </w:style>
  <w:style w:type="paragraph" w:customStyle="1" w:styleId="04Dictionary">
    <w:name w:val="04Dictionary"/>
    <w:basedOn w:val="Normal"/>
    <w:rsid w:val="009D74E7"/>
  </w:style>
  <w:style w:type="paragraph" w:customStyle="1" w:styleId="EndNote">
    <w:name w:val="EndNote"/>
    <w:basedOn w:val="BillBasicHeading"/>
    <w:rsid w:val="009D74E7"/>
    <w:pPr>
      <w:keepNext w:val="0"/>
      <w:tabs>
        <w:tab w:val="clear" w:pos="2600"/>
        <w:tab w:val="left" w:pos="1100"/>
      </w:tabs>
      <w:spacing w:before="160"/>
      <w:ind w:left="1100" w:hanging="1100"/>
      <w:jc w:val="both"/>
    </w:pPr>
  </w:style>
  <w:style w:type="paragraph" w:customStyle="1" w:styleId="EndnotesAbbrev">
    <w:name w:val="EndnotesAbbrev"/>
    <w:basedOn w:val="Normal"/>
    <w:rsid w:val="009D74E7"/>
    <w:pPr>
      <w:spacing w:before="20"/>
    </w:pPr>
    <w:rPr>
      <w:rFonts w:ascii="Arial" w:hAnsi="Arial"/>
      <w:color w:val="000000"/>
      <w:sz w:val="16"/>
    </w:rPr>
  </w:style>
  <w:style w:type="paragraph" w:customStyle="1" w:styleId="PenaltyHeading">
    <w:name w:val="PenaltyHeading"/>
    <w:basedOn w:val="Normal"/>
    <w:rsid w:val="009D74E7"/>
    <w:pPr>
      <w:tabs>
        <w:tab w:val="left" w:pos="1100"/>
      </w:tabs>
      <w:spacing w:before="120"/>
      <w:ind w:left="1100" w:hanging="1100"/>
    </w:pPr>
    <w:rPr>
      <w:rFonts w:ascii="Arial" w:hAnsi="Arial"/>
      <w:b/>
      <w:sz w:val="20"/>
    </w:rPr>
  </w:style>
  <w:style w:type="paragraph" w:customStyle="1" w:styleId="05EndNote">
    <w:name w:val="05EndNote"/>
    <w:basedOn w:val="Normal"/>
    <w:rsid w:val="009D74E7"/>
  </w:style>
  <w:style w:type="paragraph" w:customStyle="1" w:styleId="03Schedule">
    <w:name w:val="03Schedule"/>
    <w:basedOn w:val="Normal"/>
    <w:rsid w:val="009D74E7"/>
  </w:style>
  <w:style w:type="paragraph" w:customStyle="1" w:styleId="ISched-heading">
    <w:name w:val="I Sched-heading"/>
    <w:basedOn w:val="BillBasicHeading"/>
    <w:next w:val="Normal"/>
    <w:rsid w:val="009D74E7"/>
    <w:pPr>
      <w:spacing w:before="320"/>
      <w:ind w:left="2600" w:hanging="2600"/>
    </w:pPr>
    <w:rPr>
      <w:sz w:val="34"/>
    </w:rPr>
  </w:style>
  <w:style w:type="paragraph" w:customStyle="1" w:styleId="ISched-Part">
    <w:name w:val="I Sched-Part"/>
    <w:basedOn w:val="BillBasicHeading"/>
    <w:rsid w:val="009D74E7"/>
    <w:pPr>
      <w:spacing w:before="380"/>
      <w:ind w:left="2600" w:hanging="2600"/>
    </w:pPr>
    <w:rPr>
      <w:sz w:val="32"/>
    </w:rPr>
  </w:style>
  <w:style w:type="paragraph" w:customStyle="1" w:styleId="ISched-form">
    <w:name w:val="I Sched-form"/>
    <w:basedOn w:val="BillBasicHeading"/>
    <w:rsid w:val="009D74E7"/>
    <w:pPr>
      <w:tabs>
        <w:tab w:val="right" w:pos="7200"/>
      </w:tabs>
      <w:spacing w:before="240"/>
      <w:ind w:left="2600" w:hanging="2600"/>
    </w:pPr>
    <w:rPr>
      <w:sz w:val="28"/>
    </w:rPr>
  </w:style>
  <w:style w:type="paragraph" w:customStyle="1" w:styleId="ISchclauseheading">
    <w:name w:val="I Sch clause heading"/>
    <w:basedOn w:val="BillBasic0"/>
    <w:rsid w:val="009D74E7"/>
    <w:pPr>
      <w:keepNext/>
      <w:tabs>
        <w:tab w:val="left" w:pos="1100"/>
      </w:tabs>
      <w:spacing w:before="240"/>
      <w:ind w:left="1100" w:hanging="1100"/>
      <w:jc w:val="left"/>
    </w:pPr>
    <w:rPr>
      <w:rFonts w:ascii="Arial" w:hAnsi="Arial"/>
      <w:b/>
    </w:rPr>
  </w:style>
  <w:style w:type="paragraph" w:customStyle="1" w:styleId="IMain">
    <w:name w:val="I Main"/>
    <w:basedOn w:val="Amain"/>
    <w:rsid w:val="009D74E7"/>
  </w:style>
  <w:style w:type="paragraph" w:customStyle="1" w:styleId="Ipara">
    <w:name w:val="I para"/>
    <w:basedOn w:val="Apara"/>
    <w:rsid w:val="009D74E7"/>
    <w:pPr>
      <w:outlineLvl w:val="9"/>
    </w:pPr>
  </w:style>
  <w:style w:type="paragraph" w:customStyle="1" w:styleId="Isubpara">
    <w:name w:val="I subpara"/>
    <w:basedOn w:val="Asubpara"/>
    <w:rsid w:val="009D74E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D74E7"/>
    <w:pPr>
      <w:tabs>
        <w:tab w:val="clear" w:pos="2400"/>
        <w:tab w:val="clear" w:pos="2600"/>
        <w:tab w:val="right" w:pos="2460"/>
        <w:tab w:val="left" w:pos="2660"/>
      </w:tabs>
      <w:ind w:left="2660" w:hanging="2660"/>
    </w:pPr>
  </w:style>
  <w:style w:type="character" w:customStyle="1" w:styleId="CharSectNo">
    <w:name w:val="CharSectNo"/>
    <w:basedOn w:val="DefaultParagraphFont"/>
    <w:rsid w:val="009D74E7"/>
  </w:style>
  <w:style w:type="character" w:customStyle="1" w:styleId="CharDivNo">
    <w:name w:val="CharDivNo"/>
    <w:basedOn w:val="DefaultParagraphFont"/>
    <w:rsid w:val="009D74E7"/>
  </w:style>
  <w:style w:type="character" w:customStyle="1" w:styleId="CharDivText">
    <w:name w:val="CharDivText"/>
    <w:basedOn w:val="DefaultParagraphFont"/>
    <w:rsid w:val="009D74E7"/>
  </w:style>
  <w:style w:type="character" w:customStyle="1" w:styleId="CharPartNo">
    <w:name w:val="CharPartNo"/>
    <w:basedOn w:val="DefaultParagraphFont"/>
    <w:rsid w:val="009D74E7"/>
  </w:style>
  <w:style w:type="paragraph" w:customStyle="1" w:styleId="Placeholder">
    <w:name w:val="Placeholder"/>
    <w:basedOn w:val="Normal"/>
    <w:rsid w:val="009D74E7"/>
    <w:rPr>
      <w:sz w:val="10"/>
    </w:rPr>
  </w:style>
  <w:style w:type="character" w:customStyle="1" w:styleId="CharChapNo">
    <w:name w:val="CharChapNo"/>
    <w:basedOn w:val="DefaultParagraphFont"/>
    <w:rsid w:val="009D74E7"/>
  </w:style>
  <w:style w:type="character" w:customStyle="1" w:styleId="CharChapText">
    <w:name w:val="CharChapText"/>
    <w:basedOn w:val="DefaultParagraphFont"/>
    <w:rsid w:val="009D74E7"/>
  </w:style>
  <w:style w:type="character" w:customStyle="1" w:styleId="CharPartText">
    <w:name w:val="CharPartText"/>
    <w:basedOn w:val="DefaultParagraphFont"/>
    <w:rsid w:val="009D74E7"/>
  </w:style>
  <w:style w:type="paragraph" w:customStyle="1" w:styleId="RepubNo">
    <w:name w:val="RepubNo"/>
    <w:basedOn w:val="BillBasicHeading"/>
    <w:rsid w:val="009D74E7"/>
    <w:pPr>
      <w:keepNext w:val="0"/>
      <w:spacing w:before="600"/>
      <w:jc w:val="both"/>
    </w:pPr>
    <w:rPr>
      <w:sz w:val="26"/>
    </w:rPr>
  </w:style>
  <w:style w:type="paragraph" w:customStyle="1" w:styleId="direction">
    <w:name w:val="direction"/>
    <w:basedOn w:val="BillBasic0"/>
    <w:next w:val="Amainreturn"/>
    <w:rsid w:val="009D74E7"/>
    <w:pPr>
      <w:ind w:left="1100"/>
    </w:pPr>
    <w:rPr>
      <w:i/>
    </w:rPr>
  </w:style>
  <w:style w:type="paragraph" w:customStyle="1" w:styleId="ActNo">
    <w:name w:val="ActNo"/>
    <w:basedOn w:val="BillBasicHeading"/>
    <w:rsid w:val="009D74E7"/>
    <w:pPr>
      <w:keepNext w:val="0"/>
      <w:tabs>
        <w:tab w:val="clear" w:pos="2600"/>
      </w:tabs>
      <w:spacing w:before="220"/>
    </w:pPr>
  </w:style>
  <w:style w:type="paragraph" w:customStyle="1" w:styleId="aParaNote">
    <w:name w:val="aParaNote"/>
    <w:basedOn w:val="BillBasic0"/>
    <w:rsid w:val="009D74E7"/>
    <w:pPr>
      <w:ind w:left="2840" w:hanging="1240"/>
    </w:pPr>
    <w:rPr>
      <w:sz w:val="20"/>
    </w:rPr>
  </w:style>
  <w:style w:type="paragraph" w:customStyle="1" w:styleId="aExamNum">
    <w:name w:val="aExamNum"/>
    <w:basedOn w:val="aExam"/>
    <w:rsid w:val="009D74E7"/>
    <w:pPr>
      <w:ind w:left="1500" w:hanging="400"/>
    </w:pPr>
  </w:style>
  <w:style w:type="paragraph" w:customStyle="1" w:styleId="ShadedSchClause">
    <w:name w:val="Shaded Sch Clause"/>
    <w:basedOn w:val="Schclauseheading"/>
    <w:next w:val="direction"/>
    <w:rsid w:val="009D74E7"/>
    <w:pPr>
      <w:shd w:val="pct25" w:color="auto" w:fill="auto"/>
      <w:outlineLvl w:val="3"/>
    </w:pPr>
  </w:style>
  <w:style w:type="paragraph" w:customStyle="1" w:styleId="Minister">
    <w:name w:val="Minister"/>
    <w:basedOn w:val="BillBasic0"/>
    <w:rsid w:val="009D74E7"/>
    <w:pPr>
      <w:spacing w:before="640"/>
      <w:jc w:val="right"/>
    </w:pPr>
    <w:rPr>
      <w:caps/>
    </w:rPr>
  </w:style>
  <w:style w:type="paragraph" w:customStyle="1" w:styleId="DateLine">
    <w:name w:val="DateLine"/>
    <w:basedOn w:val="BillBasic0"/>
    <w:rsid w:val="009D74E7"/>
    <w:pPr>
      <w:tabs>
        <w:tab w:val="left" w:pos="4320"/>
      </w:tabs>
    </w:pPr>
  </w:style>
  <w:style w:type="paragraph" w:customStyle="1" w:styleId="madeunder">
    <w:name w:val="made under"/>
    <w:basedOn w:val="BillBasic0"/>
    <w:rsid w:val="009D74E7"/>
    <w:pPr>
      <w:spacing w:before="240"/>
    </w:pPr>
  </w:style>
  <w:style w:type="paragraph" w:customStyle="1" w:styleId="NewAct">
    <w:name w:val="New Act"/>
    <w:basedOn w:val="Normal"/>
    <w:next w:val="Actdetails"/>
    <w:link w:val="NewActChar"/>
    <w:rsid w:val="009D74E7"/>
    <w:pPr>
      <w:keepNext/>
      <w:spacing w:before="180"/>
      <w:ind w:left="1100"/>
    </w:pPr>
    <w:rPr>
      <w:rFonts w:ascii="Arial" w:hAnsi="Arial"/>
      <w:b/>
      <w:sz w:val="20"/>
    </w:rPr>
  </w:style>
  <w:style w:type="paragraph" w:customStyle="1" w:styleId="Actdetails">
    <w:name w:val="Act details"/>
    <w:basedOn w:val="Normal"/>
    <w:rsid w:val="009D74E7"/>
    <w:pPr>
      <w:spacing w:before="20"/>
      <w:ind w:left="1400"/>
    </w:pPr>
    <w:rPr>
      <w:rFonts w:ascii="Arial" w:hAnsi="Arial"/>
      <w:sz w:val="20"/>
    </w:rPr>
  </w:style>
  <w:style w:type="paragraph" w:customStyle="1" w:styleId="EndNoteText0">
    <w:name w:val="EndNoteText"/>
    <w:basedOn w:val="BillBasic0"/>
    <w:rsid w:val="009D74E7"/>
    <w:pPr>
      <w:tabs>
        <w:tab w:val="left" w:pos="700"/>
        <w:tab w:val="right" w:pos="6160"/>
      </w:tabs>
      <w:spacing w:before="80"/>
      <w:ind w:left="700" w:hanging="700"/>
    </w:pPr>
    <w:rPr>
      <w:sz w:val="20"/>
    </w:rPr>
  </w:style>
  <w:style w:type="paragraph" w:customStyle="1" w:styleId="BillBasicItalics">
    <w:name w:val="BillBasicItalics"/>
    <w:basedOn w:val="BillBasic0"/>
    <w:rsid w:val="009D74E7"/>
    <w:rPr>
      <w:i/>
    </w:rPr>
  </w:style>
  <w:style w:type="paragraph" w:customStyle="1" w:styleId="00SigningPage">
    <w:name w:val="00SigningPage"/>
    <w:basedOn w:val="Normal"/>
    <w:rsid w:val="009D74E7"/>
  </w:style>
  <w:style w:type="paragraph" w:customStyle="1" w:styleId="Asubparareturn">
    <w:name w:val="A subpara return"/>
    <w:basedOn w:val="BillBasic0"/>
    <w:rsid w:val="009D74E7"/>
    <w:pPr>
      <w:ind w:left="2100"/>
    </w:pPr>
  </w:style>
  <w:style w:type="paragraph" w:customStyle="1" w:styleId="CommentNum">
    <w:name w:val="CommentNum"/>
    <w:basedOn w:val="Comment"/>
    <w:rsid w:val="009D74E7"/>
    <w:pPr>
      <w:ind w:left="1800" w:hanging="1800"/>
    </w:pPr>
  </w:style>
  <w:style w:type="paragraph" w:customStyle="1" w:styleId="Amainbullet">
    <w:name w:val="A main bullet"/>
    <w:basedOn w:val="BillBasic0"/>
    <w:rsid w:val="009D74E7"/>
    <w:pPr>
      <w:spacing w:before="60"/>
      <w:ind w:left="1500" w:hanging="400"/>
    </w:pPr>
  </w:style>
  <w:style w:type="paragraph" w:customStyle="1" w:styleId="Aparabullet">
    <w:name w:val="A para bullet"/>
    <w:basedOn w:val="BillBasic0"/>
    <w:rsid w:val="009D74E7"/>
    <w:pPr>
      <w:spacing w:before="60"/>
      <w:ind w:left="2000" w:hanging="400"/>
    </w:pPr>
  </w:style>
  <w:style w:type="paragraph" w:customStyle="1" w:styleId="Asubparabullet">
    <w:name w:val="A subpara bullet"/>
    <w:basedOn w:val="BillBasic0"/>
    <w:rsid w:val="009D74E7"/>
    <w:pPr>
      <w:spacing w:before="60"/>
      <w:ind w:left="2540" w:hanging="400"/>
    </w:pPr>
  </w:style>
  <w:style w:type="paragraph" w:customStyle="1" w:styleId="aDefpara">
    <w:name w:val="aDef para"/>
    <w:basedOn w:val="Apara"/>
    <w:rsid w:val="009D74E7"/>
  </w:style>
  <w:style w:type="paragraph" w:customStyle="1" w:styleId="aDefsubpara">
    <w:name w:val="aDef subpara"/>
    <w:basedOn w:val="Asubpara"/>
    <w:rsid w:val="009D74E7"/>
  </w:style>
  <w:style w:type="paragraph" w:customStyle="1" w:styleId="BillFor">
    <w:name w:val="BillFor"/>
    <w:basedOn w:val="BillBasicHeading"/>
    <w:rsid w:val="009D74E7"/>
    <w:pPr>
      <w:keepNext w:val="0"/>
      <w:spacing w:before="320"/>
      <w:jc w:val="both"/>
    </w:pPr>
    <w:rPr>
      <w:sz w:val="28"/>
    </w:rPr>
  </w:style>
  <w:style w:type="paragraph" w:customStyle="1" w:styleId="EnactingWordsRules">
    <w:name w:val="EnactingWordsRules"/>
    <w:basedOn w:val="EnactingWords"/>
    <w:rsid w:val="009D74E7"/>
    <w:pPr>
      <w:spacing w:before="240"/>
    </w:pPr>
  </w:style>
  <w:style w:type="paragraph" w:customStyle="1" w:styleId="Formula">
    <w:name w:val="Formula"/>
    <w:basedOn w:val="BillBasic0"/>
    <w:rsid w:val="009D74E7"/>
    <w:pPr>
      <w:spacing w:line="260" w:lineRule="atLeast"/>
      <w:jc w:val="center"/>
    </w:pPr>
  </w:style>
  <w:style w:type="paragraph" w:customStyle="1" w:styleId="Idefpara">
    <w:name w:val="I def para"/>
    <w:basedOn w:val="Ipara"/>
    <w:rsid w:val="009D74E7"/>
  </w:style>
  <w:style w:type="paragraph" w:customStyle="1" w:styleId="Idefsubpara">
    <w:name w:val="I def subpara"/>
    <w:basedOn w:val="Isubpara"/>
    <w:rsid w:val="009D74E7"/>
  </w:style>
  <w:style w:type="paragraph" w:customStyle="1" w:styleId="Judges">
    <w:name w:val="Judges"/>
    <w:basedOn w:val="Minister"/>
    <w:rsid w:val="009D74E7"/>
    <w:pPr>
      <w:spacing w:before="180"/>
    </w:pPr>
  </w:style>
  <w:style w:type="paragraph" w:customStyle="1" w:styleId="CoverInForce">
    <w:name w:val="CoverInForce"/>
    <w:basedOn w:val="BillBasicHeading"/>
    <w:rsid w:val="009D74E7"/>
    <w:pPr>
      <w:keepNext w:val="0"/>
      <w:spacing w:before="400"/>
    </w:pPr>
    <w:rPr>
      <w:b w:val="0"/>
    </w:rPr>
  </w:style>
  <w:style w:type="paragraph" w:customStyle="1" w:styleId="LongTitle">
    <w:name w:val="LongTitle"/>
    <w:basedOn w:val="BillBasic0"/>
    <w:rsid w:val="009D74E7"/>
    <w:pPr>
      <w:spacing w:before="300"/>
    </w:pPr>
  </w:style>
  <w:style w:type="paragraph" w:customStyle="1" w:styleId="CoverActName">
    <w:name w:val="CoverActName"/>
    <w:basedOn w:val="BillBasicHeading"/>
    <w:rsid w:val="009D74E7"/>
    <w:pPr>
      <w:keepNext w:val="0"/>
      <w:spacing w:before="260"/>
    </w:pPr>
  </w:style>
  <w:style w:type="paragraph" w:customStyle="1" w:styleId="FormRule">
    <w:name w:val="FormRule"/>
    <w:basedOn w:val="Normal"/>
    <w:rsid w:val="009D74E7"/>
    <w:pPr>
      <w:pBdr>
        <w:top w:val="single" w:sz="4" w:space="1" w:color="auto"/>
      </w:pBdr>
      <w:spacing w:before="160" w:after="40"/>
      <w:ind w:left="3220" w:right="3260"/>
    </w:pPr>
    <w:rPr>
      <w:sz w:val="8"/>
    </w:rPr>
  </w:style>
  <w:style w:type="paragraph" w:customStyle="1" w:styleId="Notified">
    <w:name w:val="Notified"/>
    <w:basedOn w:val="BillBasic0"/>
    <w:rsid w:val="009D74E7"/>
    <w:pPr>
      <w:spacing w:before="360"/>
      <w:jc w:val="right"/>
    </w:pPr>
    <w:rPr>
      <w:i/>
    </w:rPr>
  </w:style>
  <w:style w:type="paragraph" w:customStyle="1" w:styleId="IDict-Heading">
    <w:name w:val="I Dict-Heading"/>
    <w:basedOn w:val="BillBasicHeading"/>
    <w:rsid w:val="009D74E7"/>
    <w:pPr>
      <w:spacing w:before="320"/>
      <w:ind w:left="2600" w:hanging="2600"/>
      <w:jc w:val="both"/>
    </w:pPr>
    <w:rPr>
      <w:sz w:val="34"/>
    </w:rPr>
  </w:style>
  <w:style w:type="paragraph" w:customStyle="1" w:styleId="03ScheduleLandscape">
    <w:name w:val="03ScheduleLandscape"/>
    <w:basedOn w:val="Normal"/>
    <w:rsid w:val="009D74E7"/>
  </w:style>
  <w:style w:type="paragraph" w:customStyle="1" w:styleId="aNoteBullet">
    <w:name w:val="aNoteBullet"/>
    <w:basedOn w:val="aNote"/>
    <w:rsid w:val="009D74E7"/>
    <w:pPr>
      <w:tabs>
        <w:tab w:val="left" w:pos="2200"/>
      </w:tabs>
      <w:spacing w:before="60"/>
      <w:ind w:left="2600" w:hanging="700"/>
    </w:pPr>
  </w:style>
  <w:style w:type="paragraph" w:customStyle="1" w:styleId="aParaNoteBullet">
    <w:name w:val="aParaNoteBullet"/>
    <w:basedOn w:val="aParaNote"/>
    <w:rsid w:val="009D74E7"/>
    <w:pPr>
      <w:tabs>
        <w:tab w:val="left" w:pos="2700"/>
      </w:tabs>
      <w:spacing w:before="60"/>
      <w:ind w:left="3100" w:hanging="700"/>
    </w:pPr>
  </w:style>
  <w:style w:type="paragraph" w:customStyle="1" w:styleId="SchSubClause">
    <w:name w:val="Sch SubClause"/>
    <w:basedOn w:val="Schclauseheading"/>
    <w:rsid w:val="009D74E7"/>
    <w:rPr>
      <w:b w:val="0"/>
    </w:rPr>
  </w:style>
  <w:style w:type="paragraph" w:customStyle="1" w:styleId="Asamby">
    <w:name w:val="As am by"/>
    <w:basedOn w:val="Normal"/>
    <w:next w:val="Normal"/>
    <w:rsid w:val="009D74E7"/>
    <w:pPr>
      <w:spacing w:before="240"/>
      <w:ind w:left="1100"/>
    </w:pPr>
    <w:rPr>
      <w:rFonts w:ascii="Arial" w:hAnsi="Arial"/>
      <w:sz w:val="20"/>
    </w:rPr>
  </w:style>
  <w:style w:type="paragraph" w:customStyle="1" w:styleId="AmdtsEntries">
    <w:name w:val="AmdtsEntries"/>
    <w:basedOn w:val="BillBasicHeading"/>
    <w:rsid w:val="009D74E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D74E7"/>
    <w:pPr>
      <w:tabs>
        <w:tab w:val="clear" w:pos="2600"/>
        <w:tab w:val="left" w:pos="0"/>
      </w:tabs>
      <w:ind w:left="2480" w:hanging="2960"/>
    </w:pPr>
  </w:style>
  <w:style w:type="character" w:customStyle="1" w:styleId="charBold">
    <w:name w:val="charBold"/>
    <w:basedOn w:val="DefaultParagraphFont"/>
    <w:rsid w:val="009D74E7"/>
    <w:rPr>
      <w:b/>
    </w:rPr>
  </w:style>
  <w:style w:type="paragraph" w:customStyle="1" w:styleId="AmdtsEntryHd">
    <w:name w:val="AmdtsEntryHd"/>
    <w:basedOn w:val="BillBasicHeading"/>
    <w:next w:val="AmdtsEntries"/>
    <w:rsid w:val="009D74E7"/>
    <w:pPr>
      <w:tabs>
        <w:tab w:val="clear" w:pos="2600"/>
      </w:tabs>
      <w:spacing w:before="120"/>
      <w:ind w:left="1100"/>
    </w:pPr>
    <w:rPr>
      <w:sz w:val="18"/>
    </w:rPr>
  </w:style>
  <w:style w:type="paragraph" w:customStyle="1" w:styleId="EndNoteParas">
    <w:name w:val="EndNoteParas"/>
    <w:basedOn w:val="EndNoteTextEPS"/>
    <w:rsid w:val="009D74E7"/>
    <w:pPr>
      <w:tabs>
        <w:tab w:val="right" w:pos="1432"/>
      </w:tabs>
      <w:ind w:left="1840" w:hanging="1840"/>
    </w:pPr>
  </w:style>
  <w:style w:type="paragraph" w:customStyle="1" w:styleId="EndNoteTextEPS">
    <w:name w:val="EndNoteTextEPS"/>
    <w:basedOn w:val="Normal"/>
    <w:rsid w:val="009D74E7"/>
    <w:pPr>
      <w:spacing w:before="60"/>
      <w:ind w:left="1100"/>
      <w:jc w:val="both"/>
    </w:pPr>
    <w:rPr>
      <w:sz w:val="20"/>
    </w:rPr>
  </w:style>
  <w:style w:type="paragraph" w:customStyle="1" w:styleId="NewReg">
    <w:name w:val="New Reg"/>
    <w:basedOn w:val="NewAct"/>
    <w:next w:val="Actdetails"/>
    <w:rsid w:val="009D74E7"/>
  </w:style>
  <w:style w:type="paragraph" w:customStyle="1" w:styleId="aExamPara">
    <w:name w:val="aExamPara"/>
    <w:basedOn w:val="aExam"/>
    <w:rsid w:val="009D74E7"/>
    <w:pPr>
      <w:tabs>
        <w:tab w:val="right" w:pos="1720"/>
        <w:tab w:val="left" w:pos="2000"/>
        <w:tab w:val="left" w:pos="2300"/>
      </w:tabs>
      <w:ind w:left="2400" w:hanging="1300"/>
    </w:pPr>
  </w:style>
  <w:style w:type="paragraph" w:customStyle="1" w:styleId="Endnote3">
    <w:name w:val="Endnote3"/>
    <w:basedOn w:val="Normal"/>
    <w:rsid w:val="009D74E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D74E7"/>
  </w:style>
  <w:style w:type="character" w:customStyle="1" w:styleId="charTableText">
    <w:name w:val="charTableText"/>
    <w:basedOn w:val="DefaultParagraphFont"/>
    <w:rsid w:val="009D74E7"/>
  </w:style>
  <w:style w:type="paragraph" w:customStyle="1" w:styleId="TLegEntries">
    <w:name w:val="TLegEntries"/>
    <w:basedOn w:val="Normal"/>
    <w:rsid w:val="009D74E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D74E7"/>
    <w:pPr>
      <w:tabs>
        <w:tab w:val="clear" w:pos="2600"/>
        <w:tab w:val="left" w:leader="dot" w:pos="2700"/>
      </w:tabs>
      <w:ind w:left="2700" w:hanging="2000"/>
    </w:pPr>
    <w:rPr>
      <w:sz w:val="18"/>
    </w:rPr>
  </w:style>
  <w:style w:type="character" w:customStyle="1" w:styleId="charItals">
    <w:name w:val="charItals"/>
    <w:basedOn w:val="DefaultParagraphFont"/>
    <w:rsid w:val="009D74E7"/>
    <w:rPr>
      <w:i/>
    </w:rPr>
  </w:style>
  <w:style w:type="character" w:customStyle="1" w:styleId="charBoldItals">
    <w:name w:val="charBoldItals"/>
    <w:basedOn w:val="DefaultParagraphFont"/>
    <w:rsid w:val="009D74E7"/>
    <w:rPr>
      <w:b/>
      <w:i/>
    </w:rPr>
  </w:style>
  <w:style w:type="character" w:customStyle="1" w:styleId="charUnderline">
    <w:name w:val="charUnderline"/>
    <w:basedOn w:val="DefaultParagraphFont"/>
    <w:rsid w:val="009D74E7"/>
    <w:rPr>
      <w:u w:val="single"/>
    </w:rPr>
  </w:style>
  <w:style w:type="paragraph" w:customStyle="1" w:styleId="CoverText">
    <w:name w:val="CoverText"/>
    <w:basedOn w:val="Normal"/>
    <w:uiPriority w:val="99"/>
    <w:rsid w:val="009D74E7"/>
    <w:pPr>
      <w:spacing w:before="100"/>
      <w:jc w:val="both"/>
    </w:pPr>
    <w:rPr>
      <w:sz w:val="20"/>
    </w:rPr>
  </w:style>
  <w:style w:type="paragraph" w:customStyle="1" w:styleId="CoverHeading">
    <w:name w:val="CoverHeading"/>
    <w:basedOn w:val="Normal"/>
    <w:rsid w:val="009D74E7"/>
    <w:rPr>
      <w:rFonts w:ascii="Arial" w:hAnsi="Arial"/>
      <w:b/>
    </w:rPr>
  </w:style>
  <w:style w:type="paragraph" w:customStyle="1" w:styleId="TableHd">
    <w:name w:val="TableHd"/>
    <w:basedOn w:val="Normal"/>
    <w:rsid w:val="009D74E7"/>
    <w:pPr>
      <w:keepNext/>
      <w:spacing w:before="300"/>
      <w:ind w:left="1200" w:hanging="1200"/>
    </w:pPr>
    <w:rPr>
      <w:rFonts w:ascii="Arial" w:hAnsi="Arial"/>
      <w:b/>
      <w:sz w:val="20"/>
    </w:rPr>
  </w:style>
  <w:style w:type="paragraph" w:customStyle="1" w:styleId="OldAmdt2ndLine">
    <w:name w:val="OldAmdt2ndLine"/>
    <w:basedOn w:val="OldAmdtsEntries"/>
    <w:rsid w:val="009D74E7"/>
    <w:pPr>
      <w:tabs>
        <w:tab w:val="left" w:pos="2700"/>
      </w:tabs>
      <w:spacing w:before="0"/>
    </w:pPr>
  </w:style>
  <w:style w:type="paragraph" w:customStyle="1" w:styleId="EarlierRepubEntries">
    <w:name w:val="EarlierRepubEntries"/>
    <w:basedOn w:val="Normal"/>
    <w:rsid w:val="009D74E7"/>
    <w:pPr>
      <w:spacing w:before="60" w:after="60"/>
    </w:pPr>
    <w:rPr>
      <w:rFonts w:ascii="Arial" w:hAnsi="Arial"/>
      <w:sz w:val="18"/>
    </w:rPr>
  </w:style>
  <w:style w:type="paragraph" w:customStyle="1" w:styleId="RenumProvEntries">
    <w:name w:val="RenumProvEntries"/>
    <w:basedOn w:val="Normal"/>
    <w:rsid w:val="009D74E7"/>
    <w:pPr>
      <w:spacing w:before="60"/>
    </w:pPr>
    <w:rPr>
      <w:rFonts w:ascii="Arial" w:hAnsi="Arial"/>
      <w:sz w:val="20"/>
    </w:rPr>
  </w:style>
  <w:style w:type="paragraph" w:customStyle="1" w:styleId="aExamNumText">
    <w:name w:val="aExamNumText"/>
    <w:basedOn w:val="aExam"/>
    <w:rsid w:val="009D74E7"/>
    <w:pPr>
      <w:ind w:left="1500"/>
    </w:pPr>
  </w:style>
  <w:style w:type="paragraph" w:customStyle="1" w:styleId="aNotePara">
    <w:name w:val="aNotePara"/>
    <w:basedOn w:val="aNote"/>
    <w:rsid w:val="009D74E7"/>
    <w:pPr>
      <w:tabs>
        <w:tab w:val="right" w:pos="2140"/>
        <w:tab w:val="left" w:pos="2400"/>
      </w:tabs>
      <w:spacing w:before="60"/>
      <w:ind w:left="2400" w:hanging="1300"/>
    </w:pPr>
  </w:style>
  <w:style w:type="paragraph" w:customStyle="1" w:styleId="aParaNotePara">
    <w:name w:val="aParaNotePara"/>
    <w:basedOn w:val="aNotePara"/>
    <w:rsid w:val="009D74E7"/>
    <w:pPr>
      <w:tabs>
        <w:tab w:val="clear" w:pos="2140"/>
        <w:tab w:val="clear" w:pos="2400"/>
        <w:tab w:val="right" w:pos="2644"/>
      </w:tabs>
      <w:ind w:left="3320" w:hanging="1720"/>
    </w:pPr>
  </w:style>
  <w:style w:type="paragraph" w:customStyle="1" w:styleId="aExamBullet">
    <w:name w:val="aExamBullet"/>
    <w:basedOn w:val="aExam"/>
    <w:rsid w:val="009D74E7"/>
    <w:pPr>
      <w:tabs>
        <w:tab w:val="left" w:pos="1500"/>
        <w:tab w:val="left" w:pos="2300"/>
      </w:tabs>
      <w:ind w:left="1900" w:hanging="800"/>
    </w:pPr>
  </w:style>
  <w:style w:type="paragraph" w:customStyle="1" w:styleId="CoverSubHdg">
    <w:name w:val="CoverSubHdg"/>
    <w:basedOn w:val="CoverHeading"/>
    <w:rsid w:val="009D74E7"/>
    <w:pPr>
      <w:spacing w:before="120"/>
    </w:pPr>
    <w:rPr>
      <w:sz w:val="20"/>
    </w:rPr>
  </w:style>
  <w:style w:type="paragraph" w:customStyle="1" w:styleId="CoverTextPara">
    <w:name w:val="CoverTextPara"/>
    <w:basedOn w:val="CoverText"/>
    <w:rsid w:val="009D74E7"/>
    <w:pPr>
      <w:tabs>
        <w:tab w:val="right" w:pos="600"/>
        <w:tab w:val="left" w:pos="840"/>
      </w:tabs>
      <w:ind w:left="840" w:hanging="840"/>
    </w:pPr>
  </w:style>
  <w:style w:type="paragraph" w:customStyle="1" w:styleId="AH5SecSymb">
    <w:name w:val="A H5 Sec Symb"/>
    <w:basedOn w:val="AH5Sec"/>
    <w:next w:val="Amain"/>
    <w:rsid w:val="009D74E7"/>
    <w:pPr>
      <w:tabs>
        <w:tab w:val="clear" w:pos="1100"/>
        <w:tab w:val="left" w:pos="0"/>
      </w:tabs>
      <w:ind w:hanging="1580"/>
    </w:pPr>
  </w:style>
  <w:style w:type="character" w:customStyle="1" w:styleId="charSymb">
    <w:name w:val="charSymb"/>
    <w:basedOn w:val="DefaultParagraphFont"/>
    <w:rsid w:val="009D74E7"/>
    <w:rPr>
      <w:rFonts w:ascii="Arial" w:hAnsi="Arial"/>
      <w:sz w:val="24"/>
      <w:bdr w:val="single" w:sz="4" w:space="0" w:color="auto"/>
    </w:rPr>
  </w:style>
  <w:style w:type="paragraph" w:customStyle="1" w:styleId="AH3DivSymb">
    <w:name w:val="A H3 Div Symb"/>
    <w:basedOn w:val="AH3Div"/>
    <w:next w:val="AH5Sec"/>
    <w:rsid w:val="009D74E7"/>
    <w:pPr>
      <w:tabs>
        <w:tab w:val="clear" w:pos="2600"/>
        <w:tab w:val="left" w:pos="0"/>
      </w:tabs>
      <w:ind w:left="2480" w:hanging="2960"/>
    </w:pPr>
  </w:style>
  <w:style w:type="paragraph" w:customStyle="1" w:styleId="AH4SubDivSymb">
    <w:name w:val="A H4 SubDiv Symb"/>
    <w:basedOn w:val="AH4SubDiv"/>
    <w:next w:val="AH5Sec"/>
    <w:rsid w:val="009D74E7"/>
    <w:pPr>
      <w:tabs>
        <w:tab w:val="clear" w:pos="2600"/>
        <w:tab w:val="left" w:pos="0"/>
      </w:tabs>
      <w:ind w:left="2480" w:hanging="2960"/>
    </w:pPr>
  </w:style>
  <w:style w:type="paragraph" w:customStyle="1" w:styleId="Dict-HeadingSymb">
    <w:name w:val="Dict-Heading Symb"/>
    <w:basedOn w:val="Dict-Heading"/>
    <w:rsid w:val="009D74E7"/>
    <w:pPr>
      <w:tabs>
        <w:tab w:val="left" w:pos="0"/>
      </w:tabs>
      <w:ind w:left="2480" w:hanging="2960"/>
    </w:pPr>
  </w:style>
  <w:style w:type="paragraph" w:customStyle="1" w:styleId="Sched-headingSymb">
    <w:name w:val="Sched-heading Symb"/>
    <w:basedOn w:val="Sched-heading"/>
    <w:rsid w:val="009D74E7"/>
    <w:pPr>
      <w:tabs>
        <w:tab w:val="left" w:pos="0"/>
      </w:tabs>
      <w:ind w:left="2480" w:hanging="2960"/>
    </w:pPr>
  </w:style>
  <w:style w:type="paragraph" w:customStyle="1" w:styleId="Sched-PartSymb">
    <w:name w:val="Sched-Part Symb"/>
    <w:basedOn w:val="Sched-Part"/>
    <w:rsid w:val="009D74E7"/>
    <w:pPr>
      <w:tabs>
        <w:tab w:val="left" w:pos="0"/>
      </w:tabs>
      <w:ind w:left="2480" w:hanging="2960"/>
    </w:pPr>
  </w:style>
  <w:style w:type="paragraph" w:customStyle="1" w:styleId="Sched-FormSymb">
    <w:name w:val="Sched-Form Symb"/>
    <w:basedOn w:val="Sched-Form"/>
    <w:rsid w:val="009D74E7"/>
    <w:pPr>
      <w:tabs>
        <w:tab w:val="left" w:pos="0"/>
      </w:tabs>
      <w:ind w:left="2480" w:hanging="2960"/>
    </w:pPr>
  </w:style>
  <w:style w:type="paragraph" w:customStyle="1" w:styleId="SchclauseheadingSymb">
    <w:name w:val="Sch clause heading Symb"/>
    <w:basedOn w:val="Schclauseheading"/>
    <w:rsid w:val="009D74E7"/>
    <w:pPr>
      <w:tabs>
        <w:tab w:val="left" w:pos="0"/>
      </w:tabs>
      <w:ind w:left="980" w:hanging="1460"/>
    </w:pPr>
  </w:style>
  <w:style w:type="paragraph" w:customStyle="1" w:styleId="TLegAsAmBy">
    <w:name w:val="TLegAsAmBy"/>
    <w:basedOn w:val="TLegEntries"/>
    <w:rsid w:val="009D74E7"/>
    <w:pPr>
      <w:ind w:firstLine="0"/>
    </w:pPr>
    <w:rPr>
      <w:b/>
    </w:rPr>
  </w:style>
  <w:style w:type="paragraph" w:customStyle="1" w:styleId="MinisterWord">
    <w:name w:val="MinisterWord"/>
    <w:basedOn w:val="Normal"/>
    <w:rsid w:val="009D74E7"/>
    <w:pPr>
      <w:spacing w:before="60"/>
      <w:jc w:val="right"/>
    </w:pPr>
  </w:style>
  <w:style w:type="paragraph" w:customStyle="1" w:styleId="TableColHd">
    <w:name w:val="TableColHd"/>
    <w:basedOn w:val="Normal"/>
    <w:rsid w:val="009D74E7"/>
    <w:pPr>
      <w:keepNext/>
      <w:spacing w:after="60"/>
    </w:pPr>
    <w:rPr>
      <w:rFonts w:ascii="Arial" w:hAnsi="Arial"/>
      <w:b/>
      <w:sz w:val="18"/>
    </w:rPr>
  </w:style>
  <w:style w:type="paragraph" w:customStyle="1" w:styleId="00Spine">
    <w:name w:val="00Spine"/>
    <w:basedOn w:val="Normal"/>
    <w:rsid w:val="009D74E7"/>
  </w:style>
  <w:style w:type="paragraph" w:customStyle="1" w:styleId="AuthorisedBlock">
    <w:name w:val="AuthorisedBlock"/>
    <w:basedOn w:val="Normal"/>
    <w:rsid w:val="009D74E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9D74E7"/>
    <w:pPr>
      <w:tabs>
        <w:tab w:val="left" w:pos="3000"/>
      </w:tabs>
      <w:ind w:left="3100" w:hanging="2000"/>
    </w:pPr>
    <w:rPr>
      <w:rFonts w:ascii="Arial" w:hAnsi="Arial"/>
      <w:sz w:val="18"/>
    </w:rPr>
  </w:style>
  <w:style w:type="paragraph" w:customStyle="1" w:styleId="AmdtEntries">
    <w:name w:val="AmdtEntries"/>
    <w:basedOn w:val="BillBasicHeading"/>
    <w:rsid w:val="009D74E7"/>
    <w:pPr>
      <w:keepNext w:val="0"/>
      <w:tabs>
        <w:tab w:val="clear" w:pos="2600"/>
      </w:tabs>
      <w:spacing w:before="0"/>
      <w:ind w:left="3200" w:hanging="2100"/>
    </w:pPr>
    <w:rPr>
      <w:sz w:val="18"/>
    </w:rPr>
  </w:style>
  <w:style w:type="paragraph" w:customStyle="1" w:styleId="PenaltyPara">
    <w:name w:val="PenaltyPara"/>
    <w:basedOn w:val="Normal"/>
    <w:rsid w:val="009D74E7"/>
    <w:pPr>
      <w:tabs>
        <w:tab w:val="right" w:pos="1360"/>
      </w:tabs>
      <w:spacing w:before="60"/>
      <w:ind w:left="1600" w:hanging="1600"/>
      <w:jc w:val="both"/>
    </w:pPr>
  </w:style>
  <w:style w:type="paragraph" w:customStyle="1" w:styleId="06Copyright">
    <w:name w:val="06Copyright"/>
    <w:basedOn w:val="Normal"/>
    <w:rsid w:val="009D74E7"/>
  </w:style>
  <w:style w:type="paragraph" w:customStyle="1" w:styleId="AFHdg">
    <w:name w:val="AFHdg"/>
    <w:basedOn w:val="BillBasicHeading"/>
    <w:rsid w:val="009D74E7"/>
    <w:rPr>
      <w:b w:val="0"/>
      <w:sz w:val="32"/>
    </w:rPr>
  </w:style>
  <w:style w:type="paragraph" w:customStyle="1" w:styleId="LegHistNote">
    <w:name w:val="LegHistNote"/>
    <w:basedOn w:val="Actdetails"/>
    <w:rsid w:val="009D74E7"/>
    <w:pPr>
      <w:spacing w:before="60"/>
      <w:ind w:left="2700" w:right="-60" w:hanging="1300"/>
    </w:pPr>
    <w:rPr>
      <w:sz w:val="18"/>
    </w:rPr>
  </w:style>
  <w:style w:type="paragraph" w:customStyle="1" w:styleId="MH1Chapter">
    <w:name w:val="M H1 Chapter"/>
    <w:basedOn w:val="AH1Chapter"/>
    <w:rsid w:val="009D74E7"/>
    <w:pPr>
      <w:tabs>
        <w:tab w:val="clear" w:pos="2600"/>
        <w:tab w:val="left" w:pos="2720"/>
      </w:tabs>
      <w:ind w:left="4000" w:hanging="3300"/>
    </w:pPr>
  </w:style>
  <w:style w:type="paragraph" w:customStyle="1" w:styleId="ModH1Chapter">
    <w:name w:val="Mod H1 Chapter"/>
    <w:basedOn w:val="IH1Chap"/>
    <w:rsid w:val="009D74E7"/>
    <w:pPr>
      <w:tabs>
        <w:tab w:val="clear" w:pos="2600"/>
        <w:tab w:val="left" w:pos="3300"/>
      </w:tabs>
      <w:ind w:left="3300"/>
    </w:pPr>
  </w:style>
  <w:style w:type="paragraph" w:customStyle="1" w:styleId="ModH2Part">
    <w:name w:val="Mod H2 Part"/>
    <w:basedOn w:val="IH2Part"/>
    <w:rsid w:val="009D74E7"/>
    <w:pPr>
      <w:tabs>
        <w:tab w:val="clear" w:pos="2600"/>
        <w:tab w:val="left" w:pos="3300"/>
      </w:tabs>
      <w:ind w:left="3300"/>
    </w:pPr>
  </w:style>
  <w:style w:type="paragraph" w:customStyle="1" w:styleId="ModH3Div">
    <w:name w:val="Mod H3 Div"/>
    <w:basedOn w:val="IH3Div"/>
    <w:rsid w:val="009D74E7"/>
    <w:pPr>
      <w:tabs>
        <w:tab w:val="clear" w:pos="2600"/>
        <w:tab w:val="left" w:pos="3300"/>
      </w:tabs>
      <w:ind w:left="3300"/>
    </w:pPr>
  </w:style>
  <w:style w:type="paragraph" w:customStyle="1" w:styleId="ModH4SubDiv">
    <w:name w:val="Mod H4 SubDiv"/>
    <w:basedOn w:val="IH4SubDiv"/>
    <w:rsid w:val="009D74E7"/>
    <w:pPr>
      <w:tabs>
        <w:tab w:val="clear" w:pos="2600"/>
        <w:tab w:val="left" w:pos="3300"/>
      </w:tabs>
      <w:ind w:left="3300"/>
    </w:pPr>
  </w:style>
  <w:style w:type="paragraph" w:customStyle="1" w:styleId="ModH5Sec">
    <w:name w:val="Mod H5 Sec"/>
    <w:basedOn w:val="IH5Sec"/>
    <w:rsid w:val="009D74E7"/>
    <w:pPr>
      <w:tabs>
        <w:tab w:val="clear" w:pos="1100"/>
        <w:tab w:val="left" w:pos="1800"/>
      </w:tabs>
      <w:ind w:left="2200"/>
    </w:pPr>
  </w:style>
  <w:style w:type="paragraph" w:customStyle="1" w:styleId="Modmain">
    <w:name w:val="Mod main"/>
    <w:basedOn w:val="Amain"/>
    <w:rsid w:val="009D74E7"/>
    <w:pPr>
      <w:tabs>
        <w:tab w:val="clear" w:pos="900"/>
        <w:tab w:val="clear" w:pos="1100"/>
        <w:tab w:val="right" w:pos="1600"/>
        <w:tab w:val="left" w:pos="1800"/>
      </w:tabs>
      <w:ind w:left="2200"/>
    </w:pPr>
  </w:style>
  <w:style w:type="paragraph" w:customStyle="1" w:styleId="Modpara">
    <w:name w:val="Mod para"/>
    <w:basedOn w:val="BillBasic0"/>
    <w:rsid w:val="009D74E7"/>
    <w:pPr>
      <w:tabs>
        <w:tab w:val="right" w:pos="2100"/>
        <w:tab w:val="left" w:pos="2300"/>
      </w:tabs>
      <w:ind w:left="2700" w:hanging="1600"/>
      <w:outlineLvl w:val="6"/>
    </w:pPr>
  </w:style>
  <w:style w:type="paragraph" w:customStyle="1" w:styleId="Modsubpara">
    <w:name w:val="Mod subpara"/>
    <w:basedOn w:val="Asubpara"/>
    <w:rsid w:val="009D74E7"/>
    <w:pPr>
      <w:tabs>
        <w:tab w:val="clear" w:pos="1900"/>
        <w:tab w:val="clear" w:pos="2100"/>
        <w:tab w:val="right" w:pos="2640"/>
        <w:tab w:val="left" w:pos="2840"/>
      </w:tabs>
      <w:ind w:left="3240" w:hanging="2140"/>
    </w:pPr>
  </w:style>
  <w:style w:type="paragraph" w:customStyle="1" w:styleId="Modsubsubpara">
    <w:name w:val="Mod subsubpara"/>
    <w:basedOn w:val="Asubsubpara"/>
    <w:rsid w:val="009D74E7"/>
    <w:pPr>
      <w:tabs>
        <w:tab w:val="clear" w:pos="2400"/>
        <w:tab w:val="clear" w:pos="2600"/>
        <w:tab w:val="right" w:pos="3160"/>
        <w:tab w:val="left" w:pos="3360"/>
      </w:tabs>
      <w:ind w:left="3760" w:hanging="2660"/>
    </w:pPr>
  </w:style>
  <w:style w:type="paragraph" w:customStyle="1" w:styleId="Modmainreturn">
    <w:name w:val="Mod main return"/>
    <w:basedOn w:val="Amainreturn"/>
    <w:rsid w:val="009D74E7"/>
    <w:pPr>
      <w:ind w:left="1800"/>
    </w:pPr>
  </w:style>
  <w:style w:type="paragraph" w:customStyle="1" w:styleId="Modparareturn">
    <w:name w:val="Mod para return"/>
    <w:basedOn w:val="Aparareturn"/>
    <w:rsid w:val="009D74E7"/>
    <w:pPr>
      <w:ind w:left="2300"/>
    </w:pPr>
  </w:style>
  <w:style w:type="paragraph" w:customStyle="1" w:styleId="Modsubparareturn">
    <w:name w:val="Mod subpara return"/>
    <w:basedOn w:val="Asubparareturn"/>
    <w:rsid w:val="009D74E7"/>
    <w:pPr>
      <w:ind w:left="3040"/>
    </w:pPr>
  </w:style>
  <w:style w:type="paragraph" w:customStyle="1" w:styleId="Modref">
    <w:name w:val="Mod ref"/>
    <w:basedOn w:val="ref"/>
    <w:rsid w:val="009D74E7"/>
    <w:pPr>
      <w:ind w:left="1100"/>
    </w:pPr>
  </w:style>
  <w:style w:type="paragraph" w:customStyle="1" w:styleId="ModaNote">
    <w:name w:val="Mod aNote"/>
    <w:basedOn w:val="aNote"/>
    <w:rsid w:val="009D74E7"/>
    <w:pPr>
      <w:tabs>
        <w:tab w:val="left" w:pos="2600"/>
      </w:tabs>
      <w:ind w:left="2600"/>
    </w:pPr>
  </w:style>
  <w:style w:type="paragraph" w:customStyle="1" w:styleId="ModNote">
    <w:name w:val="Mod Note"/>
    <w:basedOn w:val="aNote"/>
    <w:rsid w:val="009D74E7"/>
    <w:pPr>
      <w:tabs>
        <w:tab w:val="left" w:pos="2600"/>
      </w:tabs>
      <w:ind w:left="2600"/>
    </w:pPr>
  </w:style>
  <w:style w:type="paragraph" w:customStyle="1" w:styleId="ApprFormHd">
    <w:name w:val="ApprFormHd"/>
    <w:basedOn w:val="Sched-heading"/>
    <w:rsid w:val="009D74E7"/>
    <w:pPr>
      <w:ind w:left="0" w:firstLine="0"/>
    </w:pPr>
  </w:style>
  <w:style w:type="paragraph" w:customStyle="1" w:styleId="Status">
    <w:name w:val="Status"/>
    <w:basedOn w:val="Normal"/>
    <w:rsid w:val="009D74E7"/>
    <w:pPr>
      <w:spacing w:before="280"/>
      <w:jc w:val="center"/>
    </w:pPr>
    <w:rPr>
      <w:rFonts w:ascii="Arial" w:hAnsi="Arial"/>
      <w:sz w:val="14"/>
    </w:rPr>
  </w:style>
  <w:style w:type="paragraph" w:customStyle="1" w:styleId="EarlierRepubHdg">
    <w:name w:val="EarlierRepubHdg"/>
    <w:basedOn w:val="Normal"/>
    <w:rsid w:val="009D74E7"/>
    <w:pPr>
      <w:keepNext/>
    </w:pPr>
    <w:rPr>
      <w:rFonts w:ascii="Arial" w:hAnsi="Arial"/>
      <w:b/>
      <w:sz w:val="20"/>
    </w:rPr>
  </w:style>
  <w:style w:type="paragraph" w:customStyle="1" w:styleId="RenumProvHdg">
    <w:name w:val="RenumProvHdg"/>
    <w:basedOn w:val="Normal"/>
    <w:rsid w:val="009D74E7"/>
    <w:rPr>
      <w:rFonts w:ascii="Arial" w:hAnsi="Arial"/>
      <w:b/>
      <w:sz w:val="22"/>
    </w:rPr>
  </w:style>
  <w:style w:type="paragraph" w:customStyle="1" w:styleId="RenumProvHeader">
    <w:name w:val="RenumProvHeader"/>
    <w:basedOn w:val="Normal"/>
    <w:rsid w:val="009D74E7"/>
    <w:rPr>
      <w:rFonts w:ascii="Arial" w:hAnsi="Arial"/>
      <w:b/>
      <w:sz w:val="22"/>
    </w:rPr>
  </w:style>
  <w:style w:type="paragraph" w:customStyle="1" w:styleId="RenumTableHdg">
    <w:name w:val="RenumTableHdg"/>
    <w:basedOn w:val="Normal"/>
    <w:rsid w:val="009D74E7"/>
    <w:pPr>
      <w:spacing w:before="120"/>
    </w:pPr>
    <w:rPr>
      <w:rFonts w:ascii="Arial" w:hAnsi="Arial"/>
      <w:b/>
      <w:sz w:val="20"/>
    </w:rPr>
  </w:style>
  <w:style w:type="paragraph" w:customStyle="1" w:styleId="EPSCoverTop">
    <w:name w:val="EPSCoverTop"/>
    <w:basedOn w:val="Normal"/>
    <w:rsid w:val="009D74E7"/>
    <w:pPr>
      <w:jc w:val="right"/>
    </w:pPr>
    <w:rPr>
      <w:rFonts w:ascii="Arial" w:hAnsi="Arial"/>
      <w:sz w:val="20"/>
    </w:rPr>
  </w:style>
  <w:style w:type="paragraph" w:customStyle="1" w:styleId="Billcrest0">
    <w:name w:val="Billcrest"/>
    <w:basedOn w:val="Normal"/>
    <w:rsid w:val="009D74E7"/>
    <w:pPr>
      <w:spacing w:after="60"/>
      <w:ind w:left="2800"/>
    </w:pPr>
    <w:rPr>
      <w:rFonts w:ascii="ACTCrest" w:hAnsi="ACTCrest"/>
      <w:sz w:val="216"/>
    </w:rPr>
  </w:style>
  <w:style w:type="paragraph" w:customStyle="1" w:styleId="bullet">
    <w:name w:val="bullet"/>
    <w:basedOn w:val="Normal"/>
    <w:rsid w:val="00EA4457"/>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EA4457"/>
    <w:pPr>
      <w:spacing w:before="80"/>
      <w:ind w:left="180" w:right="-60" w:hanging="180"/>
    </w:pPr>
    <w:rPr>
      <w:rFonts w:ascii="Arial" w:hAnsi="Arial"/>
      <w:sz w:val="18"/>
    </w:rPr>
  </w:style>
  <w:style w:type="paragraph" w:customStyle="1" w:styleId="details">
    <w:name w:val="details"/>
    <w:basedOn w:val="bullet"/>
    <w:rsid w:val="00EA4457"/>
    <w:pPr>
      <w:numPr>
        <w:numId w:val="0"/>
      </w:numPr>
      <w:tabs>
        <w:tab w:val="num" w:pos="1300"/>
      </w:tabs>
      <w:ind w:left="660"/>
    </w:pPr>
  </w:style>
  <w:style w:type="paragraph" w:customStyle="1" w:styleId="Actbullet">
    <w:name w:val="Act bullet"/>
    <w:basedOn w:val="Normal"/>
    <w:uiPriority w:val="99"/>
    <w:rsid w:val="009D74E7"/>
    <w:pPr>
      <w:numPr>
        <w:numId w:val="21"/>
      </w:numPr>
      <w:tabs>
        <w:tab w:val="left" w:pos="900"/>
      </w:tabs>
      <w:spacing w:before="20"/>
      <w:ind w:right="-60"/>
    </w:pPr>
    <w:rPr>
      <w:rFonts w:ascii="Arial" w:hAnsi="Arial"/>
      <w:sz w:val="18"/>
    </w:rPr>
  </w:style>
  <w:style w:type="paragraph" w:customStyle="1" w:styleId="NewActorRegnote">
    <w:name w:val="New Act or Reg note"/>
    <w:basedOn w:val="Normal"/>
    <w:rsid w:val="00EA4457"/>
    <w:pPr>
      <w:keepNext/>
      <w:spacing w:before="60"/>
      <w:ind w:left="600"/>
    </w:pPr>
    <w:rPr>
      <w:rFonts w:ascii="Arial" w:hAnsi="Arial"/>
      <w:sz w:val="18"/>
    </w:rPr>
  </w:style>
  <w:style w:type="paragraph" w:customStyle="1" w:styleId="AmainSymb">
    <w:name w:val="A main Symb"/>
    <w:basedOn w:val="Amain"/>
    <w:rsid w:val="009D74E7"/>
    <w:pPr>
      <w:tabs>
        <w:tab w:val="right" w:pos="480"/>
      </w:tabs>
      <w:ind w:left="1120" w:hanging="1600"/>
    </w:pPr>
  </w:style>
  <w:style w:type="paragraph" w:customStyle="1" w:styleId="AparaSymb">
    <w:name w:val="A para Symb"/>
    <w:basedOn w:val="Apara"/>
    <w:rsid w:val="009D74E7"/>
    <w:pPr>
      <w:tabs>
        <w:tab w:val="right" w:pos="0"/>
      </w:tabs>
      <w:ind w:hanging="2080"/>
    </w:pPr>
  </w:style>
  <w:style w:type="paragraph" w:customStyle="1" w:styleId="AsubparaSymb">
    <w:name w:val="A subpara Symb"/>
    <w:basedOn w:val="Asubpara"/>
    <w:rsid w:val="009D74E7"/>
    <w:pPr>
      <w:tabs>
        <w:tab w:val="left" w:pos="0"/>
      </w:tabs>
      <w:ind w:left="1620"/>
    </w:pPr>
  </w:style>
  <w:style w:type="paragraph" w:customStyle="1" w:styleId="TableText">
    <w:name w:val="TableText"/>
    <w:basedOn w:val="Normal"/>
    <w:rsid w:val="009D74E7"/>
    <w:pPr>
      <w:spacing w:before="60" w:after="60"/>
    </w:pPr>
  </w:style>
  <w:style w:type="paragraph" w:customStyle="1" w:styleId="tablepara">
    <w:name w:val="table para"/>
    <w:basedOn w:val="Normal"/>
    <w:rsid w:val="009D74E7"/>
    <w:pPr>
      <w:tabs>
        <w:tab w:val="right" w:pos="800"/>
        <w:tab w:val="left" w:pos="1100"/>
      </w:tabs>
      <w:spacing w:before="80" w:after="60"/>
      <w:ind w:left="1100" w:hanging="1100"/>
    </w:pPr>
  </w:style>
  <w:style w:type="paragraph" w:customStyle="1" w:styleId="tablesubpara">
    <w:name w:val="table subpara"/>
    <w:basedOn w:val="Normal"/>
    <w:rsid w:val="009D74E7"/>
    <w:pPr>
      <w:tabs>
        <w:tab w:val="right" w:pos="1500"/>
        <w:tab w:val="left" w:pos="1800"/>
      </w:tabs>
      <w:spacing w:before="80" w:after="60"/>
      <w:ind w:left="1800" w:hanging="1800"/>
    </w:pPr>
  </w:style>
  <w:style w:type="paragraph" w:customStyle="1" w:styleId="RenumProvSubsectEntries">
    <w:name w:val="RenumProvSubsectEntries"/>
    <w:basedOn w:val="RenumProvEntries"/>
    <w:rsid w:val="009D74E7"/>
    <w:pPr>
      <w:ind w:left="252"/>
    </w:pPr>
  </w:style>
  <w:style w:type="paragraph" w:customStyle="1" w:styleId="IshadedSchClause">
    <w:name w:val="I shaded Sch Clause"/>
    <w:basedOn w:val="IshadedH5Sec"/>
    <w:rsid w:val="009D74E7"/>
  </w:style>
  <w:style w:type="paragraph" w:customStyle="1" w:styleId="IshadedH5Sec">
    <w:name w:val="I shaded H5 Sec"/>
    <w:basedOn w:val="AH5Sec"/>
    <w:rsid w:val="009D74E7"/>
    <w:pPr>
      <w:shd w:val="pct25" w:color="auto" w:fill="auto"/>
      <w:outlineLvl w:val="9"/>
    </w:pPr>
  </w:style>
  <w:style w:type="paragraph" w:customStyle="1" w:styleId="Endnote4">
    <w:name w:val="Endnote4"/>
    <w:basedOn w:val="Endnote2"/>
    <w:rsid w:val="009D74E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9D74E7"/>
    <w:pPr>
      <w:keepNext/>
      <w:tabs>
        <w:tab w:val="clear" w:pos="900"/>
        <w:tab w:val="clear" w:pos="1100"/>
      </w:tabs>
      <w:spacing w:before="300"/>
      <w:ind w:left="0" w:firstLine="0"/>
      <w:outlineLvl w:val="9"/>
    </w:pPr>
    <w:rPr>
      <w:i/>
    </w:rPr>
  </w:style>
  <w:style w:type="paragraph" w:customStyle="1" w:styleId="Penalty">
    <w:name w:val="Penalty"/>
    <w:basedOn w:val="Amainreturn"/>
    <w:rsid w:val="009D74E7"/>
  </w:style>
  <w:style w:type="paragraph" w:customStyle="1" w:styleId="LongTitleSymb">
    <w:name w:val="LongTitleSymb"/>
    <w:basedOn w:val="LongTitle"/>
    <w:rsid w:val="009D74E7"/>
    <w:pPr>
      <w:ind w:hanging="480"/>
    </w:pPr>
  </w:style>
  <w:style w:type="paragraph" w:customStyle="1" w:styleId="EffectiveDate">
    <w:name w:val="EffectiveDate"/>
    <w:basedOn w:val="Normal"/>
    <w:rsid w:val="009D74E7"/>
    <w:pPr>
      <w:spacing w:before="120"/>
    </w:pPr>
    <w:rPr>
      <w:rFonts w:ascii="Arial" w:hAnsi="Arial"/>
      <w:b/>
      <w:sz w:val="26"/>
    </w:rPr>
  </w:style>
  <w:style w:type="paragraph" w:customStyle="1" w:styleId="FooterInfoCentre">
    <w:name w:val="FooterInfoCentre"/>
    <w:basedOn w:val="FooterInfo"/>
    <w:rsid w:val="009D74E7"/>
    <w:pPr>
      <w:spacing w:before="60"/>
      <w:jc w:val="center"/>
    </w:pPr>
  </w:style>
  <w:style w:type="character" w:customStyle="1" w:styleId="charContents">
    <w:name w:val="charContents"/>
    <w:basedOn w:val="DefaultParagraphFont"/>
    <w:rsid w:val="009D74E7"/>
  </w:style>
  <w:style w:type="character" w:customStyle="1" w:styleId="charPage">
    <w:name w:val="charPage"/>
    <w:basedOn w:val="DefaultParagraphFont"/>
    <w:rsid w:val="009D74E7"/>
  </w:style>
  <w:style w:type="paragraph" w:customStyle="1" w:styleId="EndNoteTextPub">
    <w:name w:val="EndNoteTextPub"/>
    <w:basedOn w:val="Normal"/>
    <w:rsid w:val="009D74E7"/>
    <w:pPr>
      <w:spacing w:before="60"/>
      <w:ind w:left="1100"/>
      <w:jc w:val="both"/>
    </w:pPr>
    <w:rPr>
      <w:sz w:val="20"/>
    </w:rPr>
  </w:style>
  <w:style w:type="paragraph" w:customStyle="1" w:styleId="DetailsNo">
    <w:name w:val="Details No"/>
    <w:basedOn w:val="Actdetails"/>
    <w:uiPriority w:val="99"/>
    <w:rsid w:val="009D74E7"/>
    <w:pPr>
      <w:ind w:left="0"/>
    </w:pPr>
    <w:rPr>
      <w:sz w:val="18"/>
    </w:rPr>
  </w:style>
  <w:style w:type="paragraph" w:customStyle="1" w:styleId="02TextLandscape">
    <w:name w:val="02TextLandscape"/>
    <w:basedOn w:val="Normal"/>
    <w:rsid w:val="009D74E7"/>
  </w:style>
  <w:style w:type="paragraph" w:customStyle="1" w:styleId="05Endnote0">
    <w:name w:val="05Endnote"/>
    <w:basedOn w:val="Normal"/>
    <w:rsid w:val="009D74E7"/>
  </w:style>
  <w:style w:type="paragraph" w:customStyle="1" w:styleId="AmdtEntriesDefL2">
    <w:name w:val="AmdtEntriesDefL2"/>
    <w:basedOn w:val="AmdtEntries"/>
    <w:rsid w:val="009D74E7"/>
    <w:pPr>
      <w:tabs>
        <w:tab w:val="left" w:pos="3000"/>
      </w:tabs>
      <w:ind w:left="3600" w:hanging="2500"/>
    </w:pPr>
  </w:style>
  <w:style w:type="paragraph" w:customStyle="1" w:styleId="aNoteText">
    <w:name w:val="aNoteText"/>
    <w:basedOn w:val="aNote"/>
    <w:rsid w:val="009D74E7"/>
    <w:pPr>
      <w:spacing w:before="60"/>
      <w:ind w:firstLine="0"/>
    </w:pPr>
  </w:style>
  <w:style w:type="paragraph" w:customStyle="1" w:styleId="aExamHdgss">
    <w:name w:val="aExamHdgss"/>
    <w:basedOn w:val="BillBasicHeading"/>
    <w:next w:val="Normal"/>
    <w:rsid w:val="009D74E7"/>
    <w:pPr>
      <w:tabs>
        <w:tab w:val="clear" w:pos="2600"/>
      </w:tabs>
      <w:ind w:left="1100"/>
    </w:pPr>
    <w:rPr>
      <w:sz w:val="18"/>
    </w:rPr>
  </w:style>
  <w:style w:type="paragraph" w:customStyle="1" w:styleId="aExamss">
    <w:name w:val="aExamss"/>
    <w:basedOn w:val="aNote"/>
    <w:rsid w:val="009D74E7"/>
    <w:pPr>
      <w:spacing w:before="60"/>
      <w:ind w:left="1100" w:firstLine="0"/>
    </w:pPr>
  </w:style>
  <w:style w:type="paragraph" w:customStyle="1" w:styleId="aExamINumss">
    <w:name w:val="aExamINumss"/>
    <w:basedOn w:val="aExamss"/>
    <w:rsid w:val="009D74E7"/>
    <w:pPr>
      <w:tabs>
        <w:tab w:val="left" w:pos="1500"/>
      </w:tabs>
      <w:ind w:left="1500" w:hanging="400"/>
    </w:pPr>
  </w:style>
  <w:style w:type="paragraph" w:customStyle="1" w:styleId="aExamNumTextss">
    <w:name w:val="aExamNumTextss"/>
    <w:basedOn w:val="aExamss"/>
    <w:rsid w:val="009D74E7"/>
    <w:pPr>
      <w:ind w:left="1500"/>
    </w:pPr>
  </w:style>
  <w:style w:type="paragraph" w:customStyle="1" w:styleId="AExamIPara">
    <w:name w:val="AExamIPara"/>
    <w:basedOn w:val="aExam"/>
    <w:rsid w:val="009D74E7"/>
    <w:pPr>
      <w:tabs>
        <w:tab w:val="right" w:pos="1720"/>
        <w:tab w:val="left" w:pos="2000"/>
      </w:tabs>
      <w:ind w:left="2000" w:hanging="900"/>
    </w:pPr>
  </w:style>
  <w:style w:type="paragraph" w:customStyle="1" w:styleId="aNoteTextss">
    <w:name w:val="aNoteTextss"/>
    <w:basedOn w:val="Normal"/>
    <w:rsid w:val="009D74E7"/>
    <w:pPr>
      <w:spacing w:before="60"/>
      <w:ind w:left="1900"/>
      <w:jc w:val="both"/>
    </w:pPr>
    <w:rPr>
      <w:sz w:val="20"/>
    </w:rPr>
  </w:style>
  <w:style w:type="paragraph" w:customStyle="1" w:styleId="aNoteParass">
    <w:name w:val="aNoteParass"/>
    <w:basedOn w:val="Normal"/>
    <w:rsid w:val="009D74E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D74E7"/>
    <w:pPr>
      <w:ind w:left="1600"/>
    </w:pPr>
  </w:style>
  <w:style w:type="paragraph" w:customStyle="1" w:styleId="aExampar">
    <w:name w:val="aExampar"/>
    <w:basedOn w:val="aExamss"/>
    <w:rsid w:val="009D74E7"/>
    <w:pPr>
      <w:ind w:left="1600"/>
    </w:pPr>
  </w:style>
  <w:style w:type="paragraph" w:customStyle="1" w:styleId="aNotepar">
    <w:name w:val="aNotepar"/>
    <w:basedOn w:val="BillBasic0"/>
    <w:next w:val="Normal"/>
    <w:rsid w:val="009D74E7"/>
    <w:pPr>
      <w:ind w:left="2400" w:hanging="800"/>
    </w:pPr>
    <w:rPr>
      <w:sz w:val="20"/>
    </w:rPr>
  </w:style>
  <w:style w:type="paragraph" w:customStyle="1" w:styleId="aNoteTextpar">
    <w:name w:val="aNoteTextpar"/>
    <w:basedOn w:val="aNotepar"/>
    <w:rsid w:val="009D74E7"/>
    <w:pPr>
      <w:spacing w:before="60"/>
      <w:ind w:firstLine="0"/>
    </w:pPr>
  </w:style>
  <w:style w:type="paragraph" w:customStyle="1" w:styleId="aNoteParapar">
    <w:name w:val="aNoteParapar"/>
    <w:basedOn w:val="aNotepar"/>
    <w:rsid w:val="009D74E7"/>
    <w:pPr>
      <w:tabs>
        <w:tab w:val="right" w:pos="2640"/>
      </w:tabs>
      <w:spacing w:before="60"/>
      <w:ind w:left="2920" w:hanging="1320"/>
    </w:pPr>
  </w:style>
  <w:style w:type="paragraph" w:customStyle="1" w:styleId="aExamHdgsubpar">
    <w:name w:val="aExamHdgsubpar"/>
    <w:basedOn w:val="aExamHdgss"/>
    <w:next w:val="Normal"/>
    <w:rsid w:val="009D74E7"/>
    <w:pPr>
      <w:ind w:left="2140"/>
    </w:pPr>
  </w:style>
  <w:style w:type="paragraph" w:customStyle="1" w:styleId="aExamsubpar">
    <w:name w:val="aExamsubpar"/>
    <w:basedOn w:val="aExamss"/>
    <w:rsid w:val="009D74E7"/>
    <w:pPr>
      <w:ind w:left="2140"/>
    </w:pPr>
  </w:style>
  <w:style w:type="paragraph" w:customStyle="1" w:styleId="aNotesubpar">
    <w:name w:val="aNotesubpar"/>
    <w:basedOn w:val="BillBasic0"/>
    <w:next w:val="Normal"/>
    <w:rsid w:val="009D74E7"/>
    <w:pPr>
      <w:ind w:left="2940" w:hanging="800"/>
    </w:pPr>
    <w:rPr>
      <w:sz w:val="20"/>
    </w:rPr>
  </w:style>
  <w:style w:type="paragraph" w:customStyle="1" w:styleId="aNoteTextsubpar">
    <w:name w:val="aNoteTextsubpar"/>
    <w:basedOn w:val="aNotesubpar"/>
    <w:rsid w:val="009D74E7"/>
    <w:pPr>
      <w:spacing w:before="60"/>
      <w:ind w:firstLine="0"/>
    </w:pPr>
  </w:style>
  <w:style w:type="paragraph" w:customStyle="1" w:styleId="aExamBulletss">
    <w:name w:val="aExamBulletss"/>
    <w:basedOn w:val="aExamss"/>
    <w:rsid w:val="009D74E7"/>
    <w:pPr>
      <w:ind w:left="1500" w:hanging="400"/>
    </w:pPr>
  </w:style>
  <w:style w:type="paragraph" w:customStyle="1" w:styleId="aNoteBulletss">
    <w:name w:val="aNoteBulletss"/>
    <w:basedOn w:val="Normal"/>
    <w:rsid w:val="009D74E7"/>
    <w:pPr>
      <w:spacing w:before="60"/>
      <w:ind w:left="2300" w:hanging="400"/>
      <w:jc w:val="both"/>
    </w:pPr>
    <w:rPr>
      <w:sz w:val="20"/>
    </w:rPr>
  </w:style>
  <w:style w:type="paragraph" w:customStyle="1" w:styleId="aExamBulletpar">
    <w:name w:val="aExamBulletpar"/>
    <w:basedOn w:val="aExampar"/>
    <w:rsid w:val="009D74E7"/>
    <w:pPr>
      <w:ind w:left="2000" w:hanging="400"/>
    </w:pPr>
  </w:style>
  <w:style w:type="paragraph" w:customStyle="1" w:styleId="aNoteBulletpar">
    <w:name w:val="aNoteBulletpar"/>
    <w:basedOn w:val="aNotepar"/>
    <w:rsid w:val="009D74E7"/>
    <w:pPr>
      <w:spacing w:before="60"/>
      <w:ind w:left="2800" w:hanging="400"/>
    </w:pPr>
  </w:style>
  <w:style w:type="paragraph" w:customStyle="1" w:styleId="aExplanHeading">
    <w:name w:val="aExplanHeading"/>
    <w:basedOn w:val="BillBasicHeading"/>
    <w:next w:val="Normal"/>
    <w:rsid w:val="009D74E7"/>
    <w:rPr>
      <w:rFonts w:ascii="Arial (W1)" w:hAnsi="Arial (W1)"/>
      <w:sz w:val="18"/>
    </w:rPr>
  </w:style>
  <w:style w:type="paragraph" w:customStyle="1" w:styleId="EndNoteHeading">
    <w:name w:val="EndNoteHeading"/>
    <w:basedOn w:val="BillBasicHeading"/>
    <w:rsid w:val="009D74E7"/>
    <w:pPr>
      <w:tabs>
        <w:tab w:val="left" w:pos="700"/>
      </w:tabs>
      <w:spacing w:before="160"/>
      <w:ind w:left="700" w:hanging="700"/>
    </w:pPr>
    <w:rPr>
      <w:rFonts w:ascii="Arial (W1)" w:hAnsi="Arial (W1)"/>
    </w:rPr>
  </w:style>
  <w:style w:type="paragraph" w:customStyle="1" w:styleId="aExplanBullet">
    <w:name w:val="aExplanBullet"/>
    <w:basedOn w:val="Normal"/>
    <w:rsid w:val="009D74E7"/>
    <w:pPr>
      <w:spacing w:before="140"/>
      <w:ind w:left="400" w:hanging="400"/>
      <w:jc w:val="both"/>
    </w:pPr>
    <w:rPr>
      <w:snapToGrid w:val="0"/>
      <w:sz w:val="20"/>
    </w:rPr>
  </w:style>
  <w:style w:type="paragraph" w:customStyle="1" w:styleId="ChronTableBold">
    <w:name w:val="ChronTableBold"/>
    <w:basedOn w:val="Normal"/>
    <w:rsid w:val="00EA4457"/>
    <w:pPr>
      <w:keepNext/>
      <w:spacing w:before="180"/>
    </w:pPr>
    <w:rPr>
      <w:rFonts w:ascii="Arial" w:hAnsi="Arial"/>
      <w:b/>
      <w:sz w:val="18"/>
      <w:lang w:val="en-US"/>
    </w:rPr>
  </w:style>
  <w:style w:type="paragraph" w:customStyle="1" w:styleId="ChronTabledetails">
    <w:name w:val="Chron Table details"/>
    <w:basedOn w:val="Normal"/>
    <w:rsid w:val="00EA4457"/>
    <w:rPr>
      <w:rFonts w:ascii="Arial" w:hAnsi="Arial"/>
      <w:sz w:val="18"/>
      <w:lang w:val="en-US"/>
    </w:rPr>
  </w:style>
  <w:style w:type="paragraph" w:customStyle="1" w:styleId="EndNote20">
    <w:name w:val="EndNote2"/>
    <w:basedOn w:val="BillBasic0"/>
    <w:rsid w:val="00EA4457"/>
    <w:pPr>
      <w:keepNext/>
      <w:tabs>
        <w:tab w:val="left" w:pos="240"/>
      </w:tabs>
      <w:spacing w:before="160" w:after="80"/>
      <w:jc w:val="left"/>
    </w:pPr>
    <w:rPr>
      <w:b/>
      <w:bCs/>
      <w:sz w:val="18"/>
      <w:szCs w:val="18"/>
    </w:rPr>
  </w:style>
  <w:style w:type="paragraph" w:customStyle="1" w:styleId="EndNoteSubHeading">
    <w:name w:val="EndNoteSubHeading"/>
    <w:basedOn w:val="Normal"/>
    <w:next w:val="EndNoteText0"/>
    <w:rsid w:val="00EA4457"/>
    <w:pPr>
      <w:keepNext/>
      <w:tabs>
        <w:tab w:val="left" w:pos="700"/>
      </w:tabs>
      <w:spacing w:before="120"/>
      <w:ind w:left="700" w:hanging="700"/>
    </w:pPr>
    <w:rPr>
      <w:rFonts w:ascii="Arial" w:hAnsi="Arial" w:cs="Arial"/>
      <w:b/>
      <w:bCs/>
      <w:sz w:val="20"/>
    </w:rPr>
  </w:style>
  <w:style w:type="paragraph" w:customStyle="1" w:styleId="aNotess">
    <w:name w:val="aNotess"/>
    <w:basedOn w:val="BillBasic0"/>
    <w:rsid w:val="00EA4457"/>
    <w:pPr>
      <w:ind w:left="1900" w:hanging="800"/>
    </w:pPr>
    <w:rPr>
      <w:sz w:val="20"/>
    </w:rPr>
  </w:style>
  <w:style w:type="paragraph" w:customStyle="1" w:styleId="aExplanText">
    <w:name w:val="aExplanText"/>
    <w:basedOn w:val="BillBasic0"/>
    <w:rsid w:val="009D74E7"/>
    <w:rPr>
      <w:sz w:val="20"/>
    </w:rPr>
  </w:style>
  <w:style w:type="paragraph" w:customStyle="1" w:styleId="aExamINum">
    <w:name w:val="aExamINum"/>
    <w:basedOn w:val="aExam"/>
    <w:rsid w:val="00EA4457"/>
    <w:pPr>
      <w:tabs>
        <w:tab w:val="left" w:pos="1500"/>
      </w:tabs>
      <w:ind w:left="1500" w:hanging="400"/>
    </w:pPr>
  </w:style>
  <w:style w:type="paragraph" w:customStyle="1" w:styleId="aExamINumpar">
    <w:name w:val="aExamINumpar"/>
    <w:basedOn w:val="aExampar"/>
    <w:rsid w:val="009D74E7"/>
    <w:pPr>
      <w:tabs>
        <w:tab w:val="left" w:pos="2000"/>
      </w:tabs>
      <w:ind w:left="2000" w:hanging="400"/>
    </w:pPr>
  </w:style>
  <w:style w:type="paragraph" w:customStyle="1" w:styleId="aExamNumTextpar">
    <w:name w:val="aExamNumTextpar"/>
    <w:basedOn w:val="aExampar"/>
    <w:rsid w:val="00EA4457"/>
    <w:pPr>
      <w:ind w:left="2000"/>
    </w:pPr>
  </w:style>
  <w:style w:type="paragraph" w:customStyle="1" w:styleId="aExamNumsubpar">
    <w:name w:val="aExamNumsubpar"/>
    <w:basedOn w:val="aExamsubpar"/>
    <w:rsid w:val="00EA4457"/>
    <w:pPr>
      <w:tabs>
        <w:tab w:val="left" w:pos="2540"/>
      </w:tabs>
      <w:ind w:left="2540" w:hanging="400"/>
    </w:pPr>
  </w:style>
  <w:style w:type="paragraph" w:customStyle="1" w:styleId="aExamNumTextsubpar">
    <w:name w:val="aExamNumTextsubpar"/>
    <w:basedOn w:val="aExampar"/>
    <w:rsid w:val="00EA4457"/>
    <w:pPr>
      <w:ind w:left="2540"/>
    </w:pPr>
  </w:style>
  <w:style w:type="paragraph" w:customStyle="1" w:styleId="aExamBulletsubpar">
    <w:name w:val="aExamBulletsubpar"/>
    <w:basedOn w:val="aExamsubpar"/>
    <w:rsid w:val="00EA4457"/>
    <w:pPr>
      <w:numPr>
        <w:numId w:val="16"/>
      </w:numPr>
    </w:pPr>
  </w:style>
  <w:style w:type="paragraph" w:customStyle="1" w:styleId="aNoteParasubpar">
    <w:name w:val="aNoteParasubpar"/>
    <w:basedOn w:val="aNotesubpar"/>
    <w:rsid w:val="00EA4457"/>
    <w:pPr>
      <w:tabs>
        <w:tab w:val="right" w:pos="3180"/>
      </w:tabs>
      <w:spacing w:before="0"/>
      <w:ind w:left="3460" w:hanging="1320"/>
    </w:pPr>
  </w:style>
  <w:style w:type="paragraph" w:customStyle="1" w:styleId="aNoteBulletann">
    <w:name w:val="aNoteBulletann"/>
    <w:basedOn w:val="aNotess"/>
    <w:rsid w:val="00EA4457"/>
    <w:pPr>
      <w:tabs>
        <w:tab w:val="left" w:pos="2200"/>
      </w:tabs>
      <w:spacing w:before="0"/>
      <w:ind w:left="0" w:firstLine="0"/>
    </w:pPr>
  </w:style>
  <w:style w:type="paragraph" w:customStyle="1" w:styleId="aNoteBulletparann">
    <w:name w:val="aNoteBulletparann"/>
    <w:basedOn w:val="aNotepar"/>
    <w:rsid w:val="00EA4457"/>
    <w:pPr>
      <w:tabs>
        <w:tab w:val="left" w:pos="2700"/>
      </w:tabs>
      <w:spacing w:before="0"/>
      <w:ind w:left="0" w:firstLine="0"/>
    </w:pPr>
    <w:rPr>
      <w:rFonts w:cs="Times New (W1)"/>
    </w:rPr>
  </w:style>
  <w:style w:type="paragraph" w:customStyle="1" w:styleId="aNoteBulletsubpar">
    <w:name w:val="aNoteBulletsubpar"/>
    <w:basedOn w:val="aNotesubpar"/>
    <w:rsid w:val="00EA4457"/>
    <w:pPr>
      <w:numPr>
        <w:numId w:val="14"/>
      </w:numPr>
      <w:tabs>
        <w:tab w:val="left" w:pos="3240"/>
      </w:tabs>
      <w:spacing w:before="0"/>
    </w:pPr>
  </w:style>
  <w:style w:type="paragraph" w:customStyle="1" w:styleId="AuthLaw">
    <w:name w:val="AuthLaw"/>
    <w:basedOn w:val="BillBasic0"/>
    <w:rsid w:val="00EA4457"/>
    <w:rPr>
      <w:rFonts w:ascii="Arial" w:hAnsi="Arial" w:cs="Arial"/>
      <w:b/>
      <w:bCs/>
      <w:sz w:val="20"/>
    </w:rPr>
  </w:style>
  <w:style w:type="paragraph" w:customStyle="1" w:styleId="Letterhead">
    <w:name w:val="Letterhead"/>
    <w:rsid w:val="00EA4457"/>
    <w:pPr>
      <w:widowControl w:val="0"/>
      <w:spacing w:after="180"/>
      <w:jc w:val="right"/>
    </w:pPr>
    <w:rPr>
      <w:rFonts w:ascii="Arial" w:hAnsi="Arial" w:cs="Arial"/>
      <w:sz w:val="32"/>
      <w:szCs w:val="32"/>
      <w:lang w:eastAsia="en-US"/>
    </w:rPr>
  </w:style>
  <w:style w:type="paragraph" w:customStyle="1" w:styleId="Actdetailsnote">
    <w:name w:val="Act details note"/>
    <w:basedOn w:val="Actdetails"/>
    <w:uiPriority w:val="99"/>
    <w:rsid w:val="009D74E7"/>
    <w:pPr>
      <w:ind w:left="1620" w:right="-60" w:hanging="720"/>
    </w:pPr>
    <w:rPr>
      <w:sz w:val="18"/>
    </w:rPr>
  </w:style>
  <w:style w:type="paragraph" w:customStyle="1" w:styleId="SchAmain">
    <w:name w:val="Sch A main"/>
    <w:basedOn w:val="Amain"/>
    <w:rsid w:val="009D74E7"/>
  </w:style>
  <w:style w:type="paragraph" w:customStyle="1" w:styleId="SchApara">
    <w:name w:val="Sch A para"/>
    <w:basedOn w:val="Apara"/>
    <w:rsid w:val="009D74E7"/>
  </w:style>
  <w:style w:type="paragraph" w:customStyle="1" w:styleId="SchAsubpara">
    <w:name w:val="Sch A subpara"/>
    <w:basedOn w:val="Asubpara"/>
    <w:rsid w:val="009D74E7"/>
  </w:style>
  <w:style w:type="paragraph" w:customStyle="1" w:styleId="SchAsubsubpara">
    <w:name w:val="Sch A subsubpara"/>
    <w:basedOn w:val="Asubsubpara"/>
    <w:rsid w:val="009D74E7"/>
  </w:style>
  <w:style w:type="paragraph" w:customStyle="1" w:styleId="TOCOL1">
    <w:name w:val="TOCOL 1"/>
    <w:basedOn w:val="TOC1"/>
    <w:rsid w:val="009D74E7"/>
  </w:style>
  <w:style w:type="paragraph" w:customStyle="1" w:styleId="TOCOL2">
    <w:name w:val="TOCOL 2"/>
    <w:basedOn w:val="TOC2"/>
    <w:rsid w:val="009D74E7"/>
    <w:pPr>
      <w:keepNext w:val="0"/>
    </w:pPr>
  </w:style>
  <w:style w:type="paragraph" w:customStyle="1" w:styleId="TOCOL3">
    <w:name w:val="TOCOL 3"/>
    <w:basedOn w:val="TOC3"/>
    <w:rsid w:val="009D74E7"/>
    <w:pPr>
      <w:keepNext w:val="0"/>
    </w:pPr>
  </w:style>
  <w:style w:type="paragraph" w:customStyle="1" w:styleId="TOCOL4">
    <w:name w:val="TOCOL 4"/>
    <w:basedOn w:val="TOC4"/>
    <w:rsid w:val="009D74E7"/>
    <w:pPr>
      <w:keepNext w:val="0"/>
    </w:pPr>
  </w:style>
  <w:style w:type="paragraph" w:customStyle="1" w:styleId="TOCOL5">
    <w:name w:val="TOCOL 5"/>
    <w:basedOn w:val="TOC5"/>
    <w:rsid w:val="009D74E7"/>
    <w:pPr>
      <w:tabs>
        <w:tab w:val="left" w:pos="400"/>
      </w:tabs>
    </w:pPr>
  </w:style>
  <w:style w:type="paragraph" w:customStyle="1" w:styleId="TOCOL6">
    <w:name w:val="TOCOL 6"/>
    <w:basedOn w:val="TOC6"/>
    <w:rsid w:val="009D74E7"/>
    <w:pPr>
      <w:keepNext w:val="0"/>
    </w:pPr>
  </w:style>
  <w:style w:type="paragraph" w:customStyle="1" w:styleId="TOCOL7">
    <w:name w:val="TOCOL 7"/>
    <w:basedOn w:val="TOC7"/>
    <w:rsid w:val="009D74E7"/>
  </w:style>
  <w:style w:type="paragraph" w:customStyle="1" w:styleId="TOCOL8">
    <w:name w:val="TOCOL 8"/>
    <w:basedOn w:val="TOC8"/>
    <w:rsid w:val="009D74E7"/>
  </w:style>
  <w:style w:type="paragraph" w:customStyle="1" w:styleId="TOCOL9">
    <w:name w:val="TOCOL 9"/>
    <w:basedOn w:val="TOC9"/>
    <w:rsid w:val="009D74E7"/>
    <w:pPr>
      <w:ind w:right="0"/>
    </w:pPr>
  </w:style>
  <w:style w:type="paragraph" w:customStyle="1" w:styleId="TOC10">
    <w:name w:val="TOC 10"/>
    <w:basedOn w:val="TOC5"/>
    <w:rsid w:val="009D74E7"/>
    <w:rPr>
      <w:szCs w:val="24"/>
    </w:rPr>
  </w:style>
  <w:style w:type="character" w:customStyle="1" w:styleId="charNotBold">
    <w:name w:val="charNotBold"/>
    <w:basedOn w:val="DefaultParagraphFont"/>
    <w:rsid w:val="009D74E7"/>
    <w:rPr>
      <w:rFonts w:ascii="Arial" w:hAnsi="Arial"/>
      <w:sz w:val="20"/>
    </w:rPr>
  </w:style>
  <w:style w:type="paragraph" w:customStyle="1" w:styleId="Billname1">
    <w:name w:val="Billname1"/>
    <w:basedOn w:val="Normal"/>
    <w:rsid w:val="009D74E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D74E7"/>
    <w:rPr>
      <w:rFonts w:ascii="Tahoma" w:hAnsi="Tahoma" w:cs="Tahoma"/>
      <w:sz w:val="16"/>
      <w:szCs w:val="16"/>
    </w:rPr>
  </w:style>
  <w:style w:type="character" w:customStyle="1" w:styleId="BalloonTextChar">
    <w:name w:val="Balloon Text Char"/>
    <w:basedOn w:val="DefaultParagraphFont"/>
    <w:link w:val="BalloonText"/>
    <w:uiPriority w:val="99"/>
    <w:rsid w:val="009D74E7"/>
    <w:rPr>
      <w:rFonts w:ascii="Tahoma" w:hAnsi="Tahoma" w:cs="Tahoma"/>
      <w:sz w:val="16"/>
      <w:szCs w:val="16"/>
      <w:lang w:eastAsia="en-US"/>
    </w:rPr>
  </w:style>
  <w:style w:type="character" w:customStyle="1" w:styleId="aDefChar">
    <w:name w:val="aDef Char"/>
    <w:basedOn w:val="DefaultParagraphFont"/>
    <w:link w:val="aDef"/>
    <w:locked/>
    <w:rsid w:val="006B5D2D"/>
    <w:rPr>
      <w:sz w:val="24"/>
      <w:lang w:eastAsia="en-US"/>
    </w:rPr>
  </w:style>
  <w:style w:type="character" w:customStyle="1" w:styleId="FooterChar">
    <w:name w:val="Footer Char"/>
    <w:basedOn w:val="DefaultParagraphFont"/>
    <w:link w:val="Footer"/>
    <w:rsid w:val="009D74E7"/>
    <w:rPr>
      <w:rFonts w:ascii="Arial" w:hAnsi="Arial"/>
      <w:sz w:val="18"/>
      <w:lang w:eastAsia="en-US"/>
    </w:rPr>
  </w:style>
  <w:style w:type="character" w:customStyle="1" w:styleId="aNoteChar">
    <w:name w:val="aNote Char"/>
    <w:basedOn w:val="DefaultParagraphFont"/>
    <w:link w:val="aNote"/>
    <w:locked/>
    <w:rsid w:val="009B222A"/>
    <w:rPr>
      <w:lang w:eastAsia="en-US"/>
    </w:rPr>
  </w:style>
  <w:style w:type="paragraph" w:customStyle="1" w:styleId="TablePara10">
    <w:name w:val="TablePara10"/>
    <w:basedOn w:val="tablepara"/>
    <w:rsid w:val="009D74E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D74E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D74E7"/>
    <w:rPr>
      <w:sz w:val="20"/>
    </w:rPr>
  </w:style>
  <w:style w:type="paragraph" w:customStyle="1" w:styleId="ShadedSchClauseSymb">
    <w:name w:val="Shaded Sch Clause Symb"/>
    <w:basedOn w:val="ShadedSchClause"/>
    <w:rsid w:val="009D74E7"/>
    <w:pPr>
      <w:tabs>
        <w:tab w:val="left" w:pos="0"/>
      </w:tabs>
      <w:ind w:left="975" w:hanging="1457"/>
    </w:pPr>
  </w:style>
  <w:style w:type="paragraph" w:customStyle="1" w:styleId="CoverTextBullet">
    <w:name w:val="CoverTextBullet"/>
    <w:basedOn w:val="CoverText"/>
    <w:qFormat/>
    <w:rsid w:val="009D74E7"/>
    <w:pPr>
      <w:numPr>
        <w:numId w:val="11"/>
      </w:numPr>
    </w:pPr>
    <w:rPr>
      <w:color w:val="000000"/>
    </w:rPr>
  </w:style>
  <w:style w:type="paragraph" w:customStyle="1" w:styleId="01aPreamble">
    <w:name w:val="01aPreamble"/>
    <w:basedOn w:val="Normal"/>
    <w:qFormat/>
    <w:rsid w:val="009D74E7"/>
  </w:style>
  <w:style w:type="paragraph" w:customStyle="1" w:styleId="TableBullet">
    <w:name w:val="TableBullet"/>
    <w:basedOn w:val="TableText10"/>
    <w:qFormat/>
    <w:rsid w:val="009D74E7"/>
    <w:pPr>
      <w:numPr>
        <w:numId w:val="19"/>
      </w:numPr>
    </w:pPr>
  </w:style>
  <w:style w:type="paragraph" w:customStyle="1" w:styleId="TableNumbered">
    <w:name w:val="TableNumbered"/>
    <w:basedOn w:val="TableText10"/>
    <w:qFormat/>
    <w:rsid w:val="009D74E7"/>
    <w:pPr>
      <w:numPr>
        <w:numId w:val="20"/>
      </w:numPr>
    </w:pPr>
  </w:style>
  <w:style w:type="character" w:customStyle="1" w:styleId="charCitHyperlinkItal">
    <w:name w:val="charCitHyperlinkItal"/>
    <w:basedOn w:val="Hyperlink"/>
    <w:uiPriority w:val="1"/>
    <w:rsid w:val="009D74E7"/>
    <w:rPr>
      <w:i/>
      <w:color w:val="0000FF" w:themeColor="hyperlink"/>
      <w:u w:val="none"/>
    </w:rPr>
  </w:style>
  <w:style w:type="character" w:customStyle="1" w:styleId="charCitHyperlinkAbbrev">
    <w:name w:val="charCitHyperlinkAbbrev"/>
    <w:basedOn w:val="Hyperlink"/>
    <w:uiPriority w:val="1"/>
    <w:rsid w:val="009D74E7"/>
    <w:rPr>
      <w:color w:val="0000FF" w:themeColor="hyperlink"/>
      <w:u w:val="none"/>
    </w:rPr>
  </w:style>
  <w:style w:type="character" w:customStyle="1" w:styleId="Heading3Char">
    <w:name w:val="Heading 3 Char"/>
    <w:aliases w:val="h3 Char,H3 Char,heading 3 Char,sec Char"/>
    <w:basedOn w:val="DefaultParagraphFont"/>
    <w:link w:val="Heading3"/>
    <w:rsid w:val="009D74E7"/>
    <w:rPr>
      <w:b/>
      <w:sz w:val="24"/>
      <w:lang w:eastAsia="en-US"/>
    </w:rPr>
  </w:style>
  <w:style w:type="paragraph" w:customStyle="1" w:styleId="ISchMain">
    <w:name w:val="I Sch Main"/>
    <w:basedOn w:val="BillBasic0"/>
    <w:rsid w:val="009D74E7"/>
    <w:pPr>
      <w:tabs>
        <w:tab w:val="right" w:pos="900"/>
        <w:tab w:val="left" w:pos="1100"/>
      </w:tabs>
      <w:ind w:left="1100" w:hanging="1100"/>
    </w:pPr>
  </w:style>
  <w:style w:type="paragraph" w:customStyle="1" w:styleId="ISchpara">
    <w:name w:val="I Sch para"/>
    <w:basedOn w:val="BillBasic0"/>
    <w:rsid w:val="009D74E7"/>
    <w:pPr>
      <w:tabs>
        <w:tab w:val="right" w:pos="1400"/>
        <w:tab w:val="left" w:pos="1600"/>
      </w:tabs>
      <w:ind w:left="1600" w:hanging="1600"/>
    </w:pPr>
  </w:style>
  <w:style w:type="paragraph" w:customStyle="1" w:styleId="ISchsubpara">
    <w:name w:val="I Sch subpara"/>
    <w:basedOn w:val="BillBasic0"/>
    <w:rsid w:val="009D74E7"/>
    <w:pPr>
      <w:tabs>
        <w:tab w:val="right" w:pos="1940"/>
        <w:tab w:val="left" w:pos="2140"/>
      </w:tabs>
      <w:ind w:left="2140" w:hanging="2140"/>
    </w:pPr>
  </w:style>
  <w:style w:type="paragraph" w:customStyle="1" w:styleId="ISchsubsubpara">
    <w:name w:val="I Sch subsubpara"/>
    <w:basedOn w:val="BillBasic0"/>
    <w:rsid w:val="009D74E7"/>
    <w:pPr>
      <w:tabs>
        <w:tab w:val="right" w:pos="2460"/>
        <w:tab w:val="left" w:pos="2660"/>
      </w:tabs>
      <w:ind w:left="2660" w:hanging="2660"/>
    </w:pPr>
  </w:style>
  <w:style w:type="character" w:customStyle="1" w:styleId="NewActChar">
    <w:name w:val="New Act Char"/>
    <w:basedOn w:val="DefaultParagraphFont"/>
    <w:link w:val="NewAct"/>
    <w:rsid w:val="00AD0B4C"/>
    <w:rPr>
      <w:rFonts w:ascii="Arial" w:hAnsi="Arial"/>
      <w:b/>
      <w:lang w:eastAsia="en-US"/>
    </w:rPr>
  </w:style>
  <w:style w:type="character" w:customStyle="1" w:styleId="AH5SecChar">
    <w:name w:val="A H5 Sec Char"/>
    <w:basedOn w:val="DefaultParagraphFont"/>
    <w:link w:val="AH5Sec"/>
    <w:locked/>
    <w:rsid w:val="00646ACD"/>
    <w:rPr>
      <w:rFonts w:ascii="Arial" w:hAnsi="Arial"/>
      <w:b/>
      <w:sz w:val="24"/>
      <w:lang w:eastAsia="en-US"/>
    </w:rPr>
  </w:style>
  <w:style w:type="character" w:customStyle="1" w:styleId="HeaderChar">
    <w:name w:val="Header Char"/>
    <w:basedOn w:val="DefaultParagraphFont"/>
    <w:link w:val="Header"/>
    <w:rsid w:val="007D5CFD"/>
    <w:rPr>
      <w:sz w:val="24"/>
      <w:lang w:eastAsia="en-US"/>
    </w:rPr>
  </w:style>
  <w:style w:type="character" w:customStyle="1" w:styleId="CommentTextChar">
    <w:name w:val="Comment Text Char"/>
    <w:basedOn w:val="DefaultParagraphFont"/>
    <w:link w:val="CommentText"/>
    <w:semiHidden/>
    <w:rsid w:val="001E518F"/>
    <w:rPr>
      <w:sz w:val="24"/>
      <w:lang w:eastAsia="en-US"/>
    </w:rPr>
  </w:style>
  <w:style w:type="character" w:customStyle="1" w:styleId="AmainreturnChar">
    <w:name w:val="A main return Char"/>
    <w:basedOn w:val="DefaultParagraphFont"/>
    <w:link w:val="Amainreturn"/>
    <w:locked/>
    <w:rsid w:val="002159F6"/>
    <w:rPr>
      <w:sz w:val="24"/>
      <w:lang w:eastAsia="en-US"/>
    </w:rPr>
  </w:style>
  <w:style w:type="character" w:styleId="UnresolvedMention">
    <w:name w:val="Unresolved Mention"/>
    <w:basedOn w:val="DefaultParagraphFont"/>
    <w:uiPriority w:val="99"/>
    <w:semiHidden/>
    <w:unhideWhenUsed/>
    <w:rsid w:val="00185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4654">
      <w:bodyDiv w:val="1"/>
      <w:marLeft w:val="0"/>
      <w:marRight w:val="0"/>
      <w:marTop w:val="0"/>
      <w:marBottom w:val="0"/>
      <w:divBdr>
        <w:top w:val="none" w:sz="0" w:space="0" w:color="auto"/>
        <w:left w:val="none" w:sz="0" w:space="0" w:color="auto"/>
        <w:bottom w:val="none" w:sz="0" w:space="0" w:color="auto"/>
        <w:right w:val="none" w:sz="0" w:space="0" w:color="auto"/>
      </w:divBdr>
    </w:div>
    <w:div w:id="34375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6" TargetMode="External"/><Relationship Id="rId671" Type="http://schemas.openxmlformats.org/officeDocument/2006/relationships/hyperlink" Target="http://www.legislation.act.gov.au/a/2005-54" TargetMode="External"/><Relationship Id="rId769" Type="http://schemas.openxmlformats.org/officeDocument/2006/relationships/hyperlink" Target="http://www.legislation.act.gov.au/a/2017-28/default.asp" TargetMode="External"/><Relationship Id="rId976" Type="http://schemas.openxmlformats.org/officeDocument/2006/relationships/hyperlink" Target="http://www.legislation.act.gov.au/a/2005-60" TargetMode="External"/><Relationship Id="rId21" Type="http://schemas.openxmlformats.org/officeDocument/2006/relationships/footer" Target="footer2.xml"/><Relationship Id="rId324" Type="http://schemas.openxmlformats.org/officeDocument/2006/relationships/hyperlink" Target="http://www.legislation.act.gov.au/a/2000-17" TargetMode="External"/><Relationship Id="rId531" Type="http://schemas.openxmlformats.org/officeDocument/2006/relationships/hyperlink" Target="http://www.legislation.act.gov.au/a/2008-36" TargetMode="External"/><Relationship Id="rId629" Type="http://schemas.openxmlformats.org/officeDocument/2006/relationships/hyperlink" Target="http://www.legislation.act.gov.au/a/2008-36" TargetMode="External"/><Relationship Id="rId170" Type="http://schemas.openxmlformats.org/officeDocument/2006/relationships/hyperlink" Target="http://www.legislation.act.gov.au/a/2006-16" TargetMode="External"/><Relationship Id="rId836" Type="http://schemas.openxmlformats.org/officeDocument/2006/relationships/hyperlink" Target="http://www.legislation.act.gov.au/a/2008-37" TargetMode="External"/><Relationship Id="rId1021" Type="http://schemas.openxmlformats.org/officeDocument/2006/relationships/hyperlink" Target="http://www.legislation.act.gov.au/a/2013-7" TargetMode="External"/><Relationship Id="rId268" Type="http://schemas.openxmlformats.org/officeDocument/2006/relationships/hyperlink" Target="http://www.legislation.act.gov.au/a/2004-58" TargetMode="External"/><Relationship Id="rId475" Type="http://schemas.openxmlformats.org/officeDocument/2006/relationships/hyperlink" Target="http://www.legislation.act.gov.au/a/2019-5/" TargetMode="External"/><Relationship Id="rId682" Type="http://schemas.openxmlformats.org/officeDocument/2006/relationships/hyperlink" Target="http://www.legislation.act.gov.au/a/1999-66" TargetMode="External"/><Relationship Id="rId903" Type="http://schemas.openxmlformats.org/officeDocument/2006/relationships/hyperlink" Target="http://www.legislation.act.gov.au/a/1999-66" TargetMode="External"/><Relationship Id="rId32" Type="http://schemas.openxmlformats.org/officeDocument/2006/relationships/hyperlink" Target="http://www.legislation.act.gov.au/a/2002-51" TargetMode="External"/><Relationship Id="rId128" Type="http://schemas.openxmlformats.org/officeDocument/2006/relationships/hyperlink" Target="http://www.legislation.act.gov.au/a/2003-40" TargetMode="External"/><Relationship Id="rId335" Type="http://schemas.openxmlformats.org/officeDocument/2006/relationships/hyperlink" Target="http://www.legislation.act.gov.au/a/2017-4/default.asp" TargetMode="External"/><Relationship Id="rId542" Type="http://schemas.openxmlformats.org/officeDocument/2006/relationships/hyperlink" Target="http://www.legislation.act.gov.au/a/2016-50/default.asp" TargetMode="External"/><Relationship Id="rId987" Type="http://schemas.openxmlformats.org/officeDocument/2006/relationships/hyperlink" Target="http://www.legislation.act.gov.au/a/2006-40" TargetMode="External"/><Relationship Id="rId181" Type="http://schemas.openxmlformats.org/officeDocument/2006/relationships/hyperlink" Target="http://www.legislation.act.gov.au/cn/2009-2/default.asp" TargetMode="External"/><Relationship Id="rId402" Type="http://schemas.openxmlformats.org/officeDocument/2006/relationships/hyperlink" Target="http://www.legislation.act.gov.au/a/2009-44" TargetMode="External"/><Relationship Id="rId847" Type="http://schemas.openxmlformats.org/officeDocument/2006/relationships/hyperlink" Target="http://www.legislation.act.gov.au/a/2004-58" TargetMode="External"/><Relationship Id="rId1032" Type="http://schemas.openxmlformats.org/officeDocument/2006/relationships/hyperlink" Target="http://www.legislation.act.gov.au/a/2017-4/default.asp" TargetMode="External"/><Relationship Id="rId279" Type="http://schemas.openxmlformats.org/officeDocument/2006/relationships/hyperlink" Target="http://www.legislation.act.gov.au/a/2017-5/default.asp" TargetMode="External"/><Relationship Id="rId486" Type="http://schemas.openxmlformats.org/officeDocument/2006/relationships/hyperlink" Target="http://www.legislation.act.gov.au/a/2004-58" TargetMode="External"/><Relationship Id="rId693" Type="http://schemas.openxmlformats.org/officeDocument/2006/relationships/hyperlink" Target="http://www.legislation.act.gov.au/a/2004-58" TargetMode="External"/><Relationship Id="rId707" Type="http://schemas.openxmlformats.org/officeDocument/2006/relationships/hyperlink" Target="http://www.legislation.act.gov.au/a/2008-36" TargetMode="External"/><Relationship Id="rId914" Type="http://schemas.openxmlformats.org/officeDocument/2006/relationships/hyperlink" Target="http://www.legislation.act.gov.au/a/2005-39" TargetMode="External"/><Relationship Id="rId43" Type="http://schemas.openxmlformats.org/officeDocument/2006/relationships/hyperlink" Target="http://www.legislation.act.gov.au/a/2001-10" TargetMode="External"/><Relationship Id="rId139" Type="http://schemas.openxmlformats.org/officeDocument/2006/relationships/hyperlink" Target="http://www.legislation.act.gov.au/a/1999-22" TargetMode="External"/><Relationship Id="rId346" Type="http://schemas.openxmlformats.org/officeDocument/2006/relationships/hyperlink" Target="http://www.legislation.act.gov.au/a/2008-36" TargetMode="External"/><Relationship Id="rId553" Type="http://schemas.openxmlformats.org/officeDocument/2006/relationships/hyperlink" Target="http://www.legislation.act.gov.au/a/2005-39" TargetMode="External"/><Relationship Id="rId760" Type="http://schemas.openxmlformats.org/officeDocument/2006/relationships/hyperlink" Target="http://www.legislation.act.gov.au/a/2006-16" TargetMode="External"/><Relationship Id="rId998" Type="http://schemas.openxmlformats.org/officeDocument/2006/relationships/hyperlink" Target="http://www.legislation.act.gov.au/a/2008-37" TargetMode="External"/><Relationship Id="rId192" Type="http://schemas.openxmlformats.org/officeDocument/2006/relationships/hyperlink" Target="http://www.legislation.act.gov.au/a/2013-7/default.asp" TargetMode="External"/><Relationship Id="rId206" Type="http://schemas.openxmlformats.org/officeDocument/2006/relationships/hyperlink" Target="http://www.legislation.act.gov.au/a/2017-5/default.asp" TargetMode="External"/><Relationship Id="rId413" Type="http://schemas.openxmlformats.org/officeDocument/2006/relationships/hyperlink" Target="http://www.legislation.act.gov.au/a/2008-36" TargetMode="External"/><Relationship Id="rId858" Type="http://schemas.openxmlformats.org/officeDocument/2006/relationships/hyperlink" Target="http://www.legislation.act.gov.au/a/2011-31" TargetMode="External"/><Relationship Id="rId1043" Type="http://schemas.openxmlformats.org/officeDocument/2006/relationships/hyperlink" Target="http://www.legislation.act.gov.au/a/2017-28/default.asp" TargetMode="External"/><Relationship Id="rId497" Type="http://schemas.openxmlformats.org/officeDocument/2006/relationships/hyperlink" Target="http://www.legislation.act.gov.au/a/2008-36" TargetMode="External"/><Relationship Id="rId620" Type="http://schemas.openxmlformats.org/officeDocument/2006/relationships/hyperlink" Target="http://www.legislation.act.gov.au/a/2001-44" TargetMode="External"/><Relationship Id="rId718" Type="http://schemas.openxmlformats.org/officeDocument/2006/relationships/hyperlink" Target="http://www.legislation.act.gov.au/a/2008-28" TargetMode="External"/><Relationship Id="rId925" Type="http://schemas.openxmlformats.org/officeDocument/2006/relationships/hyperlink" Target="http://www.legislation.act.gov.au/a/2008-36" TargetMode="External"/><Relationship Id="rId357" Type="http://schemas.openxmlformats.org/officeDocument/2006/relationships/hyperlink" Target="http://www.legislation.act.gov.au/a/2005-39" TargetMode="External"/><Relationship Id="rId54" Type="http://schemas.openxmlformats.org/officeDocument/2006/relationships/hyperlink" Target="http://www.legislation.act.gov.au/a/2008-35" TargetMode="External"/><Relationship Id="rId217" Type="http://schemas.openxmlformats.org/officeDocument/2006/relationships/hyperlink" Target="http://www.legislation.act.gov.au/a/2004-58" TargetMode="External"/><Relationship Id="rId564" Type="http://schemas.openxmlformats.org/officeDocument/2006/relationships/hyperlink" Target="http://www.legislation.act.gov.au/a/2011-31" TargetMode="External"/><Relationship Id="rId771" Type="http://schemas.openxmlformats.org/officeDocument/2006/relationships/hyperlink" Target="http://www.legislation.act.gov.au/a/2017-28/default.asp" TargetMode="External"/><Relationship Id="rId869" Type="http://schemas.openxmlformats.org/officeDocument/2006/relationships/hyperlink" Target="http://www.legislation.act.gov.au/a/2016-50/default.asp" TargetMode="External"/><Relationship Id="rId424" Type="http://schemas.openxmlformats.org/officeDocument/2006/relationships/hyperlink" Target="http://www.legislation.act.gov.au/a/2015-6" TargetMode="External"/><Relationship Id="rId631" Type="http://schemas.openxmlformats.org/officeDocument/2006/relationships/hyperlink" Target="http://www.legislation.act.gov.au/a/2004-58" TargetMode="External"/><Relationship Id="rId729" Type="http://schemas.openxmlformats.org/officeDocument/2006/relationships/hyperlink" Target="http://www.legislation.act.gov.au/a/2008-36" TargetMode="External"/><Relationship Id="rId1054" Type="http://schemas.openxmlformats.org/officeDocument/2006/relationships/hyperlink" Target="http://www.legislation.act.gov.au/a/2018-20/default.asp" TargetMode="External"/><Relationship Id="rId270" Type="http://schemas.openxmlformats.org/officeDocument/2006/relationships/hyperlink" Target="http://www.legislation.act.gov.au/a/2013-44" TargetMode="External"/><Relationship Id="rId936" Type="http://schemas.openxmlformats.org/officeDocument/2006/relationships/hyperlink" Target="http://www.legislation.act.gov.au/a/2000-17" TargetMode="External"/><Relationship Id="rId65" Type="http://schemas.openxmlformats.org/officeDocument/2006/relationships/hyperlink" Target="http://www.legislation.act.gov.au/a/1930-21" TargetMode="External"/><Relationship Id="rId130" Type="http://schemas.openxmlformats.org/officeDocument/2006/relationships/hyperlink" Target="http://www.legislation.act.gov.au/a/1996-22" TargetMode="External"/><Relationship Id="rId368" Type="http://schemas.openxmlformats.org/officeDocument/2006/relationships/hyperlink" Target="http://www.legislation.act.gov.au/a/2005-39" TargetMode="External"/><Relationship Id="rId575" Type="http://schemas.openxmlformats.org/officeDocument/2006/relationships/hyperlink" Target="http://www.legislation.act.gov.au/a/2000-17" TargetMode="External"/><Relationship Id="rId782" Type="http://schemas.openxmlformats.org/officeDocument/2006/relationships/hyperlink" Target="http://www.legislation.act.gov.au/a/2018-20/default.asp" TargetMode="External"/><Relationship Id="rId228" Type="http://schemas.openxmlformats.org/officeDocument/2006/relationships/hyperlink" Target="http://www.legislation.act.gov.au/a/1997-122" TargetMode="External"/><Relationship Id="rId435" Type="http://schemas.openxmlformats.org/officeDocument/2006/relationships/hyperlink" Target="http://www.legislation.act.gov.au/a/2008-36" TargetMode="External"/><Relationship Id="rId642" Type="http://schemas.openxmlformats.org/officeDocument/2006/relationships/hyperlink" Target="http://www.legislation.act.gov.au/a/2005-39" TargetMode="External"/><Relationship Id="rId1065" Type="http://schemas.openxmlformats.org/officeDocument/2006/relationships/footer" Target="footer22.xml"/><Relationship Id="rId281" Type="http://schemas.openxmlformats.org/officeDocument/2006/relationships/hyperlink" Target="http://www.legislation.act.gov.au/a/2005-60" TargetMode="External"/><Relationship Id="rId502" Type="http://schemas.openxmlformats.org/officeDocument/2006/relationships/hyperlink" Target="http://www.legislation.act.gov.au/a/2008-36" TargetMode="External"/><Relationship Id="rId947" Type="http://schemas.openxmlformats.org/officeDocument/2006/relationships/hyperlink" Target="http://www.legislation.act.gov.au/a/2002-27" TargetMode="External"/><Relationship Id="rId76" Type="http://schemas.openxmlformats.org/officeDocument/2006/relationships/hyperlink" Target="http://www.legislation.act.gov.au/a/2008-35" TargetMode="External"/><Relationship Id="rId141" Type="http://schemas.openxmlformats.org/officeDocument/2006/relationships/hyperlink" Target="http://www.legislation.act.gov.au/a/2000-1" TargetMode="External"/><Relationship Id="rId379" Type="http://schemas.openxmlformats.org/officeDocument/2006/relationships/hyperlink" Target="http://www.legislation.act.gov.au/a/2018-20/default.asp" TargetMode="External"/><Relationship Id="rId586" Type="http://schemas.openxmlformats.org/officeDocument/2006/relationships/hyperlink" Target="http://www.legislation.act.gov.au/a/2008-36" TargetMode="External"/><Relationship Id="rId793" Type="http://schemas.openxmlformats.org/officeDocument/2006/relationships/hyperlink" Target="http://www.legislation.act.gov.au/a/2004-58" TargetMode="External"/><Relationship Id="rId807" Type="http://schemas.openxmlformats.org/officeDocument/2006/relationships/hyperlink" Target="http://www.legislation.act.gov.au/a/2005-39" TargetMode="External"/><Relationship Id="rId7" Type="http://schemas.openxmlformats.org/officeDocument/2006/relationships/endnotes" Target="endnotes.xml"/><Relationship Id="rId239" Type="http://schemas.openxmlformats.org/officeDocument/2006/relationships/hyperlink" Target="http://www.legislation.act.gov.au/a/2004-58" TargetMode="External"/><Relationship Id="rId446" Type="http://schemas.openxmlformats.org/officeDocument/2006/relationships/hyperlink" Target="http://www.legislation.act.gov.au/a/2001-44" TargetMode="External"/><Relationship Id="rId653" Type="http://schemas.openxmlformats.org/officeDocument/2006/relationships/hyperlink" Target="http://www.legislation.act.gov.au/a/2011-31" TargetMode="External"/><Relationship Id="rId292" Type="http://schemas.openxmlformats.org/officeDocument/2006/relationships/hyperlink" Target="http://www.legislation.act.gov.au/a/2013-44" TargetMode="External"/><Relationship Id="rId306" Type="http://schemas.openxmlformats.org/officeDocument/2006/relationships/hyperlink" Target="http://www.legislation.act.gov.au/a/2012-21" TargetMode="External"/><Relationship Id="rId860" Type="http://schemas.openxmlformats.org/officeDocument/2006/relationships/hyperlink" Target="http://www.legislation.act.gov.au/a/1997-122" TargetMode="External"/><Relationship Id="rId958" Type="http://schemas.openxmlformats.org/officeDocument/2006/relationships/hyperlink" Target="http://www.legislation.act.gov.au/a/2004-60" TargetMode="External"/><Relationship Id="rId87" Type="http://schemas.openxmlformats.org/officeDocument/2006/relationships/hyperlink" Target="http://www.comlaw.gov.au/Series/C2004A03712" TargetMode="External"/><Relationship Id="rId513" Type="http://schemas.openxmlformats.org/officeDocument/2006/relationships/hyperlink" Target="http://www.legislation.act.gov.au/a/2008-36" TargetMode="External"/><Relationship Id="rId597" Type="http://schemas.openxmlformats.org/officeDocument/2006/relationships/hyperlink" Target="http://www.legislation.act.gov.au/a/2003-48" TargetMode="External"/><Relationship Id="rId720" Type="http://schemas.openxmlformats.org/officeDocument/2006/relationships/hyperlink" Target="http://www.legislation.act.gov.au/a/2008-28" TargetMode="External"/><Relationship Id="rId818" Type="http://schemas.openxmlformats.org/officeDocument/2006/relationships/hyperlink" Target="http://www.legislation.act.gov.au/a/2004-58" TargetMode="External"/><Relationship Id="rId152" Type="http://schemas.openxmlformats.org/officeDocument/2006/relationships/hyperlink" Target="http://www.legislation.act.gov.au/a/2004-58" TargetMode="External"/><Relationship Id="rId457" Type="http://schemas.openxmlformats.org/officeDocument/2006/relationships/hyperlink" Target="http://www.legislation.act.gov.au/a/2008-36" TargetMode="External"/><Relationship Id="rId1003" Type="http://schemas.openxmlformats.org/officeDocument/2006/relationships/hyperlink" Target="http://www.legislation.act.gov.au/a/2009-7" TargetMode="External"/><Relationship Id="rId664" Type="http://schemas.openxmlformats.org/officeDocument/2006/relationships/hyperlink" Target="http://www.legislation.act.gov.au/a/2008-36" TargetMode="External"/><Relationship Id="rId871" Type="http://schemas.openxmlformats.org/officeDocument/2006/relationships/hyperlink" Target="http://www.legislation.act.gov.au/a/2011-31" TargetMode="External"/><Relationship Id="rId969" Type="http://schemas.openxmlformats.org/officeDocument/2006/relationships/hyperlink" Target="http://www.legislation.act.gov.au/a/2005-54"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7-32/default.asp" TargetMode="External"/><Relationship Id="rId524" Type="http://schemas.openxmlformats.org/officeDocument/2006/relationships/hyperlink" Target="http://www.legislation.act.gov.au/a/1998-5" TargetMode="External"/><Relationship Id="rId731" Type="http://schemas.openxmlformats.org/officeDocument/2006/relationships/hyperlink" Target="http://www.legislation.act.gov.au/a/2005-39"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05-53" TargetMode="External"/><Relationship Id="rId370" Type="http://schemas.openxmlformats.org/officeDocument/2006/relationships/hyperlink" Target="http://www.legislation.act.gov.au/a/2018-20/default.asp" TargetMode="External"/><Relationship Id="rId829" Type="http://schemas.openxmlformats.org/officeDocument/2006/relationships/hyperlink" Target="http://www.legislation.act.gov.au/a/2011-22" TargetMode="External"/><Relationship Id="rId1014" Type="http://schemas.openxmlformats.org/officeDocument/2006/relationships/hyperlink" Target="http://www.legislation.act.gov.au/a/2011-31" TargetMode="External"/><Relationship Id="rId230" Type="http://schemas.openxmlformats.org/officeDocument/2006/relationships/hyperlink" Target="http://www.legislation.act.gov.au/a/2004-58" TargetMode="External"/><Relationship Id="rId468" Type="http://schemas.openxmlformats.org/officeDocument/2006/relationships/hyperlink" Target="http://www.legislation.act.gov.au/a/2004-58" TargetMode="External"/><Relationship Id="rId675" Type="http://schemas.openxmlformats.org/officeDocument/2006/relationships/hyperlink" Target="http://www.legislation.act.gov.au/a/2008-36" TargetMode="External"/><Relationship Id="rId882" Type="http://schemas.openxmlformats.org/officeDocument/2006/relationships/hyperlink" Target="http://www.legislation.act.gov.au/a/2011-28" TargetMode="External"/><Relationship Id="rId25" Type="http://schemas.openxmlformats.org/officeDocument/2006/relationships/header" Target="header5.xml"/><Relationship Id="rId328" Type="http://schemas.openxmlformats.org/officeDocument/2006/relationships/hyperlink" Target="http://www.legislation.act.gov.au/a/2011-22" TargetMode="External"/><Relationship Id="rId535" Type="http://schemas.openxmlformats.org/officeDocument/2006/relationships/hyperlink" Target="http://www.legislation.act.gov.au/a/2008-36" TargetMode="External"/><Relationship Id="rId742" Type="http://schemas.openxmlformats.org/officeDocument/2006/relationships/hyperlink" Target="http://www.legislation.act.gov.au/a/2005-54" TargetMode="External"/><Relationship Id="rId174" Type="http://schemas.openxmlformats.org/officeDocument/2006/relationships/hyperlink" Target="http://www.legislation.act.gov.au/a/2008-22" TargetMode="External"/><Relationship Id="rId381" Type="http://schemas.openxmlformats.org/officeDocument/2006/relationships/hyperlink" Target="http://www.legislation.act.gov.au/a/2008-22" TargetMode="External"/><Relationship Id="rId602" Type="http://schemas.openxmlformats.org/officeDocument/2006/relationships/hyperlink" Target="http://www.legislation.act.gov.au/a/2014-49" TargetMode="External"/><Relationship Id="rId1025" Type="http://schemas.openxmlformats.org/officeDocument/2006/relationships/hyperlink" Target="http://www.legislation.act.gov.au/a/2013-44" TargetMode="External"/><Relationship Id="rId241" Type="http://schemas.openxmlformats.org/officeDocument/2006/relationships/hyperlink" Target="http://www.legislation.act.gov.au/a/2004-58" TargetMode="External"/><Relationship Id="rId479" Type="http://schemas.openxmlformats.org/officeDocument/2006/relationships/hyperlink" Target="http://www.legislation.act.gov.au/a/2019-5/" TargetMode="External"/><Relationship Id="rId686" Type="http://schemas.openxmlformats.org/officeDocument/2006/relationships/hyperlink" Target="http://www.legislation.act.gov.au/a/2004-58" TargetMode="External"/><Relationship Id="rId893" Type="http://schemas.openxmlformats.org/officeDocument/2006/relationships/hyperlink" Target="http://www.legislation.act.gov.au/a/2004-58" TargetMode="External"/><Relationship Id="rId907" Type="http://schemas.openxmlformats.org/officeDocument/2006/relationships/hyperlink" Target="http://www.legislation.act.gov.au/a/2004-58" TargetMode="External"/><Relationship Id="rId36" Type="http://schemas.openxmlformats.org/officeDocument/2006/relationships/hyperlink" Target="http://www.comlaw.gov.au/Series/C2004A05206" TargetMode="External"/><Relationship Id="rId339" Type="http://schemas.openxmlformats.org/officeDocument/2006/relationships/hyperlink" Target="http://www.legislation.act.gov.au/a/2008-36" TargetMode="External"/><Relationship Id="rId546" Type="http://schemas.openxmlformats.org/officeDocument/2006/relationships/hyperlink" Target="http://www.legislation.act.gov.au/a/2016-50/default.asp" TargetMode="External"/><Relationship Id="rId753" Type="http://schemas.openxmlformats.org/officeDocument/2006/relationships/hyperlink" Target="http://www.legislation.act.gov.au/a/2017-32/default.asp" TargetMode="External"/><Relationship Id="rId101" Type="http://schemas.openxmlformats.org/officeDocument/2006/relationships/hyperlink" Target="http://www.legislation.act.gov.au/a/2001-14" TargetMode="External"/><Relationship Id="rId185" Type="http://schemas.openxmlformats.org/officeDocument/2006/relationships/hyperlink" Target="http://www.legislation.act.gov.au/a/2010-32" TargetMode="External"/><Relationship Id="rId406" Type="http://schemas.openxmlformats.org/officeDocument/2006/relationships/hyperlink" Target="http://www.legislation.act.gov.au/a/2008-28" TargetMode="External"/><Relationship Id="rId960" Type="http://schemas.openxmlformats.org/officeDocument/2006/relationships/hyperlink" Target="http://www.legislation.act.gov.au/a/2004-60" TargetMode="External"/><Relationship Id="rId1036" Type="http://schemas.openxmlformats.org/officeDocument/2006/relationships/hyperlink" Target="http://www.legislation.act.gov.au/a/2017-10/default.asp" TargetMode="External"/><Relationship Id="rId392" Type="http://schemas.openxmlformats.org/officeDocument/2006/relationships/hyperlink" Target="http://www.legislation.act.gov.au/a/2004-58" TargetMode="External"/><Relationship Id="rId613" Type="http://schemas.openxmlformats.org/officeDocument/2006/relationships/hyperlink" Target="http://www.legislation.act.gov.au/a/2017-32/default.asp" TargetMode="External"/><Relationship Id="rId697" Type="http://schemas.openxmlformats.org/officeDocument/2006/relationships/hyperlink" Target="http://www.legislation.act.gov.au/a/2008-36" TargetMode="External"/><Relationship Id="rId820" Type="http://schemas.openxmlformats.org/officeDocument/2006/relationships/hyperlink" Target="http://www.legislation.act.gov.au/a/2004-58" TargetMode="External"/><Relationship Id="rId918" Type="http://schemas.openxmlformats.org/officeDocument/2006/relationships/hyperlink" Target="http://www.legislation.act.gov.au/a/2008-36" TargetMode="External"/><Relationship Id="rId252" Type="http://schemas.openxmlformats.org/officeDocument/2006/relationships/hyperlink" Target="http://www.legislation.act.gov.au/a/2004-58" TargetMode="External"/><Relationship Id="rId47" Type="http://schemas.openxmlformats.org/officeDocument/2006/relationships/hyperlink" Target="http://www.legislation.act.gov.au/a/1996-22" TargetMode="External"/><Relationship Id="rId112" Type="http://schemas.openxmlformats.org/officeDocument/2006/relationships/hyperlink" Target="http://www.legislation.act.gov.au/a/2001-10" TargetMode="External"/><Relationship Id="rId557" Type="http://schemas.openxmlformats.org/officeDocument/2006/relationships/hyperlink" Target="http://www.legislation.act.gov.au/a/2008-36" TargetMode="External"/><Relationship Id="rId764" Type="http://schemas.openxmlformats.org/officeDocument/2006/relationships/hyperlink" Target="http://www.legislation.act.gov.au/a/2016-50/default.asp" TargetMode="External"/><Relationship Id="rId971" Type="http://schemas.openxmlformats.org/officeDocument/2006/relationships/hyperlink" Target="http://www.legislation.act.gov.au/a/2005-60" TargetMode="External"/><Relationship Id="rId196" Type="http://schemas.openxmlformats.org/officeDocument/2006/relationships/hyperlink" Target="http://www.legislation.act.gov.au/a/2014-49" TargetMode="External"/><Relationship Id="rId417" Type="http://schemas.openxmlformats.org/officeDocument/2006/relationships/hyperlink" Target="http://www.legislation.act.gov.au/a/2008-36" TargetMode="External"/><Relationship Id="rId624" Type="http://schemas.openxmlformats.org/officeDocument/2006/relationships/hyperlink" Target="http://www.legislation.act.gov.au/a/2018-20/default.asp" TargetMode="External"/><Relationship Id="rId831" Type="http://schemas.openxmlformats.org/officeDocument/2006/relationships/hyperlink" Target="http://www.legislation.act.gov.au/a/2013-44" TargetMode="External"/><Relationship Id="rId1047" Type="http://schemas.openxmlformats.org/officeDocument/2006/relationships/hyperlink" Target="http://www.legislation.act.gov.au/a/2017-32/default.asp" TargetMode="External"/><Relationship Id="rId263" Type="http://schemas.openxmlformats.org/officeDocument/2006/relationships/hyperlink" Target="http://www.legislation.act.gov.au/a/2004-58" TargetMode="External"/><Relationship Id="rId470" Type="http://schemas.openxmlformats.org/officeDocument/2006/relationships/hyperlink" Target="http://www.legislation.act.gov.au/a/2019-5/" TargetMode="External"/><Relationship Id="rId929" Type="http://schemas.openxmlformats.org/officeDocument/2006/relationships/hyperlink" Target="http://www.legislation.act.gov.au/a/1997-96" TargetMode="External"/><Relationship Id="rId58" Type="http://schemas.openxmlformats.org/officeDocument/2006/relationships/footer" Target="footer8.xm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01-44" TargetMode="External"/><Relationship Id="rId568" Type="http://schemas.openxmlformats.org/officeDocument/2006/relationships/hyperlink" Target="http://www.legislation.act.gov.au/a/2011-31" TargetMode="External"/><Relationship Id="rId775" Type="http://schemas.openxmlformats.org/officeDocument/2006/relationships/hyperlink" Target="http://www.legislation.act.gov.au/a/2018-20/default.asp" TargetMode="External"/><Relationship Id="rId982" Type="http://schemas.openxmlformats.org/officeDocument/2006/relationships/hyperlink" Target="http://www.legislation.act.gov.au/a/2006-16" TargetMode="External"/><Relationship Id="rId428" Type="http://schemas.openxmlformats.org/officeDocument/2006/relationships/hyperlink" Target="http://www.legislation.act.gov.au/a/2004-58" TargetMode="External"/><Relationship Id="rId635" Type="http://schemas.openxmlformats.org/officeDocument/2006/relationships/hyperlink" Target="http://www.legislation.act.gov.au/a/2004-58" TargetMode="External"/><Relationship Id="rId842" Type="http://schemas.openxmlformats.org/officeDocument/2006/relationships/hyperlink" Target="http://www.legislation.act.gov.au/a/2008-36" TargetMode="External"/><Relationship Id="rId1058" Type="http://schemas.openxmlformats.org/officeDocument/2006/relationships/hyperlink" Target="http://www.legislation.act.gov.au/a/2001-14" TargetMode="External"/><Relationship Id="rId274" Type="http://schemas.openxmlformats.org/officeDocument/2006/relationships/hyperlink" Target="http://www.legislation.act.gov.au/a/2004-58" TargetMode="External"/><Relationship Id="rId481" Type="http://schemas.openxmlformats.org/officeDocument/2006/relationships/hyperlink" Target="http://www.legislation.act.gov.au/a/2004-58" TargetMode="External"/><Relationship Id="rId702" Type="http://schemas.openxmlformats.org/officeDocument/2006/relationships/hyperlink" Target="http://www.legislation.act.gov.au/a/2008-28" TargetMode="External"/><Relationship Id="rId69" Type="http://schemas.openxmlformats.org/officeDocument/2006/relationships/header" Target="header8.xml"/><Relationship Id="rId134" Type="http://schemas.openxmlformats.org/officeDocument/2006/relationships/footer" Target="footer19.xml"/><Relationship Id="rId579" Type="http://schemas.openxmlformats.org/officeDocument/2006/relationships/hyperlink" Target="http://www.legislation.act.gov.au/a/2011-31" TargetMode="External"/><Relationship Id="rId786" Type="http://schemas.openxmlformats.org/officeDocument/2006/relationships/hyperlink" Target="http://www.legislation.act.gov.au/a/2001-17" TargetMode="External"/><Relationship Id="rId993" Type="http://schemas.openxmlformats.org/officeDocument/2006/relationships/hyperlink" Target="http://www.legislation.act.gov.au/a/2008-7" TargetMode="External"/><Relationship Id="rId341" Type="http://schemas.openxmlformats.org/officeDocument/2006/relationships/hyperlink" Target="http://www.legislation.act.gov.au/a/2016-50/default.asp" TargetMode="External"/><Relationship Id="rId439" Type="http://schemas.openxmlformats.org/officeDocument/2006/relationships/hyperlink" Target="http://www.legislation.act.gov.au/a/2004-58" TargetMode="External"/><Relationship Id="rId646" Type="http://schemas.openxmlformats.org/officeDocument/2006/relationships/hyperlink" Target="http://www.legislation.act.gov.au/a/2011-31" TargetMode="External"/><Relationship Id="rId1069" Type="http://schemas.openxmlformats.org/officeDocument/2006/relationships/header" Target="header21.xml"/><Relationship Id="rId201" Type="http://schemas.openxmlformats.org/officeDocument/2006/relationships/hyperlink" Target="http://www.legislation.act.gov.au/a/2016-42/default.asp" TargetMode="External"/><Relationship Id="rId285" Type="http://schemas.openxmlformats.org/officeDocument/2006/relationships/hyperlink" Target="http://www.legislation.act.gov.au/a/2008-36" TargetMode="External"/><Relationship Id="rId506" Type="http://schemas.openxmlformats.org/officeDocument/2006/relationships/hyperlink" Target="http://www.legislation.act.gov.au/a/2000-1" TargetMode="External"/><Relationship Id="rId853" Type="http://schemas.openxmlformats.org/officeDocument/2006/relationships/hyperlink" Target="http://www.legislation.act.gov.au/a/2008-22" TargetMode="External"/><Relationship Id="rId492" Type="http://schemas.openxmlformats.org/officeDocument/2006/relationships/hyperlink" Target="http://www.legislation.act.gov.au/a/2004-58" TargetMode="External"/><Relationship Id="rId713" Type="http://schemas.openxmlformats.org/officeDocument/2006/relationships/hyperlink" Target="http://www.legislation.act.gov.au/a/2008-28" TargetMode="External"/><Relationship Id="rId797" Type="http://schemas.openxmlformats.org/officeDocument/2006/relationships/hyperlink" Target="http://www.legislation.act.gov.au/a/2004-58" TargetMode="External"/><Relationship Id="rId920" Type="http://schemas.openxmlformats.org/officeDocument/2006/relationships/hyperlink" Target="http://www.legislation.act.gov.au/a/2004-58" TargetMode="External"/><Relationship Id="rId145" Type="http://schemas.openxmlformats.org/officeDocument/2006/relationships/hyperlink" Target="http://www.legislation.act.gov.au/a/2002-11" TargetMode="External"/><Relationship Id="rId352" Type="http://schemas.openxmlformats.org/officeDocument/2006/relationships/hyperlink" Target="http://www.legislation.act.gov.au/a/2016-50/default.asp" TargetMode="External"/><Relationship Id="rId212" Type="http://schemas.openxmlformats.org/officeDocument/2006/relationships/hyperlink" Target="http://www.legislation.act.gov.au/a/2018-20/default.asp" TargetMode="External"/><Relationship Id="rId657" Type="http://schemas.openxmlformats.org/officeDocument/2006/relationships/hyperlink" Target="http://www.legislation.act.gov.au/a/2005-39" TargetMode="External"/><Relationship Id="rId864" Type="http://schemas.openxmlformats.org/officeDocument/2006/relationships/hyperlink" Target="http://www.legislation.act.gov.au/a/2005-39" TargetMode="External"/><Relationship Id="rId296" Type="http://schemas.openxmlformats.org/officeDocument/2006/relationships/hyperlink" Target="http://www.legislation.act.gov.au/a/2017-28/default.asp" TargetMode="External"/><Relationship Id="rId517" Type="http://schemas.openxmlformats.org/officeDocument/2006/relationships/hyperlink" Target="http://www.legislation.act.gov.au/a/2004-58" TargetMode="External"/><Relationship Id="rId724" Type="http://schemas.openxmlformats.org/officeDocument/2006/relationships/hyperlink" Target="http://www.legislation.act.gov.au/a/2008-36" TargetMode="External"/><Relationship Id="rId931" Type="http://schemas.openxmlformats.org/officeDocument/2006/relationships/hyperlink" Target="http://www.legislation.act.gov.au/a/1998-5"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cn/2004-29/default.asp" TargetMode="External"/><Relationship Id="rId363" Type="http://schemas.openxmlformats.org/officeDocument/2006/relationships/hyperlink" Target="http://www.legislation.act.gov.au/a/2019-5/" TargetMode="External"/><Relationship Id="rId570" Type="http://schemas.openxmlformats.org/officeDocument/2006/relationships/hyperlink" Target="http://www.legislation.act.gov.au/a/2000-17" TargetMode="External"/><Relationship Id="rId1007" Type="http://schemas.openxmlformats.org/officeDocument/2006/relationships/hyperlink" Target="http://www.legislation.act.gov.au/a/2009-44" TargetMode="External"/><Relationship Id="rId223" Type="http://schemas.openxmlformats.org/officeDocument/2006/relationships/hyperlink" Target="http://www.legislation.act.gov.au/a/2004-58" TargetMode="External"/><Relationship Id="rId430" Type="http://schemas.openxmlformats.org/officeDocument/2006/relationships/hyperlink" Target="http://www.legislation.act.gov.au/a/2001-44" TargetMode="External"/><Relationship Id="rId668" Type="http://schemas.openxmlformats.org/officeDocument/2006/relationships/hyperlink" Target="http://www.legislation.act.gov.au/a/2005-39" TargetMode="External"/><Relationship Id="rId875" Type="http://schemas.openxmlformats.org/officeDocument/2006/relationships/hyperlink" Target="http://www.legislation.act.gov.au/a/2008-36" TargetMode="External"/><Relationship Id="rId1060" Type="http://schemas.openxmlformats.org/officeDocument/2006/relationships/header" Target="header17.xml"/><Relationship Id="rId18" Type="http://schemas.openxmlformats.org/officeDocument/2006/relationships/header" Target="header1.xml"/><Relationship Id="rId528" Type="http://schemas.openxmlformats.org/officeDocument/2006/relationships/hyperlink" Target="http://www.legislation.act.gov.au/a/2008-36" TargetMode="External"/><Relationship Id="rId735" Type="http://schemas.openxmlformats.org/officeDocument/2006/relationships/hyperlink" Target="http://www.legislation.act.gov.au/a/2008-36" TargetMode="External"/><Relationship Id="rId942" Type="http://schemas.openxmlformats.org/officeDocument/2006/relationships/hyperlink" Target="http://www.legislation.act.gov.au/a/2000-17" TargetMode="External"/><Relationship Id="rId167" Type="http://schemas.openxmlformats.org/officeDocument/2006/relationships/hyperlink" Target="http://www.legislation.act.gov.au/a/2006-24" TargetMode="External"/><Relationship Id="rId374" Type="http://schemas.openxmlformats.org/officeDocument/2006/relationships/hyperlink" Target="http://www.legislation.act.gov.au/a/2011-28" TargetMode="External"/><Relationship Id="rId581" Type="http://schemas.openxmlformats.org/officeDocument/2006/relationships/hyperlink" Target="http://www.legislation.act.gov.au/a/2008-36" TargetMode="External"/><Relationship Id="rId1018" Type="http://schemas.openxmlformats.org/officeDocument/2006/relationships/hyperlink" Target="http://www.legislation.act.gov.au/a/2012-21/default.asp" TargetMode="External"/><Relationship Id="rId71" Type="http://schemas.openxmlformats.org/officeDocument/2006/relationships/footer" Target="footer10.xml"/><Relationship Id="rId234" Type="http://schemas.openxmlformats.org/officeDocument/2006/relationships/hyperlink" Target="http://www.legislation.act.gov.au/a/2004-58" TargetMode="External"/><Relationship Id="rId679" Type="http://schemas.openxmlformats.org/officeDocument/2006/relationships/hyperlink" Target="http://www.legislation.act.gov.au/a/2008-28" TargetMode="External"/><Relationship Id="rId802" Type="http://schemas.openxmlformats.org/officeDocument/2006/relationships/hyperlink" Target="http://www.legislation.act.gov.au/a/2016-50/default.asp" TargetMode="External"/><Relationship Id="rId886" Type="http://schemas.openxmlformats.org/officeDocument/2006/relationships/hyperlink" Target="http://www.legislation.act.gov.au/a/2004-58" TargetMode="External"/><Relationship Id="rId2" Type="http://schemas.openxmlformats.org/officeDocument/2006/relationships/numbering" Target="numbering.xml"/><Relationship Id="rId29" Type="http://schemas.openxmlformats.org/officeDocument/2006/relationships/hyperlink" Target="http://www.legislation.act.gov.au/a/2004-12" TargetMode="External"/><Relationship Id="rId276" Type="http://schemas.openxmlformats.org/officeDocument/2006/relationships/hyperlink" Target="http://www.legislation.act.gov.au/a/2005-39" TargetMode="External"/><Relationship Id="rId441" Type="http://schemas.openxmlformats.org/officeDocument/2006/relationships/hyperlink" Target="http://www.legislation.act.gov.au/a/2016-50/default.asp" TargetMode="External"/><Relationship Id="rId483" Type="http://schemas.openxmlformats.org/officeDocument/2006/relationships/hyperlink" Target="http://www.legislation.act.gov.au/a/2004-58" TargetMode="External"/><Relationship Id="rId539" Type="http://schemas.openxmlformats.org/officeDocument/2006/relationships/hyperlink" Target="http://www.legislation.act.gov.au/a/2008-36" TargetMode="External"/><Relationship Id="rId690" Type="http://schemas.openxmlformats.org/officeDocument/2006/relationships/hyperlink" Target="http://www.legislation.act.gov.au/a/2008-36" TargetMode="External"/><Relationship Id="rId704" Type="http://schemas.openxmlformats.org/officeDocument/2006/relationships/hyperlink" Target="http://www.legislation.act.gov.au/a/2008-36" TargetMode="External"/><Relationship Id="rId746" Type="http://schemas.openxmlformats.org/officeDocument/2006/relationships/hyperlink" Target="http://www.legislation.act.gov.au/a/2011-28" TargetMode="External"/><Relationship Id="rId911" Type="http://schemas.openxmlformats.org/officeDocument/2006/relationships/hyperlink" Target="http://www.legislation.act.gov.au/a/2017-32/default.asp" TargetMode="External"/><Relationship Id="rId1071" Type="http://schemas.openxmlformats.org/officeDocument/2006/relationships/fontTable" Target="fontTable.xml"/><Relationship Id="rId40" Type="http://schemas.openxmlformats.org/officeDocument/2006/relationships/hyperlink" Target="http://www.legislation.act.gov.au/a/2004-11" TargetMode="External"/><Relationship Id="rId136" Type="http://schemas.openxmlformats.org/officeDocument/2006/relationships/hyperlink" Target="http://www.legislation.act.gov.au/a/1997-96" TargetMode="External"/><Relationship Id="rId178" Type="http://schemas.openxmlformats.org/officeDocument/2006/relationships/hyperlink" Target="http://www.legislation.act.gov.au/cn/2009-2/default.asp" TargetMode="External"/><Relationship Id="rId301" Type="http://schemas.openxmlformats.org/officeDocument/2006/relationships/hyperlink" Target="http://www.legislation.act.gov.au/a/2006-16" TargetMode="External"/><Relationship Id="rId343" Type="http://schemas.openxmlformats.org/officeDocument/2006/relationships/hyperlink" Target="http://www.legislation.act.gov.au/a/2016-50/default.asp" TargetMode="External"/><Relationship Id="rId550" Type="http://schemas.openxmlformats.org/officeDocument/2006/relationships/hyperlink" Target="http://www.legislation.act.gov.au/a/2008-36" TargetMode="External"/><Relationship Id="rId788" Type="http://schemas.openxmlformats.org/officeDocument/2006/relationships/hyperlink" Target="http://www.legislation.act.gov.au/a/2017-32/default.asp" TargetMode="External"/><Relationship Id="rId953" Type="http://schemas.openxmlformats.org/officeDocument/2006/relationships/hyperlink" Target="http://www.legislation.act.gov.au/a/2003-48" TargetMode="External"/><Relationship Id="rId995" Type="http://schemas.openxmlformats.org/officeDocument/2006/relationships/hyperlink" Target="http://www.legislation.act.gov.au/a/2008-22" TargetMode="External"/><Relationship Id="rId1029" Type="http://schemas.openxmlformats.org/officeDocument/2006/relationships/hyperlink" Target="http://www.legislation.act.gov.au/a/2015-6" TargetMode="External"/><Relationship Id="rId82" Type="http://schemas.openxmlformats.org/officeDocument/2006/relationships/hyperlink" Target="http://www.legislation.act.gov.au/a/2016-42/default.asp" TargetMode="External"/><Relationship Id="rId203" Type="http://schemas.openxmlformats.org/officeDocument/2006/relationships/hyperlink" Target="http://www.legislation.act.gov.au/a/2017-10/default.asp" TargetMode="External"/><Relationship Id="rId385" Type="http://schemas.openxmlformats.org/officeDocument/2006/relationships/hyperlink" Target="http://www.legislation.act.gov.au/a/2004-58" TargetMode="External"/><Relationship Id="rId592" Type="http://schemas.openxmlformats.org/officeDocument/2006/relationships/hyperlink" Target="http://www.legislation.act.gov.au/a/2005-53" TargetMode="External"/><Relationship Id="rId606" Type="http://schemas.openxmlformats.org/officeDocument/2006/relationships/hyperlink" Target="http://www.legislation.act.gov.au/a/2011-31" TargetMode="External"/><Relationship Id="rId648" Type="http://schemas.openxmlformats.org/officeDocument/2006/relationships/hyperlink" Target="http://www.legislation.act.gov.au/a/2011-31" TargetMode="External"/><Relationship Id="rId813" Type="http://schemas.openxmlformats.org/officeDocument/2006/relationships/hyperlink" Target="http://www.legislation.act.gov.au/a/2019-5/" TargetMode="External"/><Relationship Id="rId855" Type="http://schemas.openxmlformats.org/officeDocument/2006/relationships/hyperlink" Target="http://www.legislation.act.gov.au/a/2018-20/default.asp" TargetMode="External"/><Relationship Id="rId1040" Type="http://schemas.openxmlformats.org/officeDocument/2006/relationships/hyperlink" Target="http://www.legislation.act.gov.au/a/2017-32/default.asp" TargetMode="External"/><Relationship Id="rId245" Type="http://schemas.openxmlformats.org/officeDocument/2006/relationships/hyperlink" Target="http://www.legislation.act.gov.au/a/2004-58" TargetMode="External"/><Relationship Id="rId287" Type="http://schemas.openxmlformats.org/officeDocument/2006/relationships/hyperlink" Target="http://www.legislation.act.gov.au/a/2005-39" TargetMode="External"/><Relationship Id="rId410" Type="http://schemas.openxmlformats.org/officeDocument/2006/relationships/hyperlink" Target="http://www.legislation.act.gov.au/a/2019-17/default.asp" TargetMode="External"/><Relationship Id="rId452" Type="http://schemas.openxmlformats.org/officeDocument/2006/relationships/hyperlink" Target="http://www.legislation.act.gov.au/a/2015-6" TargetMode="External"/><Relationship Id="rId494" Type="http://schemas.openxmlformats.org/officeDocument/2006/relationships/hyperlink" Target="http://www.legislation.act.gov.au/a/2004-58" TargetMode="External"/><Relationship Id="rId508" Type="http://schemas.openxmlformats.org/officeDocument/2006/relationships/hyperlink" Target="http://www.legislation.act.gov.au/a/2004-58" TargetMode="External"/><Relationship Id="rId715" Type="http://schemas.openxmlformats.org/officeDocument/2006/relationships/hyperlink" Target="http://www.legislation.act.gov.au/a/2008-36" TargetMode="External"/><Relationship Id="rId897" Type="http://schemas.openxmlformats.org/officeDocument/2006/relationships/hyperlink" Target="http://www.legislation.act.gov.au/a/2008-36" TargetMode="External"/><Relationship Id="rId922" Type="http://schemas.openxmlformats.org/officeDocument/2006/relationships/hyperlink" Target="http://www.legislation.act.gov.au/a/2001-44"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2-30" TargetMode="External"/><Relationship Id="rId312" Type="http://schemas.openxmlformats.org/officeDocument/2006/relationships/hyperlink" Target="http://www.legislation.act.gov.au/a/2004-58" TargetMode="External"/><Relationship Id="rId354" Type="http://schemas.openxmlformats.org/officeDocument/2006/relationships/hyperlink" Target="http://www.legislation.act.gov.au/a/2008-36" TargetMode="External"/><Relationship Id="rId757" Type="http://schemas.openxmlformats.org/officeDocument/2006/relationships/hyperlink" Target="http://www.legislation.act.gov.au/a/2004-58" TargetMode="External"/><Relationship Id="rId799" Type="http://schemas.openxmlformats.org/officeDocument/2006/relationships/hyperlink" Target="http://www.legislation.act.gov.au/a/2007-8" TargetMode="External"/><Relationship Id="rId964" Type="http://schemas.openxmlformats.org/officeDocument/2006/relationships/hyperlink" Target="http://www.legislation.act.gov.au/a/2005-20" TargetMode="External"/><Relationship Id="rId51" Type="http://schemas.openxmlformats.org/officeDocument/2006/relationships/hyperlink" Target="http://www.legislation.act.gov.au/a/2008-35" TargetMode="External"/><Relationship Id="rId93" Type="http://schemas.openxmlformats.org/officeDocument/2006/relationships/hyperlink" Target="http://www.legislation.act.gov.au/a/2008-35" TargetMode="External"/><Relationship Id="rId189" Type="http://schemas.openxmlformats.org/officeDocument/2006/relationships/hyperlink" Target="http://www.legislation.act.gov.au/a/2011-41" TargetMode="External"/><Relationship Id="rId396" Type="http://schemas.openxmlformats.org/officeDocument/2006/relationships/hyperlink" Target="http://www.legislation.act.gov.au/a/2004-58" TargetMode="External"/><Relationship Id="rId561" Type="http://schemas.openxmlformats.org/officeDocument/2006/relationships/hyperlink" Target="http://www.legislation.act.gov.au/a/2011-31" TargetMode="External"/><Relationship Id="rId617" Type="http://schemas.openxmlformats.org/officeDocument/2006/relationships/hyperlink" Target="http://www.legislation.act.gov.au/a/2008-22" TargetMode="External"/><Relationship Id="rId659" Type="http://schemas.openxmlformats.org/officeDocument/2006/relationships/hyperlink" Target="http://www.legislation.act.gov.au/a/2011-31" TargetMode="External"/><Relationship Id="rId824" Type="http://schemas.openxmlformats.org/officeDocument/2006/relationships/hyperlink" Target="http://www.legislation.act.gov.au/a/2004-58" TargetMode="External"/><Relationship Id="rId866" Type="http://schemas.openxmlformats.org/officeDocument/2006/relationships/hyperlink" Target="http://www.legislation.act.gov.au/a/2004-58" TargetMode="External"/><Relationship Id="rId214" Type="http://schemas.openxmlformats.org/officeDocument/2006/relationships/hyperlink" Target="http://www.legislation.act.gov.au/cn/2019-18/" TargetMode="External"/><Relationship Id="rId256" Type="http://schemas.openxmlformats.org/officeDocument/2006/relationships/hyperlink" Target="http://www.legislation.act.gov.au/a/2005-54" TargetMode="External"/><Relationship Id="rId298" Type="http://schemas.openxmlformats.org/officeDocument/2006/relationships/hyperlink" Target="http://www.legislation.act.gov.au/a/2004-13" TargetMode="External"/><Relationship Id="rId421" Type="http://schemas.openxmlformats.org/officeDocument/2006/relationships/hyperlink" Target="http://www.legislation.act.gov.au/a/2004-58" TargetMode="External"/><Relationship Id="rId463" Type="http://schemas.openxmlformats.org/officeDocument/2006/relationships/hyperlink" Target="http://www.legislation.act.gov.au/a/2019-5/" TargetMode="External"/><Relationship Id="rId519" Type="http://schemas.openxmlformats.org/officeDocument/2006/relationships/hyperlink" Target="http://www.legislation.act.gov.au/a/2004-58" TargetMode="External"/><Relationship Id="rId670" Type="http://schemas.openxmlformats.org/officeDocument/2006/relationships/hyperlink" Target="http://www.legislation.act.gov.au/a/2011-31" TargetMode="External"/><Relationship Id="rId1051" Type="http://schemas.openxmlformats.org/officeDocument/2006/relationships/hyperlink" Target="http://www.legislation.act.gov.au/a/2018-20/default.asp" TargetMode="External"/><Relationship Id="rId116" Type="http://schemas.openxmlformats.org/officeDocument/2006/relationships/hyperlink" Target="http://www.legislation.act.gov.au/a/2016-43/default.asp" TargetMode="External"/><Relationship Id="rId158" Type="http://schemas.openxmlformats.org/officeDocument/2006/relationships/hyperlink" Target="http://www.legislation.act.gov.au/a/2004-58" TargetMode="External"/><Relationship Id="rId323" Type="http://schemas.openxmlformats.org/officeDocument/2006/relationships/hyperlink" Target="http://www.legislation.act.gov.au/a/2008-36" TargetMode="External"/><Relationship Id="rId530" Type="http://schemas.openxmlformats.org/officeDocument/2006/relationships/hyperlink" Target="http://www.legislation.act.gov.au/a/2008-36" TargetMode="External"/><Relationship Id="rId726" Type="http://schemas.openxmlformats.org/officeDocument/2006/relationships/hyperlink" Target="http://www.legislation.act.gov.au/a/2004-58" TargetMode="External"/><Relationship Id="rId768" Type="http://schemas.openxmlformats.org/officeDocument/2006/relationships/hyperlink" Target="http://www.legislation.act.gov.au/a/2016-50/default.asp" TargetMode="External"/><Relationship Id="rId933" Type="http://schemas.openxmlformats.org/officeDocument/2006/relationships/hyperlink" Target="http://www.legislation.act.gov.au/a/1999-22" TargetMode="External"/><Relationship Id="rId975" Type="http://schemas.openxmlformats.org/officeDocument/2006/relationships/hyperlink" Target="http://www.legislation.act.gov.au/a/2005-39" TargetMode="External"/><Relationship Id="rId1009" Type="http://schemas.openxmlformats.org/officeDocument/2006/relationships/hyperlink" Target="http://www.legislation.act.gov.au/a/2010-32" TargetMode="External"/><Relationship Id="rId20" Type="http://schemas.openxmlformats.org/officeDocument/2006/relationships/footer" Target="footer1.xml"/><Relationship Id="rId62" Type="http://schemas.openxmlformats.org/officeDocument/2006/relationships/hyperlink" Target="http://www.comlaw.gov.au/Series/C2004A03699" TargetMode="External"/><Relationship Id="rId365" Type="http://schemas.openxmlformats.org/officeDocument/2006/relationships/hyperlink" Target="http://www.legislation.act.gov.au/a/2016-50/default.asp" TargetMode="External"/><Relationship Id="rId572" Type="http://schemas.openxmlformats.org/officeDocument/2006/relationships/hyperlink" Target="http://www.legislation.act.gov.au/a/2008-36" TargetMode="External"/><Relationship Id="rId628" Type="http://schemas.openxmlformats.org/officeDocument/2006/relationships/hyperlink" Target="http://www.legislation.act.gov.au/a/2005-60" TargetMode="External"/><Relationship Id="rId835" Type="http://schemas.openxmlformats.org/officeDocument/2006/relationships/hyperlink" Target="http://www.legislation.act.gov.au/a/2019-5/" TargetMode="External"/><Relationship Id="rId225" Type="http://schemas.openxmlformats.org/officeDocument/2006/relationships/hyperlink" Target="http://www.legislation.act.gov.au/a/2000-17" TargetMode="External"/><Relationship Id="rId267" Type="http://schemas.openxmlformats.org/officeDocument/2006/relationships/hyperlink" Target="http://www.legislation.act.gov.au/a/2004-58" TargetMode="External"/><Relationship Id="rId432" Type="http://schemas.openxmlformats.org/officeDocument/2006/relationships/hyperlink" Target="http://www.legislation.act.gov.au/a/2017-4/default.asp" TargetMode="External"/><Relationship Id="rId474" Type="http://schemas.openxmlformats.org/officeDocument/2006/relationships/hyperlink" Target="http://www.legislation.act.gov.au/a/2019-5/" TargetMode="External"/><Relationship Id="rId877" Type="http://schemas.openxmlformats.org/officeDocument/2006/relationships/hyperlink" Target="http://www.legislation.act.gov.au/a/2004-58" TargetMode="External"/><Relationship Id="rId1020" Type="http://schemas.openxmlformats.org/officeDocument/2006/relationships/hyperlink" Target="http://www.legislation.act.gov.au/a/2013-7" TargetMode="External"/><Relationship Id="rId1062" Type="http://schemas.openxmlformats.org/officeDocument/2006/relationships/footer" Target="footer21.xml"/><Relationship Id="rId127" Type="http://schemas.openxmlformats.org/officeDocument/2006/relationships/hyperlink" Target="http://www.legislation.act.gov.au/a/2004-11" TargetMode="External"/><Relationship Id="rId681" Type="http://schemas.openxmlformats.org/officeDocument/2006/relationships/hyperlink" Target="http://www.legislation.act.gov.au/a/2008-28" TargetMode="External"/><Relationship Id="rId737" Type="http://schemas.openxmlformats.org/officeDocument/2006/relationships/hyperlink" Target="http://www.legislation.act.gov.au/a/2008-36" TargetMode="External"/><Relationship Id="rId779" Type="http://schemas.openxmlformats.org/officeDocument/2006/relationships/hyperlink" Target="http://www.legislation.act.gov.au/a/2018-20/default.asp" TargetMode="External"/><Relationship Id="rId902" Type="http://schemas.openxmlformats.org/officeDocument/2006/relationships/hyperlink" Target="http://www.legislation.act.gov.au/a/2008-36" TargetMode="External"/><Relationship Id="rId944" Type="http://schemas.openxmlformats.org/officeDocument/2006/relationships/hyperlink" Target="http://www.legislation.act.gov.au/a/2001-44" TargetMode="External"/><Relationship Id="rId986" Type="http://schemas.openxmlformats.org/officeDocument/2006/relationships/hyperlink" Target="http://www.legislation.act.gov.au/a/2006-40" TargetMode="External"/><Relationship Id="rId31" Type="http://schemas.openxmlformats.org/officeDocument/2006/relationships/hyperlink" Target="http://www.legislation.act.gov.au/a/2001-14" TargetMode="External"/><Relationship Id="rId73" Type="http://schemas.openxmlformats.org/officeDocument/2006/relationships/footer" Target="footer12.xml"/><Relationship Id="rId169" Type="http://schemas.openxmlformats.org/officeDocument/2006/relationships/hyperlink" Target="http://www.legislation.act.gov.au/a/2006-24" TargetMode="External"/><Relationship Id="rId334" Type="http://schemas.openxmlformats.org/officeDocument/2006/relationships/hyperlink" Target="http://www.legislation.act.gov.au/a/2008-36" TargetMode="External"/><Relationship Id="rId376" Type="http://schemas.openxmlformats.org/officeDocument/2006/relationships/hyperlink" Target="http://www.legislation.act.gov.au/a/2005-39" TargetMode="External"/><Relationship Id="rId541" Type="http://schemas.openxmlformats.org/officeDocument/2006/relationships/hyperlink" Target="http://www.legislation.act.gov.au/a/2016-50/default.asp" TargetMode="External"/><Relationship Id="rId583" Type="http://schemas.openxmlformats.org/officeDocument/2006/relationships/hyperlink" Target="http://www.legislation.act.gov.au/a/2004-58" TargetMode="External"/><Relationship Id="rId639" Type="http://schemas.openxmlformats.org/officeDocument/2006/relationships/hyperlink" Target="http://www.legislation.act.gov.au/a/2008-36" TargetMode="External"/><Relationship Id="rId790" Type="http://schemas.openxmlformats.org/officeDocument/2006/relationships/hyperlink" Target="http://www.legislation.act.gov.au/a/2004-58" TargetMode="External"/><Relationship Id="rId804" Type="http://schemas.openxmlformats.org/officeDocument/2006/relationships/hyperlink" Target="http://www.legislation.act.gov.au/a/2004-58" TargetMode="External"/><Relationship Id="rId4" Type="http://schemas.openxmlformats.org/officeDocument/2006/relationships/settings" Target="settings.xml"/><Relationship Id="rId180" Type="http://schemas.openxmlformats.org/officeDocument/2006/relationships/hyperlink" Target="http://www.legislation.act.gov.au/a/2008-35" TargetMode="External"/><Relationship Id="rId236" Type="http://schemas.openxmlformats.org/officeDocument/2006/relationships/hyperlink" Target="http://www.legislation.act.gov.au/a/2004-58" TargetMode="External"/><Relationship Id="rId278" Type="http://schemas.openxmlformats.org/officeDocument/2006/relationships/hyperlink" Target="http://www.legislation.act.gov.au/a/2016-50/default.asp" TargetMode="External"/><Relationship Id="rId401" Type="http://schemas.openxmlformats.org/officeDocument/2006/relationships/hyperlink" Target="http://www.legislation.act.gov.au/a/2008-36" TargetMode="External"/><Relationship Id="rId443" Type="http://schemas.openxmlformats.org/officeDocument/2006/relationships/hyperlink" Target="http://www.legislation.act.gov.au/a/2008-36" TargetMode="External"/><Relationship Id="rId650" Type="http://schemas.openxmlformats.org/officeDocument/2006/relationships/hyperlink" Target="http://www.legislation.act.gov.au/a/2011-31" TargetMode="External"/><Relationship Id="rId846" Type="http://schemas.openxmlformats.org/officeDocument/2006/relationships/hyperlink" Target="http://www.legislation.act.gov.au/a/2011-28" TargetMode="External"/><Relationship Id="rId888" Type="http://schemas.openxmlformats.org/officeDocument/2006/relationships/hyperlink" Target="http://www.legislation.act.gov.au/a/2018-20/default.asp" TargetMode="External"/><Relationship Id="rId1031" Type="http://schemas.openxmlformats.org/officeDocument/2006/relationships/hyperlink" Target="http://www.legislation.act.gov.au/a/2015-42/default.asp" TargetMode="External"/><Relationship Id="rId303" Type="http://schemas.openxmlformats.org/officeDocument/2006/relationships/hyperlink" Target="http://www.legislation.act.gov.au/a/2005-39" TargetMode="External"/><Relationship Id="rId485" Type="http://schemas.openxmlformats.org/officeDocument/2006/relationships/hyperlink" Target="http://www.legislation.act.gov.au/a/2013-44" TargetMode="External"/><Relationship Id="rId692" Type="http://schemas.openxmlformats.org/officeDocument/2006/relationships/hyperlink" Target="http://www.legislation.act.gov.au/a/2008-36" TargetMode="External"/><Relationship Id="rId706" Type="http://schemas.openxmlformats.org/officeDocument/2006/relationships/hyperlink" Target="http://www.legislation.act.gov.au/a/2008-36" TargetMode="External"/><Relationship Id="rId748" Type="http://schemas.openxmlformats.org/officeDocument/2006/relationships/hyperlink" Target="http://www.legislation.act.gov.au/a/2017-32/default.asp" TargetMode="External"/><Relationship Id="rId913" Type="http://schemas.openxmlformats.org/officeDocument/2006/relationships/hyperlink" Target="http://www.legislation.act.gov.au/a/2004-58" TargetMode="External"/><Relationship Id="rId955" Type="http://schemas.openxmlformats.org/officeDocument/2006/relationships/hyperlink" Target="http://www.legislation.act.gov.au/a/2004-13" TargetMode="External"/><Relationship Id="rId42" Type="http://schemas.openxmlformats.org/officeDocument/2006/relationships/hyperlink" Target="http://www.legislation.act.gov.au/a/2004-7" TargetMode="External"/><Relationship Id="rId84" Type="http://schemas.openxmlformats.org/officeDocument/2006/relationships/hyperlink" Target="http://www.legislation.act.gov.au/a/2016-43/default.asp" TargetMode="External"/><Relationship Id="rId138" Type="http://schemas.openxmlformats.org/officeDocument/2006/relationships/hyperlink" Target="http://www.legislation.act.gov.au/a/1998-5" TargetMode="External"/><Relationship Id="rId345" Type="http://schemas.openxmlformats.org/officeDocument/2006/relationships/hyperlink" Target="http://www.legislation.act.gov.au/a/2004-58" TargetMode="External"/><Relationship Id="rId387" Type="http://schemas.openxmlformats.org/officeDocument/2006/relationships/hyperlink" Target="http://www.legislation.act.gov.au/a/2002-30" TargetMode="External"/><Relationship Id="rId510" Type="http://schemas.openxmlformats.org/officeDocument/2006/relationships/hyperlink" Target="http://www.legislation.act.gov.au/a/2008-36" TargetMode="External"/><Relationship Id="rId552" Type="http://schemas.openxmlformats.org/officeDocument/2006/relationships/hyperlink" Target="http://www.legislation.act.gov.au/a/2011-31" TargetMode="External"/><Relationship Id="rId594" Type="http://schemas.openxmlformats.org/officeDocument/2006/relationships/hyperlink" Target="http://www.legislation.act.gov.au/a/2011-31" TargetMode="External"/><Relationship Id="rId608" Type="http://schemas.openxmlformats.org/officeDocument/2006/relationships/hyperlink" Target="http://www.legislation.act.gov.au/a/2008-36" TargetMode="External"/><Relationship Id="rId815" Type="http://schemas.openxmlformats.org/officeDocument/2006/relationships/hyperlink" Target="http://www.legislation.act.gov.au/a/2019-5/" TargetMode="External"/><Relationship Id="rId997" Type="http://schemas.openxmlformats.org/officeDocument/2006/relationships/hyperlink" Target="http://www.legislation.act.gov.au/a/2008-28" TargetMode="External"/><Relationship Id="rId191" Type="http://schemas.openxmlformats.org/officeDocument/2006/relationships/hyperlink" Target="http://www.legislation.act.gov.au/a/2012-21" TargetMode="External"/><Relationship Id="rId205" Type="http://schemas.openxmlformats.org/officeDocument/2006/relationships/hyperlink" Target="http://www.legislation.act.gov.au/a/2017-4/default.asp" TargetMode="External"/><Relationship Id="rId247" Type="http://schemas.openxmlformats.org/officeDocument/2006/relationships/hyperlink" Target="http://www.legislation.act.gov.au/a/2004-58" TargetMode="External"/><Relationship Id="rId412" Type="http://schemas.openxmlformats.org/officeDocument/2006/relationships/hyperlink" Target="http://www.legislation.act.gov.au/a/2018-20/default.asp" TargetMode="External"/><Relationship Id="rId857" Type="http://schemas.openxmlformats.org/officeDocument/2006/relationships/hyperlink" Target="http://www.legislation.act.gov.au/a/2011-31" TargetMode="External"/><Relationship Id="rId899" Type="http://schemas.openxmlformats.org/officeDocument/2006/relationships/hyperlink" Target="http://www.legislation.act.gov.au/a/2016-50/default.asp" TargetMode="External"/><Relationship Id="rId1000" Type="http://schemas.openxmlformats.org/officeDocument/2006/relationships/hyperlink" Target="http://www.legislation.act.gov.au/a/2008-37" TargetMode="External"/><Relationship Id="rId1042" Type="http://schemas.openxmlformats.org/officeDocument/2006/relationships/hyperlink" Target="http://www.legislation.act.gov.au/a/2017-28/default.asp" TargetMode="External"/><Relationship Id="rId107" Type="http://schemas.openxmlformats.org/officeDocument/2006/relationships/header" Target="header11.xml"/><Relationship Id="rId289" Type="http://schemas.openxmlformats.org/officeDocument/2006/relationships/hyperlink" Target="http://www.legislation.act.gov.au/a/2008-36" TargetMode="External"/><Relationship Id="rId454" Type="http://schemas.openxmlformats.org/officeDocument/2006/relationships/hyperlink" Target="http://www.legislation.act.gov.au/a/2001-44" TargetMode="External"/><Relationship Id="rId496" Type="http://schemas.openxmlformats.org/officeDocument/2006/relationships/hyperlink" Target="http://www.legislation.act.gov.au/a/2004-58" TargetMode="External"/><Relationship Id="rId661" Type="http://schemas.openxmlformats.org/officeDocument/2006/relationships/hyperlink" Target="http://www.legislation.act.gov.au/a/2005-39" TargetMode="External"/><Relationship Id="rId717" Type="http://schemas.openxmlformats.org/officeDocument/2006/relationships/hyperlink" Target="http://www.legislation.act.gov.au/a/2008-36" TargetMode="External"/><Relationship Id="rId759" Type="http://schemas.openxmlformats.org/officeDocument/2006/relationships/hyperlink" Target="http://www.legislation.act.gov.au/a/2006-16" TargetMode="External"/><Relationship Id="rId924" Type="http://schemas.openxmlformats.org/officeDocument/2006/relationships/hyperlink" Target="http://www.legislation.act.gov.au/a/2004-58" TargetMode="External"/><Relationship Id="rId966" Type="http://schemas.openxmlformats.org/officeDocument/2006/relationships/hyperlink" Target="http://www.legislation.act.gov.au/a/2005-43" TargetMode="External"/><Relationship Id="rId11" Type="http://schemas.openxmlformats.org/officeDocument/2006/relationships/hyperlink" Target="http://www.legislation.act.gov.au"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4-13/default.asp" TargetMode="External"/><Relationship Id="rId314" Type="http://schemas.openxmlformats.org/officeDocument/2006/relationships/hyperlink" Target="http://www.legislation.act.gov.au/a/2004-58" TargetMode="External"/><Relationship Id="rId356" Type="http://schemas.openxmlformats.org/officeDocument/2006/relationships/hyperlink" Target="http://www.legislation.act.gov.au/a/2001-44" TargetMode="External"/><Relationship Id="rId398" Type="http://schemas.openxmlformats.org/officeDocument/2006/relationships/hyperlink" Target="http://www.legislation.act.gov.au/a/2004-58" TargetMode="External"/><Relationship Id="rId521" Type="http://schemas.openxmlformats.org/officeDocument/2006/relationships/hyperlink" Target="http://www.legislation.act.gov.au/a/2008-36" TargetMode="External"/><Relationship Id="rId563" Type="http://schemas.openxmlformats.org/officeDocument/2006/relationships/hyperlink" Target="http://www.legislation.act.gov.au/a/2011-31" TargetMode="External"/><Relationship Id="rId619" Type="http://schemas.openxmlformats.org/officeDocument/2006/relationships/hyperlink" Target="http://www.legislation.act.gov.au/a/2017-32/default.asp" TargetMode="External"/><Relationship Id="rId770" Type="http://schemas.openxmlformats.org/officeDocument/2006/relationships/hyperlink" Target="http://www.legislation.act.gov.au/a/2016-50/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cn/2005-24/default.asp" TargetMode="External"/><Relationship Id="rId216" Type="http://schemas.openxmlformats.org/officeDocument/2006/relationships/hyperlink" Target="http://www.legislation.act.gov.au/a/2004-58" TargetMode="External"/><Relationship Id="rId423" Type="http://schemas.openxmlformats.org/officeDocument/2006/relationships/hyperlink" Target="http://www.legislation.act.gov.au/a/2008-36" TargetMode="External"/><Relationship Id="rId826" Type="http://schemas.openxmlformats.org/officeDocument/2006/relationships/hyperlink" Target="http://www.legislation.act.gov.au/a/2004-58" TargetMode="External"/><Relationship Id="rId868" Type="http://schemas.openxmlformats.org/officeDocument/2006/relationships/hyperlink" Target="http://www.legislation.act.gov.au/a/2004-58" TargetMode="External"/><Relationship Id="rId1011" Type="http://schemas.openxmlformats.org/officeDocument/2006/relationships/hyperlink" Target="http://www.legislation.act.gov.au/a/2011-22" TargetMode="External"/><Relationship Id="rId1053" Type="http://schemas.openxmlformats.org/officeDocument/2006/relationships/hyperlink" Target="http://www.legislation.act.gov.au/a/2018-20/default.asp" TargetMode="External"/><Relationship Id="rId258" Type="http://schemas.openxmlformats.org/officeDocument/2006/relationships/hyperlink" Target="http://www.legislation.act.gov.au/a/2005-60" TargetMode="External"/><Relationship Id="rId465" Type="http://schemas.openxmlformats.org/officeDocument/2006/relationships/hyperlink" Target="http://www.legislation.act.gov.au/a/2019-5/" TargetMode="External"/><Relationship Id="rId630" Type="http://schemas.openxmlformats.org/officeDocument/2006/relationships/hyperlink" Target="http://www.legislation.act.gov.au/a/2017-32/default.asp" TargetMode="External"/><Relationship Id="rId672" Type="http://schemas.openxmlformats.org/officeDocument/2006/relationships/hyperlink" Target="http://www.legislation.act.gov.au/a/2008-36" TargetMode="External"/><Relationship Id="rId728" Type="http://schemas.openxmlformats.org/officeDocument/2006/relationships/hyperlink" Target="http://www.legislation.act.gov.au/a/2006-40" TargetMode="External"/><Relationship Id="rId935" Type="http://schemas.openxmlformats.org/officeDocument/2006/relationships/hyperlink" Target="http://www.legislation.act.gov.au/a/1999-66" TargetMode="External"/><Relationship Id="rId22" Type="http://schemas.openxmlformats.org/officeDocument/2006/relationships/header" Target="header3.xml"/><Relationship Id="rId64" Type="http://schemas.openxmlformats.org/officeDocument/2006/relationships/hyperlink" Target="http://www.legislation.act.gov.au/a/1930-21" TargetMode="External"/><Relationship Id="rId118" Type="http://schemas.openxmlformats.org/officeDocument/2006/relationships/hyperlink" Target="http://www.legislation.act.gov.au/a/2001-16" TargetMode="External"/><Relationship Id="rId325" Type="http://schemas.openxmlformats.org/officeDocument/2006/relationships/hyperlink" Target="http://www.legislation.act.gov.au/a/2002-27" TargetMode="External"/><Relationship Id="rId367" Type="http://schemas.openxmlformats.org/officeDocument/2006/relationships/hyperlink" Target="http://www.legislation.act.gov.au/a/2008-36" TargetMode="External"/><Relationship Id="rId532" Type="http://schemas.openxmlformats.org/officeDocument/2006/relationships/hyperlink" Target="http://www.legislation.act.gov.au/a/2005-53" TargetMode="External"/><Relationship Id="rId574" Type="http://schemas.openxmlformats.org/officeDocument/2006/relationships/hyperlink" Target="http://www.legislation.act.gov.au/a/2000-17" TargetMode="External"/><Relationship Id="rId977" Type="http://schemas.openxmlformats.org/officeDocument/2006/relationships/hyperlink" Target="http://www.legislation.act.gov.au/a/2005-60" TargetMode="External"/><Relationship Id="rId171" Type="http://schemas.openxmlformats.org/officeDocument/2006/relationships/hyperlink" Target="http://www.legislation.act.gov.au/a/2006-40" TargetMode="External"/><Relationship Id="rId227" Type="http://schemas.openxmlformats.org/officeDocument/2006/relationships/hyperlink" Target="http://www.legislation.act.gov.au/a/2004-58" TargetMode="External"/><Relationship Id="rId781" Type="http://schemas.openxmlformats.org/officeDocument/2006/relationships/hyperlink" Target="http://www.legislation.act.gov.au/a/2018-20/default.asp" TargetMode="External"/><Relationship Id="rId837" Type="http://schemas.openxmlformats.org/officeDocument/2006/relationships/hyperlink" Target="http://www.legislation.act.gov.au/a/2015-6" TargetMode="External"/><Relationship Id="rId879" Type="http://schemas.openxmlformats.org/officeDocument/2006/relationships/hyperlink" Target="http://www.legislation.act.gov.au/a/2004-58" TargetMode="External"/><Relationship Id="rId1022" Type="http://schemas.openxmlformats.org/officeDocument/2006/relationships/hyperlink" Target="http://www.legislation.act.gov.au/a/2013-45" TargetMode="External"/><Relationship Id="rId269" Type="http://schemas.openxmlformats.org/officeDocument/2006/relationships/hyperlink" Target="http://www.legislation.act.gov.au/a/2004-58" TargetMode="External"/><Relationship Id="rId434" Type="http://schemas.openxmlformats.org/officeDocument/2006/relationships/hyperlink" Target="http://www.legislation.act.gov.au/a/2004-58" TargetMode="External"/><Relationship Id="rId476" Type="http://schemas.openxmlformats.org/officeDocument/2006/relationships/hyperlink" Target="http://www.legislation.act.gov.au/a/2019-5/" TargetMode="External"/><Relationship Id="rId641" Type="http://schemas.openxmlformats.org/officeDocument/2006/relationships/hyperlink" Target="http://www.legislation.act.gov.au/a/2008-36" TargetMode="External"/><Relationship Id="rId683" Type="http://schemas.openxmlformats.org/officeDocument/2006/relationships/hyperlink" Target="http://www.legislation.act.gov.au/a/2006-40" TargetMode="External"/><Relationship Id="rId739" Type="http://schemas.openxmlformats.org/officeDocument/2006/relationships/hyperlink" Target="http://www.legislation.act.gov.au/a/2005-54" TargetMode="External"/><Relationship Id="rId890" Type="http://schemas.openxmlformats.org/officeDocument/2006/relationships/hyperlink" Target="http://www.legislation.act.gov.au/a/2017-4/default.asp" TargetMode="External"/><Relationship Id="rId904" Type="http://schemas.openxmlformats.org/officeDocument/2006/relationships/hyperlink" Target="http://www.legislation.act.gov.au/a/2004-58" TargetMode="External"/><Relationship Id="rId1064" Type="http://schemas.openxmlformats.org/officeDocument/2006/relationships/header" Target="header19.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4-12" TargetMode="External"/><Relationship Id="rId280" Type="http://schemas.openxmlformats.org/officeDocument/2006/relationships/hyperlink" Target="http://www.legislation.act.gov.au/a/2019-5/" TargetMode="External"/><Relationship Id="rId336" Type="http://schemas.openxmlformats.org/officeDocument/2006/relationships/hyperlink" Target="http://www.legislation.act.gov.au/a/2016-50/default.asp" TargetMode="External"/><Relationship Id="rId501" Type="http://schemas.openxmlformats.org/officeDocument/2006/relationships/hyperlink" Target="http://www.legislation.act.gov.au/a/2008-36" TargetMode="External"/><Relationship Id="rId543" Type="http://schemas.openxmlformats.org/officeDocument/2006/relationships/hyperlink" Target="http://www.legislation.act.gov.au/a/2016-50/default.asp" TargetMode="External"/><Relationship Id="rId946" Type="http://schemas.openxmlformats.org/officeDocument/2006/relationships/hyperlink" Target="http://www.legislation.act.gov.au/a/2002-11" TargetMode="External"/><Relationship Id="rId988" Type="http://schemas.openxmlformats.org/officeDocument/2006/relationships/hyperlink" Target="http://www.legislation.act.gov.au/a/2006-40"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1999-66" TargetMode="External"/><Relationship Id="rId182" Type="http://schemas.openxmlformats.org/officeDocument/2006/relationships/hyperlink" Target="http://www.legislation.act.gov.au/a/2009-7" TargetMode="External"/><Relationship Id="rId378" Type="http://schemas.openxmlformats.org/officeDocument/2006/relationships/hyperlink" Target="http://www.legislation.act.gov.au/a/2008-36" TargetMode="External"/><Relationship Id="rId403" Type="http://schemas.openxmlformats.org/officeDocument/2006/relationships/hyperlink" Target="http://www.legislation.act.gov.au/a/2001-44" TargetMode="External"/><Relationship Id="rId585" Type="http://schemas.openxmlformats.org/officeDocument/2006/relationships/hyperlink" Target="http://www.legislation.act.gov.au/a/2011-31" TargetMode="External"/><Relationship Id="rId750" Type="http://schemas.openxmlformats.org/officeDocument/2006/relationships/hyperlink" Target="http://www.legislation.act.gov.au/a/2001-44" TargetMode="External"/><Relationship Id="rId792" Type="http://schemas.openxmlformats.org/officeDocument/2006/relationships/hyperlink" Target="http://www.legislation.act.gov.au/a/2004-58" TargetMode="External"/><Relationship Id="rId806" Type="http://schemas.openxmlformats.org/officeDocument/2006/relationships/hyperlink" Target="http://www.legislation.act.gov.au/a/2016-50/default.asp" TargetMode="External"/><Relationship Id="rId848" Type="http://schemas.openxmlformats.org/officeDocument/2006/relationships/hyperlink" Target="http://www.legislation.act.gov.au/a/2016-50/default.asp" TargetMode="External"/><Relationship Id="rId1033" Type="http://schemas.openxmlformats.org/officeDocument/2006/relationships/hyperlink" Target="http://www.legislation.act.gov.au/a/2017-4/default.asp" TargetMode="External"/><Relationship Id="rId6" Type="http://schemas.openxmlformats.org/officeDocument/2006/relationships/footnotes" Target="footnotes.xml"/><Relationship Id="rId238" Type="http://schemas.openxmlformats.org/officeDocument/2006/relationships/hyperlink" Target="http://www.legislation.act.gov.au/a/2004-58" TargetMode="External"/><Relationship Id="rId445" Type="http://schemas.openxmlformats.org/officeDocument/2006/relationships/hyperlink" Target="http://www.legislation.act.gov.au/a/1998-5" TargetMode="External"/><Relationship Id="rId487" Type="http://schemas.openxmlformats.org/officeDocument/2006/relationships/hyperlink" Target="http://www.legislation.act.gov.au/a/2004-58" TargetMode="External"/><Relationship Id="rId610" Type="http://schemas.openxmlformats.org/officeDocument/2006/relationships/hyperlink" Target="http://www.legislation.act.gov.au/a/2004-58" TargetMode="External"/><Relationship Id="rId652" Type="http://schemas.openxmlformats.org/officeDocument/2006/relationships/hyperlink" Target="http://www.legislation.act.gov.au/a/2007-8" TargetMode="External"/><Relationship Id="rId694" Type="http://schemas.openxmlformats.org/officeDocument/2006/relationships/hyperlink" Target="http://www.legislation.act.gov.au/a/2006-40" TargetMode="External"/><Relationship Id="rId708" Type="http://schemas.openxmlformats.org/officeDocument/2006/relationships/hyperlink" Target="http://www.legislation.act.gov.au/a/2008-28" TargetMode="External"/><Relationship Id="rId915" Type="http://schemas.openxmlformats.org/officeDocument/2006/relationships/hyperlink" Target="http://www.legislation.act.gov.au/a/2011-28" TargetMode="External"/><Relationship Id="rId291" Type="http://schemas.openxmlformats.org/officeDocument/2006/relationships/hyperlink" Target="http://www.legislation.act.gov.au/a/2005-54" TargetMode="External"/><Relationship Id="rId305" Type="http://schemas.openxmlformats.org/officeDocument/2006/relationships/hyperlink" Target="http://www.legislation.act.gov.au/a/2008-36" TargetMode="External"/><Relationship Id="rId347" Type="http://schemas.openxmlformats.org/officeDocument/2006/relationships/hyperlink" Target="http://www.legislation.act.gov.au/a/2016-50/default.asp" TargetMode="External"/><Relationship Id="rId512" Type="http://schemas.openxmlformats.org/officeDocument/2006/relationships/hyperlink" Target="http://www.legislation.act.gov.au/a/2008-36" TargetMode="External"/><Relationship Id="rId957" Type="http://schemas.openxmlformats.org/officeDocument/2006/relationships/hyperlink" Target="http://www.legislation.act.gov.au/a/2004-60" TargetMode="External"/><Relationship Id="rId999" Type="http://schemas.openxmlformats.org/officeDocument/2006/relationships/hyperlink" Target="http://www.legislation.act.gov.au/a/2008-36" TargetMode="External"/><Relationship Id="rId44" Type="http://schemas.openxmlformats.org/officeDocument/2006/relationships/hyperlink" Target="http://www.legislation.act.gov.au/a/2001-10" TargetMode="External"/><Relationship Id="rId86" Type="http://schemas.openxmlformats.org/officeDocument/2006/relationships/hyperlink" Target="http://www.legislation.act.gov.au/a/2016-43/default.asp" TargetMode="External"/><Relationship Id="rId151" Type="http://schemas.openxmlformats.org/officeDocument/2006/relationships/hyperlink" Target="http://www.legislation.act.gov.au/cn/2004-8/default.asp" TargetMode="External"/><Relationship Id="rId389" Type="http://schemas.openxmlformats.org/officeDocument/2006/relationships/hyperlink" Target="http://www.legislation.act.gov.au/a/2016-50/default.asp" TargetMode="External"/><Relationship Id="rId554" Type="http://schemas.openxmlformats.org/officeDocument/2006/relationships/hyperlink" Target="http://www.legislation.act.gov.au/a/2008-36" TargetMode="External"/><Relationship Id="rId596" Type="http://schemas.openxmlformats.org/officeDocument/2006/relationships/hyperlink" Target="http://www.legislation.act.gov.au/a/2000-17" TargetMode="External"/><Relationship Id="rId761" Type="http://schemas.openxmlformats.org/officeDocument/2006/relationships/hyperlink" Target="http://www.legislation.act.gov.au/a/2009-7" TargetMode="External"/><Relationship Id="rId817" Type="http://schemas.openxmlformats.org/officeDocument/2006/relationships/hyperlink" Target="http://www.legislation.act.gov.au/a/2004-58" TargetMode="External"/><Relationship Id="rId859" Type="http://schemas.openxmlformats.org/officeDocument/2006/relationships/hyperlink" Target="http://www.legislation.act.gov.au/a/2015-42" TargetMode="External"/><Relationship Id="rId1002" Type="http://schemas.openxmlformats.org/officeDocument/2006/relationships/hyperlink" Target="http://www.legislation.act.gov.au/a/2009-7" TargetMode="External"/><Relationship Id="rId193" Type="http://schemas.openxmlformats.org/officeDocument/2006/relationships/hyperlink" Target="http://www.legislation.act.gov.au/a/2012-38" TargetMode="External"/><Relationship Id="rId207" Type="http://schemas.openxmlformats.org/officeDocument/2006/relationships/hyperlink" Target="http://www.legislation.act.gov.au/a/2017-10/default.asp" TargetMode="External"/><Relationship Id="rId249" Type="http://schemas.openxmlformats.org/officeDocument/2006/relationships/hyperlink" Target="http://www.legislation.act.gov.au/a/2004-58" TargetMode="External"/><Relationship Id="rId414" Type="http://schemas.openxmlformats.org/officeDocument/2006/relationships/hyperlink" Target="http://www.legislation.act.gov.au/a/2004-58" TargetMode="External"/><Relationship Id="rId456" Type="http://schemas.openxmlformats.org/officeDocument/2006/relationships/hyperlink" Target="http://www.legislation.act.gov.au/a/2008-36" TargetMode="External"/><Relationship Id="rId498" Type="http://schemas.openxmlformats.org/officeDocument/2006/relationships/hyperlink" Target="http://www.legislation.act.gov.au/a/2004-58" TargetMode="External"/><Relationship Id="rId621" Type="http://schemas.openxmlformats.org/officeDocument/2006/relationships/hyperlink" Target="http://www.legislation.act.gov.au/a/2004-58" TargetMode="External"/><Relationship Id="rId663" Type="http://schemas.openxmlformats.org/officeDocument/2006/relationships/hyperlink" Target="http://www.legislation.act.gov.au/a/2011-31" TargetMode="External"/><Relationship Id="rId870" Type="http://schemas.openxmlformats.org/officeDocument/2006/relationships/hyperlink" Target="http://www.legislation.act.gov.au/a/2004-58" TargetMode="External"/><Relationship Id="rId1044" Type="http://schemas.openxmlformats.org/officeDocument/2006/relationships/hyperlink" Target="http://www.legislation.act.gov.au/a/2017-28/default.asp" TargetMode="External"/><Relationship Id="rId13" Type="http://schemas.openxmlformats.org/officeDocument/2006/relationships/hyperlink" Target="http://www.legislation.act.gov.au/a/2001-14" TargetMode="External"/><Relationship Id="rId109" Type="http://schemas.openxmlformats.org/officeDocument/2006/relationships/footer" Target="footer14.xml"/><Relationship Id="rId260" Type="http://schemas.openxmlformats.org/officeDocument/2006/relationships/hyperlink" Target="http://www.legislation.act.gov.au/a/2013-7/default.asp" TargetMode="External"/><Relationship Id="rId316" Type="http://schemas.openxmlformats.org/officeDocument/2006/relationships/hyperlink" Target="http://www.legislation.act.gov.au/a/2017-32/default.asp" TargetMode="External"/><Relationship Id="rId523" Type="http://schemas.openxmlformats.org/officeDocument/2006/relationships/hyperlink" Target="http://www.legislation.act.gov.au/a/2008-36" TargetMode="External"/><Relationship Id="rId719" Type="http://schemas.openxmlformats.org/officeDocument/2006/relationships/hyperlink" Target="http://www.legislation.act.gov.au/a/2001-44" TargetMode="External"/><Relationship Id="rId926" Type="http://schemas.openxmlformats.org/officeDocument/2006/relationships/hyperlink" Target="http://www.legislation.act.gov.au/a/2004-58" TargetMode="External"/><Relationship Id="rId968" Type="http://schemas.openxmlformats.org/officeDocument/2006/relationships/hyperlink" Target="http://www.legislation.act.gov.au/a/2005-53" TargetMode="External"/><Relationship Id="rId55" Type="http://schemas.openxmlformats.org/officeDocument/2006/relationships/header" Target="header6.xml"/><Relationship Id="rId97" Type="http://schemas.openxmlformats.org/officeDocument/2006/relationships/hyperlink" Target="http://www.legislation.act.gov.au/a/2004-59" TargetMode="External"/><Relationship Id="rId120" Type="http://schemas.openxmlformats.org/officeDocument/2006/relationships/header" Target="header13.xml"/><Relationship Id="rId358" Type="http://schemas.openxmlformats.org/officeDocument/2006/relationships/hyperlink" Target="http://www.legislation.act.gov.au/a/2008-36" TargetMode="External"/><Relationship Id="rId565" Type="http://schemas.openxmlformats.org/officeDocument/2006/relationships/hyperlink" Target="http://www.legislation.act.gov.au/a/2011-31" TargetMode="External"/><Relationship Id="rId730" Type="http://schemas.openxmlformats.org/officeDocument/2006/relationships/hyperlink" Target="http://www.legislation.act.gov.au/a/2004-60" TargetMode="External"/><Relationship Id="rId772" Type="http://schemas.openxmlformats.org/officeDocument/2006/relationships/hyperlink" Target="http://www.legislation.act.gov.au/a/2017-28/default.asp" TargetMode="External"/><Relationship Id="rId828" Type="http://schemas.openxmlformats.org/officeDocument/2006/relationships/hyperlink" Target="http://www.legislation.act.gov.au/a/2008-36" TargetMode="External"/><Relationship Id="rId1013" Type="http://schemas.openxmlformats.org/officeDocument/2006/relationships/hyperlink" Target="http://www.legislation.act.gov.au/a/2011-28" TargetMode="External"/><Relationship Id="rId162" Type="http://schemas.openxmlformats.org/officeDocument/2006/relationships/hyperlink" Target="http://www.legislation.act.gov.au/cn/2005-18/default.asp" TargetMode="External"/><Relationship Id="rId218" Type="http://schemas.openxmlformats.org/officeDocument/2006/relationships/hyperlink" Target="http://www.legislation.act.gov.au/a/2010-32" TargetMode="External"/><Relationship Id="rId425" Type="http://schemas.openxmlformats.org/officeDocument/2006/relationships/hyperlink" Target="http://www.legislation.act.gov.au/a/2015-42" TargetMode="External"/><Relationship Id="rId467" Type="http://schemas.openxmlformats.org/officeDocument/2006/relationships/hyperlink" Target="http://www.legislation.act.gov.au/a/2004-58" TargetMode="External"/><Relationship Id="rId632" Type="http://schemas.openxmlformats.org/officeDocument/2006/relationships/hyperlink" Target="http://www.legislation.act.gov.au/a/2008-36" TargetMode="External"/><Relationship Id="rId1055" Type="http://schemas.openxmlformats.org/officeDocument/2006/relationships/hyperlink" Target="http://www.legislation.act.gov.au/a/2018-20/default.asp" TargetMode="External"/><Relationship Id="rId271" Type="http://schemas.openxmlformats.org/officeDocument/2006/relationships/hyperlink" Target="http://www.legislation.act.gov.au/a/2004-58" TargetMode="External"/><Relationship Id="rId674" Type="http://schemas.openxmlformats.org/officeDocument/2006/relationships/hyperlink" Target="http://www.legislation.act.gov.au/a/2008-36" TargetMode="External"/><Relationship Id="rId881" Type="http://schemas.openxmlformats.org/officeDocument/2006/relationships/hyperlink" Target="http://www.legislation.act.gov.au/a/2008-36" TargetMode="External"/><Relationship Id="rId937" Type="http://schemas.openxmlformats.org/officeDocument/2006/relationships/hyperlink" Target="http://www.legislation.act.gov.au/a/2000-17" TargetMode="External"/><Relationship Id="rId979" Type="http://schemas.openxmlformats.org/officeDocument/2006/relationships/hyperlink" Target="http://www.legislation.act.gov.au/a/2005-60" TargetMode="External"/><Relationship Id="rId24" Type="http://schemas.openxmlformats.org/officeDocument/2006/relationships/header" Target="header4.xml"/><Relationship Id="rId66" Type="http://schemas.openxmlformats.org/officeDocument/2006/relationships/hyperlink" Target="http://www.legislation.act.gov.au/a/1930-21" TargetMode="External"/><Relationship Id="rId131" Type="http://schemas.openxmlformats.org/officeDocument/2006/relationships/header" Target="header14.xml"/><Relationship Id="rId327" Type="http://schemas.openxmlformats.org/officeDocument/2006/relationships/hyperlink" Target="http://www.legislation.act.gov.au/a/2008-37" TargetMode="External"/><Relationship Id="rId369" Type="http://schemas.openxmlformats.org/officeDocument/2006/relationships/hyperlink" Target="http://www.legislation.act.gov.au/a/2008-36" TargetMode="External"/><Relationship Id="rId534" Type="http://schemas.openxmlformats.org/officeDocument/2006/relationships/hyperlink" Target="http://www.legislation.act.gov.au/a/2004-58" TargetMode="External"/><Relationship Id="rId576" Type="http://schemas.openxmlformats.org/officeDocument/2006/relationships/hyperlink" Target="http://www.legislation.act.gov.au/a/2008-36" TargetMode="External"/><Relationship Id="rId741" Type="http://schemas.openxmlformats.org/officeDocument/2006/relationships/hyperlink" Target="http://www.legislation.act.gov.au/a/2005-53" TargetMode="External"/><Relationship Id="rId783" Type="http://schemas.openxmlformats.org/officeDocument/2006/relationships/hyperlink" Target="http://www.legislation.act.gov.au/a/2004-58" TargetMode="External"/><Relationship Id="rId839" Type="http://schemas.openxmlformats.org/officeDocument/2006/relationships/hyperlink" Target="http://www.legislation.act.gov.au/a/2011-31" TargetMode="External"/><Relationship Id="rId990" Type="http://schemas.openxmlformats.org/officeDocument/2006/relationships/hyperlink" Target="http://www.legislation.act.gov.au/a/2007-8" TargetMode="External"/><Relationship Id="rId173" Type="http://schemas.openxmlformats.org/officeDocument/2006/relationships/hyperlink" Target="http://www.legislation.act.gov.au/a/2008-7" TargetMode="External"/><Relationship Id="rId229" Type="http://schemas.openxmlformats.org/officeDocument/2006/relationships/hyperlink" Target="http://www.legislation.act.gov.au/a/2004-58" TargetMode="External"/><Relationship Id="rId380" Type="http://schemas.openxmlformats.org/officeDocument/2006/relationships/hyperlink" Target="http://www.legislation.act.gov.au/a/2005-39" TargetMode="External"/><Relationship Id="rId436" Type="http://schemas.openxmlformats.org/officeDocument/2006/relationships/hyperlink" Target="http://www.legislation.act.gov.au/a/2017-4/default.asp" TargetMode="External"/><Relationship Id="rId601" Type="http://schemas.openxmlformats.org/officeDocument/2006/relationships/hyperlink" Target="http://www.legislation.act.gov.au/a/2011-31" TargetMode="External"/><Relationship Id="rId643" Type="http://schemas.openxmlformats.org/officeDocument/2006/relationships/hyperlink" Target="http://www.legislation.act.gov.au/a/2007-8" TargetMode="External"/><Relationship Id="rId1024" Type="http://schemas.openxmlformats.org/officeDocument/2006/relationships/hyperlink" Target="http://www.legislation.act.gov.au/a/2013-45" TargetMode="External"/><Relationship Id="rId1066" Type="http://schemas.openxmlformats.org/officeDocument/2006/relationships/footer" Target="footer23.xml"/><Relationship Id="rId240" Type="http://schemas.openxmlformats.org/officeDocument/2006/relationships/hyperlink" Target="http://www.legislation.act.gov.au/a/2004-58" TargetMode="External"/><Relationship Id="rId478" Type="http://schemas.openxmlformats.org/officeDocument/2006/relationships/hyperlink" Target="http://www.legislation.act.gov.au/a/2019-5/" TargetMode="External"/><Relationship Id="rId685" Type="http://schemas.openxmlformats.org/officeDocument/2006/relationships/hyperlink" Target="http://www.legislation.act.gov.au/a/1999-66" TargetMode="External"/><Relationship Id="rId850" Type="http://schemas.openxmlformats.org/officeDocument/2006/relationships/hyperlink" Target="http://www.legislation.act.gov.au/a/2017-32/default.asp" TargetMode="External"/><Relationship Id="rId892" Type="http://schemas.openxmlformats.org/officeDocument/2006/relationships/hyperlink" Target="http://www.legislation.act.gov.au/a/2011-31" TargetMode="External"/><Relationship Id="rId906" Type="http://schemas.openxmlformats.org/officeDocument/2006/relationships/hyperlink" Target="http://www.legislation.act.gov.au/a/2011-31" TargetMode="External"/><Relationship Id="rId948" Type="http://schemas.openxmlformats.org/officeDocument/2006/relationships/hyperlink" Target="http://www.legislation.act.gov.au/a/2002-30" TargetMode="External"/><Relationship Id="rId35" Type="http://schemas.openxmlformats.org/officeDocument/2006/relationships/hyperlink" Target="http://www.legislation.act.gov.au/a/2001-14" TargetMode="External"/><Relationship Id="rId77" Type="http://schemas.openxmlformats.org/officeDocument/2006/relationships/hyperlink" Target="http://www.legislation.act.gov.au/a/2008-35"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4-58" TargetMode="External"/><Relationship Id="rId338" Type="http://schemas.openxmlformats.org/officeDocument/2006/relationships/hyperlink" Target="http://www.legislation.act.gov.au/a/2001-44" TargetMode="External"/><Relationship Id="rId503" Type="http://schemas.openxmlformats.org/officeDocument/2006/relationships/hyperlink" Target="http://www.legislation.act.gov.au/a/2004-58" TargetMode="External"/><Relationship Id="rId545" Type="http://schemas.openxmlformats.org/officeDocument/2006/relationships/hyperlink" Target="http://www.legislation.act.gov.au/a/2016-50/default.asp" TargetMode="External"/><Relationship Id="rId587" Type="http://schemas.openxmlformats.org/officeDocument/2006/relationships/hyperlink" Target="http://www.legislation.act.gov.au/a/2011-31" TargetMode="External"/><Relationship Id="rId710" Type="http://schemas.openxmlformats.org/officeDocument/2006/relationships/hyperlink" Target="http://www.legislation.act.gov.au/a/2001-44" TargetMode="External"/><Relationship Id="rId752" Type="http://schemas.openxmlformats.org/officeDocument/2006/relationships/hyperlink" Target="http://www.legislation.act.gov.au/a/2008-36" TargetMode="External"/><Relationship Id="rId808" Type="http://schemas.openxmlformats.org/officeDocument/2006/relationships/hyperlink" Target="http://www.legislation.act.gov.au/a/2001-17" TargetMode="External"/><Relationship Id="rId8" Type="http://schemas.openxmlformats.org/officeDocument/2006/relationships/image" Target="media/image1.png"/><Relationship Id="rId142" Type="http://schemas.openxmlformats.org/officeDocument/2006/relationships/hyperlink" Target="http://www.legislation.act.gov.au/a/2000-17" TargetMode="External"/><Relationship Id="rId184" Type="http://schemas.openxmlformats.org/officeDocument/2006/relationships/hyperlink" Target="http://www.legislation.act.gov.au/a/2009-44" TargetMode="External"/><Relationship Id="rId391" Type="http://schemas.openxmlformats.org/officeDocument/2006/relationships/hyperlink" Target="http://www.legislation.act.gov.au/a/2008-36" TargetMode="External"/><Relationship Id="rId405" Type="http://schemas.openxmlformats.org/officeDocument/2006/relationships/hyperlink" Target="http://www.legislation.act.gov.au/a/2008-22" TargetMode="External"/><Relationship Id="rId447" Type="http://schemas.openxmlformats.org/officeDocument/2006/relationships/hyperlink" Target="http://www.legislation.act.gov.au/a/2004-58" TargetMode="External"/><Relationship Id="rId612" Type="http://schemas.openxmlformats.org/officeDocument/2006/relationships/hyperlink" Target="http://www.legislation.act.gov.au/a/2011-31" TargetMode="External"/><Relationship Id="rId794" Type="http://schemas.openxmlformats.org/officeDocument/2006/relationships/hyperlink" Target="http://www.legislation.act.gov.au/a/2005-39" TargetMode="External"/><Relationship Id="rId1035" Type="http://schemas.openxmlformats.org/officeDocument/2006/relationships/hyperlink" Target="http://www.legislation.act.gov.au/a/2016-42/default.asp" TargetMode="External"/><Relationship Id="rId251" Type="http://schemas.openxmlformats.org/officeDocument/2006/relationships/hyperlink" Target="http://www.legislation.act.gov.au/a/2001-44" TargetMode="External"/><Relationship Id="rId489" Type="http://schemas.openxmlformats.org/officeDocument/2006/relationships/hyperlink" Target="http://www.legislation.act.gov.au/a/2004-58" TargetMode="External"/><Relationship Id="rId654" Type="http://schemas.openxmlformats.org/officeDocument/2006/relationships/hyperlink" Target="http://www.legislation.act.gov.au/a/2005-39" TargetMode="External"/><Relationship Id="rId696" Type="http://schemas.openxmlformats.org/officeDocument/2006/relationships/hyperlink" Target="http://www.legislation.act.gov.au/a/2008-7" TargetMode="External"/><Relationship Id="rId861" Type="http://schemas.openxmlformats.org/officeDocument/2006/relationships/hyperlink" Target="http://www.legislation.act.gov.au/a/2004-58" TargetMode="External"/><Relationship Id="rId917" Type="http://schemas.openxmlformats.org/officeDocument/2006/relationships/hyperlink" Target="http://www.legislation.act.gov.au/a/2004-58" TargetMode="External"/><Relationship Id="rId959" Type="http://schemas.openxmlformats.org/officeDocument/2006/relationships/hyperlink" Target="http://www.legislation.act.gov.au/a/2004-58" TargetMode="External"/><Relationship Id="rId46" Type="http://schemas.openxmlformats.org/officeDocument/2006/relationships/hyperlink" Target="http://www.legislation.act.gov.au/a/1996-22" TargetMode="External"/><Relationship Id="rId293" Type="http://schemas.openxmlformats.org/officeDocument/2006/relationships/hyperlink" Target="http://www.legislation.act.gov.au/a/2016-50/default.asp" TargetMode="External"/><Relationship Id="rId307" Type="http://schemas.openxmlformats.org/officeDocument/2006/relationships/hyperlink" Target="http://www.legislation.act.gov.au/a/2017-32/default.asp" TargetMode="External"/><Relationship Id="rId349" Type="http://schemas.openxmlformats.org/officeDocument/2006/relationships/hyperlink" Target="http://www.legislation.act.gov.au/a/2016-50/default.asp" TargetMode="External"/><Relationship Id="rId514" Type="http://schemas.openxmlformats.org/officeDocument/2006/relationships/hyperlink" Target="http://www.legislation.act.gov.au/a/2004-58" TargetMode="External"/><Relationship Id="rId556" Type="http://schemas.openxmlformats.org/officeDocument/2006/relationships/hyperlink" Target="http://www.legislation.act.gov.au/a/2011-31" TargetMode="External"/><Relationship Id="rId721" Type="http://schemas.openxmlformats.org/officeDocument/2006/relationships/hyperlink" Target="http://www.legislation.act.gov.au/a/2008-36" TargetMode="External"/><Relationship Id="rId763" Type="http://schemas.openxmlformats.org/officeDocument/2006/relationships/hyperlink" Target="http://www.legislation.act.gov.au/a/2009-7" TargetMode="External"/><Relationship Id="rId88" Type="http://schemas.openxmlformats.org/officeDocument/2006/relationships/hyperlink" Target="http://www.legislation.act.gov.au/a/2014-24/default.asp" TargetMode="External"/><Relationship Id="rId111" Type="http://schemas.openxmlformats.org/officeDocument/2006/relationships/hyperlink" Target="http://www.legislation.act.gov.au/a/2001-16" TargetMode="External"/><Relationship Id="rId153" Type="http://schemas.openxmlformats.org/officeDocument/2006/relationships/hyperlink" Target="http://www.legislation.act.gov.au/a/2005-20" TargetMode="External"/><Relationship Id="rId195" Type="http://schemas.openxmlformats.org/officeDocument/2006/relationships/hyperlink" Target="http://www.legislation.act.gov.au/a/2013-45" TargetMode="External"/><Relationship Id="rId209" Type="http://schemas.openxmlformats.org/officeDocument/2006/relationships/hyperlink" Target="http://www.legislation.act.gov.au/a/2017-28/default.asp" TargetMode="External"/><Relationship Id="rId360" Type="http://schemas.openxmlformats.org/officeDocument/2006/relationships/hyperlink" Target="http://www.legislation.act.gov.au/a/2015-42" TargetMode="External"/><Relationship Id="rId416" Type="http://schemas.openxmlformats.org/officeDocument/2006/relationships/hyperlink" Target="http://www.legislation.act.gov.au/a/2005-39" TargetMode="External"/><Relationship Id="rId598" Type="http://schemas.openxmlformats.org/officeDocument/2006/relationships/hyperlink" Target="http://www.legislation.act.gov.au/a/2008-36" TargetMode="External"/><Relationship Id="rId819" Type="http://schemas.openxmlformats.org/officeDocument/2006/relationships/hyperlink" Target="http://www.legislation.act.gov.au/a/2004-58" TargetMode="External"/><Relationship Id="rId970" Type="http://schemas.openxmlformats.org/officeDocument/2006/relationships/hyperlink" Target="http://www.legislation.act.gov.au/a/2005-54" TargetMode="External"/><Relationship Id="rId1004" Type="http://schemas.openxmlformats.org/officeDocument/2006/relationships/hyperlink" Target="http://www.legislation.act.gov.au/a/2009-19" TargetMode="External"/><Relationship Id="rId1046" Type="http://schemas.openxmlformats.org/officeDocument/2006/relationships/hyperlink" Target="http://www.legislation.act.gov.au/a/2017-32/default.asp" TargetMode="External"/><Relationship Id="rId220" Type="http://schemas.openxmlformats.org/officeDocument/2006/relationships/hyperlink" Target="http://www.legislation.act.gov.au/a/1998-5" TargetMode="External"/><Relationship Id="rId458" Type="http://schemas.openxmlformats.org/officeDocument/2006/relationships/hyperlink" Target="http://www.legislation.act.gov.au/a/2004-58" TargetMode="External"/><Relationship Id="rId623" Type="http://schemas.openxmlformats.org/officeDocument/2006/relationships/hyperlink" Target="http://www.legislation.act.gov.au/a/2017-32/default.asp" TargetMode="External"/><Relationship Id="rId665" Type="http://schemas.openxmlformats.org/officeDocument/2006/relationships/hyperlink" Target="http://www.legislation.act.gov.au/a/2005-39" TargetMode="External"/><Relationship Id="rId830" Type="http://schemas.openxmlformats.org/officeDocument/2006/relationships/hyperlink" Target="http://www.legislation.act.gov.au/a/2011-28" TargetMode="External"/><Relationship Id="rId872" Type="http://schemas.openxmlformats.org/officeDocument/2006/relationships/hyperlink" Target="http://www.legislation.act.gov.au/a/2004-58" TargetMode="External"/><Relationship Id="rId928" Type="http://schemas.openxmlformats.org/officeDocument/2006/relationships/hyperlink" Target="http://www.legislation.act.gov.au/a/1998-5" TargetMode="External"/><Relationship Id="rId15" Type="http://schemas.openxmlformats.org/officeDocument/2006/relationships/hyperlink" Target="http://www.legislation.act.gov.au" TargetMode="External"/><Relationship Id="rId57" Type="http://schemas.openxmlformats.org/officeDocument/2006/relationships/footer" Target="footer7.xml"/><Relationship Id="rId262" Type="http://schemas.openxmlformats.org/officeDocument/2006/relationships/hyperlink" Target="http://www.legislation.act.gov.au/a/2004-58" TargetMode="External"/><Relationship Id="rId318" Type="http://schemas.openxmlformats.org/officeDocument/2006/relationships/hyperlink" Target="http://www.legislation.act.gov.au/a/2001-44" TargetMode="External"/><Relationship Id="rId525" Type="http://schemas.openxmlformats.org/officeDocument/2006/relationships/hyperlink" Target="http://www.legislation.act.gov.au/a/2008-36" TargetMode="External"/><Relationship Id="rId567" Type="http://schemas.openxmlformats.org/officeDocument/2006/relationships/hyperlink" Target="http://www.legislation.act.gov.au/a/2011-31" TargetMode="External"/><Relationship Id="rId732" Type="http://schemas.openxmlformats.org/officeDocument/2006/relationships/hyperlink" Target="http://www.legislation.act.gov.au/a/2011-28" TargetMode="External"/><Relationship Id="rId99" Type="http://schemas.openxmlformats.org/officeDocument/2006/relationships/hyperlink" Target="http://www.legislation.act.gov.au/a/2001-14" TargetMode="External"/><Relationship Id="rId122" Type="http://schemas.openxmlformats.org/officeDocument/2006/relationships/footer" Target="footer17.xml"/><Relationship Id="rId164" Type="http://schemas.openxmlformats.org/officeDocument/2006/relationships/hyperlink" Target="http://www.legislation.act.gov.au/a/2005-54" TargetMode="External"/><Relationship Id="rId371" Type="http://schemas.openxmlformats.org/officeDocument/2006/relationships/hyperlink" Target="http://www.legislation.act.gov.au/a/2005-39" TargetMode="External"/><Relationship Id="rId774" Type="http://schemas.openxmlformats.org/officeDocument/2006/relationships/hyperlink" Target="http://www.legislation.act.gov.au/a/2017-28/default.asp" TargetMode="External"/><Relationship Id="rId981" Type="http://schemas.openxmlformats.org/officeDocument/2006/relationships/hyperlink" Target="http://www.legislation.act.gov.au/a/2006-24" TargetMode="External"/><Relationship Id="rId1015" Type="http://schemas.openxmlformats.org/officeDocument/2006/relationships/hyperlink" Target="http://www.legislation.act.gov.au/a/2011-31" TargetMode="External"/><Relationship Id="rId1057" Type="http://schemas.openxmlformats.org/officeDocument/2006/relationships/hyperlink" Target="http://www.legislation.act.gov.au/a/2019-17/" TargetMode="External"/><Relationship Id="rId427" Type="http://schemas.openxmlformats.org/officeDocument/2006/relationships/hyperlink" Target="http://www.legislation.act.gov.au/a/2008-36" TargetMode="External"/><Relationship Id="rId469" Type="http://schemas.openxmlformats.org/officeDocument/2006/relationships/hyperlink" Target="http://www.legislation.act.gov.au/a/2008-36" TargetMode="External"/><Relationship Id="rId634" Type="http://schemas.openxmlformats.org/officeDocument/2006/relationships/hyperlink" Target="http://www.legislation.act.gov.au/a/2008-36" TargetMode="External"/><Relationship Id="rId676" Type="http://schemas.openxmlformats.org/officeDocument/2006/relationships/hyperlink" Target="http://www.legislation.act.gov.au/a/2002-11" TargetMode="External"/><Relationship Id="rId841" Type="http://schemas.openxmlformats.org/officeDocument/2006/relationships/hyperlink" Target="http://www.legislation.act.gov.au/a/2004-58" TargetMode="External"/><Relationship Id="rId883" Type="http://schemas.openxmlformats.org/officeDocument/2006/relationships/hyperlink" Target="http://www.legislation.act.gov.au/a/2004-58" TargetMode="External"/><Relationship Id="rId26" Type="http://schemas.openxmlformats.org/officeDocument/2006/relationships/footer" Target="footer4.xml"/><Relationship Id="rId231" Type="http://schemas.openxmlformats.org/officeDocument/2006/relationships/hyperlink" Target="http://www.legislation.act.gov.au/a/2004-58" TargetMode="External"/><Relationship Id="rId273" Type="http://schemas.openxmlformats.org/officeDocument/2006/relationships/hyperlink" Target="http://www.legislation.act.gov.au/a/2004-58" TargetMode="External"/><Relationship Id="rId329" Type="http://schemas.openxmlformats.org/officeDocument/2006/relationships/hyperlink" Target="http://www.legislation.act.gov.au/a/2016-50/default.asp" TargetMode="External"/><Relationship Id="rId480" Type="http://schemas.openxmlformats.org/officeDocument/2006/relationships/hyperlink" Target="http://www.legislation.act.gov.au/a/2004-58" TargetMode="External"/><Relationship Id="rId536" Type="http://schemas.openxmlformats.org/officeDocument/2006/relationships/hyperlink" Target="http://www.legislation.act.gov.au/a/2016-50/default.asp" TargetMode="External"/><Relationship Id="rId701" Type="http://schemas.openxmlformats.org/officeDocument/2006/relationships/hyperlink" Target="http://www.legislation.act.gov.au/a/2005-39" TargetMode="External"/><Relationship Id="rId939" Type="http://schemas.openxmlformats.org/officeDocument/2006/relationships/hyperlink" Target="http://www.legislation.act.gov.au/a/2000-1" TargetMode="External"/><Relationship Id="rId68" Type="http://schemas.openxmlformats.org/officeDocument/2006/relationships/hyperlink" Target="http://www.legislation.act.gov.au/a/2008-35" TargetMode="External"/><Relationship Id="rId133" Type="http://schemas.openxmlformats.org/officeDocument/2006/relationships/footer" Target="footer18.xml"/><Relationship Id="rId175" Type="http://schemas.openxmlformats.org/officeDocument/2006/relationships/hyperlink" Target="http://www.legislation.act.gov.au/a/2008-28" TargetMode="External"/><Relationship Id="rId340" Type="http://schemas.openxmlformats.org/officeDocument/2006/relationships/hyperlink" Target="http://www.legislation.act.gov.au/a/2011-22" TargetMode="External"/><Relationship Id="rId578" Type="http://schemas.openxmlformats.org/officeDocument/2006/relationships/hyperlink" Target="http://www.legislation.act.gov.au/a/2008-36" TargetMode="External"/><Relationship Id="rId743" Type="http://schemas.openxmlformats.org/officeDocument/2006/relationships/hyperlink" Target="http://www.legislation.act.gov.au/a/2004-60" TargetMode="External"/><Relationship Id="rId785" Type="http://schemas.openxmlformats.org/officeDocument/2006/relationships/hyperlink" Target="http://www.legislation.act.gov.au/a/2000-17" TargetMode="External"/><Relationship Id="rId950" Type="http://schemas.openxmlformats.org/officeDocument/2006/relationships/hyperlink" Target="http://www.legislation.act.gov.au/a/2002-30" TargetMode="External"/><Relationship Id="rId992" Type="http://schemas.openxmlformats.org/officeDocument/2006/relationships/hyperlink" Target="http://www.legislation.act.gov.au/a/2008-7" TargetMode="External"/><Relationship Id="rId1026" Type="http://schemas.openxmlformats.org/officeDocument/2006/relationships/hyperlink" Target="http://www.legislation.act.gov.au/a/2014-49/default.asp" TargetMode="External"/><Relationship Id="rId200" Type="http://schemas.openxmlformats.org/officeDocument/2006/relationships/hyperlink" Target="http://www.legislation.act.gov.au/cn/2015-21/default.asp" TargetMode="External"/><Relationship Id="rId382" Type="http://schemas.openxmlformats.org/officeDocument/2006/relationships/hyperlink" Target="http://www.legislation.act.gov.au/a/2008-36" TargetMode="External"/><Relationship Id="rId438" Type="http://schemas.openxmlformats.org/officeDocument/2006/relationships/hyperlink" Target="http://www.legislation.act.gov.au/a/2008-36" TargetMode="External"/><Relationship Id="rId603" Type="http://schemas.openxmlformats.org/officeDocument/2006/relationships/hyperlink" Target="http://www.legislation.act.gov.au/a/2008-36" TargetMode="External"/><Relationship Id="rId645" Type="http://schemas.openxmlformats.org/officeDocument/2006/relationships/hyperlink" Target="http://www.legislation.act.gov.au/a/2005-39" TargetMode="External"/><Relationship Id="rId687" Type="http://schemas.openxmlformats.org/officeDocument/2006/relationships/hyperlink" Target="http://www.legislation.act.gov.au/a/2006-40" TargetMode="External"/><Relationship Id="rId810" Type="http://schemas.openxmlformats.org/officeDocument/2006/relationships/hyperlink" Target="http://www.legislation.act.gov.au/a/2001-17" TargetMode="External"/><Relationship Id="rId852" Type="http://schemas.openxmlformats.org/officeDocument/2006/relationships/hyperlink" Target="http://www.legislation.act.gov.au/a/2017-32/default.asp" TargetMode="External"/><Relationship Id="rId908" Type="http://schemas.openxmlformats.org/officeDocument/2006/relationships/hyperlink" Target="http://www.legislation.act.gov.au/a/2011-31" TargetMode="External"/><Relationship Id="rId1068" Type="http://schemas.openxmlformats.org/officeDocument/2006/relationships/footer" Target="footer24.xml"/><Relationship Id="rId242" Type="http://schemas.openxmlformats.org/officeDocument/2006/relationships/hyperlink" Target="http://www.legislation.act.gov.au/a/2004-58" TargetMode="External"/><Relationship Id="rId284" Type="http://schemas.openxmlformats.org/officeDocument/2006/relationships/hyperlink" Target="http://www.legislation.act.gov.au/a/2005-60" TargetMode="External"/><Relationship Id="rId491" Type="http://schemas.openxmlformats.org/officeDocument/2006/relationships/hyperlink" Target="http://www.legislation.act.gov.au/a/2008-37" TargetMode="External"/><Relationship Id="rId505" Type="http://schemas.openxmlformats.org/officeDocument/2006/relationships/hyperlink" Target="http://www.legislation.act.gov.au/a/1998-5" TargetMode="External"/><Relationship Id="rId712" Type="http://schemas.openxmlformats.org/officeDocument/2006/relationships/hyperlink" Target="http://www.legislation.act.gov.au/a/2008-36" TargetMode="External"/><Relationship Id="rId894" Type="http://schemas.openxmlformats.org/officeDocument/2006/relationships/hyperlink" Target="http://www.legislation.act.gov.au/a/2008-36" TargetMode="External"/><Relationship Id="rId37" Type="http://schemas.openxmlformats.org/officeDocument/2006/relationships/hyperlink" Target="http://www.comlaw.gov.au" TargetMode="External"/><Relationship Id="rId79" Type="http://schemas.openxmlformats.org/officeDocument/2006/relationships/hyperlink" Target="http://www.legislation.act.gov.au/a/2016-42/default.asp" TargetMode="External"/><Relationship Id="rId102" Type="http://schemas.openxmlformats.org/officeDocument/2006/relationships/hyperlink" Target="http://www.legislation.act.gov.au/a/2018-20/default.asp" TargetMode="External"/><Relationship Id="rId144" Type="http://schemas.openxmlformats.org/officeDocument/2006/relationships/hyperlink" Target="http://www.legislation.act.gov.au/a/2001-44" TargetMode="External"/><Relationship Id="rId547" Type="http://schemas.openxmlformats.org/officeDocument/2006/relationships/hyperlink" Target="http://www.legislation.act.gov.au/a/2019-5/" TargetMode="External"/><Relationship Id="rId589" Type="http://schemas.openxmlformats.org/officeDocument/2006/relationships/hyperlink" Target="http://www.legislation.act.gov.au/a/2011-31" TargetMode="External"/><Relationship Id="rId754" Type="http://schemas.openxmlformats.org/officeDocument/2006/relationships/hyperlink" Target="http://www.legislation.act.gov.au/a/2004-58" TargetMode="External"/><Relationship Id="rId796" Type="http://schemas.openxmlformats.org/officeDocument/2006/relationships/hyperlink" Target="http://www.legislation.act.gov.au/a/2004-58" TargetMode="External"/><Relationship Id="rId961" Type="http://schemas.openxmlformats.org/officeDocument/2006/relationships/hyperlink" Target="http://www.legislation.act.gov.au/a/2005-20"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11-22" TargetMode="External"/><Relationship Id="rId351" Type="http://schemas.openxmlformats.org/officeDocument/2006/relationships/hyperlink" Target="http://www.legislation.act.gov.au/a/2016-50/default.asp" TargetMode="External"/><Relationship Id="rId393" Type="http://schemas.openxmlformats.org/officeDocument/2006/relationships/hyperlink" Target="http://www.legislation.act.gov.au/a/2001-44" TargetMode="External"/><Relationship Id="rId407" Type="http://schemas.openxmlformats.org/officeDocument/2006/relationships/hyperlink" Target="http://www.legislation.act.gov.au/a/2008-36" TargetMode="External"/><Relationship Id="rId449" Type="http://schemas.openxmlformats.org/officeDocument/2006/relationships/hyperlink" Target="http://www.legislation.act.gov.au/a/2009-19" TargetMode="External"/><Relationship Id="rId614" Type="http://schemas.openxmlformats.org/officeDocument/2006/relationships/hyperlink" Target="http://www.legislation.act.gov.au/a/2001-44" TargetMode="External"/><Relationship Id="rId656" Type="http://schemas.openxmlformats.org/officeDocument/2006/relationships/hyperlink" Target="http://www.legislation.act.gov.au/a/2008-36" TargetMode="External"/><Relationship Id="rId821" Type="http://schemas.openxmlformats.org/officeDocument/2006/relationships/hyperlink" Target="http://www.legislation.act.gov.au/a/2004-58" TargetMode="External"/><Relationship Id="rId863" Type="http://schemas.openxmlformats.org/officeDocument/2006/relationships/hyperlink" Target="http://www.legislation.act.gov.au/a/2010-32" TargetMode="External"/><Relationship Id="rId1037" Type="http://schemas.openxmlformats.org/officeDocument/2006/relationships/hyperlink" Target="http://www.legislation.act.gov.au/a/2017-10/default.asp" TargetMode="External"/><Relationship Id="rId211" Type="http://schemas.openxmlformats.org/officeDocument/2006/relationships/hyperlink" Target="http://www.legislation.act.gov.au/cn/2018-2/default.asp" TargetMode="External"/><Relationship Id="rId253" Type="http://schemas.openxmlformats.org/officeDocument/2006/relationships/hyperlink" Target="http://www.legislation.act.gov.au/a/2004-58" TargetMode="External"/><Relationship Id="rId295" Type="http://schemas.openxmlformats.org/officeDocument/2006/relationships/hyperlink" Target="http://www.legislation.act.gov.au/a/2016-50/default.asp" TargetMode="External"/><Relationship Id="rId309" Type="http://schemas.openxmlformats.org/officeDocument/2006/relationships/hyperlink" Target="http://www.legislation.act.gov.au/a/2017-32/default.asp" TargetMode="External"/><Relationship Id="rId460" Type="http://schemas.openxmlformats.org/officeDocument/2006/relationships/hyperlink" Target="http://www.legislation.act.gov.au/a/2019-5/" TargetMode="External"/><Relationship Id="rId516" Type="http://schemas.openxmlformats.org/officeDocument/2006/relationships/hyperlink" Target="http://www.legislation.act.gov.au/a/2008-36" TargetMode="External"/><Relationship Id="rId698" Type="http://schemas.openxmlformats.org/officeDocument/2006/relationships/hyperlink" Target="http://www.legislation.act.gov.au/a/2008-36" TargetMode="External"/><Relationship Id="rId919" Type="http://schemas.openxmlformats.org/officeDocument/2006/relationships/hyperlink" Target="http://www.legislation.act.gov.au/a/2004-58" TargetMode="External"/><Relationship Id="rId48" Type="http://schemas.openxmlformats.org/officeDocument/2006/relationships/hyperlink" Target="http://www.legislation.act.gov.au/a/2003-40/default.asp" TargetMode="External"/><Relationship Id="rId113" Type="http://schemas.openxmlformats.org/officeDocument/2006/relationships/hyperlink" Target="http://www.legislation.act.gov.au/a/2007-8" TargetMode="External"/><Relationship Id="rId320" Type="http://schemas.openxmlformats.org/officeDocument/2006/relationships/hyperlink" Target="http://www.legislation.act.gov.au/a/2017-32/default.asp" TargetMode="External"/><Relationship Id="rId558" Type="http://schemas.openxmlformats.org/officeDocument/2006/relationships/hyperlink" Target="http://www.legislation.act.gov.au/a/2004-58" TargetMode="External"/><Relationship Id="rId723" Type="http://schemas.openxmlformats.org/officeDocument/2006/relationships/hyperlink" Target="http://www.legislation.act.gov.au/a/2004-60" TargetMode="External"/><Relationship Id="rId765" Type="http://schemas.openxmlformats.org/officeDocument/2006/relationships/hyperlink" Target="http://www.legislation.act.gov.au/a/2016-50/default.asp" TargetMode="External"/><Relationship Id="rId930" Type="http://schemas.openxmlformats.org/officeDocument/2006/relationships/hyperlink" Target="http://www.legislation.act.gov.au/a/1997-122" TargetMode="External"/><Relationship Id="rId972" Type="http://schemas.openxmlformats.org/officeDocument/2006/relationships/hyperlink" Target="http://www.legislation.act.gov.au/a/2005-60" TargetMode="External"/><Relationship Id="rId1006" Type="http://schemas.openxmlformats.org/officeDocument/2006/relationships/hyperlink" Target="http://www.legislation.act.gov.au/a/2009-44" TargetMode="External"/><Relationship Id="rId155" Type="http://schemas.openxmlformats.org/officeDocument/2006/relationships/hyperlink" Target="http://www.legislation.act.gov.au/a/2004-59" TargetMode="External"/><Relationship Id="rId197" Type="http://schemas.openxmlformats.org/officeDocument/2006/relationships/hyperlink" Target="http://www.legislation.act.gov.au/a/2015-6" TargetMode="External"/><Relationship Id="rId362" Type="http://schemas.openxmlformats.org/officeDocument/2006/relationships/hyperlink" Target="http://www.legislation.act.gov.au/a/2017-5/default.asp" TargetMode="External"/><Relationship Id="rId418" Type="http://schemas.openxmlformats.org/officeDocument/2006/relationships/hyperlink" Target="http://www.legislation.act.gov.au/a/2008-36" TargetMode="External"/><Relationship Id="rId625" Type="http://schemas.openxmlformats.org/officeDocument/2006/relationships/hyperlink" Target="http://www.legislation.act.gov.au/a/2001-44" TargetMode="External"/><Relationship Id="rId832" Type="http://schemas.openxmlformats.org/officeDocument/2006/relationships/hyperlink" Target="http://www.legislation.act.gov.au/a/2017-4/default.asp" TargetMode="External"/><Relationship Id="rId1048" Type="http://schemas.openxmlformats.org/officeDocument/2006/relationships/hyperlink" Target="http://www.legislation.act.gov.au/a/2017-32/default.asp" TargetMode="External"/><Relationship Id="rId222" Type="http://schemas.openxmlformats.org/officeDocument/2006/relationships/hyperlink" Target="http://www.legislation.act.gov.au/a/2004-58" TargetMode="External"/><Relationship Id="rId264" Type="http://schemas.openxmlformats.org/officeDocument/2006/relationships/hyperlink" Target="http://www.legislation.act.gov.au/a/2004-58" TargetMode="External"/><Relationship Id="rId471" Type="http://schemas.openxmlformats.org/officeDocument/2006/relationships/hyperlink" Target="http://www.legislation.act.gov.au/a/2019-5/" TargetMode="External"/><Relationship Id="rId667" Type="http://schemas.openxmlformats.org/officeDocument/2006/relationships/hyperlink" Target="http://www.legislation.act.gov.au/a/2011-31" TargetMode="External"/><Relationship Id="rId874" Type="http://schemas.openxmlformats.org/officeDocument/2006/relationships/hyperlink" Target="http://www.legislation.act.gov.au/a/2004-58" TargetMode="External"/><Relationship Id="rId17" Type="http://schemas.openxmlformats.org/officeDocument/2006/relationships/hyperlink" Target="http://www.legislation.act.gov.au/a/2001-14" TargetMode="External"/><Relationship Id="rId59" Type="http://schemas.openxmlformats.org/officeDocument/2006/relationships/footer" Target="footer9.xm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08-36" TargetMode="External"/><Relationship Id="rId569" Type="http://schemas.openxmlformats.org/officeDocument/2006/relationships/hyperlink" Target="http://www.legislation.act.gov.au/a/2011-31" TargetMode="External"/><Relationship Id="rId734" Type="http://schemas.openxmlformats.org/officeDocument/2006/relationships/hyperlink" Target="http://www.legislation.act.gov.au/a/2007-8" TargetMode="External"/><Relationship Id="rId776" Type="http://schemas.openxmlformats.org/officeDocument/2006/relationships/hyperlink" Target="http://www.legislation.act.gov.au/a/2018-20/default.asp" TargetMode="External"/><Relationship Id="rId941" Type="http://schemas.openxmlformats.org/officeDocument/2006/relationships/hyperlink" Target="http://www.legislation.act.gov.au/a/2001-14" TargetMode="External"/><Relationship Id="rId983" Type="http://schemas.openxmlformats.org/officeDocument/2006/relationships/hyperlink" Target="http://www.legislation.act.gov.au/a/2006-24" TargetMode="External"/><Relationship Id="rId70" Type="http://schemas.openxmlformats.org/officeDocument/2006/relationships/header" Target="header9.xml"/><Relationship Id="rId166" Type="http://schemas.openxmlformats.org/officeDocument/2006/relationships/hyperlink" Target="http://www.legislation.act.gov.au/a/2006-16" TargetMode="External"/><Relationship Id="rId331" Type="http://schemas.openxmlformats.org/officeDocument/2006/relationships/hyperlink" Target="http://www.legislation.act.gov.au/a/2004-58" TargetMode="External"/><Relationship Id="rId373" Type="http://schemas.openxmlformats.org/officeDocument/2006/relationships/hyperlink" Target="http://www.legislation.act.gov.au/a/2008-36" TargetMode="External"/><Relationship Id="rId429" Type="http://schemas.openxmlformats.org/officeDocument/2006/relationships/hyperlink" Target="http://www.legislation.act.gov.au/a/2008-36" TargetMode="External"/><Relationship Id="rId580" Type="http://schemas.openxmlformats.org/officeDocument/2006/relationships/hyperlink" Target="http://www.legislation.act.gov.au/a/2004-58" TargetMode="External"/><Relationship Id="rId636" Type="http://schemas.openxmlformats.org/officeDocument/2006/relationships/hyperlink" Target="http://www.legislation.act.gov.au/a/2008-36" TargetMode="External"/><Relationship Id="rId801" Type="http://schemas.openxmlformats.org/officeDocument/2006/relationships/hyperlink" Target="http://www.legislation.act.gov.au/a/2001-17" TargetMode="External"/><Relationship Id="rId1017" Type="http://schemas.openxmlformats.org/officeDocument/2006/relationships/hyperlink" Target="http://www.legislation.act.gov.au/a/2011-41" TargetMode="External"/><Relationship Id="rId1059" Type="http://schemas.openxmlformats.org/officeDocument/2006/relationships/header" Target="header16.xml"/><Relationship Id="rId1" Type="http://schemas.openxmlformats.org/officeDocument/2006/relationships/customXml" Target="../customXml/item1.xml"/><Relationship Id="rId233" Type="http://schemas.openxmlformats.org/officeDocument/2006/relationships/hyperlink" Target="http://www.legislation.act.gov.au/a/2004-58" TargetMode="External"/><Relationship Id="rId440" Type="http://schemas.openxmlformats.org/officeDocument/2006/relationships/hyperlink" Target="http://www.legislation.act.gov.au/a/2008-36" TargetMode="External"/><Relationship Id="rId678" Type="http://schemas.openxmlformats.org/officeDocument/2006/relationships/hyperlink" Target="http://www.legislation.act.gov.au/a/2008-22" TargetMode="External"/><Relationship Id="rId843" Type="http://schemas.openxmlformats.org/officeDocument/2006/relationships/hyperlink" Target="http://www.legislation.act.gov.au/a/2006-16" TargetMode="External"/><Relationship Id="rId885" Type="http://schemas.openxmlformats.org/officeDocument/2006/relationships/hyperlink" Target="http://www.legislation.act.gov.au/a/2011-31" TargetMode="External"/><Relationship Id="rId1070" Type="http://schemas.openxmlformats.org/officeDocument/2006/relationships/footer" Target="footer25.xml"/><Relationship Id="rId28" Type="http://schemas.openxmlformats.org/officeDocument/2006/relationships/footer" Target="footer6.xml"/><Relationship Id="rId275" Type="http://schemas.openxmlformats.org/officeDocument/2006/relationships/hyperlink" Target="http://www.legislation.act.gov.au/a/2005-39" TargetMode="External"/><Relationship Id="rId300" Type="http://schemas.openxmlformats.org/officeDocument/2006/relationships/hyperlink" Target="http://www.legislation.act.gov.au/a/2005-39" TargetMode="External"/><Relationship Id="rId482" Type="http://schemas.openxmlformats.org/officeDocument/2006/relationships/hyperlink" Target="http://www.legislation.act.gov.au/a/2004-58" TargetMode="External"/><Relationship Id="rId538" Type="http://schemas.openxmlformats.org/officeDocument/2006/relationships/hyperlink" Target="http://www.legislation.act.gov.au/a/2004-58" TargetMode="External"/><Relationship Id="rId703" Type="http://schemas.openxmlformats.org/officeDocument/2006/relationships/hyperlink" Target="http://www.legislation.act.gov.au/a/2008-36" TargetMode="External"/><Relationship Id="rId745" Type="http://schemas.openxmlformats.org/officeDocument/2006/relationships/hyperlink" Target="http://www.legislation.act.gov.au/a/2008-36" TargetMode="External"/><Relationship Id="rId910" Type="http://schemas.openxmlformats.org/officeDocument/2006/relationships/hyperlink" Target="http://www.legislation.act.gov.au/a/2019-5/" TargetMode="External"/><Relationship Id="rId952" Type="http://schemas.openxmlformats.org/officeDocument/2006/relationships/hyperlink" Target="http://www.legislation.act.gov.au/a/2004-13" TargetMode="External"/><Relationship Id="rId81" Type="http://schemas.openxmlformats.org/officeDocument/2006/relationships/hyperlink" Target="http://www.legislation.act.gov.au/a/2016-43/default.asp" TargetMode="External"/><Relationship Id="rId135" Type="http://schemas.openxmlformats.org/officeDocument/2006/relationships/hyperlink" Target="http://www.legislation.act.gov.au/a/2001-14" TargetMode="External"/><Relationship Id="rId177" Type="http://schemas.openxmlformats.org/officeDocument/2006/relationships/hyperlink" Target="http://www.legislation.act.gov.au/a/2008-35" TargetMode="External"/><Relationship Id="rId342" Type="http://schemas.openxmlformats.org/officeDocument/2006/relationships/hyperlink" Target="http://www.legislation.act.gov.au/a/2016-50/default.asp" TargetMode="External"/><Relationship Id="rId384" Type="http://schemas.openxmlformats.org/officeDocument/2006/relationships/hyperlink" Target="http://www.legislation.act.gov.au/a/2004-58" TargetMode="External"/><Relationship Id="rId591" Type="http://schemas.openxmlformats.org/officeDocument/2006/relationships/hyperlink" Target="http://www.legislation.act.gov.au/a/2011-31" TargetMode="External"/><Relationship Id="rId605" Type="http://schemas.openxmlformats.org/officeDocument/2006/relationships/hyperlink" Target="http://www.legislation.act.gov.au/a/2008-36" TargetMode="External"/><Relationship Id="rId787" Type="http://schemas.openxmlformats.org/officeDocument/2006/relationships/hyperlink" Target="http://www.legislation.act.gov.au/a/2011-41" TargetMode="External"/><Relationship Id="rId812" Type="http://schemas.openxmlformats.org/officeDocument/2006/relationships/hyperlink" Target="http://www.legislation.act.gov.au/a/2011-41" TargetMode="External"/><Relationship Id="rId994" Type="http://schemas.openxmlformats.org/officeDocument/2006/relationships/hyperlink" Target="http://www.legislation.act.gov.au/a/2008-22" TargetMode="External"/><Relationship Id="rId1028" Type="http://schemas.openxmlformats.org/officeDocument/2006/relationships/hyperlink" Target="http://www.legislation.act.gov.au/a/2015-6" TargetMode="External"/><Relationship Id="rId202" Type="http://schemas.openxmlformats.org/officeDocument/2006/relationships/hyperlink" Target="http://www.legislation.act.gov.au/a/2017-10/default.asp" TargetMode="External"/><Relationship Id="rId244" Type="http://schemas.openxmlformats.org/officeDocument/2006/relationships/hyperlink" Target="http://www.legislation.act.gov.au/a/1999-66" TargetMode="External"/><Relationship Id="rId647" Type="http://schemas.openxmlformats.org/officeDocument/2006/relationships/hyperlink" Target="http://www.legislation.act.gov.au/a/2005-39" TargetMode="External"/><Relationship Id="rId689" Type="http://schemas.openxmlformats.org/officeDocument/2006/relationships/hyperlink" Target="http://www.legislation.act.gov.au/a/2006-40" TargetMode="External"/><Relationship Id="rId854" Type="http://schemas.openxmlformats.org/officeDocument/2006/relationships/hyperlink" Target="http://www.legislation.act.gov.au/a/2011-28" TargetMode="External"/><Relationship Id="rId896" Type="http://schemas.openxmlformats.org/officeDocument/2006/relationships/hyperlink" Target="http://www.legislation.act.gov.au/a/2004-58" TargetMode="External"/><Relationship Id="rId39" Type="http://schemas.openxmlformats.org/officeDocument/2006/relationships/hyperlink" Target="http://www.legislation.act.gov.au/a/2004-11" TargetMode="External"/><Relationship Id="rId286" Type="http://schemas.openxmlformats.org/officeDocument/2006/relationships/hyperlink" Target="http://www.legislation.act.gov.au/a/2004-58" TargetMode="External"/><Relationship Id="rId451" Type="http://schemas.openxmlformats.org/officeDocument/2006/relationships/hyperlink" Target="http://www.legislation.act.gov.au/a/2019-5/" TargetMode="External"/><Relationship Id="rId493" Type="http://schemas.openxmlformats.org/officeDocument/2006/relationships/hyperlink" Target="http://www.legislation.act.gov.au/a/2008-36" TargetMode="External"/><Relationship Id="rId507" Type="http://schemas.openxmlformats.org/officeDocument/2006/relationships/hyperlink" Target="http://www.legislation.act.gov.au/a/2001-44" TargetMode="External"/><Relationship Id="rId549" Type="http://schemas.openxmlformats.org/officeDocument/2006/relationships/hyperlink" Target="http://www.legislation.act.gov.au/a/2008-36" TargetMode="External"/><Relationship Id="rId714" Type="http://schemas.openxmlformats.org/officeDocument/2006/relationships/hyperlink" Target="http://www.legislation.act.gov.au/a/2005-53" TargetMode="External"/><Relationship Id="rId756" Type="http://schemas.openxmlformats.org/officeDocument/2006/relationships/hyperlink" Target="http://www.legislation.act.gov.au/a/2004-58" TargetMode="External"/><Relationship Id="rId921" Type="http://schemas.openxmlformats.org/officeDocument/2006/relationships/hyperlink" Target="http://www.legislation.act.gov.au/a/2019-5/" TargetMode="External"/><Relationship Id="rId50" Type="http://schemas.openxmlformats.org/officeDocument/2006/relationships/hyperlink" Target="http://www.legislation.act.gov.au/a/2003-40/default.asp" TargetMode="External"/><Relationship Id="rId104" Type="http://schemas.openxmlformats.org/officeDocument/2006/relationships/hyperlink" Target="http://www.legislation.act.gov.au/a/2018-20/default.asp" TargetMode="External"/><Relationship Id="rId146" Type="http://schemas.openxmlformats.org/officeDocument/2006/relationships/hyperlink" Target="http://www.legislation.act.gov.au/a/2002-27" TargetMode="External"/><Relationship Id="rId188" Type="http://schemas.openxmlformats.org/officeDocument/2006/relationships/hyperlink" Target="http://www.legislation.act.gov.au/a/2011-31" TargetMode="External"/><Relationship Id="rId311" Type="http://schemas.openxmlformats.org/officeDocument/2006/relationships/hyperlink" Target="http://www.legislation.act.gov.au/a/2004-58" TargetMode="External"/><Relationship Id="rId353" Type="http://schemas.openxmlformats.org/officeDocument/2006/relationships/hyperlink" Target="http://www.legislation.act.gov.au/a/2004-58" TargetMode="External"/><Relationship Id="rId395" Type="http://schemas.openxmlformats.org/officeDocument/2006/relationships/hyperlink" Target="http://www.legislation.act.gov.au/a/2008-36" TargetMode="External"/><Relationship Id="rId409" Type="http://schemas.openxmlformats.org/officeDocument/2006/relationships/hyperlink" Target="http://www.legislation.act.gov.au/a/2018-20/default.asp" TargetMode="External"/><Relationship Id="rId560" Type="http://schemas.openxmlformats.org/officeDocument/2006/relationships/hyperlink" Target="http://www.legislation.act.gov.au/a/2011-31" TargetMode="External"/><Relationship Id="rId798" Type="http://schemas.openxmlformats.org/officeDocument/2006/relationships/hyperlink" Target="http://www.legislation.act.gov.au/a/2004-58" TargetMode="External"/><Relationship Id="rId963" Type="http://schemas.openxmlformats.org/officeDocument/2006/relationships/hyperlink" Target="http://www.legislation.act.gov.au/a/2004-60" TargetMode="External"/><Relationship Id="rId1039" Type="http://schemas.openxmlformats.org/officeDocument/2006/relationships/hyperlink" Target="http://www.legislation.act.gov.au/a/2017-5/default.asp" TargetMode="External"/><Relationship Id="rId92" Type="http://schemas.openxmlformats.org/officeDocument/2006/relationships/hyperlink" Target="http://www.legislation.act.gov.au/a/2008-35" TargetMode="External"/><Relationship Id="rId213" Type="http://schemas.openxmlformats.org/officeDocument/2006/relationships/hyperlink" Target="http://www.legislation.act.gov.au/a/2019-5/" TargetMode="External"/><Relationship Id="rId420" Type="http://schemas.openxmlformats.org/officeDocument/2006/relationships/hyperlink" Target="http://www.legislation.act.gov.au/a/2001-44" TargetMode="External"/><Relationship Id="rId616" Type="http://schemas.openxmlformats.org/officeDocument/2006/relationships/hyperlink" Target="http://www.legislation.act.gov.au/a/2004-58" TargetMode="External"/><Relationship Id="rId658" Type="http://schemas.openxmlformats.org/officeDocument/2006/relationships/hyperlink" Target="http://www.legislation.act.gov.au/a/2008-36" TargetMode="External"/><Relationship Id="rId823" Type="http://schemas.openxmlformats.org/officeDocument/2006/relationships/hyperlink" Target="http://www.legislation.act.gov.au/a/2019-5/" TargetMode="External"/><Relationship Id="rId865" Type="http://schemas.openxmlformats.org/officeDocument/2006/relationships/hyperlink" Target="http://www.legislation.act.gov.au/a/2008-22" TargetMode="External"/><Relationship Id="rId1050" Type="http://schemas.openxmlformats.org/officeDocument/2006/relationships/hyperlink" Target="http://www.legislation.act.gov.au/a/2018-20/default.asp" TargetMode="External"/><Relationship Id="rId255" Type="http://schemas.openxmlformats.org/officeDocument/2006/relationships/hyperlink" Target="http://www.legislation.act.gov.au/a/2004-58" TargetMode="External"/><Relationship Id="rId297" Type="http://schemas.openxmlformats.org/officeDocument/2006/relationships/hyperlink" Target="http://www.legislation.act.gov.au/a/1997-122" TargetMode="External"/><Relationship Id="rId462" Type="http://schemas.openxmlformats.org/officeDocument/2006/relationships/hyperlink" Target="http://www.legislation.act.gov.au/a/2019-5/" TargetMode="External"/><Relationship Id="rId518" Type="http://schemas.openxmlformats.org/officeDocument/2006/relationships/hyperlink" Target="http://www.legislation.act.gov.au/a/2008-36" TargetMode="External"/><Relationship Id="rId725" Type="http://schemas.openxmlformats.org/officeDocument/2006/relationships/hyperlink" Target="http://www.legislation.act.gov.au/a/2004-60" TargetMode="External"/><Relationship Id="rId932" Type="http://schemas.openxmlformats.org/officeDocument/2006/relationships/hyperlink" Target="http://www.legislation.act.gov.au/a/1999-22" TargetMode="External"/><Relationship Id="rId115" Type="http://schemas.openxmlformats.org/officeDocument/2006/relationships/hyperlink" Target="http://www.legislation.act.gov.au/a/2016-42/default.asp" TargetMode="External"/><Relationship Id="rId157" Type="http://schemas.openxmlformats.org/officeDocument/2006/relationships/hyperlink" Target="http://www.legislation.act.gov.au/a/2005-20" TargetMode="External"/><Relationship Id="rId322" Type="http://schemas.openxmlformats.org/officeDocument/2006/relationships/hyperlink" Target="http://www.legislation.act.gov.au/a/2017-32/default.asp" TargetMode="External"/><Relationship Id="rId364" Type="http://schemas.openxmlformats.org/officeDocument/2006/relationships/hyperlink" Target="http://www.legislation.act.gov.au/a/2008-36" TargetMode="External"/><Relationship Id="rId767" Type="http://schemas.openxmlformats.org/officeDocument/2006/relationships/hyperlink" Target="http://www.legislation.act.gov.au/a/2017-28/default.asp" TargetMode="External"/><Relationship Id="rId974" Type="http://schemas.openxmlformats.org/officeDocument/2006/relationships/hyperlink" Target="http://www.legislation.act.gov.au/a/2004-58" TargetMode="External"/><Relationship Id="rId1008" Type="http://schemas.openxmlformats.org/officeDocument/2006/relationships/hyperlink" Target="http://www.legislation.act.gov.au/a/2010-32" TargetMode="External"/><Relationship Id="rId61" Type="http://schemas.openxmlformats.org/officeDocument/2006/relationships/hyperlink" Target="http://www.comlaw.gov.au/Series/C2004A03699" TargetMode="External"/><Relationship Id="rId199" Type="http://schemas.openxmlformats.org/officeDocument/2006/relationships/hyperlink" Target="http://www.legislation.act.gov.au/a/2015-42/default.asp" TargetMode="External"/><Relationship Id="rId571" Type="http://schemas.openxmlformats.org/officeDocument/2006/relationships/hyperlink" Target="http://www.legislation.act.gov.au/a/2004-58" TargetMode="External"/><Relationship Id="rId627" Type="http://schemas.openxmlformats.org/officeDocument/2006/relationships/hyperlink" Target="http://www.legislation.act.gov.au/a/2004-58" TargetMode="External"/><Relationship Id="rId669" Type="http://schemas.openxmlformats.org/officeDocument/2006/relationships/hyperlink" Target="http://www.legislation.act.gov.au/a/2008-36" TargetMode="External"/><Relationship Id="rId834" Type="http://schemas.openxmlformats.org/officeDocument/2006/relationships/hyperlink" Target="http://www.legislation.act.gov.au/a/2017-32/default.asp" TargetMode="External"/><Relationship Id="rId876" Type="http://schemas.openxmlformats.org/officeDocument/2006/relationships/hyperlink" Target="http://www.legislation.act.gov.au/a/2019-5/" TargetMode="External"/><Relationship Id="rId19" Type="http://schemas.openxmlformats.org/officeDocument/2006/relationships/header" Target="header2.xml"/><Relationship Id="rId224" Type="http://schemas.openxmlformats.org/officeDocument/2006/relationships/hyperlink" Target="http://www.legislation.act.gov.au/a/1999-66" TargetMode="External"/><Relationship Id="rId266" Type="http://schemas.openxmlformats.org/officeDocument/2006/relationships/hyperlink" Target="http://www.legislation.act.gov.au/a/2004-58" TargetMode="External"/><Relationship Id="rId431" Type="http://schemas.openxmlformats.org/officeDocument/2006/relationships/hyperlink" Target="http://www.legislation.act.gov.au/a/2008-36" TargetMode="External"/><Relationship Id="rId473" Type="http://schemas.openxmlformats.org/officeDocument/2006/relationships/hyperlink" Target="http://www.legislation.act.gov.au/a/2019-5/" TargetMode="External"/><Relationship Id="rId529" Type="http://schemas.openxmlformats.org/officeDocument/2006/relationships/hyperlink" Target="http://www.legislation.act.gov.au/a/2004-58" TargetMode="External"/><Relationship Id="rId680" Type="http://schemas.openxmlformats.org/officeDocument/2006/relationships/hyperlink" Target="http://www.legislation.act.gov.au/a/2008-36" TargetMode="External"/><Relationship Id="rId736" Type="http://schemas.openxmlformats.org/officeDocument/2006/relationships/hyperlink" Target="http://www.legislation.act.gov.au/a/2004-58" TargetMode="External"/><Relationship Id="rId901" Type="http://schemas.openxmlformats.org/officeDocument/2006/relationships/hyperlink" Target="http://www.legislation.act.gov.au/a/2004-58" TargetMode="External"/><Relationship Id="rId1061" Type="http://schemas.openxmlformats.org/officeDocument/2006/relationships/footer" Target="footer20.xm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4-7" TargetMode="External"/><Relationship Id="rId168" Type="http://schemas.openxmlformats.org/officeDocument/2006/relationships/hyperlink" Target="http://www.legislation.act.gov.au/a/2006-24" TargetMode="External"/><Relationship Id="rId333" Type="http://schemas.openxmlformats.org/officeDocument/2006/relationships/hyperlink" Target="http://www.legislation.act.gov.au/a/2016-50/default.asp" TargetMode="External"/><Relationship Id="rId540" Type="http://schemas.openxmlformats.org/officeDocument/2006/relationships/hyperlink" Target="http://www.legislation.act.gov.au/a/2016-50/default.asp" TargetMode="External"/><Relationship Id="rId778" Type="http://schemas.openxmlformats.org/officeDocument/2006/relationships/hyperlink" Target="http://www.legislation.act.gov.au/a/2018-20/default.asp" TargetMode="External"/><Relationship Id="rId943" Type="http://schemas.openxmlformats.org/officeDocument/2006/relationships/hyperlink" Target="http://www.legislation.act.gov.au/a/2001-44" TargetMode="External"/><Relationship Id="rId985" Type="http://schemas.openxmlformats.org/officeDocument/2006/relationships/hyperlink" Target="http://www.legislation.act.gov.au/a/2006-40" TargetMode="External"/><Relationship Id="rId1019" Type="http://schemas.openxmlformats.org/officeDocument/2006/relationships/hyperlink" Target="http://www.legislation.act.gov.au/a/2012-21/default.asp" TargetMode="External"/><Relationship Id="rId72" Type="http://schemas.openxmlformats.org/officeDocument/2006/relationships/footer" Target="footer11.xml"/><Relationship Id="rId375" Type="http://schemas.openxmlformats.org/officeDocument/2006/relationships/hyperlink" Target="http://www.legislation.act.gov.au/a/2018-20/default.asp" TargetMode="External"/><Relationship Id="rId582" Type="http://schemas.openxmlformats.org/officeDocument/2006/relationships/hyperlink" Target="http://www.legislation.act.gov.au/a/2011-31" TargetMode="External"/><Relationship Id="rId638" Type="http://schemas.openxmlformats.org/officeDocument/2006/relationships/hyperlink" Target="http://www.legislation.act.gov.au/a/2004-58" TargetMode="External"/><Relationship Id="rId803" Type="http://schemas.openxmlformats.org/officeDocument/2006/relationships/hyperlink" Target="http://www.legislation.act.gov.au/a/2017-28/default.asp" TargetMode="External"/><Relationship Id="rId845" Type="http://schemas.openxmlformats.org/officeDocument/2006/relationships/hyperlink" Target="http://www.legislation.act.gov.au/a/2006-16" TargetMode="External"/><Relationship Id="rId1030" Type="http://schemas.openxmlformats.org/officeDocument/2006/relationships/hyperlink" Target="http://www.legislation.act.gov.au/a/2015-42/default.asp" TargetMode="External"/><Relationship Id="rId3" Type="http://schemas.openxmlformats.org/officeDocument/2006/relationships/styles" Target="styles.xml"/><Relationship Id="rId235" Type="http://schemas.openxmlformats.org/officeDocument/2006/relationships/hyperlink" Target="http://www.legislation.act.gov.au/a/2004-58" TargetMode="External"/><Relationship Id="rId277" Type="http://schemas.openxmlformats.org/officeDocument/2006/relationships/hyperlink" Target="http://www.legislation.act.gov.au/a/2008-36" TargetMode="External"/><Relationship Id="rId400" Type="http://schemas.openxmlformats.org/officeDocument/2006/relationships/hyperlink" Target="http://www.legislation.act.gov.au/a/2008-28" TargetMode="External"/><Relationship Id="rId442" Type="http://schemas.openxmlformats.org/officeDocument/2006/relationships/hyperlink" Target="http://www.legislation.act.gov.au/a/1998-5" TargetMode="External"/><Relationship Id="rId484" Type="http://schemas.openxmlformats.org/officeDocument/2006/relationships/hyperlink" Target="http://www.legislation.act.gov.au/a/2006-40" TargetMode="External"/><Relationship Id="rId705" Type="http://schemas.openxmlformats.org/officeDocument/2006/relationships/hyperlink" Target="http://www.legislation.act.gov.au/a/2004-58" TargetMode="External"/><Relationship Id="rId887" Type="http://schemas.openxmlformats.org/officeDocument/2006/relationships/hyperlink" Target="http://www.legislation.act.gov.au/a/2008-36" TargetMode="External"/><Relationship Id="rId1072" Type="http://schemas.openxmlformats.org/officeDocument/2006/relationships/theme" Target="theme/theme1.xml"/><Relationship Id="rId137" Type="http://schemas.openxmlformats.org/officeDocument/2006/relationships/hyperlink" Target="http://www.legislation.act.gov.au/a/1997-122" TargetMode="External"/><Relationship Id="rId302" Type="http://schemas.openxmlformats.org/officeDocument/2006/relationships/hyperlink" Target="http://www.legislation.act.gov.au/a/2011-28" TargetMode="External"/><Relationship Id="rId344" Type="http://schemas.openxmlformats.org/officeDocument/2006/relationships/hyperlink" Target="http://www.legislation.act.gov.au/a/1999-66" TargetMode="External"/><Relationship Id="rId691" Type="http://schemas.openxmlformats.org/officeDocument/2006/relationships/hyperlink" Target="http://www.legislation.act.gov.au/a/2006-40" TargetMode="External"/><Relationship Id="rId747" Type="http://schemas.openxmlformats.org/officeDocument/2006/relationships/hyperlink" Target="http://www.legislation.act.gov.au/a/2004-58" TargetMode="External"/><Relationship Id="rId789" Type="http://schemas.openxmlformats.org/officeDocument/2006/relationships/hyperlink" Target="http://www.legislation.act.gov.au/a/2017-32/default.asp" TargetMode="External"/><Relationship Id="rId912" Type="http://schemas.openxmlformats.org/officeDocument/2006/relationships/hyperlink" Target="http://www.legislation.act.gov.au/a/2004-58" TargetMode="External"/><Relationship Id="rId954" Type="http://schemas.openxmlformats.org/officeDocument/2006/relationships/hyperlink" Target="http://www.legislation.act.gov.au/a/2004-13" TargetMode="External"/><Relationship Id="rId996" Type="http://schemas.openxmlformats.org/officeDocument/2006/relationships/hyperlink" Target="http://www.legislation.act.gov.au/a/2008-28" TargetMode="External"/><Relationship Id="rId41" Type="http://schemas.openxmlformats.org/officeDocument/2006/relationships/hyperlink" Target="http://www.legislation.act.gov.au/a/2004-7" TargetMode="External"/><Relationship Id="rId83" Type="http://schemas.openxmlformats.org/officeDocument/2006/relationships/hyperlink" Target="http://www.legislation.act.gov.au/a/2016-43/default.asp" TargetMode="External"/><Relationship Id="rId179" Type="http://schemas.openxmlformats.org/officeDocument/2006/relationships/hyperlink" Target="http://www.legislation.act.gov.au/a/2008-37" TargetMode="External"/><Relationship Id="rId386" Type="http://schemas.openxmlformats.org/officeDocument/2006/relationships/hyperlink" Target="http://www.legislation.act.gov.au/a/2008-36" TargetMode="External"/><Relationship Id="rId551" Type="http://schemas.openxmlformats.org/officeDocument/2006/relationships/hyperlink" Target="http://www.legislation.act.gov.au/a/2005-39" TargetMode="External"/><Relationship Id="rId593" Type="http://schemas.openxmlformats.org/officeDocument/2006/relationships/hyperlink" Target="http://www.legislation.act.gov.au/a/2008-36" TargetMode="External"/><Relationship Id="rId607" Type="http://schemas.openxmlformats.org/officeDocument/2006/relationships/hyperlink" Target="http://www.legislation.act.gov.au/a/2016-42/default.asp" TargetMode="External"/><Relationship Id="rId649" Type="http://schemas.openxmlformats.org/officeDocument/2006/relationships/hyperlink" Target="http://www.legislation.act.gov.au/a/2005-39" TargetMode="External"/><Relationship Id="rId814" Type="http://schemas.openxmlformats.org/officeDocument/2006/relationships/hyperlink" Target="http://www.legislation.act.gov.au/a/2004-58" TargetMode="External"/><Relationship Id="rId856" Type="http://schemas.openxmlformats.org/officeDocument/2006/relationships/hyperlink" Target="http://www.legislation.act.gov.au/a/2005-39" TargetMode="External"/><Relationship Id="rId190" Type="http://schemas.openxmlformats.org/officeDocument/2006/relationships/hyperlink" Target="http://www.legislation.act.gov.au/cn/2012-6/default.asp" TargetMode="External"/><Relationship Id="rId204" Type="http://schemas.openxmlformats.org/officeDocument/2006/relationships/hyperlink" Target="http://www.legislation.act.gov.au/a/2016-50/default.asp" TargetMode="External"/><Relationship Id="rId246" Type="http://schemas.openxmlformats.org/officeDocument/2006/relationships/hyperlink" Target="http://www.legislation.act.gov.au/a/2004-58" TargetMode="External"/><Relationship Id="rId288" Type="http://schemas.openxmlformats.org/officeDocument/2006/relationships/hyperlink" Target="http://www.legislation.act.gov.au/a/2007-8" TargetMode="External"/><Relationship Id="rId411" Type="http://schemas.openxmlformats.org/officeDocument/2006/relationships/hyperlink" Target="http://www.legislation.act.gov.au/a/2018-20/default.asp" TargetMode="External"/><Relationship Id="rId453" Type="http://schemas.openxmlformats.org/officeDocument/2006/relationships/hyperlink" Target="http://www.legislation.act.gov.au/a/2015-42" TargetMode="External"/><Relationship Id="rId509" Type="http://schemas.openxmlformats.org/officeDocument/2006/relationships/hyperlink" Target="http://www.legislation.act.gov.au/a/2004-58" TargetMode="External"/><Relationship Id="rId660" Type="http://schemas.openxmlformats.org/officeDocument/2006/relationships/hyperlink" Target="http://www.legislation.act.gov.au/a/2008-36" TargetMode="External"/><Relationship Id="rId898" Type="http://schemas.openxmlformats.org/officeDocument/2006/relationships/hyperlink" Target="http://www.legislation.act.gov.au/a/2016-50/default.asp" TargetMode="External"/><Relationship Id="rId1041" Type="http://schemas.openxmlformats.org/officeDocument/2006/relationships/hyperlink" Target="http://www.legislation.act.gov.au/a/2017-32/default.asp" TargetMode="External"/><Relationship Id="rId106" Type="http://schemas.openxmlformats.org/officeDocument/2006/relationships/header" Target="header10.xml"/><Relationship Id="rId313" Type="http://schemas.openxmlformats.org/officeDocument/2006/relationships/hyperlink" Target="http://www.legislation.act.gov.au/a/2016-50/default.asp"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2005-53" TargetMode="External"/><Relationship Id="rId758" Type="http://schemas.openxmlformats.org/officeDocument/2006/relationships/hyperlink" Target="http://www.legislation.act.gov.au/a/2006-16" TargetMode="External"/><Relationship Id="rId923" Type="http://schemas.openxmlformats.org/officeDocument/2006/relationships/hyperlink" Target="http://www.legislation.act.gov.au/a/2004-58" TargetMode="External"/><Relationship Id="rId965" Type="http://schemas.openxmlformats.org/officeDocument/2006/relationships/hyperlink" Target="http://www.legislation.act.gov.au/a/2005-43"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03-40/default.asp" TargetMode="External"/><Relationship Id="rId94" Type="http://schemas.openxmlformats.org/officeDocument/2006/relationships/hyperlink" Target="http://www.legislation.act.gov.au/a/2014-24" TargetMode="External"/><Relationship Id="rId148" Type="http://schemas.openxmlformats.org/officeDocument/2006/relationships/hyperlink" Target="http://www.legislation.act.gov.au/a/2003-48" TargetMode="External"/><Relationship Id="rId355" Type="http://schemas.openxmlformats.org/officeDocument/2006/relationships/hyperlink" Target="http://www.legislation.act.gov.au/a/2016-50/default.asp" TargetMode="External"/><Relationship Id="rId397" Type="http://schemas.openxmlformats.org/officeDocument/2006/relationships/hyperlink" Target="http://www.legislation.act.gov.au/a/2001-44" TargetMode="External"/><Relationship Id="rId520" Type="http://schemas.openxmlformats.org/officeDocument/2006/relationships/hyperlink" Target="http://www.legislation.act.gov.au/a/2008-36" TargetMode="External"/><Relationship Id="rId562" Type="http://schemas.openxmlformats.org/officeDocument/2006/relationships/hyperlink" Target="http://www.legislation.act.gov.au/a/2011-31" TargetMode="External"/><Relationship Id="rId618" Type="http://schemas.openxmlformats.org/officeDocument/2006/relationships/hyperlink" Target="http://www.legislation.act.gov.au/a/2008-36" TargetMode="External"/><Relationship Id="rId825" Type="http://schemas.openxmlformats.org/officeDocument/2006/relationships/hyperlink" Target="http://www.legislation.act.gov.au/a/2019-5/" TargetMode="External"/><Relationship Id="rId215" Type="http://schemas.openxmlformats.org/officeDocument/2006/relationships/hyperlink" Target="http://www.legislation.act.gov.au/a/2019-17/default.asp" TargetMode="External"/><Relationship Id="rId257" Type="http://schemas.openxmlformats.org/officeDocument/2006/relationships/hyperlink" Target="http://www.legislation.act.gov.au/a/2004-58" TargetMode="External"/><Relationship Id="rId422" Type="http://schemas.openxmlformats.org/officeDocument/2006/relationships/hyperlink" Target="http://www.legislation.act.gov.au/a/2008-36" TargetMode="External"/><Relationship Id="rId464" Type="http://schemas.openxmlformats.org/officeDocument/2006/relationships/hyperlink" Target="http://www.legislation.act.gov.au/a/2008-36" TargetMode="External"/><Relationship Id="rId867" Type="http://schemas.openxmlformats.org/officeDocument/2006/relationships/hyperlink" Target="http://www.legislation.act.gov.au/a/2004-58" TargetMode="External"/><Relationship Id="rId1010" Type="http://schemas.openxmlformats.org/officeDocument/2006/relationships/hyperlink" Target="http://www.legislation.act.gov.au/a/2011-22" TargetMode="External"/><Relationship Id="rId1052" Type="http://schemas.openxmlformats.org/officeDocument/2006/relationships/hyperlink" Target="http://www.legislation.act.gov.au/a/2018-20/default.asp" TargetMode="External"/><Relationship Id="rId299" Type="http://schemas.openxmlformats.org/officeDocument/2006/relationships/hyperlink" Target="http://www.legislation.act.gov.au/a/2004-58" TargetMode="External"/><Relationship Id="rId727" Type="http://schemas.openxmlformats.org/officeDocument/2006/relationships/hyperlink" Target="http://www.legislation.act.gov.au/a/2005-20" TargetMode="External"/><Relationship Id="rId934" Type="http://schemas.openxmlformats.org/officeDocument/2006/relationships/hyperlink" Target="http://www.legislation.act.gov.au/a/1999-66"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05-39" TargetMode="External"/><Relationship Id="rId366" Type="http://schemas.openxmlformats.org/officeDocument/2006/relationships/hyperlink" Target="http://www.legislation.act.gov.au/a/2008-36" TargetMode="External"/><Relationship Id="rId573" Type="http://schemas.openxmlformats.org/officeDocument/2006/relationships/hyperlink" Target="http://www.legislation.act.gov.au/a/2011-31" TargetMode="External"/><Relationship Id="rId780" Type="http://schemas.openxmlformats.org/officeDocument/2006/relationships/hyperlink" Target="http://www.legislation.act.gov.au/a/2018-20/default.asp" TargetMode="External"/><Relationship Id="rId226" Type="http://schemas.openxmlformats.org/officeDocument/2006/relationships/hyperlink" Target="http://www.legislation.act.gov.au/a/1997-122" TargetMode="External"/><Relationship Id="rId433" Type="http://schemas.openxmlformats.org/officeDocument/2006/relationships/hyperlink" Target="http://www.legislation.act.gov.au/a/2001-44" TargetMode="External"/><Relationship Id="rId878" Type="http://schemas.openxmlformats.org/officeDocument/2006/relationships/hyperlink" Target="http://www.legislation.act.gov.au/a/2004-58" TargetMode="External"/><Relationship Id="rId1063" Type="http://schemas.openxmlformats.org/officeDocument/2006/relationships/header" Target="header18.xml"/><Relationship Id="rId640" Type="http://schemas.openxmlformats.org/officeDocument/2006/relationships/hyperlink" Target="http://www.legislation.act.gov.au/a/2017-32/default.asp" TargetMode="External"/><Relationship Id="rId738" Type="http://schemas.openxmlformats.org/officeDocument/2006/relationships/hyperlink" Target="http://www.legislation.act.gov.au/a/2005-53" TargetMode="External"/><Relationship Id="rId945" Type="http://schemas.openxmlformats.org/officeDocument/2006/relationships/hyperlink" Target="http://www.legislation.act.gov.au/a/2002-11" TargetMode="External"/><Relationship Id="rId74" Type="http://schemas.openxmlformats.org/officeDocument/2006/relationships/hyperlink" Target="http://www.legislation.act.gov.au/a/2008-35" TargetMode="External"/><Relationship Id="rId377" Type="http://schemas.openxmlformats.org/officeDocument/2006/relationships/hyperlink" Target="http://www.legislation.act.gov.au/a/2008-22" TargetMode="External"/><Relationship Id="rId500" Type="http://schemas.openxmlformats.org/officeDocument/2006/relationships/hyperlink" Target="http://www.legislation.act.gov.au/a/2004-58" TargetMode="External"/><Relationship Id="rId584" Type="http://schemas.openxmlformats.org/officeDocument/2006/relationships/hyperlink" Target="http://www.legislation.act.gov.au/a/2008-36" TargetMode="External"/><Relationship Id="rId805" Type="http://schemas.openxmlformats.org/officeDocument/2006/relationships/hyperlink" Target="http://www.legislation.act.gov.au/a/2004-58" TargetMode="External"/><Relationship Id="rId5" Type="http://schemas.openxmlformats.org/officeDocument/2006/relationships/webSettings" Target="webSettings.xml"/><Relationship Id="rId237" Type="http://schemas.openxmlformats.org/officeDocument/2006/relationships/hyperlink" Target="http://www.legislation.act.gov.au/a/2004-58" TargetMode="External"/><Relationship Id="rId791" Type="http://schemas.openxmlformats.org/officeDocument/2006/relationships/hyperlink" Target="http://www.legislation.act.gov.au/a/2017-32/default.asp" TargetMode="External"/><Relationship Id="rId889" Type="http://schemas.openxmlformats.org/officeDocument/2006/relationships/hyperlink" Target="http://www.legislation.act.gov.au/a/2004-58" TargetMode="External"/><Relationship Id="rId444" Type="http://schemas.openxmlformats.org/officeDocument/2006/relationships/hyperlink" Target="http://www.legislation.act.gov.au/a/2017-4/default.asp" TargetMode="External"/><Relationship Id="rId651" Type="http://schemas.openxmlformats.org/officeDocument/2006/relationships/hyperlink" Target="http://www.legislation.act.gov.au/a/2005-39" TargetMode="External"/><Relationship Id="rId749" Type="http://schemas.openxmlformats.org/officeDocument/2006/relationships/hyperlink" Target="http://www.legislation.act.gov.au/a/2000-1" TargetMode="External"/><Relationship Id="rId290" Type="http://schemas.openxmlformats.org/officeDocument/2006/relationships/hyperlink" Target="http://www.legislation.act.gov.au/a/1997-122" TargetMode="External"/><Relationship Id="rId304" Type="http://schemas.openxmlformats.org/officeDocument/2006/relationships/hyperlink" Target="http://www.legislation.act.gov.au/a/2007-8" TargetMode="External"/><Relationship Id="rId388" Type="http://schemas.openxmlformats.org/officeDocument/2006/relationships/hyperlink" Target="http://www.legislation.act.gov.au/a/2008-36" TargetMode="External"/><Relationship Id="rId511" Type="http://schemas.openxmlformats.org/officeDocument/2006/relationships/hyperlink" Target="http://www.legislation.act.gov.au/a/2004-58" TargetMode="External"/><Relationship Id="rId609" Type="http://schemas.openxmlformats.org/officeDocument/2006/relationships/hyperlink" Target="http://www.legislation.act.gov.au/a/2011-31" TargetMode="External"/><Relationship Id="rId956" Type="http://schemas.openxmlformats.org/officeDocument/2006/relationships/hyperlink" Target="http://www.legislation.act.gov.au/a/2004-60" TargetMode="External"/><Relationship Id="rId85" Type="http://schemas.openxmlformats.org/officeDocument/2006/relationships/hyperlink" Target="http://www.legislation.act.gov.au/a/2016-42/default.asp" TargetMode="External"/><Relationship Id="rId150" Type="http://schemas.openxmlformats.org/officeDocument/2006/relationships/hyperlink" Target="http://www.legislation.act.gov.au/a/2004-12" TargetMode="External"/><Relationship Id="rId595" Type="http://schemas.openxmlformats.org/officeDocument/2006/relationships/hyperlink" Target="http://www.legislation.act.gov.au/a/1999-22/default.asp" TargetMode="External"/><Relationship Id="rId816" Type="http://schemas.openxmlformats.org/officeDocument/2006/relationships/hyperlink" Target="http://www.legislation.act.gov.au/a/2019-5/" TargetMode="External"/><Relationship Id="rId1001" Type="http://schemas.openxmlformats.org/officeDocument/2006/relationships/hyperlink" Target="http://www.legislation.act.gov.au/a/2009-7" TargetMode="External"/><Relationship Id="rId248" Type="http://schemas.openxmlformats.org/officeDocument/2006/relationships/hyperlink" Target="http://www.legislation.act.gov.au/a/2004-58" TargetMode="External"/><Relationship Id="rId455" Type="http://schemas.openxmlformats.org/officeDocument/2006/relationships/hyperlink" Target="http://www.legislation.act.gov.au/a/2004-58" TargetMode="External"/><Relationship Id="rId662" Type="http://schemas.openxmlformats.org/officeDocument/2006/relationships/hyperlink" Target="http://www.legislation.act.gov.au/a/2008-36" TargetMode="External"/><Relationship Id="rId12" Type="http://schemas.openxmlformats.org/officeDocument/2006/relationships/hyperlink" Target="http://www.legislation.act.gov.au/a/2001-14" TargetMode="External"/><Relationship Id="rId108" Type="http://schemas.openxmlformats.org/officeDocument/2006/relationships/footer" Target="footer13.xml"/><Relationship Id="rId315" Type="http://schemas.openxmlformats.org/officeDocument/2006/relationships/hyperlink" Target="http://www.legislation.act.gov.au/a/2005-39" TargetMode="External"/><Relationship Id="rId522" Type="http://schemas.openxmlformats.org/officeDocument/2006/relationships/hyperlink" Target="http://www.legislation.act.gov.au/a/2013-45" TargetMode="External"/><Relationship Id="rId967" Type="http://schemas.openxmlformats.org/officeDocument/2006/relationships/hyperlink" Target="http://www.legislation.act.gov.au/a/2005-54" TargetMode="External"/><Relationship Id="rId96" Type="http://schemas.openxmlformats.org/officeDocument/2006/relationships/hyperlink" Target="http://www.legislation.act.gov.au/a/2007-8" TargetMode="External"/><Relationship Id="rId161" Type="http://schemas.openxmlformats.org/officeDocument/2006/relationships/hyperlink" Target="http://www.legislation.act.gov.au/a/2005-43" TargetMode="External"/><Relationship Id="rId399" Type="http://schemas.openxmlformats.org/officeDocument/2006/relationships/hyperlink" Target="http://www.legislation.act.gov.au/a/2008-22" TargetMode="External"/><Relationship Id="rId827" Type="http://schemas.openxmlformats.org/officeDocument/2006/relationships/hyperlink" Target="http://www.legislation.act.gov.au/a/2004-58" TargetMode="External"/><Relationship Id="rId1012" Type="http://schemas.openxmlformats.org/officeDocument/2006/relationships/hyperlink" Target="http://www.legislation.act.gov.au/a/2011-28" TargetMode="External"/><Relationship Id="rId259" Type="http://schemas.openxmlformats.org/officeDocument/2006/relationships/hyperlink" Target="http://www.legislation.act.gov.au/a/2012-21" TargetMode="External"/><Relationship Id="rId466" Type="http://schemas.openxmlformats.org/officeDocument/2006/relationships/hyperlink" Target="http://www.legislation.act.gov.au/a/2008-36" TargetMode="External"/><Relationship Id="rId673" Type="http://schemas.openxmlformats.org/officeDocument/2006/relationships/hyperlink" Target="http://www.legislation.act.gov.au/a/2008-36" TargetMode="External"/><Relationship Id="rId880" Type="http://schemas.openxmlformats.org/officeDocument/2006/relationships/hyperlink" Target="http://www.legislation.act.gov.au/a/2004-58" TargetMode="External"/><Relationship Id="rId23" Type="http://schemas.openxmlformats.org/officeDocument/2006/relationships/footer" Target="footer3.xml"/><Relationship Id="rId119" Type="http://schemas.openxmlformats.org/officeDocument/2006/relationships/header" Target="header12.xml"/><Relationship Id="rId326" Type="http://schemas.openxmlformats.org/officeDocument/2006/relationships/hyperlink" Target="http://www.legislation.act.gov.au/a/2005-60" TargetMode="External"/><Relationship Id="rId533" Type="http://schemas.openxmlformats.org/officeDocument/2006/relationships/hyperlink" Target="http://www.legislation.act.gov.au/a/2008-36" TargetMode="External"/><Relationship Id="rId978" Type="http://schemas.openxmlformats.org/officeDocument/2006/relationships/hyperlink" Target="http://www.legislation.act.gov.au/a/2005-39" TargetMode="External"/><Relationship Id="rId740" Type="http://schemas.openxmlformats.org/officeDocument/2006/relationships/hyperlink" Target="http://www.legislation.act.gov.au/a/2008-36" TargetMode="External"/><Relationship Id="rId838" Type="http://schemas.openxmlformats.org/officeDocument/2006/relationships/hyperlink" Target="http://www.legislation.act.gov.au/a/2015-6" TargetMode="External"/><Relationship Id="rId1023" Type="http://schemas.openxmlformats.org/officeDocument/2006/relationships/hyperlink" Target="http://www.legislation.act.gov.au/a/2013-45" TargetMode="External"/><Relationship Id="rId172" Type="http://schemas.openxmlformats.org/officeDocument/2006/relationships/hyperlink" Target="http://www.legislation.act.gov.au/a/2007-8" TargetMode="External"/><Relationship Id="rId477" Type="http://schemas.openxmlformats.org/officeDocument/2006/relationships/hyperlink" Target="http://www.legislation.act.gov.au/a/2019-5/" TargetMode="External"/><Relationship Id="rId600" Type="http://schemas.openxmlformats.org/officeDocument/2006/relationships/hyperlink" Target="http://www.legislation.act.gov.au/a/2008-36" TargetMode="External"/><Relationship Id="rId684" Type="http://schemas.openxmlformats.org/officeDocument/2006/relationships/hyperlink" Target="http://www.legislation.act.gov.au/a/2008-36" TargetMode="External"/><Relationship Id="rId337" Type="http://schemas.openxmlformats.org/officeDocument/2006/relationships/hyperlink" Target="http://www.legislation.act.gov.au/a/1999-66" TargetMode="External"/><Relationship Id="rId891" Type="http://schemas.openxmlformats.org/officeDocument/2006/relationships/hyperlink" Target="http://www.legislation.act.gov.au/a/2005-39" TargetMode="External"/><Relationship Id="rId905" Type="http://schemas.openxmlformats.org/officeDocument/2006/relationships/hyperlink" Target="http://www.legislation.act.gov.au/a/2008-36" TargetMode="External"/><Relationship Id="rId989" Type="http://schemas.openxmlformats.org/officeDocument/2006/relationships/hyperlink" Target="http://www.legislation.act.gov.au/a/2007-8" TargetMode="External"/><Relationship Id="rId34" Type="http://schemas.openxmlformats.org/officeDocument/2006/relationships/hyperlink" Target="http://www.comlaw.gov.au/Series/C2004A05206" TargetMode="External"/><Relationship Id="rId544" Type="http://schemas.openxmlformats.org/officeDocument/2006/relationships/hyperlink" Target="http://www.legislation.act.gov.au/a/2016-50/default.asp" TargetMode="External"/><Relationship Id="rId751" Type="http://schemas.openxmlformats.org/officeDocument/2006/relationships/hyperlink" Target="http://www.legislation.act.gov.au/a/2005-39" TargetMode="External"/><Relationship Id="rId849" Type="http://schemas.openxmlformats.org/officeDocument/2006/relationships/hyperlink" Target="http://www.legislation.act.gov.au/a/2015-6" TargetMode="External"/><Relationship Id="rId183" Type="http://schemas.openxmlformats.org/officeDocument/2006/relationships/hyperlink" Target="http://www.legislation.act.gov.au/a/2009-19" TargetMode="External"/><Relationship Id="rId390" Type="http://schemas.openxmlformats.org/officeDocument/2006/relationships/hyperlink" Target="http://www.legislation.act.gov.au/a/2008-36" TargetMode="External"/><Relationship Id="rId404" Type="http://schemas.openxmlformats.org/officeDocument/2006/relationships/hyperlink" Target="http://www.legislation.act.gov.au/a/2004-58" TargetMode="External"/><Relationship Id="rId611" Type="http://schemas.openxmlformats.org/officeDocument/2006/relationships/hyperlink" Target="http://www.legislation.act.gov.au/a/2008-36" TargetMode="External"/><Relationship Id="rId1034" Type="http://schemas.openxmlformats.org/officeDocument/2006/relationships/hyperlink" Target="http://www.legislation.act.gov.au/a/2017-10/default.asp" TargetMode="External"/><Relationship Id="rId250" Type="http://schemas.openxmlformats.org/officeDocument/2006/relationships/hyperlink" Target="http://www.legislation.act.gov.au/a/2004-58" TargetMode="External"/><Relationship Id="rId488" Type="http://schemas.openxmlformats.org/officeDocument/2006/relationships/hyperlink" Target="http://www.legislation.act.gov.au/a/2004-58" TargetMode="External"/><Relationship Id="rId695" Type="http://schemas.openxmlformats.org/officeDocument/2006/relationships/hyperlink" Target="http://www.legislation.act.gov.au/a/2008-36" TargetMode="External"/><Relationship Id="rId709" Type="http://schemas.openxmlformats.org/officeDocument/2006/relationships/hyperlink" Target="http://www.legislation.act.gov.au/a/2008-36" TargetMode="External"/><Relationship Id="rId916" Type="http://schemas.openxmlformats.org/officeDocument/2006/relationships/hyperlink" Target="http://www.legislation.act.gov.au/a/2011-31" TargetMode="External"/><Relationship Id="rId45" Type="http://schemas.openxmlformats.org/officeDocument/2006/relationships/hyperlink" Target="http://www.legislation.act.gov.au/a/2008-35" TargetMode="External"/><Relationship Id="rId110" Type="http://schemas.openxmlformats.org/officeDocument/2006/relationships/footer" Target="footer15.xml"/><Relationship Id="rId348" Type="http://schemas.openxmlformats.org/officeDocument/2006/relationships/hyperlink" Target="http://www.legislation.act.gov.au/a/2016-50/default.asp" TargetMode="External"/><Relationship Id="rId555" Type="http://schemas.openxmlformats.org/officeDocument/2006/relationships/hyperlink" Target="http://www.legislation.act.gov.au/a/2008-36" TargetMode="External"/><Relationship Id="rId762" Type="http://schemas.openxmlformats.org/officeDocument/2006/relationships/hyperlink" Target="http://www.legislation.act.gov.au/a/2009-7" TargetMode="External"/><Relationship Id="rId194" Type="http://schemas.openxmlformats.org/officeDocument/2006/relationships/hyperlink" Target="http://www.legislation.act.gov.au/a/2013-44" TargetMode="External"/><Relationship Id="rId208" Type="http://schemas.openxmlformats.org/officeDocument/2006/relationships/hyperlink" Target="http://www.legislation.act.gov.au/a/2016-42/default.asp" TargetMode="External"/><Relationship Id="rId415" Type="http://schemas.openxmlformats.org/officeDocument/2006/relationships/hyperlink" Target="http://www.legislation.act.gov.au/a/2005-43" TargetMode="External"/><Relationship Id="rId622" Type="http://schemas.openxmlformats.org/officeDocument/2006/relationships/hyperlink" Target="http://www.legislation.act.gov.au/a/2008-36" TargetMode="External"/><Relationship Id="rId1045" Type="http://schemas.openxmlformats.org/officeDocument/2006/relationships/hyperlink" Target="http://www.legislation.act.gov.au/a/2017-32/default.asp" TargetMode="External"/><Relationship Id="rId261" Type="http://schemas.openxmlformats.org/officeDocument/2006/relationships/hyperlink" Target="http://www.legislation.act.gov.au/a/2004-58" TargetMode="External"/><Relationship Id="rId499" Type="http://schemas.openxmlformats.org/officeDocument/2006/relationships/hyperlink" Target="http://www.legislation.act.gov.au/a/2008-36" TargetMode="External"/><Relationship Id="rId927" Type="http://schemas.openxmlformats.org/officeDocument/2006/relationships/hyperlink" Target="http://www.legislation.act.gov.au/a/2011-22" TargetMode="External"/><Relationship Id="rId56" Type="http://schemas.openxmlformats.org/officeDocument/2006/relationships/header" Target="header7.xml"/><Relationship Id="rId359" Type="http://schemas.openxmlformats.org/officeDocument/2006/relationships/hyperlink" Target="http://www.legislation.act.gov.au/a/2015-6" TargetMode="External"/><Relationship Id="rId566" Type="http://schemas.openxmlformats.org/officeDocument/2006/relationships/hyperlink" Target="http://www.legislation.act.gov.au/a/2011-31" TargetMode="External"/><Relationship Id="rId773" Type="http://schemas.openxmlformats.org/officeDocument/2006/relationships/hyperlink" Target="http://www.legislation.act.gov.au/a/2017-28/default.asp" TargetMode="External"/><Relationship Id="rId121" Type="http://schemas.openxmlformats.org/officeDocument/2006/relationships/footer" Target="footer16.xml"/><Relationship Id="rId219" Type="http://schemas.openxmlformats.org/officeDocument/2006/relationships/hyperlink" Target="http://www.legislation.act.gov.au/a/2004-58" TargetMode="External"/><Relationship Id="rId426" Type="http://schemas.openxmlformats.org/officeDocument/2006/relationships/hyperlink" Target="http://www.legislation.act.gov.au/a/2004-58" TargetMode="External"/><Relationship Id="rId633" Type="http://schemas.openxmlformats.org/officeDocument/2006/relationships/hyperlink" Target="http://www.legislation.act.gov.au/a/2004-58" TargetMode="External"/><Relationship Id="rId980" Type="http://schemas.openxmlformats.org/officeDocument/2006/relationships/hyperlink" Target="http://www.legislation.act.gov.au/a/2005-60" TargetMode="External"/><Relationship Id="rId1056" Type="http://schemas.openxmlformats.org/officeDocument/2006/relationships/hyperlink" Target="http://www.legislation.act.gov.au/a/2019-17/" TargetMode="External"/><Relationship Id="rId840" Type="http://schemas.openxmlformats.org/officeDocument/2006/relationships/hyperlink" Target="http://www.legislation.act.gov.au/a/1998-5" TargetMode="External"/><Relationship Id="rId938" Type="http://schemas.openxmlformats.org/officeDocument/2006/relationships/hyperlink" Target="http://www.legislation.act.gov.au/a/2000-17" TargetMode="External"/><Relationship Id="rId67" Type="http://schemas.openxmlformats.org/officeDocument/2006/relationships/hyperlink" Target="http://www.legislation.act.gov.au/a/1930-21" TargetMode="External"/><Relationship Id="rId272" Type="http://schemas.openxmlformats.org/officeDocument/2006/relationships/hyperlink" Target="http://www.legislation.act.gov.au/a/2004-58" TargetMode="External"/><Relationship Id="rId577" Type="http://schemas.openxmlformats.org/officeDocument/2006/relationships/hyperlink" Target="http://www.legislation.act.gov.au/a/2011-31" TargetMode="External"/><Relationship Id="rId700" Type="http://schemas.openxmlformats.org/officeDocument/2006/relationships/hyperlink" Target="http://www.legislation.act.gov.au/a/2004-58" TargetMode="External"/><Relationship Id="rId132" Type="http://schemas.openxmlformats.org/officeDocument/2006/relationships/header" Target="header15.xml"/><Relationship Id="rId784" Type="http://schemas.openxmlformats.org/officeDocument/2006/relationships/hyperlink" Target="http://www.legislation.act.gov.au/a/1999-66" TargetMode="External"/><Relationship Id="rId991" Type="http://schemas.openxmlformats.org/officeDocument/2006/relationships/hyperlink" Target="http://www.legislation.act.gov.au/a/2007-8" TargetMode="External"/><Relationship Id="rId1067" Type="http://schemas.openxmlformats.org/officeDocument/2006/relationships/header" Target="header20.xml"/><Relationship Id="rId437" Type="http://schemas.openxmlformats.org/officeDocument/2006/relationships/hyperlink" Target="http://www.legislation.act.gov.au/a/2001-44" TargetMode="External"/><Relationship Id="rId644" Type="http://schemas.openxmlformats.org/officeDocument/2006/relationships/hyperlink" Target="http://www.legislation.act.gov.au/a/2008-36" TargetMode="External"/><Relationship Id="rId851" Type="http://schemas.openxmlformats.org/officeDocument/2006/relationships/hyperlink" Target="http://www.legislation.act.gov.au/a/2004-58" TargetMode="External"/><Relationship Id="rId283" Type="http://schemas.openxmlformats.org/officeDocument/2006/relationships/hyperlink" Target="http://www.legislation.act.gov.au/a/2008-36" TargetMode="External"/><Relationship Id="rId490" Type="http://schemas.openxmlformats.org/officeDocument/2006/relationships/hyperlink" Target="http://www.legislation.act.gov.au/a/2005-43" TargetMode="External"/><Relationship Id="rId504" Type="http://schemas.openxmlformats.org/officeDocument/2006/relationships/hyperlink" Target="http://www.legislation.act.gov.au/a/2008-36" TargetMode="External"/><Relationship Id="rId711" Type="http://schemas.openxmlformats.org/officeDocument/2006/relationships/hyperlink" Target="http://www.legislation.act.gov.au/a/2004-58" TargetMode="External"/><Relationship Id="rId949" Type="http://schemas.openxmlformats.org/officeDocument/2006/relationships/hyperlink" Target="http://www.legislation.act.gov.au/a/2002-30" TargetMode="External"/><Relationship Id="rId78" Type="http://schemas.openxmlformats.org/officeDocument/2006/relationships/hyperlink" Target="http://www.legislation.act.gov.au/a/2016-42/default.asp" TargetMode="External"/><Relationship Id="rId143" Type="http://schemas.openxmlformats.org/officeDocument/2006/relationships/hyperlink" Target="http://www.legislation.act.gov.au/a/2001-17" TargetMode="External"/><Relationship Id="rId350" Type="http://schemas.openxmlformats.org/officeDocument/2006/relationships/hyperlink" Target="http://www.legislation.act.gov.au/a/2016-50/default.asp" TargetMode="External"/><Relationship Id="rId588" Type="http://schemas.openxmlformats.org/officeDocument/2006/relationships/hyperlink" Target="http://www.legislation.act.gov.au/a/2008-36" TargetMode="External"/><Relationship Id="rId795" Type="http://schemas.openxmlformats.org/officeDocument/2006/relationships/hyperlink" Target="http://www.legislation.act.gov.au/a/2016-50/default.asp" TargetMode="External"/><Relationship Id="rId809" Type="http://schemas.openxmlformats.org/officeDocument/2006/relationships/hyperlink" Target="http://www.legislation.act.gov.au/a/2016-50/default.asp" TargetMode="External"/><Relationship Id="rId9" Type="http://schemas.openxmlformats.org/officeDocument/2006/relationships/hyperlink" Target="http://www.legislation.act.gov.au/a/2019-5/" TargetMode="External"/><Relationship Id="rId210" Type="http://schemas.openxmlformats.org/officeDocument/2006/relationships/hyperlink" Target="http://www.legislation.act.gov.au/a/2017-32/default.asp" TargetMode="External"/><Relationship Id="rId448" Type="http://schemas.openxmlformats.org/officeDocument/2006/relationships/hyperlink" Target="http://www.legislation.act.gov.au/a/2004-58" TargetMode="External"/><Relationship Id="rId655" Type="http://schemas.openxmlformats.org/officeDocument/2006/relationships/hyperlink" Target="http://www.legislation.act.gov.au/a/2011-31" TargetMode="External"/><Relationship Id="rId862" Type="http://schemas.openxmlformats.org/officeDocument/2006/relationships/hyperlink" Target="http://www.legislation.act.gov.au/a/2004-58" TargetMode="External"/><Relationship Id="rId294" Type="http://schemas.openxmlformats.org/officeDocument/2006/relationships/hyperlink" Target="http://www.legislation.act.gov.au/a/2019-5/" TargetMode="External"/><Relationship Id="rId308" Type="http://schemas.openxmlformats.org/officeDocument/2006/relationships/hyperlink" Target="http://www.legislation.act.gov.au/a/2017-32/default.asp" TargetMode="External"/><Relationship Id="rId515" Type="http://schemas.openxmlformats.org/officeDocument/2006/relationships/hyperlink" Target="http://www.legislation.act.gov.au/a/2008-36" TargetMode="External"/><Relationship Id="rId722" Type="http://schemas.openxmlformats.org/officeDocument/2006/relationships/hyperlink" Target="http://www.legislation.act.gov.au/a/2008-36" TargetMode="External"/><Relationship Id="rId89" Type="http://schemas.openxmlformats.org/officeDocument/2006/relationships/hyperlink" Target="http://www.legislation.act.gov.au/a/2002-51" TargetMode="External"/><Relationship Id="rId154" Type="http://schemas.openxmlformats.org/officeDocument/2006/relationships/hyperlink" Target="http://www.legislation.act.gov.au/a/2004-60" TargetMode="External"/><Relationship Id="rId361" Type="http://schemas.openxmlformats.org/officeDocument/2006/relationships/hyperlink" Target="http://www.legislation.act.gov.au/a/2016-50/default.asp" TargetMode="External"/><Relationship Id="rId599" Type="http://schemas.openxmlformats.org/officeDocument/2006/relationships/hyperlink" Target="http://www.legislation.act.gov.au/a/2005-53" TargetMode="External"/><Relationship Id="rId1005" Type="http://schemas.openxmlformats.org/officeDocument/2006/relationships/hyperlink" Target="http://www.legislation.act.gov.au/a/2009-19" TargetMode="External"/><Relationship Id="rId459" Type="http://schemas.openxmlformats.org/officeDocument/2006/relationships/hyperlink" Target="http://www.legislation.act.gov.au/a/2008-36" TargetMode="External"/><Relationship Id="rId666" Type="http://schemas.openxmlformats.org/officeDocument/2006/relationships/hyperlink" Target="http://www.legislation.act.gov.au/a/2008-36" TargetMode="External"/><Relationship Id="rId873" Type="http://schemas.openxmlformats.org/officeDocument/2006/relationships/hyperlink" Target="http://www.legislation.act.gov.au/a/2011-31"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4-58" TargetMode="External"/><Relationship Id="rId319" Type="http://schemas.openxmlformats.org/officeDocument/2006/relationships/hyperlink" Target="http://www.legislation.act.gov.au/a/2012-21" TargetMode="External"/><Relationship Id="rId526" Type="http://schemas.openxmlformats.org/officeDocument/2006/relationships/hyperlink" Target="http://www.legislation.act.gov.au/a/1998-5" TargetMode="External"/><Relationship Id="rId733" Type="http://schemas.openxmlformats.org/officeDocument/2006/relationships/hyperlink" Target="http://www.legislation.act.gov.au/a/2005-39" TargetMode="External"/><Relationship Id="rId940" Type="http://schemas.openxmlformats.org/officeDocument/2006/relationships/hyperlink" Target="http://www.legislation.act.gov.au/a/2000-17" TargetMode="External"/><Relationship Id="rId1016" Type="http://schemas.openxmlformats.org/officeDocument/2006/relationships/hyperlink" Target="http://www.legislation.act.gov.au/a/2011-41" TargetMode="External"/><Relationship Id="rId165" Type="http://schemas.openxmlformats.org/officeDocument/2006/relationships/hyperlink" Target="http://www.legislation.act.gov.au/a/2005-60" TargetMode="External"/><Relationship Id="rId372" Type="http://schemas.openxmlformats.org/officeDocument/2006/relationships/hyperlink" Target="http://www.legislation.act.gov.au/a/2008-22" TargetMode="External"/><Relationship Id="rId677" Type="http://schemas.openxmlformats.org/officeDocument/2006/relationships/hyperlink" Target="http://www.legislation.act.gov.au/a/2004-58" TargetMode="External"/><Relationship Id="rId800" Type="http://schemas.openxmlformats.org/officeDocument/2006/relationships/hyperlink" Target="http://www.legislation.act.gov.au/a/2004-58" TargetMode="External"/><Relationship Id="rId232" Type="http://schemas.openxmlformats.org/officeDocument/2006/relationships/hyperlink" Target="http://www.legislation.act.gov.au/a/2004-58" TargetMode="External"/><Relationship Id="rId884" Type="http://schemas.openxmlformats.org/officeDocument/2006/relationships/hyperlink" Target="http://www.legislation.act.gov.au/a/2004-58" TargetMode="External"/><Relationship Id="rId27" Type="http://schemas.openxmlformats.org/officeDocument/2006/relationships/footer" Target="footer5.xml"/><Relationship Id="rId537" Type="http://schemas.openxmlformats.org/officeDocument/2006/relationships/hyperlink" Target="http://www.legislation.act.gov.au/a/2016-50/default.asp" TargetMode="External"/><Relationship Id="rId744" Type="http://schemas.openxmlformats.org/officeDocument/2006/relationships/hyperlink" Target="http://www.legislation.act.gov.au/a/2001-44" TargetMode="External"/><Relationship Id="rId951" Type="http://schemas.openxmlformats.org/officeDocument/2006/relationships/hyperlink" Target="http://www.legislation.act.gov.au/a/2002-27" TargetMode="External"/><Relationship Id="rId80" Type="http://schemas.openxmlformats.org/officeDocument/2006/relationships/hyperlink" Target="http://www.legislation.act.gov.au/a/2016-43/default.asp" TargetMode="External"/><Relationship Id="rId176" Type="http://schemas.openxmlformats.org/officeDocument/2006/relationships/hyperlink" Target="http://www.legislation.act.gov.au/a/2008-36" TargetMode="External"/><Relationship Id="rId383" Type="http://schemas.openxmlformats.org/officeDocument/2006/relationships/hyperlink" Target="http://www.legislation.act.gov.au/a/2018-20/default.asp" TargetMode="External"/><Relationship Id="rId590" Type="http://schemas.openxmlformats.org/officeDocument/2006/relationships/hyperlink" Target="http://www.legislation.act.gov.au/a/2008-36" TargetMode="External"/><Relationship Id="rId604" Type="http://schemas.openxmlformats.org/officeDocument/2006/relationships/hyperlink" Target="http://www.legislation.act.gov.au/a/2011-31" TargetMode="External"/><Relationship Id="rId811" Type="http://schemas.openxmlformats.org/officeDocument/2006/relationships/hyperlink" Target="http://www.legislation.act.gov.au/a/2004-58" TargetMode="External"/><Relationship Id="rId1027" Type="http://schemas.openxmlformats.org/officeDocument/2006/relationships/hyperlink" Target="http://www.legislation.act.gov.au/a/2014-49/default.asp" TargetMode="External"/><Relationship Id="rId243" Type="http://schemas.openxmlformats.org/officeDocument/2006/relationships/hyperlink" Target="http://www.legislation.act.gov.au/a/2004-58" TargetMode="External"/><Relationship Id="rId450" Type="http://schemas.openxmlformats.org/officeDocument/2006/relationships/hyperlink" Target="http://www.legislation.act.gov.au/a/2019-5/" TargetMode="External"/><Relationship Id="rId688" Type="http://schemas.openxmlformats.org/officeDocument/2006/relationships/hyperlink" Target="http://www.legislation.act.gov.au/a/2008-36" TargetMode="External"/><Relationship Id="rId895" Type="http://schemas.openxmlformats.org/officeDocument/2006/relationships/hyperlink" Target="http://www.legislation.act.gov.au/a/2004-58" TargetMode="External"/><Relationship Id="rId909" Type="http://schemas.openxmlformats.org/officeDocument/2006/relationships/hyperlink" Target="http://www.legislation.act.gov.au/a/2016-50/default.asp"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18-20/default.asp" TargetMode="External"/><Relationship Id="rId310" Type="http://schemas.openxmlformats.org/officeDocument/2006/relationships/hyperlink" Target="http://www.legislation.act.gov.au/a/2017-32/default.asp" TargetMode="External"/><Relationship Id="rId548" Type="http://schemas.openxmlformats.org/officeDocument/2006/relationships/hyperlink" Target="http://www.legislation.act.gov.au/a/2016-50/default.asp" TargetMode="External"/><Relationship Id="rId755" Type="http://schemas.openxmlformats.org/officeDocument/2006/relationships/hyperlink" Target="http://www.legislation.act.gov.au/a/2004-58" TargetMode="External"/><Relationship Id="rId962" Type="http://schemas.openxmlformats.org/officeDocument/2006/relationships/hyperlink" Target="http://www.legislation.act.gov.au/a/2004-60" TargetMode="External"/><Relationship Id="rId91" Type="http://schemas.openxmlformats.org/officeDocument/2006/relationships/hyperlink" Target="http://www.legislation.act.gov.au/a/2008-35" TargetMode="External"/><Relationship Id="rId187" Type="http://schemas.openxmlformats.org/officeDocument/2006/relationships/hyperlink" Target="http://www.legislation.act.gov.au/a/2011-28" TargetMode="External"/><Relationship Id="rId394" Type="http://schemas.openxmlformats.org/officeDocument/2006/relationships/hyperlink" Target="http://www.legislation.act.gov.au/a/2004-58" TargetMode="External"/><Relationship Id="rId408" Type="http://schemas.openxmlformats.org/officeDocument/2006/relationships/hyperlink" Target="http://www.legislation.act.gov.au/a/2018-20/default.asp" TargetMode="External"/><Relationship Id="rId615" Type="http://schemas.openxmlformats.org/officeDocument/2006/relationships/hyperlink" Target="http://www.legislation.act.gov.au/a/2004-58" TargetMode="External"/><Relationship Id="rId822" Type="http://schemas.openxmlformats.org/officeDocument/2006/relationships/hyperlink" Target="http://www.legislation.act.gov.au/a/2004-58" TargetMode="External"/><Relationship Id="rId1038" Type="http://schemas.openxmlformats.org/officeDocument/2006/relationships/hyperlink" Target="http://www.legislation.act.gov.au/a/2016-50/default.asp" TargetMode="External"/><Relationship Id="rId254" Type="http://schemas.openxmlformats.org/officeDocument/2006/relationships/hyperlink" Target="http://www.legislation.act.gov.au/a/2004-58" TargetMode="External"/><Relationship Id="rId699" Type="http://schemas.openxmlformats.org/officeDocument/2006/relationships/hyperlink" Target="http://www.legislation.act.gov.au/a/1997-96" TargetMode="External"/><Relationship Id="rId49" Type="http://schemas.openxmlformats.org/officeDocument/2006/relationships/hyperlink" Target="http://www.legislation.act.gov.au/a/2016-42/default.asp" TargetMode="External"/><Relationship Id="rId114" Type="http://schemas.openxmlformats.org/officeDocument/2006/relationships/hyperlink" Target="http://www.legislation.act.gov.au/a/2001-16" TargetMode="External"/><Relationship Id="rId461" Type="http://schemas.openxmlformats.org/officeDocument/2006/relationships/hyperlink" Target="http://www.legislation.act.gov.au/a/2008-36" TargetMode="External"/><Relationship Id="rId559" Type="http://schemas.openxmlformats.org/officeDocument/2006/relationships/hyperlink" Target="http://www.legislation.act.gov.au/a/2008-36" TargetMode="External"/><Relationship Id="rId766" Type="http://schemas.openxmlformats.org/officeDocument/2006/relationships/hyperlink" Target="http://www.legislation.act.gov.au/a/2016-50/default.asp" TargetMode="External"/><Relationship Id="rId198" Type="http://schemas.openxmlformats.org/officeDocument/2006/relationships/hyperlink" Target="http://www.legislation.act.gov.au/cn/2015-6/default.asp" TargetMode="External"/><Relationship Id="rId321" Type="http://schemas.openxmlformats.org/officeDocument/2006/relationships/hyperlink" Target="http://www.legislation.act.gov.au/a/2012-21" TargetMode="External"/><Relationship Id="rId419" Type="http://schemas.openxmlformats.org/officeDocument/2006/relationships/hyperlink" Target="http://www.legislation.act.gov.au/a/2008-36" TargetMode="External"/><Relationship Id="rId626" Type="http://schemas.openxmlformats.org/officeDocument/2006/relationships/hyperlink" Target="http://www.legislation.act.gov.au/a/2004-58" TargetMode="External"/><Relationship Id="rId973" Type="http://schemas.openxmlformats.org/officeDocument/2006/relationships/hyperlink" Target="http://www.legislation.act.gov.au/a/2005-60" TargetMode="External"/><Relationship Id="rId1049" Type="http://schemas.openxmlformats.org/officeDocument/2006/relationships/hyperlink" Target="http://www.legislation.act.gov.au/a/2017-32/default.asp" TargetMode="External"/><Relationship Id="rId833" Type="http://schemas.openxmlformats.org/officeDocument/2006/relationships/hyperlink" Target="http://www.legislation.act.gov.au/a/2016-50/default.asp" TargetMode="External"/><Relationship Id="rId265" Type="http://schemas.openxmlformats.org/officeDocument/2006/relationships/hyperlink" Target="http://www.legislation.act.gov.au/a/2004-58" TargetMode="External"/><Relationship Id="rId472" Type="http://schemas.openxmlformats.org/officeDocument/2006/relationships/hyperlink" Target="http://www.legislation.act.gov.au/a/2019-5/" TargetMode="External"/><Relationship Id="rId900" Type="http://schemas.openxmlformats.org/officeDocument/2006/relationships/hyperlink" Target="http://www.legislation.act.gov.au/a/2016-50/default.asp" TargetMode="External"/><Relationship Id="rId125" Type="http://schemas.openxmlformats.org/officeDocument/2006/relationships/hyperlink" Target="http://www.legislation.act.gov.au/a/2008-35" TargetMode="External"/><Relationship Id="rId332" Type="http://schemas.openxmlformats.org/officeDocument/2006/relationships/hyperlink" Target="http://www.legislation.act.gov.au/a/2005-39" TargetMode="External"/><Relationship Id="rId777" Type="http://schemas.openxmlformats.org/officeDocument/2006/relationships/hyperlink" Target="http://www.legislation.act.gov.au/a/2018-20/default.asp" TargetMode="External"/><Relationship Id="rId984" Type="http://schemas.openxmlformats.org/officeDocument/2006/relationships/hyperlink" Target="http://www.legislation.act.gov.au/a/2006-40" TargetMode="External"/><Relationship Id="rId637" Type="http://schemas.openxmlformats.org/officeDocument/2006/relationships/hyperlink" Target="http://www.legislation.act.gov.au/a/2017-32/default.asp" TargetMode="External"/><Relationship Id="rId844" Type="http://schemas.openxmlformats.org/officeDocument/2006/relationships/hyperlink" Target="http://www.legislation.act.gov.au/a/201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7D230-FA45-4111-8178-065FCBBF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193</Pages>
  <Words>41831</Words>
  <Characters>199686</Characters>
  <Application>Microsoft Office Word</Application>
  <DocSecurity>0</DocSecurity>
  <Lines>5743</Lines>
  <Paragraphs>3623</Paragraphs>
  <ScaleCrop>false</ScaleCrop>
  <HeadingPairs>
    <vt:vector size="2" baseType="variant">
      <vt:variant>
        <vt:lpstr>Title</vt:lpstr>
      </vt:variant>
      <vt:variant>
        <vt:i4>1</vt:i4>
      </vt:variant>
    </vt:vector>
  </HeadingPairs>
  <TitlesOfParts>
    <vt:vector size="1" baseType="lpstr">
      <vt:lpstr>Residential Tenancies Act 1997</vt:lpstr>
    </vt:vector>
  </TitlesOfParts>
  <Manager>Section</Manager>
  <Company>Section</Company>
  <LinksUpToDate>false</LinksUpToDate>
  <CharactersWithSpaces>239609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1997</dc:title>
  <dc:creator>ACT Government</dc:creator>
  <cp:keywords>R58</cp:keywords>
  <dc:description/>
  <cp:lastModifiedBy>PCODCS</cp:lastModifiedBy>
  <cp:revision>5</cp:revision>
  <cp:lastPrinted>2019-10-31T01:08:00Z</cp:lastPrinted>
  <dcterms:created xsi:type="dcterms:W3CDTF">2019-12-13T00:23:00Z</dcterms:created>
  <dcterms:modified xsi:type="dcterms:W3CDTF">2019-12-13T00:23:00Z</dcterms:modified>
  <cp:category>R58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vt:lpwstr>
  </property>
  <property fmtid="{D5CDD505-2E9C-101B-9397-08002B2CF9AE}" pid="5" name="RepubDt">
    <vt:lpwstr>01/11/19</vt:lpwstr>
  </property>
  <property fmtid="{D5CDD505-2E9C-101B-9397-08002B2CF9AE}" pid="6" name="Eff">
    <vt:lpwstr>Effective:  </vt:lpwstr>
  </property>
  <property fmtid="{D5CDD505-2E9C-101B-9397-08002B2CF9AE}" pid="7" name="StartDt">
    <vt:lpwstr>01/11/19</vt:lpwstr>
  </property>
  <property fmtid="{D5CDD505-2E9C-101B-9397-08002B2CF9AE}" pid="8" name="EndDt">
    <vt:lpwstr>-14/12/19</vt:lpwstr>
  </property>
  <property fmtid="{D5CDD505-2E9C-101B-9397-08002B2CF9AE}" pid="9" name="DMSID">
    <vt:lpwstr>1112165</vt:lpwstr>
  </property>
  <property fmtid="{D5CDD505-2E9C-101B-9397-08002B2CF9AE}" pid="10" name="JMSREQUIREDCHECKIN">
    <vt:lpwstr/>
  </property>
  <property fmtid="{D5CDD505-2E9C-101B-9397-08002B2CF9AE}" pid="11" name="CHECKEDOUTFROMJMS">
    <vt:lpwstr/>
  </property>
</Properties>
</file>