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09" w:rsidRDefault="00F93509" w:rsidP="00F9350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3509" w:rsidRDefault="00F93509" w:rsidP="00F93509">
      <w:pPr>
        <w:jc w:val="center"/>
        <w:rPr>
          <w:rFonts w:ascii="Arial" w:hAnsi="Arial"/>
        </w:rPr>
      </w:pPr>
      <w:r>
        <w:rPr>
          <w:rFonts w:ascii="Arial" w:hAnsi="Arial"/>
        </w:rPr>
        <w:t>Australian Capital Territory</w:t>
      </w:r>
    </w:p>
    <w:p w:rsidR="00F93509" w:rsidRDefault="00DC28D5" w:rsidP="00F93509">
      <w:pPr>
        <w:pStyle w:val="Billname1"/>
      </w:pPr>
      <w:r>
        <w:fldChar w:fldCharType="begin"/>
      </w:r>
      <w:r>
        <w:instrText xml:space="preserve"> REF Citation \*charformat </w:instrText>
      </w:r>
      <w:r>
        <w:fldChar w:fldCharType="separate"/>
      </w:r>
      <w:r w:rsidR="005F2669">
        <w:t>Gene Technology Act 2003</w:t>
      </w:r>
      <w:r>
        <w:fldChar w:fldCharType="end"/>
      </w:r>
      <w:r w:rsidR="00F93509">
        <w:t xml:space="preserve">    </w:t>
      </w:r>
    </w:p>
    <w:p w:rsidR="00F93509" w:rsidRDefault="00136761" w:rsidP="00F93509">
      <w:pPr>
        <w:pStyle w:val="ActNo"/>
      </w:pPr>
      <w:bookmarkStart w:id="1" w:name="LawNo"/>
      <w:r>
        <w:t>A2003-57</w:t>
      </w:r>
      <w:bookmarkEnd w:id="1"/>
    </w:p>
    <w:p w:rsidR="00F93509" w:rsidRDefault="00F93509" w:rsidP="00F93509">
      <w:pPr>
        <w:pStyle w:val="RepubNo"/>
      </w:pPr>
      <w:r>
        <w:t xml:space="preserve">Republication No </w:t>
      </w:r>
      <w:bookmarkStart w:id="2" w:name="RepubNo"/>
      <w:r w:rsidR="00136761">
        <w:t>11</w:t>
      </w:r>
      <w:bookmarkEnd w:id="2"/>
    </w:p>
    <w:p w:rsidR="00F93509" w:rsidRDefault="00F93509" w:rsidP="00F93509">
      <w:pPr>
        <w:pStyle w:val="EffectiveDate"/>
      </w:pPr>
      <w:r>
        <w:t xml:space="preserve">Effective:  </w:t>
      </w:r>
      <w:bookmarkStart w:id="3" w:name="EffectiveDate"/>
      <w:r w:rsidR="00136761">
        <w:t>1 January 2018</w:t>
      </w:r>
      <w:bookmarkEnd w:id="3"/>
      <w:r w:rsidR="00136761">
        <w:t xml:space="preserve"> – </w:t>
      </w:r>
      <w:bookmarkStart w:id="4" w:name="EndEffDate"/>
      <w:r w:rsidR="00136761">
        <w:t>22 October 2018</w:t>
      </w:r>
      <w:bookmarkEnd w:id="4"/>
    </w:p>
    <w:p w:rsidR="00F93509" w:rsidRDefault="00F93509" w:rsidP="00F93509">
      <w:pPr>
        <w:pStyle w:val="CoverInForce"/>
      </w:pPr>
      <w:r>
        <w:t xml:space="preserve">Republication date: </w:t>
      </w:r>
      <w:bookmarkStart w:id="5" w:name="InForceDate"/>
      <w:r w:rsidR="00136761">
        <w:t>1 January 2018</w:t>
      </w:r>
      <w:bookmarkEnd w:id="5"/>
    </w:p>
    <w:p w:rsidR="00F93509" w:rsidRDefault="00F93509" w:rsidP="00FD4B32">
      <w:pPr>
        <w:pStyle w:val="CoverInForce"/>
      </w:pPr>
      <w:r>
        <w:t xml:space="preserve">Last amendment made by </w:t>
      </w:r>
      <w:bookmarkStart w:id="6" w:name="LastAmdt"/>
      <w:r w:rsidR="004A2405" w:rsidRPr="009D18EA">
        <w:rPr>
          <w:rStyle w:val="charCitHyperlinkAbbrev"/>
        </w:rPr>
        <w:fldChar w:fldCharType="begin"/>
      </w:r>
      <w:r w:rsidR="00136761">
        <w:rPr>
          <w:rStyle w:val="charCitHyperlinkAbbrev"/>
        </w:rPr>
        <w:instrText>HYPERLINK "http://www.legislation.act.gov.au/a/2017-15/default.asp" \o "Gene Technology Amendment Act 2017"</w:instrText>
      </w:r>
      <w:r w:rsidR="004A2405" w:rsidRPr="009D18EA">
        <w:rPr>
          <w:rStyle w:val="charCitHyperlinkAbbrev"/>
        </w:rPr>
        <w:fldChar w:fldCharType="separate"/>
      </w:r>
      <w:r w:rsidR="00136761">
        <w:rPr>
          <w:rStyle w:val="charCitHyperlinkAbbrev"/>
        </w:rPr>
        <w:t>A2017</w:t>
      </w:r>
      <w:r w:rsidR="00136761">
        <w:rPr>
          <w:rStyle w:val="charCitHyperlinkAbbrev"/>
        </w:rPr>
        <w:noBreakHyphen/>
        <w:t>15</w:t>
      </w:r>
      <w:r w:rsidR="004A2405" w:rsidRPr="009D18EA">
        <w:rPr>
          <w:rStyle w:val="charCitHyperlinkAbbrev"/>
        </w:rPr>
        <w:fldChar w:fldCharType="end"/>
      </w:r>
      <w:bookmarkEnd w:id="6"/>
      <w:r w:rsidR="00F522DA" w:rsidRPr="00F522DA">
        <w:rPr>
          <w:color w:val="0000FF" w:themeColor="hyperlink"/>
        </w:rPr>
        <w:br/>
      </w:r>
      <w:r w:rsidR="00F522DA" w:rsidRPr="00F522DA">
        <w:t xml:space="preserve">(republication for amendments by </w:t>
      </w:r>
      <w:hyperlink r:id="rId9" w:tooltip="Freedom of Information Act 2016" w:history="1">
        <w:r w:rsidR="00B5022E">
          <w:rPr>
            <w:color w:val="0000FF" w:themeColor="hyperlink"/>
          </w:rPr>
          <w:t>A2016-55</w:t>
        </w:r>
      </w:hyperlink>
      <w:r w:rsidR="00FD4B32">
        <w:br/>
        <w:t xml:space="preserve">as amended by </w:t>
      </w:r>
      <w:hyperlink r:id="rId10" w:tooltip="Justice and Community Safety Legislation Amendment Act 2017 (No 2)" w:history="1">
        <w:r w:rsidR="00FD4B32">
          <w:rPr>
            <w:rStyle w:val="charCitHyperlinkAbbrev"/>
          </w:rPr>
          <w:t>A2017</w:t>
        </w:r>
        <w:r w:rsidR="00FD4B32">
          <w:rPr>
            <w:rStyle w:val="charCitHyperlinkAbbrev"/>
          </w:rPr>
          <w:noBreakHyphen/>
          <w:t>14</w:t>
        </w:r>
      </w:hyperlink>
      <w:r w:rsidR="00FD4B32" w:rsidRPr="00C579A8">
        <w:t>)</w:t>
      </w:r>
    </w:p>
    <w:p w:rsidR="00F93509" w:rsidRDefault="00F93509" w:rsidP="00F93509"/>
    <w:p w:rsidR="00F93509" w:rsidRDefault="00F93509" w:rsidP="00F93509"/>
    <w:p w:rsidR="00F93509" w:rsidRDefault="00F93509" w:rsidP="00F93509"/>
    <w:p w:rsidR="00F93509" w:rsidRDefault="00F93509" w:rsidP="00F93509"/>
    <w:p w:rsidR="00F93509" w:rsidRDefault="00F93509" w:rsidP="00F93509">
      <w:pPr>
        <w:spacing w:after="240"/>
        <w:rPr>
          <w:rFonts w:ascii="Arial" w:hAnsi="Arial"/>
        </w:rPr>
      </w:pPr>
    </w:p>
    <w:p w:rsidR="00F93509" w:rsidRPr="00101B4C" w:rsidRDefault="00F93509" w:rsidP="00F93509">
      <w:pPr>
        <w:pStyle w:val="PageBreak"/>
      </w:pPr>
      <w:r w:rsidRPr="00101B4C">
        <w:br w:type="page"/>
      </w:r>
    </w:p>
    <w:p w:rsidR="00F93509" w:rsidRDefault="00F93509" w:rsidP="00F93509">
      <w:pPr>
        <w:pStyle w:val="CoverHeading"/>
      </w:pPr>
      <w:r>
        <w:lastRenderedPageBreak/>
        <w:t>About this republication</w:t>
      </w:r>
    </w:p>
    <w:p w:rsidR="00F93509" w:rsidRDefault="00F93509" w:rsidP="00F93509">
      <w:pPr>
        <w:pStyle w:val="CoverSubHdg"/>
      </w:pPr>
      <w:r>
        <w:t>The republished law</w:t>
      </w:r>
    </w:p>
    <w:p w:rsidR="00F93509" w:rsidRDefault="00F93509" w:rsidP="00F93509">
      <w:pPr>
        <w:pStyle w:val="CoverText"/>
      </w:pPr>
      <w:r>
        <w:t xml:space="preserve">This is a republication of the </w:t>
      </w:r>
      <w:r w:rsidR="00884353" w:rsidRPr="00136761">
        <w:rPr>
          <w:i/>
        </w:rPr>
        <w:fldChar w:fldCharType="begin"/>
      </w:r>
      <w:r w:rsidR="00884353" w:rsidRPr="00136761">
        <w:rPr>
          <w:i/>
        </w:rPr>
        <w:instrText xml:space="preserve"> REF citation *\charformat  \* MERGEFORMAT </w:instrText>
      </w:r>
      <w:r w:rsidR="00884353" w:rsidRPr="00136761">
        <w:rPr>
          <w:i/>
        </w:rPr>
        <w:fldChar w:fldCharType="separate"/>
      </w:r>
      <w:r w:rsidR="005F2669" w:rsidRPr="005F2669">
        <w:rPr>
          <w:i/>
        </w:rPr>
        <w:t>Gene Technology Act 2003</w:t>
      </w:r>
      <w:r w:rsidR="00884353" w:rsidRPr="00136761">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DC28D5">
        <w:fldChar w:fldCharType="begin"/>
      </w:r>
      <w:r w:rsidR="00DC28D5">
        <w:instrText xml:space="preserve"> REF InForceDate *\charformat </w:instrText>
      </w:r>
      <w:r w:rsidR="00DC28D5">
        <w:fldChar w:fldCharType="separate"/>
      </w:r>
      <w:r w:rsidR="005F2669">
        <w:t>1 January 2018</w:t>
      </w:r>
      <w:r w:rsidR="00DC28D5">
        <w:fldChar w:fldCharType="end"/>
      </w:r>
      <w:r w:rsidRPr="0074598E">
        <w:rPr>
          <w:rStyle w:val="charItals"/>
        </w:rPr>
        <w:t xml:space="preserve">.  </w:t>
      </w:r>
      <w:r>
        <w:t xml:space="preserve">It also includes any commencement, amendment, repeal or expiry affecting this republished law to </w:t>
      </w:r>
      <w:r w:rsidR="00DC28D5">
        <w:fldChar w:fldCharType="begin"/>
      </w:r>
      <w:r w:rsidR="00DC28D5">
        <w:instrText xml:space="preserve"> REF EffectiveDate *\charformat </w:instrText>
      </w:r>
      <w:r w:rsidR="00DC28D5">
        <w:fldChar w:fldCharType="separate"/>
      </w:r>
      <w:r w:rsidR="005F2669">
        <w:t>1 January 2018</w:t>
      </w:r>
      <w:r w:rsidR="00DC28D5">
        <w:fldChar w:fldCharType="end"/>
      </w:r>
      <w:r>
        <w:t xml:space="preserve">.  </w:t>
      </w:r>
    </w:p>
    <w:p w:rsidR="00F93509" w:rsidRDefault="00F93509" w:rsidP="00F93509">
      <w:pPr>
        <w:pStyle w:val="CoverText"/>
      </w:pPr>
      <w:r>
        <w:t xml:space="preserve">The legislation history and amendment history of the republished law are set out in endnotes 3 and 4. </w:t>
      </w:r>
    </w:p>
    <w:p w:rsidR="00F93509" w:rsidRDefault="00F93509" w:rsidP="00F93509">
      <w:pPr>
        <w:pStyle w:val="CoverSubHdg"/>
      </w:pPr>
      <w:r>
        <w:t>Kinds of republications</w:t>
      </w:r>
    </w:p>
    <w:p w:rsidR="00F93509" w:rsidRDefault="00F93509" w:rsidP="00F93509">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F93509" w:rsidRDefault="00F93509" w:rsidP="00F93509">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F93509" w:rsidRDefault="00F93509" w:rsidP="00F93509">
      <w:pPr>
        <w:pStyle w:val="CoverTextBullet"/>
        <w:tabs>
          <w:tab w:val="clear" w:pos="0"/>
        </w:tabs>
        <w:ind w:left="357" w:hanging="357"/>
      </w:pPr>
      <w:r>
        <w:t>unauthorised republications.</w:t>
      </w:r>
    </w:p>
    <w:p w:rsidR="00F93509" w:rsidRDefault="00F93509" w:rsidP="00F93509">
      <w:pPr>
        <w:pStyle w:val="CoverText"/>
      </w:pPr>
      <w:r>
        <w:t>The status of this republication appears on the bottom of each page.</w:t>
      </w:r>
    </w:p>
    <w:p w:rsidR="00F93509" w:rsidRDefault="00F93509" w:rsidP="00F93509">
      <w:pPr>
        <w:pStyle w:val="CoverSubHdg"/>
      </w:pPr>
      <w:r>
        <w:t>Editorial changes</w:t>
      </w:r>
    </w:p>
    <w:p w:rsidR="00F93509" w:rsidRDefault="00F93509" w:rsidP="00F93509">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3509" w:rsidRPr="009D18EA" w:rsidRDefault="00B5022E" w:rsidP="00F93509">
      <w:pPr>
        <w:pStyle w:val="CoverText"/>
      </w:pPr>
      <w:r>
        <w:t xml:space="preserve">This republication </w:t>
      </w:r>
      <w:r w:rsidR="007929F7">
        <w:t xml:space="preserve">does not </w:t>
      </w:r>
      <w:r w:rsidR="00F93509" w:rsidRPr="009D18EA">
        <w:t>include amendments made under part 11.3 (see endnote 1).</w:t>
      </w:r>
    </w:p>
    <w:p w:rsidR="00F93509" w:rsidRDefault="00F93509" w:rsidP="00F93509">
      <w:pPr>
        <w:pStyle w:val="CoverSubHdg"/>
      </w:pPr>
      <w:r>
        <w:t>Uncommenced provisions and amendments</w:t>
      </w:r>
    </w:p>
    <w:p w:rsidR="00F93509" w:rsidRDefault="00F93509" w:rsidP="00F935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F93509" w:rsidRDefault="00F93509" w:rsidP="00F93509">
      <w:pPr>
        <w:pStyle w:val="CoverSubHdg"/>
      </w:pPr>
      <w:r>
        <w:t>Modifications</w:t>
      </w:r>
    </w:p>
    <w:p w:rsidR="00F93509" w:rsidRDefault="00F93509" w:rsidP="00F935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A7BC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F93509" w:rsidRDefault="00F93509" w:rsidP="00F93509">
      <w:pPr>
        <w:pStyle w:val="CoverSubHdg"/>
      </w:pPr>
      <w:r>
        <w:t>Penalties</w:t>
      </w:r>
    </w:p>
    <w:p w:rsidR="00F93509" w:rsidRPr="003765DF" w:rsidRDefault="00F93509" w:rsidP="00F93509">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F93509" w:rsidRDefault="00F93509" w:rsidP="00F93509">
      <w:pPr>
        <w:pStyle w:val="00SigningPage"/>
        <w:sectPr w:rsidR="00F93509" w:rsidSect="008F79A0">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F93509" w:rsidRDefault="00F93509" w:rsidP="00F9350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3509" w:rsidRDefault="00F93509" w:rsidP="00F93509">
      <w:pPr>
        <w:jc w:val="center"/>
        <w:rPr>
          <w:rFonts w:ascii="Arial" w:hAnsi="Arial"/>
        </w:rPr>
      </w:pPr>
      <w:r>
        <w:rPr>
          <w:rFonts w:ascii="Arial" w:hAnsi="Arial"/>
        </w:rPr>
        <w:t>Australian Capital Territory</w:t>
      </w:r>
    </w:p>
    <w:p w:rsidR="00F93509" w:rsidRDefault="00DC28D5" w:rsidP="00F93509">
      <w:pPr>
        <w:pStyle w:val="Billname"/>
      </w:pPr>
      <w:r>
        <w:fldChar w:fldCharType="begin"/>
      </w:r>
      <w:r>
        <w:instrText xml:space="preserve"> REF Citation \*charformat  \* MERGEFORMAT </w:instrText>
      </w:r>
      <w:r>
        <w:fldChar w:fldCharType="separate"/>
      </w:r>
      <w:r w:rsidR="005F2669">
        <w:t>Gene Technology Act 2003</w:t>
      </w:r>
      <w:r>
        <w:fldChar w:fldCharType="end"/>
      </w:r>
    </w:p>
    <w:p w:rsidR="00F93509" w:rsidRDefault="00F93509" w:rsidP="00F93509">
      <w:pPr>
        <w:pStyle w:val="ActNo"/>
      </w:pPr>
    </w:p>
    <w:p w:rsidR="00F93509" w:rsidRDefault="00F93509" w:rsidP="00F93509">
      <w:pPr>
        <w:pStyle w:val="Placeholder"/>
      </w:pPr>
      <w:r>
        <w:rPr>
          <w:rStyle w:val="charContents"/>
          <w:sz w:val="16"/>
        </w:rPr>
        <w:t xml:space="preserve">  </w:t>
      </w:r>
      <w:r>
        <w:rPr>
          <w:rStyle w:val="charPage"/>
        </w:rPr>
        <w:t xml:space="preserve">  </w:t>
      </w:r>
    </w:p>
    <w:p w:rsidR="00F93509" w:rsidRDefault="00F93509" w:rsidP="00F93509">
      <w:pPr>
        <w:pStyle w:val="N-TOCheading"/>
      </w:pPr>
      <w:r>
        <w:rPr>
          <w:rStyle w:val="charContents"/>
        </w:rPr>
        <w:t>Contents</w:t>
      </w:r>
    </w:p>
    <w:p w:rsidR="00F93509" w:rsidRDefault="00F93509" w:rsidP="00F93509">
      <w:pPr>
        <w:pStyle w:val="N-9pt"/>
      </w:pPr>
      <w:r>
        <w:tab/>
      </w:r>
      <w:r>
        <w:rPr>
          <w:rStyle w:val="charPage"/>
        </w:rPr>
        <w:t>Page</w:t>
      </w:r>
    </w:p>
    <w:p w:rsidR="00136761" w:rsidRDefault="001367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44485" w:history="1">
        <w:r w:rsidRPr="00D85384">
          <w:t>Part 1</w:t>
        </w:r>
        <w:r>
          <w:rPr>
            <w:rFonts w:asciiTheme="minorHAnsi" w:eastAsiaTheme="minorEastAsia" w:hAnsiTheme="minorHAnsi" w:cstheme="minorBidi"/>
            <w:b w:val="0"/>
            <w:sz w:val="22"/>
            <w:szCs w:val="22"/>
            <w:lang w:eastAsia="en-AU"/>
          </w:rPr>
          <w:tab/>
        </w:r>
        <w:r w:rsidRPr="00D85384">
          <w:t>Preliminary</w:t>
        </w:r>
        <w:r w:rsidRPr="00136761">
          <w:rPr>
            <w:vanish/>
          </w:rPr>
          <w:tab/>
        </w:r>
        <w:r w:rsidRPr="00136761">
          <w:rPr>
            <w:vanish/>
          </w:rPr>
          <w:fldChar w:fldCharType="begin"/>
        </w:r>
        <w:r w:rsidRPr="00136761">
          <w:rPr>
            <w:vanish/>
          </w:rPr>
          <w:instrText xml:space="preserve"> PAGEREF _Toc526844485 \h </w:instrText>
        </w:r>
        <w:r w:rsidRPr="00136761">
          <w:rPr>
            <w:vanish/>
          </w:rPr>
        </w:r>
        <w:r w:rsidRPr="00136761">
          <w:rPr>
            <w:vanish/>
          </w:rPr>
          <w:fldChar w:fldCharType="separate"/>
        </w:r>
        <w:r w:rsidR="005F2669">
          <w:rPr>
            <w:vanish/>
          </w:rPr>
          <w:t>2</w:t>
        </w:r>
        <w:r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86" w:history="1">
        <w:r w:rsidRPr="00D85384">
          <w:t>1</w:t>
        </w:r>
        <w:r>
          <w:rPr>
            <w:rFonts w:asciiTheme="minorHAnsi" w:eastAsiaTheme="minorEastAsia" w:hAnsiTheme="minorHAnsi" w:cstheme="minorBidi"/>
            <w:sz w:val="22"/>
            <w:szCs w:val="22"/>
            <w:lang w:eastAsia="en-AU"/>
          </w:rPr>
          <w:tab/>
        </w:r>
        <w:r w:rsidRPr="00D85384">
          <w:t>Name of Act etc</w:t>
        </w:r>
        <w:r>
          <w:tab/>
        </w:r>
        <w:r>
          <w:fldChar w:fldCharType="begin"/>
        </w:r>
        <w:r>
          <w:instrText xml:space="preserve"> PAGEREF _Toc526844486 \h </w:instrText>
        </w:r>
        <w:r>
          <w:fldChar w:fldCharType="separate"/>
        </w:r>
        <w:r w:rsidR="005F2669">
          <w:t>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87" w:history="1">
        <w:r w:rsidRPr="00D85384">
          <w:t>3</w:t>
        </w:r>
        <w:r>
          <w:rPr>
            <w:rFonts w:asciiTheme="minorHAnsi" w:eastAsiaTheme="minorEastAsia" w:hAnsiTheme="minorHAnsi" w:cstheme="minorBidi"/>
            <w:sz w:val="22"/>
            <w:szCs w:val="22"/>
            <w:lang w:eastAsia="en-AU"/>
          </w:rPr>
          <w:tab/>
        </w:r>
        <w:r w:rsidRPr="00D85384">
          <w:t>Object of Act</w:t>
        </w:r>
        <w:r>
          <w:tab/>
        </w:r>
        <w:r>
          <w:fldChar w:fldCharType="begin"/>
        </w:r>
        <w:r>
          <w:instrText xml:space="preserve"> PAGEREF _Toc526844487 \h </w:instrText>
        </w:r>
        <w:r>
          <w:fldChar w:fldCharType="separate"/>
        </w:r>
        <w:r w:rsidR="005F2669">
          <w:t>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88" w:history="1">
        <w:r w:rsidRPr="00D85384">
          <w:t>4</w:t>
        </w:r>
        <w:r>
          <w:rPr>
            <w:rFonts w:asciiTheme="minorHAnsi" w:eastAsiaTheme="minorEastAsia" w:hAnsiTheme="minorHAnsi" w:cstheme="minorBidi"/>
            <w:sz w:val="22"/>
            <w:szCs w:val="22"/>
            <w:lang w:eastAsia="en-AU"/>
          </w:rPr>
          <w:tab/>
        </w:r>
        <w:r w:rsidRPr="00D85384">
          <w:t>Regulatory framework to achieve object</w:t>
        </w:r>
        <w:r>
          <w:tab/>
        </w:r>
        <w:r>
          <w:fldChar w:fldCharType="begin"/>
        </w:r>
        <w:r>
          <w:instrText xml:space="preserve"> PAGEREF _Toc526844488 \h </w:instrText>
        </w:r>
        <w:r>
          <w:fldChar w:fldCharType="separate"/>
        </w:r>
        <w:r w:rsidR="005F2669">
          <w:t>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89" w:history="1">
        <w:r w:rsidRPr="00D85384">
          <w:t>5</w:t>
        </w:r>
        <w:r>
          <w:rPr>
            <w:rFonts w:asciiTheme="minorHAnsi" w:eastAsiaTheme="minorEastAsia" w:hAnsiTheme="minorHAnsi" w:cstheme="minorBidi"/>
            <w:sz w:val="22"/>
            <w:szCs w:val="22"/>
            <w:lang w:eastAsia="en-AU"/>
          </w:rPr>
          <w:tab/>
        </w:r>
        <w:r w:rsidRPr="00D85384">
          <w:t>Nationally consistent scheme</w:t>
        </w:r>
        <w:r>
          <w:tab/>
        </w:r>
        <w:r>
          <w:fldChar w:fldCharType="begin"/>
        </w:r>
        <w:r>
          <w:instrText xml:space="preserve"> PAGEREF _Toc526844489 \h </w:instrText>
        </w:r>
        <w:r>
          <w:fldChar w:fldCharType="separate"/>
        </w:r>
        <w:r w:rsidR="005F2669">
          <w:t>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90" w:history="1">
        <w:r w:rsidRPr="00D85384">
          <w:t>6</w:t>
        </w:r>
        <w:r>
          <w:rPr>
            <w:rFonts w:asciiTheme="minorHAnsi" w:eastAsiaTheme="minorEastAsia" w:hAnsiTheme="minorHAnsi" w:cstheme="minorBidi"/>
            <w:sz w:val="22"/>
            <w:szCs w:val="22"/>
            <w:lang w:eastAsia="en-AU"/>
          </w:rPr>
          <w:tab/>
        </w:r>
        <w:r w:rsidRPr="00D85384">
          <w:t>Act to bind the Crown</w:t>
        </w:r>
        <w:r>
          <w:tab/>
        </w:r>
        <w:r>
          <w:fldChar w:fldCharType="begin"/>
        </w:r>
        <w:r>
          <w:instrText xml:space="preserve"> PAGEREF _Toc526844490 \h </w:instrText>
        </w:r>
        <w:r>
          <w:fldChar w:fldCharType="separate"/>
        </w:r>
        <w:r w:rsidR="005F2669">
          <w:t>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91" w:history="1">
        <w:r w:rsidRPr="00D85384">
          <w:t>7</w:t>
        </w:r>
        <w:r>
          <w:rPr>
            <w:rFonts w:asciiTheme="minorHAnsi" w:eastAsiaTheme="minorEastAsia" w:hAnsiTheme="minorHAnsi" w:cstheme="minorBidi"/>
            <w:sz w:val="22"/>
            <w:szCs w:val="22"/>
            <w:lang w:eastAsia="en-AU"/>
          </w:rPr>
          <w:tab/>
        </w:r>
        <w:r w:rsidRPr="00D85384">
          <w:t>External Territories</w:t>
        </w:r>
        <w:r>
          <w:tab/>
        </w:r>
        <w:r>
          <w:fldChar w:fldCharType="begin"/>
        </w:r>
        <w:r>
          <w:instrText xml:space="preserve"> PAGEREF _Toc526844491 \h </w:instrText>
        </w:r>
        <w:r>
          <w:fldChar w:fldCharType="separate"/>
        </w:r>
        <w:r w:rsidR="005F2669">
          <w:t>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92" w:history="1">
        <w:r w:rsidRPr="00D85384">
          <w:t>8</w:t>
        </w:r>
        <w:r>
          <w:rPr>
            <w:rFonts w:asciiTheme="minorHAnsi" w:eastAsiaTheme="minorEastAsia" w:hAnsiTheme="minorHAnsi" w:cstheme="minorBidi"/>
            <w:sz w:val="22"/>
            <w:szCs w:val="22"/>
            <w:lang w:eastAsia="en-AU"/>
          </w:rPr>
          <w:tab/>
        </w:r>
        <w:r w:rsidRPr="00D85384">
          <w:t>Offences against Act—application of Criminal Code etc</w:t>
        </w:r>
        <w:r>
          <w:tab/>
        </w:r>
        <w:r>
          <w:fldChar w:fldCharType="begin"/>
        </w:r>
        <w:r>
          <w:instrText xml:space="preserve"> PAGEREF _Toc526844492 \h </w:instrText>
        </w:r>
        <w:r>
          <w:fldChar w:fldCharType="separate"/>
        </w:r>
        <w:r w:rsidR="005F2669">
          <w:t>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93" w:history="1">
        <w:r w:rsidRPr="00D85384">
          <w:t>8A</w:t>
        </w:r>
        <w:r>
          <w:rPr>
            <w:rFonts w:asciiTheme="minorHAnsi" w:eastAsiaTheme="minorEastAsia" w:hAnsiTheme="minorHAnsi" w:cstheme="minorBidi"/>
            <w:sz w:val="22"/>
            <w:szCs w:val="22"/>
            <w:lang w:eastAsia="en-AU"/>
          </w:rPr>
          <w:tab/>
        </w:r>
        <w:r w:rsidRPr="00D85384">
          <w:t>Numbering</w:t>
        </w:r>
        <w:r>
          <w:tab/>
        </w:r>
        <w:r>
          <w:fldChar w:fldCharType="begin"/>
        </w:r>
        <w:r>
          <w:instrText xml:space="preserve"> PAGEREF _Toc526844493 \h </w:instrText>
        </w:r>
        <w:r>
          <w:fldChar w:fldCharType="separate"/>
        </w:r>
        <w:r w:rsidR="005F2669">
          <w:t>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94" w:history="1">
        <w:r w:rsidRPr="00D85384">
          <w:t>8B</w:t>
        </w:r>
        <w:r>
          <w:rPr>
            <w:rFonts w:asciiTheme="minorHAnsi" w:eastAsiaTheme="minorEastAsia" w:hAnsiTheme="minorHAnsi" w:cstheme="minorBidi"/>
            <w:sz w:val="22"/>
            <w:szCs w:val="22"/>
            <w:lang w:eastAsia="en-AU"/>
          </w:rPr>
          <w:tab/>
        </w:r>
        <w:r w:rsidRPr="00D85384">
          <w:t>Notes</w:t>
        </w:r>
        <w:r>
          <w:tab/>
        </w:r>
        <w:r>
          <w:fldChar w:fldCharType="begin"/>
        </w:r>
        <w:r>
          <w:instrText xml:space="preserve"> PAGEREF _Toc526844494 \h </w:instrText>
        </w:r>
        <w:r>
          <w:fldChar w:fldCharType="separate"/>
        </w:r>
        <w:r w:rsidR="005F2669">
          <w:t>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95" w:history="1">
        <w:r w:rsidRPr="00D85384">
          <w:t>8C</w:t>
        </w:r>
        <w:r>
          <w:rPr>
            <w:rFonts w:asciiTheme="minorHAnsi" w:eastAsiaTheme="minorEastAsia" w:hAnsiTheme="minorHAnsi" w:cstheme="minorBidi"/>
            <w:sz w:val="22"/>
            <w:szCs w:val="22"/>
            <w:lang w:eastAsia="en-AU"/>
          </w:rPr>
          <w:tab/>
        </w:r>
        <w:r w:rsidRPr="00D85384">
          <w:t>Outlines</w:t>
        </w:r>
        <w:r>
          <w:tab/>
        </w:r>
        <w:r>
          <w:fldChar w:fldCharType="begin"/>
        </w:r>
        <w:r>
          <w:instrText xml:space="preserve"> PAGEREF _Toc526844495 \h </w:instrText>
        </w:r>
        <w:r>
          <w:fldChar w:fldCharType="separate"/>
        </w:r>
        <w:r w:rsidR="005F2669">
          <w:t>5</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496" w:history="1">
        <w:r w:rsidR="00136761" w:rsidRPr="00D85384">
          <w:t>Part 2</w:t>
        </w:r>
        <w:r w:rsidR="00136761">
          <w:rPr>
            <w:rFonts w:asciiTheme="minorHAnsi" w:eastAsiaTheme="minorEastAsia" w:hAnsiTheme="minorHAnsi" w:cstheme="minorBidi"/>
            <w:b w:val="0"/>
            <w:sz w:val="22"/>
            <w:szCs w:val="22"/>
            <w:lang w:eastAsia="en-AU"/>
          </w:rPr>
          <w:tab/>
        </w:r>
        <w:r w:rsidR="00136761" w:rsidRPr="00D85384">
          <w:t>Interpretation and operation of Act</w:t>
        </w:r>
        <w:r w:rsidR="00136761" w:rsidRPr="00136761">
          <w:rPr>
            <w:vanish/>
          </w:rPr>
          <w:tab/>
        </w:r>
        <w:r w:rsidR="00136761" w:rsidRPr="00136761">
          <w:rPr>
            <w:vanish/>
          </w:rPr>
          <w:fldChar w:fldCharType="begin"/>
        </w:r>
        <w:r w:rsidR="00136761" w:rsidRPr="00136761">
          <w:rPr>
            <w:vanish/>
          </w:rPr>
          <w:instrText xml:space="preserve"> PAGEREF _Toc526844496 \h </w:instrText>
        </w:r>
        <w:r w:rsidR="00136761" w:rsidRPr="00136761">
          <w:rPr>
            <w:vanish/>
          </w:rPr>
        </w:r>
        <w:r w:rsidR="00136761" w:rsidRPr="00136761">
          <w:rPr>
            <w:vanish/>
          </w:rPr>
          <w:fldChar w:fldCharType="separate"/>
        </w:r>
        <w:r w:rsidR="005F2669">
          <w:rPr>
            <w:vanish/>
          </w:rPr>
          <w:t>6</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497" w:history="1">
        <w:r w:rsidR="00136761" w:rsidRPr="00D85384">
          <w:t>Division 2.1</w:t>
        </w:r>
        <w:r w:rsidR="00136761">
          <w:rPr>
            <w:rFonts w:asciiTheme="minorHAnsi" w:eastAsiaTheme="minorEastAsia" w:hAnsiTheme="minorHAnsi" w:cstheme="minorBidi"/>
            <w:b w:val="0"/>
            <w:sz w:val="22"/>
            <w:szCs w:val="22"/>
            <w:lang w:eastAsia="en-AU"/>
          </w:rPr>
          <w:tab/>
        </w:r>
        <w:r w:rsidR="00136761" w:rsidRPr="00D85384">
          <w:t>Simplified outline of pt 2</w:t>
        </w:r>
        <w:r w:rsidR="00136761" w:rsidRPr="00136761">
          <w:rPr>
            <w:vanish/>
          </w:rPr>
          <w:tab/>
        </w:r>
        <w:r w:rsidR="00136761" w:rsidRPr="00136761">
          <w:rPr>
            <w:vanish/>
          </w:rPr>
          <w:fldChar w:fldCharType="begin"/>
        </w:r>
        <w:r w:rsidR="00136761" w:rsidRPr="00136761">
          <w:rPr>
            <w:vanish/>
          </w:rPr>
          <w:instrText xml:space="preserve"> PAGEREF _Toc526844497 \h </w:instrText>
        </w:r>
        <w:r w:rsidR="00136761" w:rsidRPr="00136761">
          <w:rPr>
            <w:vanish/>
          </w:rPr>
        </w:r>
        <w:r w:rsidR="00136761" w:rsidRPr="00136761">
          <w:rPr>
            <w:vanish/>
          </w:rPr>
          <w:fldChar w:fldCharType="separate"/>
        </w:r>
        <w:r w:rsidR="005F2669">
          <w:rPr>
            <w:vanish/>
          </w:rPr>
          <w:t>6</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498" w:history="1">
        <w:r w:rsidRPr="00D85384">
          <w:t>9</w:t>
        </w:r>
        <w:r>
          <w:rPr>
            <w:rFonts w:asciiTheme="minorHAnsi" w:eastAsiaTheme="minorEastAsia" w:hAnsiTheme="minorHAnsi" w:cstheme="minorBidi"/>
            <w:sz w:val="22"/>
            <w:szCs w:val="22"/>
            <w:lang w:eastAsia="en-AU"/>
          </w:rPr>
          <w:tab/>
        </w:r>
        <w:r w:rsidRPr="00D85384">
          <w:t>Simplified outline—pt 2</w:t>
        </w:r>
        <w:r>
          <w:tab/>
        </w:r>
        <w:r>
          <w:fldChar w:fldCharType="begin"/>
        </w:r>
        <w:r>
          <w:instrText xml:space="preserve"> PAGEREF _Toc526844498 \h </w:instrText>
        </w:r>
        <w:r>
          <w:fldChar w:fldCharType="separate"/>
        </w:r>
        <w:r w:rsidR="005F2669">
          <w:t>6</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499" w:history="1">
        <w:r w:rsidR="00136761" w:rsidRPr="00D85384">
          <w:t>Division 2.2</w:t>
        </w:r>
        <w:r w:rsidR="00136761">
          <w:rPr>
            <w:rFonts w:asciiTheme="minorHAnsi" w:eastAsiaTheme="minorEastAsia" w:hAnsiTheme="minorHAnsi" w:cstheme="minorBidi"/>
            <w:b w:val="0"/>
            <w:sz w:val="22"/>
            <w:szCs w:val="22"/>
            <w:lang w:eastAsia="en-AU"/>
          </w:rPr>
          <w:tab/>
        </w:r>
        <w:r w:rsidR="00136761" w:rsidRPr="00D85384">
          <w:t>Interpretation</w:t>
        </w:r>
        <w:r w:rsidR="00136761" w:rsidRPr="00136761">
          <w:rPr>
            <w:vanish/>
          </w:rPr>
          <w:tab/>
        </w:r>
        <w:r w:rsidR="00136761" w:rsidRPr="00136761">
          <w:rPr>
            <w:vanish/>
          </w:rPr>
          <w:fldChar w:fldCharType="begin"/>
        </w:r>
        <w:r w:rsidR="00136761" w:rsidRPr="00136761">
          <w:rPr>
            <w:vanish/>
          </w:rPr>
          <w:instrText xml:space="preserve"> PAGEREF _Toc526844499 \h </w:instrText>
        </w:r>
        <w:r w:rsidR="00136761" w:rsidRPr="00136761">
          <w:rPr>
            <w:vanish/>
          </w:rPr>
        </w:r>
        <w:r w:rsidR="00136761" w:rsidRPr="00136761">
          <w:rPr>
            <w:vanish/>
          </w:rPr>
          <w:fldChar w:fldCharType="separate"/>
        </w:r>
        <w:r w:rsidR="005F2669">
          <w:rPr>
            <w:vanish/>
          </w:rPr>
          <w:t>6</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00" w:history="1">
        <w:r w:rsidRPr="00D85384">
          <w:t>10</w:t>
        </w:r>
        <w:r>
          <w:rPr>
            <w:rFonts w:asciiTheme="minorHAnsi" w:eastAsiaTheme="minorEastAsia" w:hAnsiTheme="minorHAnsi" w:cstheme="minorBidi"/>
            <w:sz w:val="22"/>
            <w:szCs w:val="22"/>
            <w:lang w:eastAsia="en-AU"/>
          </w:rPr>
          <w:tab/>
        </w:r>
        <w:r w:rsidRPr="00D85384">
          <w:t>Dictionary etc</w:t>
        </w:r>
        <w:r>
          <w:tab/>
        </w:r>
        <w:r>
          <w:fldChar w:fldCharType="begin"/>
        </w:r>
        <w:r>
          <w:instrText xml:space="preserve"> PAGEREF _Toc526844500 \h </w:instrText>
        </w:r>
        <w:r>
          <w:fldChar w:fldCharType="separate"/>
        </w:r>
        <w:r w:rsidR="005F2669">
          <w:t>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01" w:history="1">
        <w:r w:rsidRPr="00D85384">
          <w:t>11</w:t>
        </w:r>
        <w:r>
          <w:rPr>
            <w:rFonts w:asciiTheme="minorHAnsi" w:eastAsiaTheme="minorEastAsia" w:hAnsiTheme="minorHAnsi" w:cstheme="minorBidi"/>
            <w:sz w:val="22"/>
            <w:szCs w:val="22"/>
            <w:lang w:eastAsia="en-AU"/>
          </w:rPr>
          <w:tab/>
        </w:r>
        <w:r w:rsidRPr="00D85384">
          <w:t xml:space="preserve">Meaning of </w:t>
        </w:r>
        <w:r w:rsidRPr="00D85384">
          <w:rPr>
            <w:i/>
          </w:rPr>
          <w:t>intentional release of a GMO into the environment</w:t>
        </w:r>
        <w:r>
          <w:tab/>
        </w:r>
        <w:r>
          <w:fldChar w:fldCharType="begin"/>
        </w:r>
        <w:r>
          <w:instrText xml:space="preserve"> PAGEREF _Toc526844501 \h </w:instrText>
        </w:r>
        <w:r>
          <w:fldChar w:fldCharType="separate"/>
        </w:r>
        <w:r w:rsidR="005F2669">
          <w:t>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02" w:history="1">
        <w:r w:rsidRPr="00D85384">
          <w:t>12</w:t>
        </w:r>
        <w:r>
          <w:rPr>
            <w:rFonts w:asciiTheme="minorHAnsi" w:eastAsiaTheme="minorEastAsia" w:hAnsiTheme="minorHAnsi" w:cstheme="minorBidi"/>
            <w:sz w:val="22"/>
            <w:szCs w:val="22"/>
            <w:lang w:eastAsia="en-AU"/>
          </w:rPr>
          <w:tab/>
        </w:r>
        <w:r w:rsidRPr="00D85384">
          <w:t xml:space="preserve">Meaning of </w:t>
        </w:r>
        <w:r w:rsidRPr="00D85384">
          <w:rPr>
            <w:i/>
          </w:rPr>
          <w:t>corresponding State law</w:t>
        </w:r>
        <w:r>
          <w:tab/>
        </w:r>
        <w:r>
          <w:fldChar w:fldCharType="begin"/>
        </w:r>
        <w:r>
          <w:instrText xml:space="preserve"> PAGEREF _Toc526844502 \h </w:instrText>
        </w:r>
        <w:r>
          <w:fldChar w:fldCharType="separate"/>
        </w:r>
        <w:r w:rsidR="005F2669">
          <w:t>7</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03" w:history="1">
        <w:r w:rsidR="00136761" w:rsidRPr="00D85384">
          <w:t>Division 2.3</w:t>
        </w:r>
        <w:r w:rsidR="00136761">
          <w:rPr>
            <w:rFonts w:asciiTheme="minorHAnsi" w:eastAsiaTheme="minorEastAsia" w:hAnsiTheme="minorHAnsi" w:cstheme="minorBidi"/>
            <w:b w:val="0"/>
            <w:sz w:val="22"/>
            <w:szCs w:val="22"/>
            <w:lang w:eastAsia="en-AU"/>
          </w:rPr>
          <w:tab/>
        </w:r>
        <w:r w:rsidR="00136761" w:rsidRPr="00D85384">
          <w:t>Operation of Act</w:t>
        </w:r>
        <w:r w:rsidR="00136761" w:rsidRPr="00136761">
          <w:rPr>
            <w:vanish/>
          </w:rPr>
          <w:tab/>
        </w:r>
        <w:r w:rsidR="00136761" w:rsidRPr="00136761">
          <w:rPr>
            <w:vanish/>
          </w:rPr>
          <w:fldChar w:fldCharType="begin"/>
        </w:r>
        <w:r w:rsidR="00136761" w:rsidRPr="00136761">
          <w:rPr>
            <w:vanish/>
          </w:rPr>
          <w:instrText xml:space="preserve"> PAGEREF _Toc526844503 \h </w:instrText>
        </w:r>
        <w:r w:rsidR="00136761" w:rsidRPr="00136761">
          <w:rPr>
            <w:vanish/>
          </w:rPr>
        </w:r>
        <w:r w:rsidR="00136761" w:rsidRPr="00136761">
          <w:rPr>
            <w:vanish/>
          </w:rPr>
          <w:fldChar w:fldCharType="separate"/>
        </w:r>
        <w:r w:rsidR="005F2669">
          <w:rPr>
            <w:vanish/>
          </w:rPr>
          <w:t>7</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04" w:history="1">
        <w:r w:rsidRPr="00D85384">
          <w:t>13</w:t>
        </w:r>
        <w:r>
          <w:rPr>
            <w:rFonts w:asciiTheme="minorHAnsi" w:eastAsiaTheme="minorEastAsia" w:hAnsiTheme="minorHAnsi" w:cstheme="minorBidi"/>
            <w:sz w:val="22"/>
            <w:szCs w:val="22"/>
            <w:lang w:eastAsia="en-AU"/>
          </w:rPr>
          <w:tab/>
        </w:r>
        <w:r w:rsidRPr="00D85384">
          <w:t>Operation of Act</w:t>
        </w:r>
        <w:r>
          <w:tab/>
        </w:r>
        <w:r>
          <w:fldChar w:fldCharType="begin"/>
        </w:r>
        <w:r>
          <w:instrText xml:space="preserve"> PAGEREF _Toc526844504 \h </w:instrText>
        </w:r>
        <w:r>
          <w:fldChar w:fldCharType="separate"/>
        </w:r>
        <w:r w:rsidR="005F2669">
          <w:t>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05" w:history="1">
        <w:r w:rsidRPr="00D85384">
          <w:t>14</w:t>
        </w:r>
        <w:r>
          <w:rPr>
            <w:rFonts w:asciiTheme="minorHAnsi" w:eastAsiaTheme="minorEastAsia" w:hAnsiTheme="minorHAnsi" w:cstheme="minorBidi"/>
            <w:sz w:val="22"/>
            <w:szCs w:val="22"/>
            <w:lang w:eastAsia="en-AU"/>
          </w:rPr>
          <w:tab/>
        </w:r>
        <w:r w:rsidRPr="00D85384">
          <w:t>Wind-back of reach of Act</w:t>
        </w:r>
        <w:r>
          <w:tab/>
        </w:r>
        <w:r>
          <w:fldChar w:fldCharType="begin"/>
        </w:r>
        <w:r>
          <w:instrText xml:space="preserve"> PAGEREF _Toc526844505 \h </w:instrText>
        </w:r>
        <w:r>
          <w:fldChar w:fldCharType="separate"/>
        </w:r>
        <w:r w:rsidR="005F2669">
          <w:t>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06" w:history="1">
        <w:r w:rsidRPr="00D85384">
          <w:t>15</w:t>
        </w:r>
        <w:r>
          <w:rPr>
            <w:rFonts w:asciiTheme="minorHAnsi" w:eastAsiaTheme="minorEastAsia" w:hAnsiTheme="minorHAnsi" w:cstheme="minorBidi"/>
            <w:sz w:val="22"/>
            <w:szCs w:val="22"/>
            <w:lang w:eastAsia="en-AU"/>
          </w:rPr>
          <w:tab/>
        </w:r>
        <w:r w:rsidRPr="00D85384">
          <w:t>Relationship to other territory laws</w:t>
        </w:r>
        <w:r>
          <w:tab/>
        </w:r>
        <w:r>
          <w:fldChar w:fldCharType="begin"/>
        </w:r>
        <w:r>
          <w:instrText xml:space="preserve"> PAGEREF _Toc526844506 \h </w:instrText>
        </w:r>
        <w:r>
          <w:fldChar w:fldCharType="separate"/>
        </w:r>
        <w:r w:rsidR="005F2669">
          <w:t>7</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07" w:history="1">
        <w:r w:rsidR="00136761" w:rsidRPr="00D85384">
          <w:t>Division 2.4</w:t>
        </w:r>
        <w:r w:rsidR="00136761">
          <w:rPr>
            <w:rFonts w:asciiTheme="minorHAnsi" w:eastAsiaTheme="minorEastAsia" w:hAnsiTheme="minorHAnsi" w:cstheme="minorBidi"/>
            <w:b w:val="0"/>
            <w:sz w:val="22"/>
            <w:szCs w:val="22"/>
            <w:lang w:eastAsia="en-AU"/>
          </w:rPr>
          <w:tab/>
        </w:r>
        <w:r w:rsidR="00136761" w:rsidRPr="00D85384">
          <w:t>Provisions to facilitate a nationally consistent scheme</w:t>
        </w:r>
        <w:r w:rsidR="00136761" w:rsidRPr="00136761">
          <w:rPr>
            <w:vanish/>
          </w:rPr>
          <w:tab/>
        </w:r>
        <w:r w:rsidR="00136761" w:rsidRPr="00136761">
          <w:rPr>
            <w:vanish/>
          </w:rPr>
          <w:fldChar w:fldCharType="begin"/>
        </w:r>
        <w:r w:rsidR="00136761" w:rsidRPr="00136761">
          <w:rPr>
            <w:vanish/>
          </w:rPr>
          <w:instrText xml:space="preserve"> PAGEREF _Toc526844507 \h </w:instrText>
        </w:r>
        <w:r w:rsidR="00136761" w:rsidRPr="00136761">
          <w:rPr>
            <w:vanish/>
          </w:rPr>
        </w:r>
        <w:r w:rsidR="00136761" w:rsidRPr="00136761">
          <w:rPr>
            <w:vanish/>
          </w:rPr>
          <w:fldChar w:fldCharType="separate"/>
        </w:r>
        <w:r w:rsidR="005F2669">
          <w:rPr>
            <w:vanish/>
          </w:rPr>
          <w:t>8</w:t>
        </w:r>
        <w:r w:rsidR="00136761" w:rsidRPr="00136761">
          <w:rPr>
            <w:vanish/>
          </w:rPr>
          <w:fldChar w:fldCharType="end"/>
        </w:r>
      </w:hyperlink>
    </w:p>
    <w:p w:rsidR="00136761" w:rsidRDefault="00DC28D5">
      <w:pPr>
        <w:pStyle w:val="TOC4"/>
        <w:rPr>
          <w:rFonts w:asciiTheme="minorHAnsi" w:eastAsiaTheme="minorEastAsia" w:hAnsiTheme="minorHAnsi" w:cstheme="minorBidi"/>
          <w:b w:val="0"/>
          <w:sz w:val="22"/>
          <w:szCs w:val="22"/>
          <w:lang w:eastAsia="en-AU"/>
        </w:rPr>
      </w:pPr>
      <w:hyperlink w:anchor="_Toc526844508" w:history="1">
        <w:r w:rsidR="00136761" w:rsidRPr="00D85384">
          <w:t>Subdivision 2.4.1</w:t>
        </w:r>
        <w:r w:rsidR="00136761">
          <w:rPr>
            <w:rFonts w:asciiTheme="minorHAnsi" w:eastAsiaTheme="minorEastAsia" w:hAnsiTheme="minorHAnsi" w:cstheme="minorBidi"/>
            <w:b w:val="0"/>
            <w:sz w:val="22"/>
            <w:szCs w:val="22"/>
            <w:lang w:eastAsia="en-AU"/>
          </w:rPr>
          <w:tab/>
        </w:r>
        <w:r w:rsidR="00136761" w:rsidRPr="00D85384">
          <w:t>General provisions</w:t>
        </w:r>
        <w:r w:rsidR="00136761" w:rsidRPr="00136761">
          <w:rPr>
            <w:vanish/>
          </w:rPr>
          <w:tab/>
        </w:r>
        <w:r w:rsidR="00136761" w:rsidRPr="00136761">
          <w:rPr>
            <w:vanish/>
          </w:rPr>
          <w:fldChar w:fldCharType="begin"/>
        </w:r>
        <w:r w:rsidR="00136761" w:rsidRPr="00136761">
          <w:rPr>
            <w:vanish/>
          </w:rPr>
          <w:instrText xml:space="preserve"> PAGEREF _Toc526844508 \h </w:instrText>
        </w:r>
        <w:r w:rsidR="00136761" w:rsidRPr="00136761">
          <w:rPr>
            <w:vanish/>
          </w:rPr>
        </w:r>
        <w:r w:rsidR="00136761" w:rsidRPr="00136761">
          <w:rPr>
            <w:vanish/>
          </w:rPr>
          <w:fldChar w:fldCharType="separate"/>
        </w:r>
        <w:r w:rsidR="005F2669">
          <w:rPr>
            <w:vanish/>
          </w:rPr>
          <w:t>8</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09" w:history="1">
        <w:r w:rsidRPr="00D85384">
          <w:t>16</w:t>
        </w:r>
        <w:r>
          <w:rPr>
            <w:rFonts w:asciiTheme="minorHAnsi" w:eastAsiaTheme="minorEastAsia" w:hAnsiTheme="minorHAnsi" w:cstheme="minorBidi"/>
            <w:sz w:val="22"/>
            <w:szCs w:val="22"/>
            <w:lang w:eastAsia="en-AU"/>
          </w:rPr>
          <w:tab/>
        </w:r>
        <w:r w:rsidRPr="00D85384">
          <w:t>State laws may operate concurrently</w:t>
        </w:r>
        <w:r>
          <w:tab/>
        </w:r>
        <w:r>
          <w:fldChar w:fldCharType="begin"/>
        </w:r>
        <w:r>
          <w:instrText xml:space="preserve"> PAGEREF _Toc526844509 \h </w:instrText>
        </w:r>
        <w:r>
          <w:fldChar w:fldCharType="separate"/>
        </w:r>
        <w:r w:rsidR="005F2669">
          <w:t>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10" w:history="1">
        <w:r w:rsidRPr="00D85384">
          <w:t>17</w:t>
        </w:r>
        <w:r>
          <w:rPr>
            <w:rFonts w:asciiTheme="minorHAnsi" w:eastAsiaTheme="minorEastAsia" w:hAnsiTheme="minorHAnsi" w:cstheme="minorBidi"/>
            <w:sz w:val="22"/>
            <w:szCs w:val="22"/>
            <w:lang w:eastAsia="en-AU"/>
          </w:rPr>
          <w:tab/>
        </w:r>
        <w:r w:rsidRPr="00D85384">
          <w:t>Conferral of functions on Commonwealth officers and bodies</w:t>
        </w:r>
        <w:r>
          <w:tab/>
        </w:r>
        <w:r>
          <w:fldChar w:fldCharType="begin"/>
        </w:r>
        <w:r>
          <w:instrText xml:space="preserve"> PAGEREF _Toc526844510 \h </w:instrText>
        </w:r>
        <w:r>
          <w:fldChar w:fldCharType="separate"/>
        </w:r>
        <w:r w:rsidR="005F2669">
          <w:t>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11" w:history="1">
        <w:r w:rsidRPr="00D85384">
          <w:t>18</w:t>
        </w:r>
        <w:r>
          <w:rPr>
            <w:rFonts w:asciiTheme="minorHAnsi" w:eastAsiaTheme="minorEastAsia" w:hAnsiTheme="minorHAnsi" w:cstheme="minorBidi"/>
            <w:sz w:val="22"/>
            <w:szCs w:val="22"/>
            <w:lang w:eastAsia="en-AU"/>
          </w:rPr>
          <w:tab/>
        </w:r>
        <w:r w:rsidRPr="00D85384">
          <w:t>No doubling-up of liabilities</w:t>
        </w:r>
        <w:r>
          <w:tab/>
        </w:r>
        <w:r>
          <w:fldChar w:fldCharType="begin"/>
        </w:r>
        <w:r>
          <w:instrText xml:space="preserve"> PAGEREF _Toc526844511 \h </w:instrText>
        </w:r>
        <w:r>
          <w:fldChar w:fldCharType="separate"/>
        </w:r>
        <w:r w:rsidR="005F2669">
          <w:t>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12" w:history="1">
        <w:r w:rsidRPr="00D85384">
          <w:t>19</w:t>
        </w:r>
        <w:r>
          <w:rPr>
            <w:rFonts w:asciiTheme="minorHAnsi" w:eastAsiaTheme="minorEastAsia" w:hAnsiTheme="minorHAnsi" w:cstheme="minorBidi"/>
            <w:sz w:val="22"/>
            <w:szCs w:val="22"/>
            <w:lang w:eastAsia="en-AU"/>
          </w:rPr>
          <w:tab/>
        </w:r>
        <w:r w:rsidRPr="00D85384">
          <w:t>Review of certain decisions</w:t>
        </w:r>
        <w:r>
          <w:tab/>
        </w:r>
        <w:r>
          <w:fldChar w:fldCharType="begin"/>
        </w:r>
        <w:r>
          <w:instrText xml:space="preserve"> PAGEREF _Toc526844512 \h </w:instrText>
        </w:r>
        <w:r>
          <w:fldChar w:fldCharType="separate"/>
        </w:r>
        <w:r w:rsidR="005F2669">
          <w:t>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13" w:history="1">
        <w:r w:rsidRPr="00D85384">
          <w:t>20</w:t>
        </w:r>
        <w:r>
          <w:rPr>
            <w:rFonts w:asciiTheme="minorHAnsi" w:eastAsiaTheme="minorEastAsia" w:hAnsiTheme="minorHAnsi" w:cstheme="minorBidi"/>
            <w:sz w:val="22"/>
            <w:szCs w:val="22"/>
            <w:lang w:eastAsia="en-AU"/>
          </w:rPr>
          <w:tab/>
        </w:r>
        <w:r w:rsidRPr="00D85384">
          <w:t>Things done for multiple purposes</w:t>
        </w:r>
        <w:r>
          <w:tab/>
        </w:r>
        <w:r>
          <w:fldChar w:fldCharType="begin"/>
        </w:r>
        <w:r>
          <w:instrText xml:space="preserve"> PAGEREF _Toc526844513 \h </w:instrText>
        </w:r>
        <w:r>
          <w:fldChar w:fldCharType="separate"/>
        </w:r>
        <w:r w:rsidR="005F2669">
          <w:t>9</w:t>
        </w:r>
        <w:r>
          <w:fldChar w:fldCharType="end"/>
        </w:r>
      </w:hyperlink>
    </w:p>
    <w:p w:rsidR="00136761" w:rsidRDefault="00DC28D5">
      <w:pPr>
        <w:pStyle w:val="TOC4"/>
        <w:rPr>
          <w:rFonts w:asciiTheme="minorHAnsi" w:eastAsiaTheme="minorEastAsia" w:hAnsiTheme="minorHAnsi" w:cstheme="minorBidi"/>
          <w:b w:val="0"/>
          <w:sz w:val="22"/>
          <w:szCs w:val="22"/>
          <w:lang w:eastAsia="en-AU"/>
        </w:rPr>
      </w:pPr>
      <w:hyperlink w:anchor="_Toc526844514" w:history="1">
        <w:r w:rsidR="00136761" w:rsidRPr="00D85384">
          <w:t>Subdivision 2.4.2</w:t>
        </w:r>
        <w:r w:rsidR="00136761">
          <w:rPr>
            <w:rFonts w:asciiTheme="minorHAnsi" w:eastAsiaTheme="minorEastAsia" w:hAnsiTheme="minorHAnsi" w:cstheme="minorBidi"/>
            <w:b w:val="0"/>
            <w:sz w:val="22"/>
            <w:szCs w:val="22"/>
            <w:lang w:eastAsia="en-AU"/>
          </w:rPr>
          <w:tab/>
        </w:r>
        <w:r w:rsidR="00136761" w:rsidRPr="00D85384">
          <w:t>Policy principles, policy guidelines and codes of practice</w:t>
        </w:r>
        <w:r w:rsidR="00136761" w:rsidRPr="00136761">
          <w:rPr>
            <w:vanish/>
          </w:rPr>
          <w:tab/>
        </w:r>
        <w:r w:rsidR="00136761" w:rsidRPr="00136761">
          <w:rPr>
            <w:vanish/>
          </w:rPr>
          <w:fldChar w:fldCharType="begin"/>
        </w:r>
        <w:r w:rsidR="00136761" w:rsidRPr="00136761">
          <w:rPr>
            <w:vanish/>
          </w:rPr>
          <w:instrText xml:space="preserve"> PAGEREF _Toc526844514 \h </w:instrText>
        </w:r>
        <w:r w:rsidR="00136761" w:rsidRPr="00136761">
          <w:rPr>
            <w:vanish/>
          </w:rPr>
        </w:r>
        <w:r w:rsidR="00136761" w:rsidRPr="00136761">
          <w:rPr>
            <w:vanish/>
          </w:rPr>
          <w:fldChar w:fldCharType="separate"/>
        </w:r>
        <w:r w:rsidR="005F2669">
          <w:rPr>
            <w:vanish/>
          </w:rPr>
          <w:t>9</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15" w:history="1">
        <w:r w:rsidRPr="00D85384">
          <w:t>21</w:t>
        </w:r>
        <w:r>
          <w:rPr>
            <w:rFonts w:asciiTheme="minorHAnsi" w:eastAsiaTheme="minorEastAsia" w:hAnsiTheme="minorHAnsi" w:cstheme="minorBidi"/>
            <w:sz w:val="22"/>
            <w:szCs w:val="22"/>
            <w:lang w:eastAsia="en-AU"/>
          </w:rPr>
          <w:tab/>
        </w:r>
        <w:r w:rsidRPr="00D85384">
          <w:t>Ministerial council may issue policy principles</w:t>
        </w:r>
        <w:r>
          <w:tab/>
        </w:r>
        <w:r>
          <w:fldChar w:fldCharType="begin"/>
        </w:r>
        <w:r>
          <w:instrText xml:space="preserve"> PAGEREF _Toc526844515 \h </w:instrText>
        </w:r>
        <w:r>
          <w:fldChar w:fldCharType="separate"/>
        </w:r>
        <w:r w:rsidR="005F2669">
          <w:t>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16" w:history="1">
        <w:r w:rsidRPr="00D85384">
          <w:t>22</w:t>
        </w:r>
        <w:r>
          <w:rPr>
            <w:rFonts w:asciiTheme="minorHAnsi" w:eastAsiaTheme="minorEastAsia" w:hAnsiTheme="minorHAnsi" w:cstheme="minorBidi"/>
            <w:sz w:val="22"/>
            <w:szCs w:val="22"/>
            <w:lang w:eastAsia="en-AU"/>
          </w:rPr>
          <w:tab/>
        </w:r>
        <w:r w:rsidRPr="00D85384">
          <w:t>Consultation on policy principles</w:t>
        </w:r>
        <w:r>
          <w:tab/>
        </w:r>
        <w:r>
          <w:fldChar w:fldCharType="begin"/>
        </w:r>
        <w:r>
          <w:instrText xml:space="preserve"> PAGEREF _Toc526844516 \h </w:instrText>
        </w:r>
        <w:r>
          <w:fldChar w:fldCharType="separate"/>
        </w:r>
        <w:r w:rsidR="005F2669">
          <w:t>10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17" w:history="1">
        <w:r w:rsidRPr="00D85384">
          <w:t>23</w:t>
        </w:r>
        <w:r>
          <w:rPr>
            <w:rFonts w:asciiTheme="minorHAnsi" w:eastAsiaTheme="minorEastAsia" w:hAnsiTheme="minorHAnsi" w:cstheme="minorBidi"/>
            <w:sz w:val="22"/>
            <w:szCs w:val="22"/>
            <w:lang w:eastAsia="en-AU"/>
          </w:rPr>
          <w:tab/>
        </w:r>
        <w:r w:rsidRPr="00D85384">
          <w:t>Ministerial council may issue policy guidelines</w:t>
        </w:r>
        <w:r>
          <w:tab/>
        </w:r>
        <w:r>
          <w:fldChar w:fldCharType="begin"/>
        </w:r>
        <w:r>
          <w:instrText xml:space="preserve"> PAGEREF _Toc526844517 \h </w:instrText>
        </w:r>
        <w:r>
          <w:fldChar w:fldCharType="separate"/>
        </w:r>
        <w:r w:rsidR="005F2669">
          <w:t>10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18" w:history="1">
        <w:r w:rsidRPr="00D85384">
          <w:t>24</w:t>
        </w:r>
        <w:r>
          <w:rPr>
            <w:rFonts w:asciiTheme="minorHAnsi" w:eastAsiaTheme="minorEastAsia" w:hAnsiTheme="minorHAnsi" w:cstheme="minorBidi"/>
            <w:sz w:val="22"/>
            <w:szCs w:val="22"/>
            <w:lang w:eastAsia="en-AU"/>
          </w:rPr>
          <w:tab/>
        </w:r>
        <w:r w:rsidRPr="00D85384">
          <w:t>Ministerial council may issue codes of practice</w:t>
        </w:r>
        <w:r>
          <w:tab/>
        </w:r>
        <w:r>
          <w:fldChar w:fldCharType="begin"/>
        </w:r>
        <w:r>
          <w:instrText xml:space="preserve"> PAGEREF _Toc526844518 \h </w:instrText>
        </w:r>
        <w:r>
          <w:fldChar w:fldCharType="separate"/>
        </w:r>
        <w:r w:rsidR="005F2669">
          <w:t>11</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519" w:history="1">
        <w:r w:rsidR="00136761" w:rsidRPr="00D85384">
          <w:t>Part 3</w:t>
        </w:r>
        <w:r w:rsidR="00136761">
          <w:rPr>
            <w:rFonts w:asciiTheme="minorHAnsi" w:eastAsiaTheme="minorEastAsia" w:hAnsiTheme="minorHAnsi" w:cstheme="minorBidi"/>
            <w:b w:val="0"/>
            <w:sz w:val="22"/>
            <w:szCs w:val="22"/>
            <w:lang w:eastAsia="en-AU"/>
          </w:rPr>
          <w:tab/>
        </w:r>
        <w:r w:rsidR="00136761" w:rsidRPr="00D85384">
          <w:t>Gene technology regulator</w:t>
        </w:r>
        <w:r w:rsidR="00136761" w:rsidRPr="00136761">
          <w:rPr>
            <w:vanish/>
          </w:rPr>
          <w:tab/>
        </w:r>
        <w:r w:rsidR="00136761" w:rsidRPr="00136761">
          <w:rPr>
            <w:vanish/>
          </w:rPr>
          <w:fldChar w:fldCharType="begin"/>
        </w:r>
        <w:r w:rsidR="00136761" w:rsidRPr="00136761">
          <w:rPr>
            <w:vanish/>
          </w:rPr>
          <w:instrText xml:space="preserve"> PAGEREF _Toc526844519 \h </w:instrText>
        </w:r>
        <w:r w:rsidR="00136761" w:rsidRPr="00136761">
          <w:rPr>
            <w:vanish/>
          </w:rPr>
        </w:r>
        <w:r w:rsidR="00136761" w:rsidRPr="00136761">
          <w:rPr>
            <w:vanish/>
          </w:rPr>
          <w:fldChar w:fldCharType="separate"/>
        </w:r>
        <w:r w:rsidR="005F2669">
          <w:rPr>
            <w:vanish/>
          </w:rPr>
          <w:t>12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20" w:history="1">
        <w:r w:rsidRPr="00D85384">
          <w:t>25</w:t>
        </w:r>
        <w:r>
          <w:rPr>
            <w:rFonts w:asciiTheme="minorHAnsi" w:eastAsiaTheme="minorEastAsia" w:hAnsiTheme="minorHAnsi" w:cstheme="minorBidi"/>
            <w:sz w:val="22"/>
            <w:szCs w:val="22"/>
            <w:lang w:eastAsia="en-AU"/>
          </w:rPr>
          <w:tab/>
        </w:r>
        <w:r w:rsidRPr="00D85384">
          <w:t>Simplified outline—pt 3</w:t>
        </w:r>
        <w:r>
          <w:tab/>
        </w:r>
        <w:r>
          <w:fldChar w:fldCharType="begin"/>
        </w:r>
        <w:r>
          <w:instrText xml:space="preserve"> PAGEREF _Toc526844520 \h </w:instrText>
        </w:r>
        <w:r>
          <w:fldChar w:fldCharType="separate"/>
        </w:r>
        <w:r w:rsidR="005F2669">
          <w:t>12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21" w:history="1">
        <w:r w:rsidRPr="00D85384">
          <w:t>26</w:t>
        </w:r>
        <w:r>
          <w:rPr>
            <w:rFonts w:asciiTheme="minorHAnsi" w:eastAsiaTheme="minorEastAsia" w:hAnsiTheme="minorHAnsi" w:cstheme="minorBidi"/>
            <w:sz w:val="22"/>
            <w:szCs w:val="22"/>
            <w:lang w:eastAsia="en-AU"/>
          </w:rPr>
          <w:tab/>
        </w:r>
        <w:r w:rsidRPr="00D85384">
          <w:t>Gene technology regulator</w:t>
        </w:r>
        <w:r>
          <w:tab/>
        </w:r>
        <w:r>
          <w:fldChar w:fldCharType="begin"/>
        </w:r>
        <w:r>
          <w:instrText xml:space="preserve"> PAGEREF _Toc526844521 \h </w:instrText>
        </w:r>
        <w:r>
          <w:fldChar w:fldCharType="separate"/>
        </w:r>
        <w:r w:rsidR="005F2669">
          <w:t>12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22" w:history="1">
        <w:r w:rsidRPr="00D85384">
          <w:t>27</w:t>
        </w:r>
        <w:r>
          <w:rPr>
            <w:rFonts w:asciiTheme="minorHAnsi" w:eastAsiaTheme="minorEastAsia" w:hAnsiTheme="minorHAnsi" w:cstheme="minorBidi"/>
            <w:sz w:val="22"/>
            <w:szCs w:val="22"/>
            <w:lang w:eastAsia="en-AU"/>
          </w:rPr>
          <w:tab/>
        </w:r>
        <w:r w:rsidRPr="00D85384">
          <w:t>Functions of regulator</w:t>
        </w:r>
        <w:r>
          <w:tab/>
        </w:r>
        <w:r>
          <w:fldChar w:fldCharType="begin"/>
        </w:r>
        <w:r>
          <w:instrText xml:space="preserve"> PAGEREF _Toc526844522 \h </w:instrText>
        </w:r>
        <w:r>
          <w:fldChar w:fldCharType="separate"/>
        </w:r>
        <w:r w:rsidR="005F2669">
          <w:t>12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23" w:history="1">
        <w:r w:rsidRPr="00D85384">
          <w:t>28</w:t>
        </w:r>
        <w:r>
          <w:rPr>
            <w:rFonts w:asciiTheme="minorHAnsi" w:eastAsiaTheme="minorEastAsia" w:hAnsiTheme="minorHAnsi" w:cstheme="minorBidi"/>
            <w:sz w:val="22"/>
            <w:szCs w:val="22"/>
            <w:lang w:eastAsia="en-AU"/>
          </w:rPr>
          <w:tab/>
        </w:r>
        <w:r w:rsidRPr="00D85384">
          <w:t>Powers of regulator</w:t>
        </w:r>
        <w:r>
          <w:tab/>
        </w:r>
        <w:r>
          <w:fldChar w:fldCharType="begin"/>
        </w:r>
        <w:r>
          <w:instrText xml:space="preserve"> PAGEREF _Toc526844523 \h </w:instrText>
        </w:r>
        <w:r>
          <w:fldChar w:fldCharType="separate"/>
        </w:r>
        <w:r w:rsidR="005F2669">
          <w:t>13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24" w:history="1">
        <w:r w:rsidRPr="00D85384">
          <w:t>29</w:t>
        </w:r>
        <w:r>
          <w:rPr>
            <w:rFonts w:asciiTheme="minorHAnsi" w:eastAsiaTheme="minorEastAsia" w:hAnsiTheme="minorHAnsi" w:cstheme="minorBidi"/>
            <w:sz w:val="22"/>
            <w:szCs w:val="22"/>
            <w:lang w:eastAsia="en-AU"/>
          </w:rPr>
          <w:tab/>
        </w:r>
        <w:r w:rsidRPr="00D85384">
          <w:t>Delegation</w:t>
        </w:r>
        <w:r>
          <w:tab/>
        </w:r>
        <w:r>
          <w:fldChar w:fldCharType="begin"/>
        </w:r>
        <w:r>
          <w:instrText xml:space="preserve"> PAGEREF _Toc526844524 \h </w:instrText>
        </w:r>
        <w:r>
          <w:fldChar w:fldCharType="separate"/>
        </w:r>
        <w:r w:rsidR="005F2669">
          <w:t>13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25" w:history="1">
        <w:r w:rsidRPr="00D85384">
          <w:t>30</w:t>
        </w:r>
        <w:r>
          <w:rPr>
            <w:rFonts w:asciiTheme="minorHAnsi" w:eastAsiaTheme="minorEastAsia" w:hAnsiTheme="minorHAnsi" w:cstheme="minorBidi"/>
            <w:sz w:val="22"/>
            <w:szCs w:val="22"/>
            <w:lang w:eastAsia="en-AU"/>
          </w:rPr>
          <w:tab/>
        </w:r>
        <w:r w:rsidRPr="00D85384">
          <w:t>Independence of regulator</w:t>
        </w:r>
        <w:r>
          <w:tab/>
        </w:r>
        <w:r>
          <w:fldChar w:fldCharType="begin"/>
        </w:r>
        <w:r>
          <w:instrText xml:space="preserve"> PAGEREF _Toc526844525 \h </w:instrText>
        </w:r>
        <w:r>
          <w:fldChar w:fldCharType="separate"/>
        </w:r>
        <w:r w:rsidR="005F2669">
          <w:t>14</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526" w:history="1">
        <w:r w:rsidR="00136761" w:rsidRPr="00D85384">
          <w:t>Part 4</w:t>
        </w:r>
        <w:r w:rsidR="00136761">
          <w:rPr>
            <w:rFonts w:asciiTheme="minorHAnsi" w:eastAsiaTheme="minorEastAsia" w:hAnsiTheme="minorHAnsi" w:cstheme="minorBidi"/>
            <w:b w:val="0"/>
            <w:sz w:val="22"/>
            <w:szCs w:val="22"/>
            <w:lang w:eastAsia="en-AU"/>
          </w:rPr>
          <w:tab/>
        </w:r>
        <w:r w:rsidR="00136761" w:rsidRPr="00D85384">
          <w:t>Regulation of dealings with GMOs</w:t>
        </w:r>
        <w:r w:rsidR="00136761" w:rsidRPr="00136761">
          <w:rPr>
            <w:vanish/>
          </w:rPr>
          <w:tab/>
        </w:r>
        <w:r w:rsidR="00136761" w:rsidRPr="00136761">
          <w:rPr>
            <w:vanish/>
          </w:rPr>
          <w:fldChar w:fldCharType="begin"/>
        </w:r>
        <w:r w:rsidR="00136761" w:rsidRPr="00136761">
          <w:rPr>
            <w:vanish/>
          </w:rPr>
          <w:instrText xml:space="preserve"> PAGEREF _Toc526844526 \h </w:instrText>
        </w:r>
        <w:r w:rsidR="00136761" w:rsidRPr="00136761">
          <w:rPr>
            <w:vanish/>
          </w:rPr>
        </w:r>
        <w:r w:rsidR="00136761" w:rsidRPr="00136761">
          <w:rPr>
            <w:vanish/>
          </w:rPr>
          <w:fldChar w:fldCharType="separate"/>
        </w:r>
        <w:r w:rsidR="005F2669">
          <w:rPr>
            <w:vanish/>
          </w:rPr>
          <w:t>15</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27" w:history="1">
        <w:r w:rsidR="00136761" w:rsidRPr="00D85384">
          <w:t>Division 4.1</w:t>
        </w:r>
        <w:r w:rsidR="00136761">
          <w:rPr>
            <w:rFonts w:asciiTheme="minorHAnsi" w:eastAsiaTheme="minorEastAsia" w:hAnsiTheme="minorHAnsi" w:cstheme="minorBidi"/>
            <w:b w:val="0"/>
            <w:sz w:val="22"/>
            <w:szCs w:val="22"/>
            <w:lang w:eastAsia="en-AU"/>
          </w:rPr>
          <w:tab/>
        </w:r>
        <w:r w:rsidR="00136761" w:rsidRPr="00D85384">
          <w:t>Simplified outline of pt 4</w:t>
        </w:r>
        <w:r w:rsidR="00136761" w:rsidRPr="00136761">
          <w:rPr>
            <w:vanish/>
          </w:rPr>
          <w:tab/>
        </w:r>
        <w:r w:rsidR="00136761" w:rsidRPr="00136761">
          <w:rPr>
            <w:vanish/>
          </w:rPr>
          <w:fldChar w:fldCharType="begin"/>
        </w:r>
        <w:r w:rsidR="00136761" w:rsidRPr="00136761">
          <w:rPr>
            <w:vanish/>
          </w:rPr>
          <w:instrText xml:space="preserve"> PAGEREF _Toc526844527 \h </w:instrText>
        </w:r>
        <w:r w:rsidR="00136761" w:rsidRPr="00136761">
          <w:rPr>
            <w:vanish/>
          </w:rPr>
        </w:r>
        <w:r w:rsidR="00136761" w:rsidRPr="00136761">
          <w:rPr>
            <w:vanish/>
          </w:rPr>
          <w:fldChar w:fldCharType="separate"/>
        </w:r>
        <w:r w:rsidR="005F2669">
          <w:rPr>
            <w:vanish/>
          </w:rPr>
          <w:t>15</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28" w:history="1">
        <w:r w:rsidRPr="00D85384">
          <w:t>31</w:t>
        </w:r>
        <w:r>
          <w:rPr>
            <w:rFonts w:asciiTheme="minorHAnsi" w:eastAsiaTheme="minorEastAsia" w:hAnsiTheme="minorHAnsi" w:cstheme="minorBidi"/>
            <w:sz w:val="22"/>
            <w:szCs w:val="22"/>
            <w:lang w:eastAsia="en-AU"/>
          </w:rPr>
          <w:tab/>
        </w:r>
        <w:r w:rsidRPr="00D85384">
          <w:t>Simplified outline—pt 4</w:t>
        </w:r>
        <w:r>
          <w:tab/>
        </w:r>
        <w:r>
          <w:fldChar w:fldCharType="begin"/>
        </w:r>
        <w:r>
          <w:instrText xml:space="preserve"> PAGEREF _Toc526844528 \h </w:instrText>
        </w:r>
        <w:r>
          <w:fldChar w:fldCharType="separate"/>
        </w:r>
        <w:r w:rsidR="005F2669">
          <w:t>15</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29" w:history="1">
        <w:r w:rsidR="00136761" w:rsidRPr="00D85384">
          <w:t>Division 4.2</w:t>
        </w:r>
        <w:r w:rsidR="00136761">
          <w:rPr>
            <w:rFonts w:asciiTheme="minorHAnsi" w:eastAsiaTheme="minorEastAsia" w:hAnsiTheme="minorHAnsi" w:cstheme="minorBidi"/>
            <w:b w:val="0"/>
            <w:sz w:val="22"/>
            <w:szCs w:val="22"/>
            <w:lang w:eastAsia="en-AU"/>
          </w:rPr>
          <w:tab/>
        </w:r>
        <w:r w:rsidR="00136761" w:rsidRPr="00D85384">
          <w:t>Dealings with GMOs must be licensed</w:t>
        </w:r>
        <w:r w:rsidR="00136761" w:rsidRPr="00136761">
          <w:rPr>
            <w:vanish/>
          </w:rPr>
          <w:tab/>
        </w:r>
        <w:r w:rsidR="00136761" w:rsidRPr="00136761">
          <w:rPr>
            <w:vanish/>
          </w:rPr>
          <w:fldChar w:fldCharType="begin"/>
        </w:r>
        <w:r w:rsidR="00136761" w:rsidRPr="00136761">
          <w:rPr>
            <w:vanish/>
          </w:rPr>
          <w:instrText xml:space="preserve"> PAGEREF _Toc526844529 \h </w:instrText>
        </w:r>
        <w:r w:rsidR="00136761" w:rsidRPr="00136761">
          <w:rPr>
            <w:vanish/>
          </w:rPr>
        </w:r>
        <w:r w:rsidR="00136761" w:rsidRPr="00136761">
          <w:rPr>
            <w:vanish/>
          </w:rPr>
          <w:fldChar w:fldCharType="separate"/>
        </w:r>
        <w:r w:rsidR="005F2669">
          <w:rPr>
            <w:vanish/>
          </w:rPr>
          <w:t>15</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0" w:history="1">
        <w:r w:rsidRPr="00D85384">
          <w:t>32</w:t>
        </w:r>
        <w:r>
          <w:rPr>
            <w:rFonts w:asciiTheme="minorHAnsi" w:eastAsiaTheme="minorEastAsia" w:hAnsiTheme="minorHAnsi" w:cstheme="minorBidi"/>
            <w:sz w:val="22"/>
            <w:szCs w:val="22"/>
            <w:lang w:eastAsia="en-AU"/>
          </w:rPr>
          <w:tab/>
        </w:r>
        <w:r w:rsidRPr="00D85384">
          <w:t>Person not to deal with GMO without licence</w:t>
        </w:r>
        <w:r>
          <w:tab/>
        </w:r>
        <w:r>
          <w:fldChar w:fldCharType="begin"/>
        </w:r>
        <w:r>
          <w:instrText xml:space="preserve"> PAGEREF _Toc526844530 \h </w:instrText>
        </w:r>
        <w:r>
          <w:fldChar w:fldCharType="separate"/>
        </w:r>
        <w:r w:rsidR="005F2669">
          <w:t>15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1" w:history="1">
        <w:r w:rsidRPr="00D85384">
          <w:t>33</w:t>
        </w:r>
        <w:r>
          <w:rPr>
            <w:rFonts w:asciiTheme="minorHAnsi" w:eastAsiaTheme="minorEastAsia" w:hAnsiTheme="minorHAnsi" w:cstheme="minorBidi"/>
            <w:sz w:val="22"/>
            <w:szCs w:val="22"/>
            <w:lang w:eastAsia="en-AU"/>
          </w:rPr>
          <w:tab/>
        </w:r>
        <w:r w:rsidRPr="00D85384">
          <w:t>Person not to deal with GMO without licence—strict liability offence</w:t>
        </w:r>
        <w:r>
          <w:tab/>
        </w:r>
        <w:r>
          <w:fldChar w:fldCharType="begin"/>
        </w:r>
        <w:r>
          <w:instrText xml:space="preserve"> PAGEREF _Toc526844531 \h </w:instrText>
        </w:r>
        <w:r>
          <w:fldChar w:fldCharType="separate"/>
        </w:r>
        <w:r w:rsidR="005F2669">
          <w:t>16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2" w:history="1">
        <w:r w:rsidRPr="00D85384">
          <w:t>34</w:t>
        </w:r>
        <w:r>
          <w:rPr>
            <w:rFonts w:asciiTheme="minorHAnsi" w:eastAsiaTheme="minorEastAsia" w:hAnsiTheme="minorHAnsi" w:cstheme="minorBidi"/>
            <w:sz w:val="22"/>
            <w:szCs w:val="22"/>
            <w:lang w:eastAsia="en-AU"/>
          </w:rPr>
          <w:tab/>
        </w:r>
        <w:r w:rsidRPr="00D85384">
          <w:t>Person must not breach conditions of GMO licence</w:t>
        </w:r>
        <w:r>
          <w:tab/>
        </w:r>
        <w:r>
          <w:fldChar w:fldCharType="begin"/>
        </w:r>
        <w:r>
          <w:instrText xml:space="preserve"> PAGEREF _Toc526844532 \h </w:instrText>
        </w:r>
        <w:r>
          <w:fldChar w:fldCharType="separate"/>
        </w:r>
        <w:r w:rsidR="005F2669">
          <w:t>17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3" w:history="1">
        <w:r w:rsidRPr="00D85384">
          <w:t>35</w:t>
        </w:r>
        <w:r>
          <w:rPr>
            <w:rFonts w:asciiTheme="minorHAnsi" w:eastAsiaTheme="minorEastAsia" w:hAnsiTheme="minorHAnsi" w:cstheme="minorBidi"/>
            <w:sz w:val="22"/>
            <w:szCs w:val="22"/>
            <w:lang w:eastAsia="en-AU"/>
          </w:rPr>
          <w:tab/>
        </w:r>
        <w:r w:rsidRPr="00D85384">
          <w:t>Person must not breach conditions of GMO licence—strict liability offence</w:t>
        </w:r>
        <w:r>
          <w:tab/>
        </w:r>
        <w:r>
          <w:fldChar w:fldCharType="begin"/>
        </w:r>
        <w:r>
          <w:instrText xml:space="preserve"> PAGEREF _Toc526844533 \h </w:instrText>
        </w:r>
        <w:r>
          <w:fldChar w:fldCharType="separate"/>
        </w:r>
        <w:r w:rsidR="005F2669">
          <w:t>18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4" w:history="1">
        <w:r w:rsidRPr="00D85384">
          <w:t>35A</w:t>
        </w:r>
        <w:r>
          <w:rPr>
            <w:rFonts w:asciiTheme="minorHAnsi" w:eastAsiaTheme="minorEastAsia" w:hAnsiTheme="minorHAnsi" w:cstheme="minorBidi"/>
            <w:sz w:val="22"/>
            <w:szCs w:val="22"/>
            <w:lang w:eastAsia="en-AU"/>
          </w:rPr>
          <w:tab/>
        </w:r>
        <w:r w:rsidRPr="00D85384">
          <w:t>Person must not breach conditions of emergency dealing determination</w:t>
        </w:r>
        <w:r>
          <w:tab/>
        </w:r>
        <w:r>
          <w:fldChar w:fldCharType="begin"/>
        </w:r>
        <w:r>
          <w:instrText xml:space="preserve"> PAGEREF _Toc526844534 \h </w:instrText>
        </w:r>
        <w:r>
          <w:fldChar w:fldCharType="separate"/>
        </w:r>
        <w:r w:rsidR="005F2669">
          <w:t>19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5" w:history="1">
        <w:r w:rsidRPr="00D85384">
          <w:t>35B</w:t>
        </w:r>
        <w:r>
          <w:rPr>
            <w:rFonts w:asciiTheme="minorHAnsi" w:eastAsiaTheme="minorEastAsia" w:hAnsiTheme="minorHAnsi" w:cstheme="minorBidi"/>
            <w:sz w:val="22"/>
            <w:szCs w:val="22"/>
            <w:lang w:eastAsia="en-AU"/>
          </w:rPr>
          <w:tab/>
        </w:r>
        <w:r w:rsidRPr="00D85384">
          <w:t>Person must not breach conditions of emergency dealing determination—strict liability offence</w:t>
        </w:r>
        <w:r>
          <w:tab/>
        </w:r>
        <w:r>
          <w:fldChar w:fldCharType="begin"/>
        </w:r>
        <w:r>
          <w:instrText xml:space="preserve"> PAGEREF _Toc526844535 \h </w:instrText>
        </w:r>
        <w:r>
          <w:fldChar w:fldCharType="separate"/>
        </w:r>
        <w:r w:rsidR="005F2669">
          <w:t>19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6" w:history="1">
        <w:r w:rsidRPr="00D85384">
          <w:t>36</w:t>
        </w:r>
        <w:r>
          <w:rPr>
            <w:rFonts w:asciiTheme="minorHAnsi" w:eastAsiaTheme="minorEastAsia" w:hAnsiTheme="minorHAnsi" w:cstheme="minorBidi"/>
            <w:sz w:val="22"/>
            <w:szCs w:val="22"/>
            <w:lang w:eastAsia="en-AU"/>
          </w:rPr>
          <w:tab/>
        </w:r>
        <w:r w:rsidRPr="00D85384">
          <w:t>Person must not breach conditions on GMO register</w:t>
        </w:r>
        <w:r>
          <w:tab/>
        </w:r>
        <w:r>
          <w:fldChar w:fldCharType="begin"/>
        </w:r>
        <w:r>
          <w:instrText xml:space="preserve"> PAGEREF _Toc526844536 \h </w:instrText>
        </w:r>
        <w:r>
          <w:fldChar w:fldCharType="separate"/>
        </w:r>
        <w:r w:rsidR="005F2669">
          <w:t>20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7" w:history="1">
        <w:r w:rsidRPr="00D85384">
          <w:t>37</w:t>
        </w:r>
        <w:r>
          <w:rPr>
            <w:rFonts w:asciiTheme="minorHAnsi" w:eastAsiaTheme="minorEastAsia" w:hAnsiTheme="minorHAnsi" w:cstheme="minorBidi"/>
            <w:sz w:val="22"/>
            <w:szCs w:val="22"/>
            <w:lang w:eastAsia="en-AU"/>
          </w:rPr>
          <w:tab/>
        </w:r>
        <w:r w:rsidRPr="00D85384">
          <w:t>Offence relating to notifiable low risk dealings</w:t>
        </w:r>
        <w:r>
          <w:tab/>
        </w:r>
        <w:r>
          <w:fldChar w:fldCharType="begin"/>
        </w:r>
        <w:r>
          <w:instrText xml:space="preserve"> PAGEREF _Toc526844537 \h </w:instrText>
        </w:r>
        <w:r>
          <w:fldChar w:fldCharType="separate"/>
        </w:r>
        <w:r w:rsidR="005F2669">
          <w:t>20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38" w:history="1">
        <w:r w:rsidRPr="00D85384">
          <w:t>38</w:t>
        </w:r>
        <w:r>
          <w:rPr>
            <w:rFonts w:asciiTheme="minorHAnsi" w:eastAsiaTheme="minorEastAsia" w:hAnsiTheme="minorHAnsi" w:cstheme="minorBidi"/>
            <w:sz w:val="22"/>
            <w:szCs w:val="22"/>
            <w:lang w:eastAsia="en-AU"/>
          </w:rPr>
          <w:tab/>
        </w:r>
        <w:r w:rsidRPr="00D85384">
          <w:t>Aggravated offences—significant damage to health or safety of people or to environment</w:t>
        </w:r>
        <w:r>
          <w:tab/>
        </w:r>
        <w:r>
          <w:fldChar w:fldCharType="begin"/>
        </w:r>
        <w:r>
          <w:instrText xml:space="preserve"> PAGEREF _Toc526844538 \h </w:instrText>
        </w:r>
        <w:r>
          <w:fldChar w:fldCharType="separate"/>
        </w:r>
        <w:r w:rsidR="005F2669">
          <w:t>21</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539" w:history="1">
        <w:r w:rsidR="00136761" w:rsidRPr="00D85384">
          <w:t>Part 5</w:t>
        </w:r>
        <w:r w:rsidR="00136761">
          <w:rPr>
            <w:rFonts w:asciiTheme="minorHAnsi" w:eastAsiaTheme="minorEastAsia" w:hAnsiTheme="minorHAnsi" w:cstheme="minorBidi"/>
            <w:b w:val="0"/>
            <w:sz w:val="22"/>
            <w:szCs w:val="22"/>
            <w:lang w:eastAsia="en-AU"/>
          </w:rPr>
          <w:tab/>
        </w:r>
        <w:r w:rsidR="00136761" w:rsidRPr="00D85384">
          <w:t>Licensing system</w:t>
        </w:r>
        <w:r w:rsidR="00136761" w:rsidRPr="00136761">
          <w:rPr>
            <w:vanish/>
          </w:rPr>
          <w:tab/>
        </w:r>
        <w:r w:rsidR="00136761" w:rsidRPr="00136761">
          <w:rPr>
            <w:vanish/>
          </w:rPr>
          <w:fldChar w:fldCharType="begin"/>
        </w:r>
        <w:r w:rsidR="00136761" w:rsidRPr="00136761">
          <w:rPr>
            <w:vanish/>
          </w:rPr>
          <w:instrText xml:space="preserve"> PAGEREF _Toc526844539 \h </w:instrText>
        </w:r>
        <w:r w:rsidR="00136761" w:rsidRPr="00136761">
          <w:rPr>
            <w:vanish/>
          </w:rPr>
        </w:r>
        <w:r w:rsidR="00136761" w:rsidRPr="00136761">
          <w:rPr>
            <w:vanish/>
          </w:rPr>
          <w:fldChar w:fldCharType="separate"/>
        </w:r>
        <w:r w:rsidR="005F2669">
          <w:rPr>
            <w:vanish/>
          </w:rPr>
          <w:t>22</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40" w:history="1">
        <w:r w:rsidR="00136761" w:rsidRPr="00D85384">
          <w:t>Division 5.1</w:t>
        </w:r>
        <w:r w:rsidR="00136761">
          <w:rPr>
            <w:rFonts w:asciiTheme="minorHAnsi" w:eastAsiaTheme="minorEastAsia" w:hAnsiTheme="minorHAnsi" w:cstheme="minorBidi"/>
            <w:b w:val="0"/>
            <w:sz w:val="22"/>
            <w:szCs w:val="22"/>
            <w:lang w:eastAsia="en-AU"/>
          </w:rPr>
          <w:tab/>
        </w:r>
        <w:r w:rsidR="00136761" w:rsidRPr="00D85384">
          <w:t>Simplified outline of pt 5</w:t>
        </w:r>
        <w:r w:rsidR="00136761" w:rsidRPr="00136761">
          <w:rPr>
            <w:vanish/>
          </w:rPr>
          <w:tab/>
        </w:r>
        <w:r w:rsidR="00136761" w:rsidRPr="00136761">
          <w:rPr>
            <w:vanish/>
          </w:rPr>
          <w:fldChar w:fldCharType="begin"/>
        </w:r>
        <w:r w:rsidR="00136761" w:rsidRPr="00136761">
          <w:rPr>
            <w:vanish/>
          </w:rPr>
          <w:instrText xml:space="preserve"> PAGEREF _Toc526844540 \h </w:instrText>
        </w:r>
        <w:r w:rsidR="00136761" w:rsidRPr="00136761">
          <w:rPr>
            <w:vanish/>
          </w:rPr>
        </w:r>
        <w:r w:rsidR="00136761" w:rsidRPr="00136761">
          <w:rPr>
            <w:vanish/>
          </w:rPr>
          <w:fldChar w:fldCharType="separate"/>
        </w:r>
        <w:r w:rsidR="005F2669">
          <w:rPr>
            <w:vanish/>
          </w:rPr>
          <w:t>22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41" w:history="1">
        <w:r w:rsidRPr="00D85384">
          <w:t>39</w:t>
        </w:r>
        <w:r>
          <w:rPr>
            <w:rFonts w:asciiTheme="minorHAnsi" w:eastAsiaTheme="minorEastAsia" w:hAnsiTheme="minorHAnsi" w:cstheme="minorBidi"/>
            <w:sz w:val="22"/>
            <w:szCs w:val="22"/>
            <w:lang w:eastAsia="en-AU"/>
          </w:rPr>
          <w:tab/>
        </w:r>
        <w:r w:rsidRPr="00D85384">
          <w:t>Simplified outline—pt 5</w:t>
        </w:r>
        <w:r>
          <w:tab/>
        </w:r>
        <w:r>
          <w:fldChar w:fldCharType="begin"/>
        </w:r>
        <w:r>
          <w:instrText xml:space="preserve"> PAGEREF _Toc526844541 \h </w:instrText>
        </w:r>
        <w:r>
          <w:fldChar w:fldCharType="separate"/>
        </w:r>
        <w:r w:rsidR="005F2669">
          <w:t>22</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42" w:history="1">
        <w:r w:rsidR="00136761" w:rsidRPr="00D85384">
          <w:t>Division 5.2</w:t>
        </w:r>
        <w:r w:rsidR="00136761">
          <w:rPr>
            <w:rFonts w:asciiTheme="minorHAnsi" w:eastAsiaTheme="minorEastAsia" w:hAnsiTheme="minorHAnsi" w:cstheme="minorBidi"/>
            <w:b w:val="0"/>
            <w:sz w:val="22"/>
            <w:szCs w:val="22"/>
            <w:lang w:eastAsia="en-AU"/>
          </w:rPr>
          <w:tab/>
        </w:r>
        <w:r w:rsidR="00136761" w:rsidRPr="00D85384">
          <w:t>Licence applications</w:t>
        </w:r>
        <w:r w:rsidR="00136761" w:rsidRPr="00136761">
          <w:rPr>
            <w:vanish/>
          </w:rPr>
          <w:tab/>
        </w:r>
        <w:r w:rsidR="00136761" w:rsidRPr="00136761">
          <w:rPr>
            <w:vanish/>
          </w:rPr>
          <w:fldChar w:fldCharType="begin"/>
        </w:r>
        <w:r w:rsidR="00136761" w:rsidRPr="00136761">
          <w:rPr>
            <w:vanish/>
          </w:rPr>
          <w:instrText xml:space="preserve"> PAGEREF _Toc526844542 \h </w:instrText>
        </w:r>
        <w:r w:rsidR="00136761" w:rsidRPr="00136761">
          <w:rPr>
            <w:vanish/>
          </w:rPr>
        </w:r>
        <w:r w:rsidR="00136761" w:rsidRPr="00136761">
          <w:rPr>
            <w:vanish/>
          </w:rPr>
          <w:fldChar w:fldCharType="separate"/>
        </w:r>
        <w:r w:rsidR="005F2669">
          <w:rPr>
            <w:vanish/>
          </w:rPr>
          <w:t>22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43" w:history="1">
        <w:r w:rsidRPr="00D85384">
          <w:t>40</w:t>
        </w:r>
        <w:r>
          <w:rPr>
            <w:rFonts w:asciiTheme="minorHAnsi" w:eastAsiaTheme="minorEastAsia" w:hAnsiTheme="minorHAnsi" w:cstheme="minorBidi"/>
            <w:sz w:val="22"/>
            <w:szCs w:val="22"/>
            <w:lang w:eastAsia="en-AU"/>
          </w:rPr>
          <w:tab/>
        </w:r>
        <w:r w:rsidRPr="00D85384">
          <w:t>Person may apply for a licence</w:t>
        </w:r>
        <w:r>
          <w:tab/>
        </w:r>
        <w:r>
          <w:fldChar w:fldCharType="begin"/>
        </w:r>
        <w:r>
          <w:instrText xml:space="preserve"> PAGEREF _Toc526844543 \h </w:instrText>
        </w:r>
        <w:r>
          <w:fldChar w:fldCharType="separate"/>
        </w:r>
        <w:r w:rsidR="005F2669">
          <w:t>22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44" w:history="1">
        <w:r w:rsidRPr="00D85384">
          <w:t>40A</w:t>
        </w:r>
        <w:r>
          <w:rPr>
            <w:rFonts w:asciiTheme="minorHAnsi" w:eastAsiaTheme="minorEastAsia" w:hAnsiTheme="minorHAnsi" w:cstheme="minorBidi"/>
            <w:sz w:val="22"/>
            <w:szCs w:val="22"/>
            <w:lang w:eastAsia="en-AU"/>
          </w:rPr>
          <w:tab/>
        </w:r>
        <w:r w:rsidRPr="00D85384">
          <w:t>Licences relating to inadvertent dealings</w:t>
        </w:r>
        <w:r>
          <w:tab/>
        </w:r>
        <w:r>
          <w:fldChar w:fldCharType="begin"/>
        </w:r>
        <w:r>
          <w:instrText xml:space="preserve"> PAGEREF _Toc526844544 \h </w:instrText>
        </w:r>
        <w:r>
          <w:fldChar w:fldCharType="separate"/>
        </w:r>
        <w:r w:rsidR="005F2669">
          <w:t>23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45" w:history="1">
        <w:r w:rsidRPr="00D85384">
          <w:t>41</w:t>
        </w:r>
        <w:r>
          <w:rPr>
            <w:rFonts w:asciiTheme="minorHAnsi" w:eastAsiaTheme="minorEastAsia" w:hAnsiTheme="minorHAnsi" w:cstheme="minorBidi"/>
            <w:sz w:val="22"/>
            <w:szCs w:val="22"/>
            <w:lang w:eastAsia="en-AU"/>
          </w:rPr>
          <w:tab/>
        </w:r>
        <w:r w:rsidRPr="00D85384">
          <w:t>Application may be withdrawn</w:t>
        </w:r>
        <w:r>
          <w:tab/>
        </w:r>
        <w:r>
          <w:fldChar w:fldCharType="begin"/>
        </w:r>
        <w:r>
          <w:instrText xml:space="preserve"> PAGEREF _Toc526844545 \h </w:instrText>
        </w:r>
        <w:r>
          <w:fldChar w:fldCharType="separate"/>
        </w:r>
        <w:r w:rsidR="005F2669">
          <w:t>23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46" w:history="1">
        <w:r w:rsidRPr="00D85384">
          <w:t>42</w:t>
        </w:r>
        <w:r>
          <w:rPr>
            <w:rFonts w:asciiTheme="minorHAnsi" w:eastAsiaTheme="minorEastAsia" w:hAnsiTheme="minorHAnsi" w:cstheme="minorBidi"/>
            <w:sz w:val="22"/>
            <w:szCs w:val="22"/>
            <w:lang w:eastAsia="en-AU"/>
          </w:rPr>
          <w:tab/>
        </w:r>
        <w:r w:rsidRPr="00D85384">
          <w:t>Regulator may require applicant to give further information</w:t>
        </w:r>
        <w:r>
          <w:tab/>
        </w:r>
        <w:r>
          <w:fldChar w:fldCharType="begin"/>
        </w:r>
        <w:r>
          <w:instrText xml:space="preserve"> PAGEREF _Toc526844546 \h </w:instrText>
        </w:r>
        <w:r>
          <w:fldChar w:fldCharType="separate"/>
        </w:r>
        <w:r w:rsidR="005F2669">
          <w:t>24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47" w:history="1">
        <w:r w:rsidRPr="00D85384">
          <w:t>43</w:t>
        </w:r>
        <w:r>
          <w:rPr>
            <w:rFonts w:asciiTheme="minorHAnsi" w:eastAsiaTheme="minorEastAsia" w:hAnsiTheme="minorHAnsi" w:cstheme="minorBidi"/>
            <w:sz w:val="22"/>
            <w:szCs w:val="22"/>
            <w:lang w:eastAsia="en-AU"/>
          </w:rPr>
          <w:tab/>
        </w:r>
        <w:r w:rsidRPr="00D85384">
          <w:t>Regulator must consider applications except in certain circumstances</w:t>
        </w:r>
        <w:r>
          <w:tab/>
        </w:r>
        <w:r>
          <w:fldChar w:fldCharType="begin"/>
        </w:r>
        <w:r>
          <w:instrText xml:space="preserve"> PAGEREF _Toc526844547 \h </w:instrText>
        </w:r>
        <w:r>
          <w:fldChar w:fldCharType="separate"/>
        </w:r>
        <w:r w:rsidR="005F2669">
          <w:t>24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48" w:history="1">
        <w:r w:rsidRPr="00D85384">
          <w:t>44</w:t>
        </w:r>
        <w:r>
          <w:rPr>
            <w:rFonts w:asciiTheme="minorHAnsi" w:eastAsiaTheme="minorEastAsia" w:hAnsiTheme="minorHAnsi" w:cstheme="minorBidi"/>
            <w:sz w:val="22"/>
            <w:szCs w:val="22"/>
            <w:lang w:eastAsia="en-AU"/>
          </w:rPr>
          <w:tab/>
        </w:r>
        <w:r w:rsidRPr="00D85384">
          <w:t>Regulator may consult with applicant</w:t>
        </w:r>
        <w:r>
          <w:tab/>
        </w:r>
        <w:r>
          <w:fldChar w:fldCharType="begin"/>
        </w:r>
        <w:r>
          <w:instrText xml:space="preserve"> PAGEREF _Toc526844548 \h </w:instrText>
        </w:r>
        <w:r>
          <w:fldChar w:fldCharType="separate"/>
        </w:r>
        <w:r w:rsidR="005F2669">
          <w:t>25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49" w:history="1">
        <w:r w:rsidRPr="00D85384">
          <w:t>45</w:t>
        </w:r>
        <w:r>
          <w:rPr>
            <w:rFonts w:asciiTheme="minorHAnsi" w:eastAsiaTheme="minorEastAsia" w:hAnsiTheme="minorHAnsi" w:cstheme="minorBidi"/>
            <w:sz w:val="22"/>
            <w:szCs w:val="22"/>
            <w:lang w:eastAsia="en-AU"/>
          </w:rPr>
          <w:tab/>
        </w:r>
        <w:r w:rsidRPr="00D85384">
          <w:t>Regulator must not use certain information in considering licence application</w:t>
        </w:r>
        <w:r>
          <w:tab/>
        </w:r>
        <w:r>
          <w:fldChar w:fldCharType="begin"/>
        </w:r>
        <w:r>
          <w:instrText xml:space="preserve"> PAGEREF _Toc526844549 \h </w:instrText>
        </w:r>
        <w:r>
          <w:fldChar w:fldCharType="separate"/>
        </w:r>
        <w:r w:rsidR="005F2669">
          <w:t>25</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50" w:history="1">
        <w:r w:rsidR="00136761" w:rsidRPr="00D85384">
          <w:t>Division 5.3</w:t>
        </w:r>
        <w:r w:rsidR="00136761">
          <w:rPr>
            <w:rFonts w:asciiTheme="minorHAnsi" w:eastAsiaTheme="minorEastAsia" w:hAnsiTheme="minorHAnsi" w:cstheme="minorBidi"/>
            <w:b w:val="0"/>
            <w:sz w:val="22"/>
            <w:szCs w:val="22"/>
            <w:lang w:eastAsia="en-AU"/>
          </w:rPr>
          <w:tab/>
        </w:r>
        <w:r w:rsidR="00136761" w:rsidRPr="00D85384">
          <w:t>Initial consideration of licences for dealings not involving intentional release of GMO into environment</w:t>
        </w:r>
        <w:r w:rsidR="00136761" w:rsidRPr="00136761">
          <w:rPr>
            <w:vanish/>
          </w:rPr>
          <w:tab/>
        </w:r>
        <w:r w:rsidR="00136761" w:rsidRPr="00136761">
          <w:rPr>
            <w:vanish/>
          </w:rPr>
          <w:fldChar w:fldCharType="begin"/>
        </w:r>
        <w:r w:rsidR="00136761" w:rsidRPr="00136761">
          <w:rPr>
            <w:vanish/>
          </w:rPr>
          <w:instrText xml:space="preserve"> PAGEREF _Toc526844550 \h </w:instrText>
        </w:r>
        <w:r w:rsidR="00136761" w:rsidRPr="00136761">
          <w:rPr>
            <w:vanish/>
          </w:rPr>
        </w:r>
        <w:r w:rsidR="00136761" w:rsidRPr="00136761">
          <w:rPr>
            <w:vanish/>
          </w:rPr>
          <w:fldChar w:fldCharType="separate"/>
        </w:r>
        <w:r w:rsidR="005F2669">
          <w:rPr>
            <w:vanish/>
          </w:rPr>
          <w:t>26</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51" w:history="1">
        <w:r w:rsidRPr="00D85384">
          <w:t>46</w:t>
        </w:r>
        <w:r>
          <w:rPr>
            <w:rFonts w:asciiTheme="minorHAnsi" w:eastAsiaTheme="minorEastAsia" w:hAnsiTheme="minorHAnsi" w:cstheme="minorBidi"/>
            <w:sz w:val="22"/>
            <w:szCs w:val="22"/>
            <w:lang w:eastAsia="en-AU"/>
          </w:rPr>
          <w:tab/>
        </w:r>
        <w:r w:rsidRPr="00D85384">
          <w:t>Applications to which div 5.3 applies</w:t>
        </w:r>
        <w:r>
          <w:tab/>
        </w:r>
        <w:r>
          <w:fldChar w:fldCharType="begin"/>
        </w:r>
        <w:r>
          <w:instrText xml:space="preserve"> PAGEREF _Toc526844551 \h </w:instrText>
        </w:r>
        <w:r>
          <w:fldChar w:fldCharType="separate"/>
        </w:r>
        <w:r w:rsidR="005F2669">
          <w:t>26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52" w:history="1">
        <w:r w:rsidRPr="00D85384">
          <w:t>46A</w:t>
        </w:r>
        <w:r>
          <w:rPr>
            <w:rFonts w:asciiTheme="minorHAnsi" w:eastAsiaTheme="minorEastAsia" w:hAnsiTheme="minorHAnsi" w:cstheme="minorBidi"/>
            <w:sz w:val="22"/>
            <w:szCs w:val="22"/>
            <w:lang w:eastAsia="en-AU"/>
          </w:rPr>
          <w:tab/>
        </w:r>
        <w:r w:rsidRPr="00D85384">
          <w:t>Division does not apply to an application relating to inadvertent dealings</w:t>
        </w:r>
        <w:r>
          <w:tab/>
        </w:r>
        <w:r>
          <w:fldChar w:fldCharType="begin"/>
        </w:r>
        <w:r>
          <w:instrText xml:space="preserve"> PAGEREF _Toc526844552 \h </w:instrText>
        </w:r>
        <w:r>
          <w:fldChar w:fldCharType="separate"/>
        </w:r>
        <w:r w:rsidR="005F2669">
          <w:t>26</w:t>
        </w:r>
        <w:r>
          <w:fldChar w:fldCharType="end"/>
        </w:r>
      </w:hyperlink>
    </w:p>
    <w:p w:rsidR="00136761" w:rsidRDefault="00136761">
      <w:pPr>
        <w:pStyle w:val="TOC5"/>
        <w:rPr>
          <w:rFonts w:asciiTheme="minorHAnsi" w:eastAsiaTheme="minorEastAsia" w:hAnsiTheme="minorHAnsi" w:cstheme="minorBidi"/>
          <w:sz w:val="22"/>
          <w:szCs w:val="22"/>
          <w:lang w:eastAsia="en-AU"/>
        </w:rPr>
      </w:pPr>
      <w:r>
        <w:lastRenderedPageBreak/>
        <w:tab/>
      </w:r>
      <w:hyperlink w:anchor="_Toc526844553" w:history="1">
        <w:r w:rsidRPr="00D85384">
          <w:t>47</w:t>
        </w:r>
        <w:r>
          <w:rPr>
            <w:rFonts w:asciiTheme="minorHAnsi" w:eastAsiaTheme="minorEastAsia" w:hAnsiTheme="minorHAnsi" w:cstheme="minorBidi"/>
            <w:sz w:val="22"/>
            <w:szCs w:val="22"/>
            <w:lang w:eastAsia="en-AU"/>
          </w:rPr>
          <w:tab/>
        </w:r>
        <w:r w:rsidRPr="00D85384">
          <w:t>What regulator must do in relation to application</w:t>
        </w:r>
        <w:r>
          <w:tab/>
        </w:r>
        <w:r>
          <w:fldChar w:fldCharType="begin"/>
        </w:r>
        <w:r>
          <w:instrText xml:space="preserve"> PAGEREF _Toc526844553 \h </w:instrText>
        </w:r>
        <w:r>
          <w:fldChar w:fldCharType="separate"/>
        </w:r>
        <w:r w:rsidR="005F2669">
          <w:t>26</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54" w:history="1">
        <w:r w:rsidR="00136761" w:rsidRPr="00D85384">
          <w:t>Division 5.4</w:t>
        </w:r>
        <w:r w:rsidR="00136761">
          <w:rPr>
            <w:rFonts w:asciiTheme="minorHAnsi" w:eastAsiaTheme="minorEastAsia" w:hAnsiTheme="minorHAnsi" w:cstheme="minorBidi"/>
            <w:b w:val="0"/>
            <w:sz w:val="22"/>
            <w:szCs w:val="22"/>
            <w:lang w:eastAsia="en-AU"/>
          </w:rPr>
          <w:tab/>
        </w:r>
        <w:r w:rsidR="00136761" w:rsidRPr="00D85384">
          <w:t>Initial consideration of licences for dealings involving intentional release of GMO into environment</w:t>
        </w:r>
        <w:r w:rsidR="00136761" w:rsidRPr="00136761">
          <w:rPr>
            <w:vanish/>
          </w:rPr>
          <w:tab/>
        </w:r>
        <w:r w:rsidR="00136761" w:rsidRPr="00136761">
          <w:rPr>
            <w:vanish/>
          </w:rPr>
          <w:fldChar w:fldCharType="begin"/>
        </w:r>
        <w:r w:rsidR="00136761" w:rsidRPr="00136761">
          <w:rPr>
            <w:vanish/>
          </w:rPr>
          <w:instrText xml:space="preserve"> PAGEREF _Toc526844554 \h </w:instrText>
        </w:r>
        <w:r w:rsidR="00136761" w:rsidRPr="00136761">
          <w:rPr>
            <w:vanish/>
          </w:rPr>
        </w:r>
        <w:r w:rsidR="00136761" w:rsidRPr="00136761">
          <w:rPr>
            <w:vanish/>
          </w:rPr>
          <w:fldChar w:fldCharType="separate"/>
        </w:r>
        <w:r w:rsidR="005F2669">
          <w:rPr>
            <w:vanish/>
          </w:rPr>
          <w:t>27</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55" w:history="1">
        <w:r w:rsidRPr="00D85384">
          <w:t>48</w:t>
        </w:r>
        <w:r>
          <w:rPr>
            <w:rFonts w:asciiTheme="minorHAnsi" w:eastAsiaTheme="minorEastAsia" w:hAnsiTheme="minorHAnsi" w:cstheme="minorBidi"/>
            <w:sz w:val="22"/>
            <w:szCs w:val="22"/>
            <w:lang w:eastAsia="en-AU"/>
          </w:rPr>
          <w:tab/>
        </w:r>
        <w:r w:rsidRPr="00D85384">
          <w:t>Applications to which div 5.4 applies</w:t>
        </w:r>
        <w:r>
          <w:tab/>
        </w:r>
        <w:r>
          <w:fldChar w:fldCharType="begin"/>
        </w:r>
        <w:r>
          <w:instrText xml:space="preserve"> PAGEREF _Toc526844555 \h </w:instrText>
        </w:r>
        <w:r>
          <w:fldChar w:fldCharType="separate"/>
        </w:r>
        <w:r w:rsidR="005F2669">
          <w:t>27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56" w:history="1">
        <w:r w:rsidRPr="00D85384">
          <w:t>49</w:t>
        </w:r>
        <w:r>
          <w:rPr>
            <w:rFonts w:asciiTheme="minorHAnsi" w:eastAsiaTheme="minorEastAsia" w:hAnsiTheme="minorHAnsi" w:cstheme="minorBidi"/>
            <w:sz w:val="22"/>
            <w:szCs w:val="22"/>
            <w:lang w:eastAsia="en-AU"/>
          </w:rPr>
          <w:tab/>
        </w:r>
        <w:r w:rsidRPr="00D85384">
          <w:t>Division does not apply to an application relating to inadvertent dealings</w:t>
        </w:r>
        <w:r>
          <w:tab/>
        </w:r>
        <w:r>
          <w:fldChar w:fldCharType="begin"/>
        </w:r>
        <w:r>
          <w:instrText xml:space="preserve"> PAGEREF _Toc526844556 \h </w:instrText>
        </w:r>
        <w:r>
          <w:fldChar w:fldCharType="separate"/>
        </w:r>
        <w:r w:rsidR="005F2669">
          <w:t>27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57" w:history="1">
        <w:r w:rsidRPr="00D85384">
          <w:t>50</w:t>
        </w:r>
        <w:r>
          <w:rPr>
            <w:rFonts w:asciiTheme="minorHAnsi" w:eastAsiaTheme="minorEastAsia" w:hAnsiTheme="minorHAnsi" w:cstheme="minorBidi"/>
            <w:sz w:val="22"/>
            <w:szCs w:val="22"/>
            <w:lang w:eastAsia="en-AU"/>
          </w:rPr>
          <w:tab/>
        </w:r>
        <w:r w:rsidRPr="00D85384">
          <w:t>Regulator must prepare risk assessment and risk management plan</w:t>
        </w:r>
        <w:r>
          <w:tab/>
        </w:r>
        <w:r>
          <w:fldChar w:fldCharType="begin"/>
        </w:r>
        <w:r>
          <w:instrText xml:space="preserve"> PAGEREF _Toc526844557 \h </w:instrText>
        </w:r>
        <w:r>
          <w:fldChar w:fldCharType="separate"/>
        </w:r>
        <w:r w:rsidR="005F2669">
          <w:t>28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58" w:history="1">
        <w:r w:rsidRPr="00D85384">
          <w:t>50A</w:t>
        </w:r>
        <w:r>
          <w:rPr>
            <w:rFonts w:asciiTheme="minorHAnsi" w:eastAsiaTheme="minorEastAsia" w:hAnsiTheme="minorHAnsi" w:cstheme="minorBidi"/>
            <w:sz w:val="22"/>
            <w:szCs w:val="22"/>
            <w:lang w:eastAsia="en-AU"/>
          </w:rPr>
          <w:tab/>
        </w:r>
        <w:r w:rsidRPr="00D85384">
          <w:t>Limited and controlled release applications</w:t>
        </w:r>
        <w:r>
          <w:tab/>
        </w:r>
        <w:r>
          <w:fldChar w:fldCharType="begin"/>
        </w:r>
        <w:r>
          <w:instrText xml:space="preserve"> PAGEREF _Toc526844558 \h </w:instrText>
        </w:r>
        <w:r>
          <w:fldChar w:fldCharType="separate"/>
        </w:r>
        <w:r w:rsidR="005F2669">
          <w:t>29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59" w:history="1">
        <w:r w:rsidRPr="00D85384">
          <w:t>51</w:t>
        </w:r>
        <w:r>
          <w:rPr>
            <w:rFonts w:asciiTheme="minorHAnsi" w:eastAsiaTheme="minorEastAsia" w:hAnsiTheme="minorHAnsi" w:cstheme="minorBidi"/>
            <w:sz w:val="22"/>
            <w:szCs w:val="22"/>
            <w:lang w:eastAsia="en-AU"/>
          </w:rPr>
          <w:tab/>
        </w:r>
        <w:r w:rsidRPr="00D85384">
          <w:t>Matters regulator must take into account in preparing risk assessment and risk management plan</w:t>
        </w:r>
        <w:r>
          <w:tab/>
        </w:r>
        <w:r>
          <w:fldChar w:fldCharType="begin"/>
        </w:r>
        <w:r>
          <w:instrText xml:space="preserve"> PAGEREF _Toc526844559 \h </w:instrText>
        </w:r>
        <w:r>
          <w:fldChar w:fldCharType="separate"/>
        </w:r>
        <w:r w:rsidR="005F2669">
          <w:t>30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0" w:history="1">
        <w:r w:rsidRPr="00D85384">
          <w:t>52</w:t>
        </w:r>
        <w:r>
          <w:rPr>
            <w:rFonts w:asciiTheme="minorHAnsi" w:eastAsiaTheme="minorEastAsia" w:hAnsiTheme="minorHAnsi" w:cstheme="minorBidi"/>
            <w:sz w:val="22"/>
            <w:szCs w:val="22"/>
            <w:lang w:eastAsia="en-AU"/>
          </w:rPr>
          <w:tab/>
        </w:r>
        <w:r w:rsidRPr="00D85384">
          <w:t>Public notification of risk assessment and risk management plan</w:t>
        </w:r>
        <w:r>
          <w:tab/>
        </w:r>
        <w:r>
          <w:fldChar w:fldCharType="begin"/>
        </w:r>
        <w:r>
          <w:instrText xml:space="preserve"> PAGEREF _Toc526844560 \h </w:instrText>
        </w:r>
        <w:r>
          <w:fldChar w:fldCharType="separate"/>
        </w:r>
        <w:r w:rsidR="005F2669">
          <w:t>32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1" w:history="1">
        <w:r w:rsidRPr="00D85384">
          <w:t>53</w:t>
        </w:r>
        <w:r>
          <w:rPr>
            <w:rFonts w:asciiTheme="minorHAnsi" w:eastAsiaTheme="minorEastAsia" w:hAnsiTheme="minorHAnsi" w:cstheme="minorBidi"/>
            <w:sz w:val="22"/>
            <w:szCs w:val="22"/>
            <w:lang w:eastAsia="en-AU"/>
          </w:rPr>
          <w:tab/>
        </w:r>
        <w:r w:rsidRPr="00D85384">
          <w:t>Regulator may take other actions</w:t>
        </w:r>
        <w:r>
          <w:tab/>
        </w:r>
        <w:r>
          <w:fldChar w:fldCharType="begin"/>
        </w:r>
        <w:r>
          <w:instrText xml:space="preserve"> PAGEREF _Toc526844561 \h </w:instrText>
        </w:r>
        <w:r>
          <w:fldChar w:fldCharType="separate"/>
        </w:r>
        <w:r w:rsidR="005F2669">
          <w:t>33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2" w:history="1">
        <w:r w:rsidRPr="00D85384">
          <w:t>54</w:t>
        </w:r>
        <w:r>
          <w:rPr>
            <w:rFonts w:asciiTheme="minorHAnsi" w:eastAsiaTheme="minorEastAsia" w:hAnsiTheme="minorHAnsi" w:cstheme="minorBidi"/>
            <w:sz w:val="22"/>
            <w:szCs w:val="22"/>
            <w:lang w:eastAsia="en-AU"/>
          </w:rPr>
          <w:tab/>
        </w:r>
        <w:r w:rsidRPr="00D85384">
          <w:t>Person may request copies of certain documents</w:t>
        </w:r>
        <w:r>
          <w:tab/>
        </w:r>
        <w:r>
          <w:fldChar w:fldCharType="begin"/>
        </w:r>
        <w:r>
          <w:instrText xml:space="preserve"> PAGEREF _Toc526844562 \h </w:instrText>
        </w:r>
        <w:r>
          <w:fldChar w:fldCharType="separate"/>
        </w:r>
        <w:r w:rsidR="005F2669">
          <w:t>34</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63" w:history="1">
        <w:r w:rsidR="00136761" w:rsidRPr="00D85384">
          <w:t>Division 5.5</w:t>
        </w:r>
        <w:r w:rsidR="00136761">
          <w:rPr>
            <w:rFonts w:asciiTheme="minorHAnsi" w:eastAsiaTheme="minorEastAsia" w:hAnsiTheme="minorHAnsi" w:cstheme="minorBidi"/>
            <w:b w:val="0"/>
            <w:sz w:val="22"/>
            <w:szCs w:val="22"/>
            <w:lang w:eastAsia="en-AU"/>
          </w:rPr>
          <w:tab/>
        </w:r>
        <w:r w:rsidR="00136761" w:rsidRPr="00D85384">
          <w:t>Decision on licence application</w:t>
        </w:r>
        <w:r w:rsidR="00136761" w:rsidRPr="00136761">
          <w:rPr>
            <w:vanish/>
          </w:rPr>
          <w:tab/>
        </w:r>
        <w:r w:rsidR="00136761" w:rsidRPr="00136761">
          <w:rPr>
            <w:vanish/>
          </w:rPr>
          <w:fldChar w:fldCharType="begin"/>
        </w:r>
        <w:r w:rsidR="00136761" w:rsidRPr="00136761">
          <w:rPr>
            <w:vanish/>
          </w:rPr>
          <w:instrText xml:space="preserve"> PAGEREF _Toc526844563 \h </w:instrText>
        </w:r>
        <w:r w:rsidR="00136761" w:rsidRPr="00136761">
          <w:rPr>
            <w:vanish/>
          </w:rPr>
        </w:r>
        <w:r w:rsidR="00136761" w:rsidRPr="00136761">
          <w:rPr>
            <w:vanish/>
          </w:rPr>
          <w:fldChar w:fldCharType="separate"/>
        </w:r>
        <w:r w:rsidR="005F2669">
          <w:rPr>
            <w:vanish/>
          </w:rPr>
          <w:t>35</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4" w:history="1">
        <w:r w:rsidRPr="00D85384">
          <w:t>55</w:t>
        </w:r>
        <w:r>
          <w:rPr>
            <w:rFonts w:asciiTheme="minorHAnsi" w:eastAsiaTheme="minorEastAsia" w:hAnsiTheme="minorHAnsi" w:cstheme="minorBidi"/>
            <w:sz w:val="22"/>
            <w:szCs w:val="22"/>
            <w:lang w:eastAsia="en-AU"/>
          </w:rPr>
          <w:tab/>
        </w:r>
        <w:r w:rsidRPr="00D85384">
          <w:t>Regulator must make a decision on licence and licence conditions</w:t>
        </w:r>
        <w:r>
          <w:tab/>
        </w:r>
        <w:r>
          <w:fldChar w:fldCharType="begin"/>
        </w:r>
        <w:r>
          <w:instrText xml:space="preserve"> PAGEREF _Toc526844564 \h </w:instrText>
        </w:r>
        <w:r>
          <w:fldChar w:fldCharType="separate"/>
        </w:r>
        <w:r w:rsidR="005F2669">
          <w:t>35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5" w:history="1">
        <w:r w:rsidRPr="00D85384">
          <w:t>56</w:t>
        </w:r>
        <w:r>
          <w:rPr>
            <w:rFonts w:asciiTheme="minorHAnsi" w:eastAsiaTheme="minorEastAsia" w:hAnsiTheme="minorHAnsi" w:cstheme="minorBidi"/>
            <w:sz w:val="22"/>
            <w:szCs w:val="22"/>
            <w:lang w:eastAsia="en-AU"/>
          </w:rPr>
          <w:tab/>
        </w:r>
        <w:r w:rsidRPr="00D85384">
          <w:t>Regulator must not issue the licence unless satisfied as to risk management</w:t>
        </w:r>
        <w:r>
          <w:tab/>
        </w:r>
        <w:r>
          <w:fldChar w:fldCharType="begin"/>
        </w:r>
        <w:r>
          <w:instrText xml:space="preserve"> PAGEREF _Toc526844565 \h </w:instrText>
        </w:r>
        <w:r>
          <w:fldChar w:fldCharType="separate"/>
        </w:r>
        <w:r w:rsidR="005F2669">
          <w:t>35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6" w:history="1">
        <w:r w:rsidRPr="00D85384">
          <w:t>57</w:t>
        </w:r>
        <w:r>
          <w:rPr>
            <w:rFonts w:asciiTheme="minorHAnsi" w:eastAsiaTheme="minorEastAsia" w:hAnsiTheme="minorHAnsi" w:cstheme="minorBidi"/>
            <w:sz w:val="22"/>
            <w:szCs w:val="22"/>
            <w:lang w:eastAsia="en-AU"/>
          </w:rPr>
          <w:tab/>
        </w:r>
        <w:r w:rsidRPr="00D85384">
          <w:t>Other circumstances in which regulator must not issue the licence</w:t>
        </w:r>
        <w:r>
          <w:tab/>
        </w:r>
        <w:r>
          <w:fldChar w:fldCharType="begin"/>
        </w:r>
        <w:r>
          <w:instrText xml:space="preserve"> PAGEREF _Toc526844566 \h </w:instrText>
        </w:r>
        <w:r>
          <w:fldChar w:fldCharType="separate"/>
        </w:r>
        <w:r w:rsidR="005F2669">
          <w:t>36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7" w:history="1">
        <w:r w:rsidRPr="00D85384">
          <w:t>58</w:t>
        </w:r>
        <w:r>
          <w:rPr>
            <w:rFonts w:asciiTheme="minorHAnsi" w:eastAsiaTheme="minorEastAsia" w:hAnsiTheme="minorHAnsi" w:cstheme="minorBidi"/>
            <w:sz w:val="22"/>
            <w:szCs w:val="22"/>
            <w:lang w:eastAsia="en-AU"/>
          </w:rPr>
          <w:tab/>
        </w:r>
        <w:r w:rsidRPr="00D85384">
          <w:t>Matters to be taken into account in deciding whether person is suitable to hold licence</w:t>
        </w:r>
        <w:r>
          <w:tab/>
        </w:r>
        <w:r>
          <w:fldChar w:fldCharType="begin"/>
        </w:r>
        <w:r>
          <w:instrText xml:space="preserve"> PAGEREF _Toc526844567 \h </w:instrText>
        </w:r>
        <w:r>
          <w:fldChar w:fldCharType="separate"/>
        </w:r>
        <w:r w:rsidR="005F2669">
          <w:t>36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8" w:history="1">
        <w:r w:rsidRPr="00D85384">
          <w:t>59</w:t>
        </w:r>
        <w:r>
          <w:rPr>
            <w:rFonts w:asciiTheme="minorHAnsi" w:eastAsiaTheme="minorEastAsia" w:hAnsiTheme="minorHAnsi" w:cstheme="minorBidi"/>
            <w:sz w:val="22"/>
            <w:szCs w:val="22"/>
            <w:lang w:eastAsia="en-AU"/>
          </w:rPr>
          <w:tab/>
        </w:r>
        <w:r w:rsidRPr="00D85384">
          <w:t>Notification of licence decision</w:t>
        </w:r>
        <w:r>
          <w:tab/>
        </w:r>
        <w:r>
          <w:fldChar w:fldCharType="begin"/>
        </w:r>
        <w:r>
          <w:instrText xml:space="preserve"> PAGEREF _Toc526844568 \h </w:instrText>
        </w:r>
        <w:r>
          <w:fldChar w:fldCharType="separate"/>
        </w:r>
        <w:r w:rsidR="005F2669">
          <w:t>37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69" w:history="1">
        <w:r w:rsidRPr="00D85384">
          <w:t>60</w:t>
        </w:r>
        <w:r>
          <w:rPr>
            <w:rFonts w:asciiTheme="minorHAnsi" w:eastAsiaTheme="minorEastAsia" w:hAnsiTheme="minorHAnsi" w:cstheme="minorBidi"/>
            <w:sz w:val="22"/>
            <w:szCs w:val="22"/>
            <w:lang w:eastAsia="en-AU"/>
          </w:rPr>
          <w:tab/>
        </w:r>
        <w:r w:rsidRPr="00D85384">
          <w:t>Period of licence</w:t>
        </w:r>
        <w:r>
          <w:tab/>
        </w:r>
        <w:r>
          <w:fldChar w:fldCharType="begin"/>
        </w:r>
        <w:r>
          <w:instrText xml:space="preserve"> PAGEREF _Toc526844569 \h </w:instrText>
        </w:r>
        <w:r>
          <w:fldChar w:fldCharType="separate"/>
        </w:r>
        <w:r w:rsidR="005F2669">
          <w:t>38</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70" w:history="1">
        <w:r w:rsidR="00136761" w:rsidRPr="00D85384">
          <w:t>Division 5.6</w:t>
        </w:r>
        <w:r w:rsidR="00136761">
          <w:rPr>
            <w:rFonts w:asciiTheme="minorHAnsi" w:eastAsiaTheme="minorEastAsia" w:hAnsiTheme="minorHAnsi" w:cstheme="minorBidi"/>
            <w:b w:val="0"/>
            <w:sz w:val="22"/>
            <w:szCs w:val="22"/>
            <w:lang w:eastAsia="en-AU"/>
          </w:rPr>
          <w:tab/>
        </w:r>
        <w:r w:rsidR="00136761" w:rsidRPr="00D85384">
          <w:t>Conditions of licences</w:t>
        </w:r>
        <w:r w:rsidR="00136761" w:rsidRPr="00136761">
          <w:rPr>
            <w:vanish/>
          </w:rPr>
          <w:tab/>
        </w:r>
        <w:r w:rsidR="00136761" w:rsidRPr="00136761">
          <w:rPr>
            <w:vanish/>
          </w:rPr>
          <w:fldChar w:fldCharType="begin"/>
        </w:r>
        <w:r w:rsidR="00136761" w:rsidRPr="00136761">
          <w:rPr>
            <w:vanish/>
          </w:rPr>
          <w:instrText xml:space="preserve"> PAGEREF _Toc526844570 \h </w:instrText>
        </w:r>
        <w:r w:rsidR="00136761" w:rsidRPr="00136761">
          <w:rPr>
            <w:vanish/>
          </w:rPr>
        </w:r>
        <w:r w:rsidR="00136761" w:rsidRPr="00136761">
          <w:rPr>
            <w:vanish/>
          </w:rPr>
          <w:fldChar w:fldCharType="separate"/>
        </w:r>
        <w:r w:rsidR="005F2669">
          <w:rPr>
            <w:vanish/>
          </w:rPr>
          <w:t>38</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71" w:history="1">
        <w:r w:rsidRPr="00D85384">
          <w:t>61</w:t>
        </w:r>
        <w:r>
          <w:rPr>
            <w:rFonts w:asciiTheme="minorHAnsi" w:eastAsiaTheme="minorEastAsia" w:hAnsiTheme="minorHAnsi" w:cstheme="minorBidi"/>
            <w:sz w:val="22"/>
            <w:szCs w:val="22"/>
            <w:lang w:eastAsia="en-AU"/>
          </w:rPr>
          <w:tab/>
        </w:r>
        <w:r w:rsidRPr="00D85384">
          <w:t>Licence is subject to conditions</w:t>
        </w:r>
        <w:r>
          <w:tab/>
        </w:r>
        <w:r>
          <w:fldChar w:fldCharType="begin"/>
        </w:r>
        <w:r>
          <w:instrText xml:space="preserve"> PAGEREF _Toc526844571 \h </w:instrText>
        </w:r>
        <w:r>
          <w:fldChar w:fldCharType="separate"/>
        </w:r>
        <w:r w:rsidR="005F2669">
          <w:t>38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72" w:history="1">
        <w:r w:rsidRPr="00D85384">
          <w:t>62</w:t>
        </w:r>
        <w:r>
          <w:rPr>
            <w:rFonts w:asciiTheme="minorHAnsi" w:eastAsiaTheme="minorEastAsia" w:hAnsiTheme="minorHAnsi" w:cstheme="minorBidi"/>
            <w:sz w:val="22"/>
            <w:szCs w:val="22"/>
            <w:lang w:eastAsia="en-AU"/>
          </w:rPr>
          <w:tab/>
        </w:r>
        <w:r w:rsidRPr="00D85384">
          <w:t>Conditions that may be prescribed or imposed</w:t>
        </w:r>
        <w:r>
          <w:tab/>
        </w:r>
        <w:r>
          <w:fldChar w:fldCharType="begin"/>
        </w:r>
        <w:r>
          <w:instrText xml:space="preserve"> PAGEREF _Toc526844572 \h </w:instrText>
        </w:r>
        <w:r>
          <w:fldChar w:fldCharType="separate"/>
        </w:r>
        <w:r w:rsidR="005F2669">
          <w:t>38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73" w:history="1">
        <w:r w:rsidRPr="00D85384">
          <w:t>63</w:t>
        </w:r>
        <w:r>
          <w:rPr>
            <w:rFonts w:asciiTheme="minorHAnsi" w:eastAsiaTheme="minorEastAsia" w:hAnsiTheme="minorHAnsi" w:cstheme="minorBidi"/>
            <w:sz w:val="22"/>
            <w:szCs w:val="22"/>
            <w:lang w:eastAsia="en-AU"/>
          </w:rPr>
          <w:tab/>
        </w:r>
        <w:r w:rsidRPr="00D85384">
          <w:t>Condition about telling people of obligations</w:t>
        </w:r>
        <w:r>
          <w:tab/>
        </w:r>
        <w:r>
          <w:fldChar w:fldCharType="begin"/>
        </w:r>
        <w:r>
          <w:instrText xml:space="preserve"> PAGEREF _Toc526844573 \h </w:instrText>
        </w:r>
        <w:r>
          <w:fldChar w:fldCharType="separate"/>
        </w:r>
        <w:r w:rsidR="005F2669">
          <w:t>40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74" w:history="1">
        <w:r w:rsidRPr="00D85384">
          <w:t>64</w:t>
        </w:r>
        <w:r>
          <w:rPr>
            <w:rFonts w:asciiTheme="minorHAnsi" w:eastAsiaTheme="minorEastAsia" w:hAnsiTheme="minorHAnsi" w:cstheme="minorBidi"/>
            <w:sz w:val="22"/>
            <w:szCs w:val="22"/>
            <w:lang w:eastAsia="en-AU"/>
          </w:rPr>
          <w:tab/>
        </w:r>
        <w:r w:rsidRPr="00D85384">
          <w:t>Condition about monitoring and audits</w:t>
        </w:r>
        <w:r>
          <w:tab/>
        </w:r>
        <w:r>
          <w:fldChar w:fldCharType="begin"/>
        </w:r>
        <w:r>
          <w:instrText xml:space="preserve"> PAGEREF _Toc526844574 \h </w:instrText>
        </w:r>
        <w:r>
          <w:fldChar w:fldCharType="separate"/>
        </w:r>
        <w:r w:rsidR="005F2669">
          <w:t>40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75" w:history="1">
        <w:r w:rsidRPr="00D85384">
          <w:t>65</w:t>
        </w:r>
        <w:r>
          <w:rPr>
            <w:rFonts w:asciiTheme="minorHAnsi" w:eastAsiaTheme="minorEastAsia" w:hAnsiTheme="minorHAnsi" w:cstheme="minorBidi"/>
            <w:sz w:val="22"/>
            <w:szCs w:val="22"/>
            <w:lang w:eastAsia="en-AU"/>
          </w:rPr>
          <w:tab/>
        </w:r>
        <w:r w:rsidRPr="00D85384">
          <w:t>Condition about additional information to be given to regulator</w:t>
        </w:r>
        <w:r>
          <w:tab/>
        </w:r>
        <w:r>
          <w:fldChar w:fldCharType="begin"/>
        </w:r>
        <w:r>
          <w:instrText xml:space="preserve"> PAGEREF _Toc526844575 \h </w:instrText>
        </w:r>
        <w:r>
          <w:fldChar w:fldCharType="separate"/>
        </w:r>
        <w:r w:rsidR="005F2669">
          <w:t>41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76" w:history="1">
        <w:r w:rsidRPr="00D85384">
          <w:t>66</w:t>
        </w:r>
        <w:r>
          <w:rPr>
            <w:rFonts w:asciiTheme="minorHAnsi" w:eastAsiaTheme="minorEastAsia" w:hAnsiTheme="minorHAnsi" w:cstheme="minorBidi"/>
            <w:sz w:val="22"/>
            <w:szCs w:val="22"/>
            <w:lang w:eastAsia="en-AU"/>
          </w:rPr>
          <w:tab/>
        </w:r>
        <w:r w:rsidRPr="00D85384">
          <w:t>Person may give information to regulator</w:t>
        </w:r>
        <w:r>
          <w:tab/>
        </w:r>
        <w:r>
          <w:fldChar w:fldCharType="begin"/>
        </w:r>
        <w:r>
          <w:instrText xml:space="preserve"> PAGEREF _Toc526844576 \h </w:instrText>
        </w:r>
        <w:r>
          <w:fldChar w:fldCharType="separate"/>
        </w:r>
        <w:r w:rsidR="005F2669">
          <w:t>41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77" w:history="1">
        <w:r w:rsidRPr="00D85384">
          <w:t>67</w:t>
        </w:r>
        <w:r>
          <w:rPr>
            <w:rFonts w:asciiTheme="minorHAnsi" w:eastAsiaTheme="minorEastAsia" w:hAnsiTheme="minorHAnsi" w:cstheme="minorBidi"/>
            <w:sz w:val="22"/>
            <w:szCs w:val="22"/>
            <w:lang w:eastAsia="en-AU"/>
          </w:rPr>
          <w:tab/>
        </w:r>
        <w:r w:rsidRPr="00D85384">
          <w:t>Protection of persons who give information</w:t>
        </w:r>
        <w:r>
          <w:tab/>
        </w:r>
        <w:r>
          <w:fldChar w:fldCharType="begin"/>
        </w:r>
        <w:r>
          <w:instrText xml:space="preserve"> PAGEREF _Toc526844577 \h </w:instrText>
        </w:r>
        <w:r>
          <w:fldChar w:fldCharType="separate"/>
        </w:r>
        <w:r w:rsidR="005F2669">
          <w:t>42</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78" w:history="1">
        <w:r w:rsidR="00136761" w:rsidRPr="00D85384">
          <w:t>Division 5.7</w:t>
        </w:r>
        <w:r w:rsidR="00136761">
          <w:rPr>
            <w:rFonts w:asciiTheme="minorHAnsi" w:eastAsiaTheme="minorEastAsia" w:hAnsiTheme="minorHAnsi" w:cstheme="minorBidi"/>
            <w:b w:val="0"/>
            <w:sz w:val="22"/>
            <w:szCs w:val="22"/>
            <w:lang w:eastAsia="en-AU"/>
          </w:rPr>
          <w:tab/>
        </w:r>
        <w:r w:rsidR="00136761" w:rsidRPr="00D85384">
          <w:t>Suspension, cancellation and variation of licences</w:t>
        </w:r>
        <w:r w:rsidR="00136761" w:rsidRPr="00136761">
          <w:rPr>
            <w:vanish/>
          </w:rPr>
          <w:tab/>
        </w:r>
        <w:r w:rsidR="00136761" w:rsidRPr="00136761">
          <w:rPr>
            <w:vanish/>
          </w:rPr>
          <w:fldChar w:fldCharType="begin"/>
        </w:r>
        <w:r w:rsidR="00136761" w:rsidRPr="00136761">
          <w:rPr>
            <w:vanish/>
          </w:rPr>
          <w:instrText xml:space="preserve"> PAGEREF _Toc526844578 \h </w:instrText>
        </w:r>
        <w:r w:rsidR="00136761" w:rsidRPr="00136761">
          <w:rPr>
            <w:vanish/>
          </w:rPr>
        </w:r>
        <w:r w:rsidR="00136761" w:rsidRPr="00136761">
          <w:rPr>
            <w:vanish/>
          </w:rPr>
          <w:fldChar w:fldCharType="separate"/>
        </w:r>
        <w:r w:rsidR="005F2669">
          <w:rPr>
            <w:vanish/>
          </w:rPr>
          <w:t>42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79" w:history="1">
        <w:r w:rsidRPr="00D85384">
          <w:t>68</w:t>
        </w:r>
        <w:r>
          <w:rPr>
            <w:rFonts w:asciiTheme="minorHAnsi" w:eastAsiaTheme="minorEastAsia" w:hAnsiTheme="minorHAnsi" w:cstheme="minorBidi"/>
            <w:sz w:val="22"/>
            <w:szCs w:val="22"/>
            <w:lang w:eastAsia="en-AU"/>
          </w:rPr>
          <w:tab/>
        </w:r>
        <w:r w:rsidRPr="00D85384">
          <w:t>Suspension and cancellation of licence</w:t>
        </w:r>
        <w:r>
          <w:tab/>
        </w:r>
        <w:r>
          <w:fldChar w:fldCharType="begin"/>
        </w:r>
        <w:r>
          <w:instrText xml:space="preserve"> PAGEREF _Toc526844579 \h </w:instrText>
        </w:r>
        <w:r>
          <w:fldChar w:fldCharType="separate"/>
        </w:r>
        <w:r w:rsidR="005F2669">
          <w:t>42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80" w:history="1">
        <w:r w:rsidRPr="00D85384">
          <w:t>69</w:t>
        </w:r>
        <w:r>
          <w:rPr>
            <w:rFonts w:asciiTheme="minorHAnsi" w:eastAsiaTheme="minorEastAsia" w:hAnsiTheme="minorHAnsi" w:cstheme="minorBidi"/>
            <w:sz w:val="22"/>
            <w:szCs w:val="22"/>
            <w:lang w:eastAsia="en-AU"/>
          </w:rPr>
          <w:tab/>
        </w:r>
        <w:r w:rsidRPr="00D85384">
          <w:t>Surrender of licence</w:t>
        </w:r>
        <w:r>
          <w:tab/>
        </w:r>
        <w:r>
          <w:fldChar w:fldCharType="begin"/>
        </w:r>
        <w:r>
          <w:instrText xml:space="preserve"> PAGEREF _Toc526844580 \h </w:instrText>
        </w:r>
        <w:r>
          <w:fldChar w:fldCharType="separate"/>
        </w:r>
        <w:r w:rsidR="005F2669">
          <w:t>43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81" w:history="1">
        <w:r w:rsidRPr="00D85384">
          <w:t>70</w:t>
        </w:r>
        <w:r>
          <w:rPr>
            <w:rFonts w:asciiTheme="minorHAnsi" w:eastAsiaTheme="minorEastAsia" w:hAnsiTheme="minorHAnsi" w:cstheme="minorBidi"/>
            <w:sz w:val="22"/>
            <w:szCs w:val="22"/>
            <w:lang w:eastAsia="en-AU"/>
          </w:rPr>
          <w:tab/>
        </w:r>
        <w:r w:rsidRPr="00D85384">
          <w:t>Transfer of licences</w:t>
        </w:r>
        <w:r>
          <w:tab/>
        </w:r>
        <w:r>
          <w:fldChar w:fldCharType="begin"/>
        </w:r>
        <w:r>
          <w:instrText xml:space="preserve"> PAGEREF _Toc526844581 \h </w:instrText>
        </w:r>
        <w:r>
          <w:fldChar w:fldCharType="separate"/>
        </w:r>
        <w:r w:rsidR="005F2669">
          <w:t>43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82" w:history="1">
        <w:r w:rsidRPr="00D85384">
          <w:t>71</w:t>
        </w:r>
        <w:r>
          <w:rPr>
            <w:rFonts w:asciiTheme="minorHAnsi" w:eastAsiaTheme="minorEastAsia" w:hAnsiTheme="minorHAnsi" w:cstheme="minorBidi"/>
            <w:sz w:val="22"/>
            <w:szCs w:val="22"/>
            <w:lang w:eastAsia="en-AU"/>
          </w:rPr>
          <w:tab/>
        </w:r>
        <w:r w:rsidRPr="00D85384">
          <w:t>Variation of licence</w:t>
        </w:r>
        <w:r>
          <w:tab/>
        </w:r>
        <w:r>
          <w:fldChar w:fldCharType="begin"/>
        </w:r>
        <w:r>
          <w:instrText xml:space="preserve"> PAGEREF _Toc526844582 \h </w:instrText>
        </w:r>
        <w:r>
          <w:fldChar w:fldCharType="separate"/>
        </w:r>
        <w:r w:rsidR="005F2669">
          <w:t>44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83" w:history="1">
        <w:r w:rsidRPr="00D85384">
          <w:t>72</w:t>
        </w:r>
        <w:r>
          <w:rPr>
            <w:rFonts w:asciiTheme="minorHAnsi" w:eastAsiaTheme="minorEastAsia" w:hAnsiTheme="minorHAnsi" w:cstheme="minorBidi"/>
            <w:sz w:val="22"/>
            <w:szCs w:val="22"/>
            <w:lang w:eastAsia="en-AU"/>
          </w:rPr>
          <w:tab/>
        </w:r>
        <w:r w:rsidRPr="00D85384">
          <w:t>Regulator to notify of proposed suspension, cancellation or variation</w:t>
        </w:r>
        <w:r>
          <w:tab/>
        </w:r>
        <w:r>
          <w:fldChar w:fldCharType="begin"/>
        </w:r>
        <w:r>
          <w:instrText xml:space="preserve"> PAGEREF _Toc526844583 \h </w:instrText>
        </w:r>
        <w:r>
          <w:fldChar w:fldCharType="separate"/>
        </w:r>
        <w:r w:rsidR="005F2669">
          <w:t>46</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84" w:history="1">
        <w:r w:rsidR="00136761" w:rsidRPr="00D85384">
          <w:t>Division 5.8</w:t>
        </w:r>
        <w:r w:rsidR="00136761">
          <w:rPr>
            <w:rFonts w:asciiTheme="minorHAnsi" w:eastAsiaTheme="minorEastAsia" w:hAnsiTheme="minorHAnsi" w:cstheme="minorBidi"/>
            <w:b w:val="0"/>
            <w:sz w:val="22"/>
            <w:szCs w:val="22"/>
            <w:lang w:eastAsia="en-AU"/>
          </w:rPr>
          <w:tab/>
        </w:r>
        <w:r w:rsidR="00136761" w:rsidRPr="00D85384">
          <w:t>Annual charge</w:t>
        </w:r>
        <w:r w:rsidR="00136761" w:rsidRPr="00136761">
          <w:rPr>
            <w:vanish/>
          </w:rPr>
          <w:tab/>
        </w:r>
        <w:r w:rsidR="00136761" w:rsidRPr="00136761">
          <w:rPr>
            <w:vanish/>
          </w:rPr>
          <w:fldChar w:fldCharType="begin"/>
        </w:r>
        <w:r w:rsidR="00136761" w:rsidRPr="00136761">
          <w:rPr>
            <w:vanish/>
          </w:rPr>
          <w:instrText xml:space="preserve"> PAGEREF _Toc526844584 \h </w:instrText>
        </w:r>
        <w:r w:rsidR="00136761" w:rsidRPr="00136761">
          <w:rPr>
            <w:vanish/>
          </w:rPr>
        </w:r>
        <w:r w:rsidR="00136761" w:rsidRPr="00136761">
          <w:rPr>
            <w:vanish/>
          </w:rPr>
          <w:fldChar w:fldCharType="separate"/>
        </w:r>
        <w:r w:rsidR="005F2669">
          <w:rPr>
            <w:vanish/>
          </w:rPr>
          <w:t>47</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85" w:history="1">
        <w:r w:rsidRPr="00D85384">
          <w:t>72AA</w:t>
        </w:r>
        <w:r>
          <w:rPr>
            <w:rFonts w:asciiTheme="minorHAnsi" w:eastAsiaTheme="minorEastAsia" w:hAnsiTheme="minorHAnsi" w:cstheme="minorBidi"/>
            <w:sz w:val="22"/>
            <w:szCs w:val="22"/>
            <w:lang w:eastAsia="en-AU"/>
          </w:rPr>
          <w:tab/>
        </w:r>
        <w:r w:rsidRPr="00D85384">
          <w:t>GMO licence—annual charge</w:t>
        </w:r>
        <w:r>
          <w:tab/>
        </w:r>
        <w:r>
          <w:fldChar w:fldCharType="begin"/>
        </w:r>
        <w:r>
          <w:instrText xml:space="preserve"> PAGEREF _Toc526844585 \h </w:instrText>
        </w:r>
        <w:r>
          <w:fldChar w:fldCharType="separate"/>
        </w:r>
        <w:r w:rsidR="005F2669">
          <w:t>47</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586" w:history="1">
        <w:r w:rsidR="00136761" w:rsidRPr="00D85384">
          <w:t>Part 5A</w:t>
        </w:r>
        <w:r w:rsidR="00136761">
          <w:rPr>
            <w:rFonts w:asciiTheme="minorHAnsi" w:eastAsiaTheme="minorEastAsia" w:hAnsiTheme="minorHAnsi" w:cstheme="minorBidi"/>
            <w:b w:val="0"/>
            <w:sz w:val="22"/>
            <w:szCs w:val="22"/>
            <w:lang w:eastAsia="en-AU"/>
          </w:rPr>
          <w:tab/>
        </w:r>
        <w:r w:rsidR="00136761" w:rsidRPr="00D85384">
          <w:t>Emergency dealing determinations</w:t>
        </w:r>
        <w:r w:rsidR="00136761" w:rsidRPr="00136761">
          <w:rPr>
            <w:vanish/>
          </w:rPr>
          <w:tab/>
        </w:r>
        <w:r w:rsidR="00136761" w:rsidRPr="00136761">
          <w:rPr>
            <w:vanish/>
          </w:rPr>
          <w:fldChar w:fldCharType="begin"/>
        </w:r>
        <w:r w:rsidR="00136761" w:rsidRPr="00136761">
          <w:rPr>
            <w:vanish/>
          </w:rPr>
          <w:instrText xml:space="preserve"> PAGEREF _Toc526844586 \h </w:instrText>
        </w:r>
        <w:r w:rsidR="00136761" w:rsidRPr="00136761">
          <w:rPr>
            <w:vanish/>
          </w:rPr>
        </w:r>
        <w:r w:rsidR="00136761" w:rsidRPr="00136761">
          <w:rPr>
            <w:vanish/>
          </w:rPr>
          <w:fldChar w:fldCharType="separate"/>
        </w:r>
        <w:r w:rsidR="005F2669">
          <w:rPr>
            <w:vanish/>
          </w:rPr>
          <w:t>48</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87" w:history="1">
        <w:r w:rsidRPr="00D85384">
          <w:t>72A</w:t>
        </w:r>
        <w:r>
          <w:rPr>
            <w:rFonts w:asciiTheme="minorHAnsi" w:eastAsiaTheme="minorEastAsia" w:hAnsiTheme="minorHAnsi" w:cstheme="minorBidi"/>
            <w:sz w:val="22"/>
            <w:szCs w:val="22"/>
            <w:lang w:eastAsia="en-AU"/>
          </w:rPr>
          <w:tab/>
        </w:r>
        <w:r w:rsidRPr="00D85384">
          <w:t>Application of Commonwealth emergency dealing determinations</w:t>
        </w:r>
        <w:r>
          <w:tab/>
        </w:r>
        <w:r>
          <w:fldChar w:fldCharType="begin"/>
        </w:r>
        <w:r>
          <w:instrText xml:space="preserve"> PAGEREF _Toc526844587 \h </w:instrText>
        </w:r>
        <w:r>
          <w:fldChar w:fldCharType="separate"/>
        </w:r>
        <w:r w:rsidR="005F2669">
          <w:t>48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88" w:history="1">
        <w:r w:rsidRPr="00D85384">
          <w:t>72B</w:t>
        </w:r>
        <w:r>
          <w:rPr>
            <w:rFonts w:asciiTheme="minorHAnsi" w:eastAsiaTheme="minorEastAsia" w:hAnsiTheme="minorHAnsi" w:cstheme="minorBidi"/>
            <w:sz w:val="22"/>
            <w:szCs w:val="22"/>
            <w:lang w:eastAsia="en-AU"/>
          </w:rPr>
          <w:tab/>
        </w:r>
        <w:r w:rsidRPr="00D85384">
          <w:t>Minister may make emergency dealing determination</w:t>
        </w:r>
        <w:r>
          <w:tab/>
        </w:r>
        <w:r>
          <w:fldChar w:fldCharType="begin"/>
        </w:r>
        <w:r>
          <w:instrText xml:space="preserve"> PAGEREF _Toc526844588 \h </w:instrText>
        </w:r>
        <w:r>
          <w:fldChar w:fldCharType="separate"/>
        </w:r>
        <w:r w:rsidR="005F2669">
          <w:t>48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89" w:history="1">
        <w:r w:rsidRPr="00D85384">
          <w:t>72C</w:t>
        </w:r>
        <w:r>
          <w:rPr>
            <w:rFonts w:asciiTheme="minorHAnsi" w:eastAsiaTheme="minorEastAsia" w:hAnsiTheme="minorHAnsi" w:cstheme="minorBidi"/>
            <w:sz w:val="22"/>
            <w:szCs w:val="22"/>
            <w:lang w:eastAsia="en-AU"/>
          </w:rPr>
          <w:tab/>
        </w:r>
        <w:r w:rsidRPr="00D85384">
          <w:t>Period of effect of emergency dealing determination</w:t>
        </w:r>
        <w:r>
          <w:tab/>
        </w:r>
        <w:r>
          <w:fldChar w:fldCharType="begin"/>
        </w:r>
        <w:r>
          <w:instrText xml:space="preserve"> PAGEREF _Toc526844589 \h </w:instrText>
        </w:r>
        <w:r>
          <w:fldChar w:fldCharType="separate"/>
        </w:r>
        <w:r w:rsidR="005F2669">
          <w:t>48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90" w:history="1">
        <w:r w:rsidRPr="00D85384">
          <w:t>72D</w:t>
        </w:r>
        <w:r>
          <w:rPr>
            <w:rFonts w:asciiTheme="minorHAnsi" w:eastAsiaTheme="minorEastAsia" w:hAnsiTheme="minorHAnsi" w:cstheme="minorBidi"/>
            <w:sz w:val="22"/>
            <w:szCs w:val="22"/>
            <w:lang w:eastAsia="en-AU"/>
          </w:rPr>
          <w:tab/>
        </w:r>
        <w:r w:rsidRPr="00D85384">
          <w:t>Emergency dealing determination authorises dealings, subject to conditions</w:t>
        </w:r>
        <w:r>
          <w:tab/>
        </w:r>
        <w:r>
          <w:fldChar w:fldCharType="begin"/>
        </w:r>
        <w:r>
          <w:instrText xml:space="preserve"> PAGEREF _Toc526844590 \h </w:instrText>
        </w:r>
        <w:r>
          <w:fldChar w:fldCharType="separate"/>
        </w:r>
        <w:r w:rsidR="005F2669">
          <w:t>48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91" w:history="1">
        <w:r w:rsidRPr="00D85384">
          <w:t>72E</w:t>
        </w:r>
        <w:r>
          <w:rPr>
            <w:rFonts w:asciiTheme="minorHAnsi" w:eastAsiaTheme="minorEastAsia" w:hAnsiTheme="minorHAnsi" w:cstheme="minorBidi"/>
            <w:sz w:val="22"/>
            <w:szCs w:val="22"/>
            <w:lang w:eastAsia="en-AU"/>
          </w:rPr>
          <w:tab/>
        </w:r>
        <w:r w:rsidRPr="00D85384">
          <w:t>Variation, suspension and revocation of emergency dealing determination</w:t>
        </w:r>
        <w:r>
          <w:tab/>
        </w:r>
        <w:r>
          <w:fldChar w:fldCharType="begin"/>
        </w:r>
        <w:r>
          <w:instrText xml:space="preserve"> PAGEREF _Toc526844591 \h </w:instrText>
        </w:r>
        <w:r>
          <w:fldChar w:fldCharType="separate"/>
        </w:r>
        <w:r w:rsidR="005F2669">
          <w:t>49</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592" w:history="1">
        <w:r w:rsidR="00136761" w:rsidRPr="00D85384">
          <w:t>Part 6</w:t>
        </w:r>
        <w:r w:rsidR="00136761">
          <w:rPr>
            <w:rFonts w:asciiTheme="minorHAnsi" w:eastAsiaTheme="minorEastAsia" w:hAnsiTheme="minorHAnsi" w:cstheme="minorBidi"/>
            <w:b w:val="0"/>
            <w:sz w:val="22"/>
            <w:szCs w:val="22"/>
            <w:lang w:eastAsia="en-AU"/>
          </w:rPr>
          <w:tab/>
        </w:r>
        <w:r w:rsidR="00136761" w:rsidRPr="00D85384">
          <w:t>Regulation of notifiable low risk dealings on GMO register</w:t>
        </w:r>
        <w:r w:rsidR="00136761" w:rsidRPr="00136761">
          <w:rPr>
            <w:vanish/>
          </w:rPr>
          <w:tab/>
        </w:r>
        <w:r w:rsidR="00136761" w:rsidRPr="00136761">
          <w:rPr>
            <w:vanish/>
          </w:rPr>
          <w:fldChar w:fldCharType="begin"/>
        </w:r>
        <w:r w:rsidR="00136761" w:rsidRPr="00136761">
          <w:rPr>
            <w:vanish/>
          </w:rPr>
          <w:instrText xml:space="preserve"> PAGEREF _Toc526844592 \h </w:instrText>
        </w:r>
        <w:r w:rsidR="00136761" w:rsidRPr="00136761">
          <w:rPr>
            <w:vanish/>
          </w:rPr>
        </w:r>
        <w:r w:rsidR="00136761" w:rsidRPr="00136761">
          <w:rPr>
            <w:vanish/>
          </w:rPr>
          <w:fldChar w:fldCharType="separate"/>
        </w:r>
        <w:r w:rsidR="005F2669">
          <w:rPr>
            <w:vanish/>
          </w:rPr>
          <w:t>50</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93" w:history="1">
        <w:r w:rsidR="00136761" w:rsidRPr="00D85384">
          <w:t>Division 6.1</w:t>
        </w:r>
        <w:r w:rsidR="00136761">
          <w:rPr>
            <w:rFonts w:asciiTheme="minorHAnsi" w:eastAsiaTheme="minorEastAsia" w:hAnsiTheme="minorHAnsi" w:cstheme="minorBidi"/>
            <w:b w:val="0"/>
            <w:sz w:val="22"/>
            <w:szCs w:val="22"/>
            <w:lang w:eastAsia="en-AU"/>
          </w:rPr>
          <w:tab/>
        </w:r>
        <w:r w:rsidR="00136761" w:rsidRPr="00D85384">
          <w:t>Simplified outline of pt 6</w:t>
        </w:r>
        <w:r w:rsidR="00136761" w:rsidRPr="00136761">
          <w:rPr>
            <w:vanish/>
          </w:rPr>
          <w:tab/>
        </w:r>
        <w:r w:rsidR="00136761" w:rsidRPr="00136761">
          <w:rPr>
            <w:vanish/>
          </w:rPr>
          <w:fldChar w:fldCharType="begin"/>
        </w:r>
        <w:r w:rsidR="00136761" w:rsidRPr="00136761">
          <w:rPr>
            <w:vanish/>
          </w:rPr>
          <w:instrText xml:space="preserve"> PAGEREF _Toc526844593 \h </w:instrText>
        </w:r>
        <w:r w:rsidR="00136761" w:rsidRPr="00136761">
          <w:rPr>
            <w:vanish/>
          </w:rPr>
        </w:r>
        <w:r w:rsidR="00136761" w:rsidRPr="00136761">
          <w:rPr>
            <w:vanish/>
          </w:rPr>
          <w:fldChar w:fldCharType="separate"/>
        </w:r>
        <w:r w:rsidR="005F2669">
          <w:rPr>
            <w:vanish/>
          </w:rPr>
          <w:t>50</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94" w:history="1">
        <w:r w:rsidRPr="00D85384">
          <w:t>73</w:t>
        </w:r>
        <w:r>
          <w:rPr>
            <w:rFonts w:asciiTheme="minorHAnsi" w:eastAsiaTheme="minorEastAsia" w:hAnsiTheme="minorHAnsi" w:cstheme="minorBidi"/>
            <w:sz w:val="22"/>
            <w:szCs w:val="22"/>
            <w:lang w:eastAsia="en-AU"/>
          </w:rPr>
          <w:tab/>
        </w:r>
        <w:r w:rsidRPr="00D85384">
          <w:t>Simplified outline—pt 6</w:t>
        </w:r>
        <w:r>
          <w:tab/>
        </w:r>
        <w:r>
          <w:fldChar w:fldCharType="begin"/>
        </w:r>
        <w:r>
          <w:instrText xml:space="preserve"> PAGEREF _Toc526844594 \h </w:instrText>
        </w:r>
        <w:r>
          <w:fldChar w:fldCharType="separate"/>
        </w:r>
        <w:r w:rsidR="005F2669">
          <w:t>50</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95" w:history="1">
        <w:r w:rsidR="00136761" w:rsidRPr="00D85384">
          <w:t>Division 6.2</w:t>
        </w:r>
        <w:r w:rsidR="00136761">
          <w:rPr>
            <w:rFonts w:asciiTheme="minorHAnsi" w:eastAsiaTheme="minorEastAsia" w:hAnsiTheme="minorHAnsi" w:cstheme="minorBidi"/>
            <w:b w:val="0"/>
            <w:sz w:val="22"/>
            <w:szCs w:val="22"/>
            <w:lang w:eastAsia="en-AU"/>
          </w:rPr>
          <w:tab/>
        </w:r>
        <w:r w:rsidR="00136761" w:rsidRPr="00D85384">
          <w:t>Notifiable low risk dealings</w:t>
        </w:r>
        <w:r w:rsidR="00136761" w:rsidRPr="00136761">
          <w:rPr>
            <w:vanish/>
          </w:rPr>
          <w:tab/>
        </w:r>
        <w:r w:rsidR="00136761" w:rsidRPr="00136761">
          <w:rPr>
            <w:vanish/>
          </w:rPr>
          <w:fldChar w:fldCharType="begin"/>
        </w:r>
        <w:r w:rsidR="00136761" w:rsidRPr="00136761">
          <w:rPr>
            <w:vanish/>
          </w:rPr>
          <w:instrText xml:space="preserve"> PAGEREF _Toc526844595 \h </w:instrText>
        </w:r>
        <w:r w:rsidR="00136761" w:rsidRPr="00136761">
          <w:rPr>
            <w:vanish/>
          </w:rPr>
        </w:r>
        <w:r w:rsidR="00136761" w:rsidRPr="00136761">
          <w:rPr>
            <w:vanish/>
          </w:rPr>
          <w:fldChar w:fldCharType="separate"/>
        </w:r>
        <w:r w:rsidR="005F2669">
          <w:rPr>
            <w:vanish/>
          </w:rPr>
          <w:t>50</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96" w:history="1">
        <w:r w:rsidRPr="00D85384">
          <w:t>74</w:t>
        </w:r>
        <w:r>
          <w:rPr>
            <w:rFonts w:asciiTheme="minorHAnsi" w:eastAsiaTheme="minorEastAsia" w:hAnsiTheme="minorHAnsi" w:cstheme="minorBidi"/>
            <w:sz w:val="22"/>
            <w:szCs w:val="22"/>
            <w:lang w:eastAsia="en-AU"/>
          </w:rPr>
          <w:tab/>
        </w:r>
        <w:r w:rsidRPr="00D85384">
          <w:t>Notifiable low risk dealings</w:t>
        </w:r>
        <w:r>
          <w:tab/>
        </w:r>
        <w:r>
          <w:fldChar w:fldCharType="begin"/>
        </w:r>
        <w:r>
          <w:instrText xml:space="preserve"> PAGEREF _Toc526844596 \h </w:instrText>
        </w:r>
        <w:r>
          <w:fldChar w:fldCharType="separate"/>
        </w:r>
        <w:r w:rsidR="005F2669">
          <w:t>50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97" w:history="1">
        <w:r w:rsidRPr="00D85384">
          <w:t>75</w:t>
        </w:r>
        <w:r>
          <w:rPr>
            <w:rFonts w:asciiTheme="minorHAnsi" w:eastAsiaTheme="minorEastAsia" w:hAnsiTheme="minorHAnsi" w:cstheme="minorBidi"/>
            <w:sz w:val="22"/>
            <w:szCs w:val="22"/>
            <w:lang w:eastAsia="en-AU"/>
          </w:rPr>
          <w:tab/>
        </w:r>
        <w:r w:rsidRPr="00D85384">
          <w:t>Regulation of notifiable low risk dealings</w:t>
        </w:r>
        <w:r>
          <w:tab/>
        </w:r>
        <w:r>
          <w:fldChar w:fldCharType="begin"/>
        </w:r>
        <w:r>
          <w:instrText xml:space="preserve"> PAGEREF _Toc526844597 \h </w:instrText>
        </w:r>
        <w:r>
          <w:fldChar w:fldCharType="separate"/>
        </w:r>
        <w:r w:rsidR="005F2669">
          <w:t>51</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598" w:history="1">
        <w:r w:rsidR="00136761" w:rsidRPr="00D85384">
          <w:t>Division 6.3</w:t>
        </w:r>
        <w:r w:rsidR="00136761">
          <w:rPr>
            <w:rFonts w:asciiTheme="minorHAnsi" w:eastAsiaTheme="minorEastAsia" w:hAnsiTheme="minorHAnsi" w:cstheme="minorBidi"/>
            <w:b w:val="0"/>
            <w:sz w:val="22"/>
            <w:szCs w:val="22"/>
            <w:lang w:eastAsia="en-AU"/>
          </w:rPr>
          <w:tab/>
        </w:r>
        <w:r w:rsidR="00136761" w:rsidRPr="00D85384">
          <w:t>GMO register</w:t>
        </w:r>
        <w:r w:rsidR="00136761" w:rsidRPr="00136761">
          <w:rPr>
            <w:vanish/>
          </w:rPr>
          <w:tab/>
        </w:r>
        <w:r w:rsidR="00136761" w:rsidRPr="00136761">
          <w:rPr>
            <w:vanish/>
          </w:rPr>
          <w:fldChar w:fldCharType="begin"/>
        </w:r>
        <w:r w:rsidR="00136761" w:rsidRPr="00136761">
          <w:rPr>
            <w:vanish/>
          </w:rPr>
          <w:instrText xml:space="preserve"> PAGEREF _Toc526844598 \h </w:instrText>
        </w:r>
        <w:r w:rsidR="00136761" w:rsidRPr="00136761">
          <w:rPr>
            <w:vanish/>
          </w:rPr>
        </w:r>
        <w:r w:rsidR="00136761" w:rsidRPr="00136761">
          <w:rPr>
            <w:vanish/>
          </w:rPr>
          <w:fldChar w:fldCharType="separate"/>
        </w:r>
        <w:r w:rsidR="005F2669">
          <w:rPr>
            <w:vanish/>
          </w:rPr>
          <w:t>52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599" w:history="1">
        <w:r w:rsidRPr="00D85384">
          <w:t>76</w:t>
        </w:r>
        <w:r>
          <w:rPr>
            <w:rFonts w:asciiTheme="minorHAnsi" w:eastAsiaTheme="minorEastAsia" w:hAnsiTheme="minorHAnsi" w:cstheme="minorBidi"/>
            <w:sz w:val="22"/>
            <w:szCs w:val="22"/>
            <w:lang w:eastAsia="en-AU"/>
          </w:rPr>
          <w:tab/>
        </w:r>
        <w:r w:rsidRPr="00D85384">
          <w:t>GMO register</w:t>
        </w:r>
        <w:r>
          <w:tab/>
        </w:r>
        <w:r>
          <w:fldChar w:fldCharType="begin"/>
        </w:r>
        <w:r>
          <w:instrText xml:space="preserve"> PAGEREF _Toc526844599 \h </w:instrText>
        </w:r>
        <w:r>
          <w:fldChar w:fldCharType="separate"/>
        </w:r>
        <w:r w:rsidR="005F2669">
          <w:t>52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00" w:history="1">
        <w:r w:rsidRPr="00D85384">
          <w:t>77</w:t>
        </w:r>
        <w:r>
          <w:rPr>
            <w:rFonts w:asciiTheme="minorHAnsi" w:eastAsiaTheme="minorEastAsia" w:hAnsiTheme="minorHAnsi" w:cstheme="minorBidi"/>
            <w:sz w:val="22"/>
            <w:szCs w:val="22"/>
            <w:lang w:eastAsia="en-AU"/>
          </w:rPr>
          <w:tab/>
        </w:r>
        <w:r w:rsidRPr="00D85384">
          <w:t>Contents of register</w:t>
        </w:r>
        <w:r>
          <w:tab/>
        </w:r>
        <w:r>
          <w:fldChar w:fldCharType="begin"/>
        </w:r>
        <w:r>
          <w:instrText xml:space="preserve"> PAGEREF _Toc526844600 \h </w:instrText>
        </w:r>
        <w:r>
          <w:fldChar w:fldCharType="separate"/>
        </w:r>
        <w:r w:rsidR="005F2669">
          <w:t>52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01" w:history="1">
        <w:r w:rsidRPr="00D85384">
          <w:t>78</w:t>
        </w:r>
        <w:r>
          <w:rPr>
            <w:rFonts w:asciiTheme="minorHAnsi" w:eastAsiaTheme="minorEastAsia" w:hAnsiTheme="minorHAnsi" w:cstheme="minorBidi"/>
            <w:sz w:val="22"/>
            <w:szCs w:val="22"/>
            <w:lang w:eastAsia="en-AU"/>
          </w:rPr>
          <w:tab/>
        </w:r>
        <w:r w:rsidRPr="00D85384">
          <w:t>Regulator may include dealings with GMOs on GMO register</w:t>
        </w:r>
        <w:r>
          <w:tab/>
        </w:r>
        <w:r>
          <w:fldChar w:fldCharType="begin"/>
        </w:r>
        <w:r>
          <w:instrText xml:space="preserve"> PAGEREF _Toc526844601 \h </w:instrText>
        </w:r>
        <w:r>
          <w:fldChar w:fldCharType="separate"/>
        </w:r>
        <w:r w:rsidR="005F2669">
          <w:t>52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02" w:history="1">
        <w:r w:rsidRPr="00D85384">
          <w:t>79</w:t>
        </w:r>
        <w:r>
          <w:rPr>
            <w:rFonts w:asciiTheme="minorHAnsi" w:eastAsiaTheme="minorEastAsia" w:hAnsiTheme="minorHAnsi" w:cstheme="minorBidi"/>
            <w:sz w:val="22"/>
            <w:szCs w:val="22"/>
            <w:lang w:eastAsia="en-AU"/>
          </w:rPr>
          <w:tab/>
        </w:r>
        <w:r w:rsidRPr="00D85384">
          <w:t>Regulator not to make determination unless risks can be managed</w:t>
        </w:r>
        <w:r>
          <w:tab/>
        </w:r>
        <w:r>
          <w:fldChar w:fldCharType="begin"/>
        </w:r>
        <w:r>
          <w:instrText xml:space="preserve"> PAGEREF _Toc526844602 \h </w:instrText>
        </w:r>
        <w:r>
          <w:fldChar w:fldCharType="separate"/>
        </w:r>
        <w:r w:rsidR="005F2669">
          <w:t>53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03" w:history="1">
        <w:r w:rsidRPr="00D85384">
          <w:t>80</w:t>
        </w:r>
        <w:r>
          <w:rPr>
            <w:rFonts w:asciiTheme="minorHAnsi" w:eastAsiaTheme="minorEastAsia" w:hAnsiTheme="minorHAnsi" w:cstheme="minorBidi"/>
            <w:sz w:val="22"/>
            <w:szCs w:val="22"/>
            <w:lang w:eastAsia="en-AU"/>
          </w:rPr>
          <w:tab/>
        </w:r>
        <w:r w:rsidRPr="00D85384">
          <w:t>Variation of GMO register</w:t>
        </w:r>
        <w:r>
          <w:tab/>
        </w:r>
        <w:r>
          <w:fldChar w:fldCharType="begin"/>
        </w:r>
        <w:r>
          <w:instrText xml:space="preserve"> PAGEREF _Toc526844603 \h </w:instrText>
        </w:r>
        <w:r>
          <w:fldChar w:fldCharType="separate"/>
        </w:r>
        <w:r w:rsidR="005F2669">
          <w:t>54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04" w:history="1">
        <w:r w:rsidRPr="00D85384">
          <w:t>81</w:t>
        </w:r>
        <w:r>
          <w:rPr>
            <w:rFonts w:asciiTheme="minorHAnsi" w:eastAsiaTheme="minorEastAsia" w:hAnsiTheme="minorHAnsi" w:cstheme="minorBidi"/>
            <w:sz w:val="22"/>
            <w:szCs w:val="22"/>
            <w:lang w:eastAsia="en-AU"/>
          </w:rPr>
          <w:tab/>
        </w:r>
        <w:r w:rsidRPr="00D85384">
          <w:t>Inspection of register</w:t>
        </w:r>
        <w:r>
          <w:tab/>
        </w:r>
        <w:r>
          <w:fldChar w:fldCharType="begin"/>
        </w:r>
        <w:r>
          <w:instrText xml:space="preserve"> PAGEREF _Toc526844604 \h </w:instrText>
        </w:r>
        <w:r>
          <w:fldChar w:fldCharType="separate"/>
        </w:r>
        <w:r w:rsidR="005F2669">
          <w:t>54</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605" w:history="1">
        <w:r w:rsidR="00136761" w:rsidRPr="00D85384">
          <w:t>Part 7</w:t>
        </w:r>
        <w:r w:rsidR="00136761">
          <w:rPr>
            <w:rFonts w:asciiTheme="minorHAnsi" w:eastAsiaTheme="minorEastAsia" w:hAnsiTheme="minorHAnsi" w:cstheme="minorBidi"/>
            <w:b w:val="0"/>
            <w:sz w:val="22"/>
            <w:szCs w:val="22"/>
            <w:lang w:eastAsia="en-AU"/>
          </w:rPr>
          <w:tab/>
        </w:r>
        <w:r w:rsidR="00136761" w:rsidRPr="00D85384">
          <w:t>Certification and accreditation</w:t>
        </w:r>
        <w:r w:rsidR="00136761" w:rsidRPr="00136761">
          <w:rPr>
            <w:vanish/>
          </w:rPr>
          <w:tab/>
        </w:r>
        <w:r w:rsidR="00136761" w:rsidRPr="00136761">
          <w:rPr>
            <w:vanish/>
          </w:rPr>
          <w:fldChar w:fldCharType="begin"/>
        </w:r>
        <w:r w:rsidR="00136761" w:rsidRPr="00136761">
          <w:rPr>
            <w:vanish/>
          </w:rPr>
          <w:instrText xml:space="preserve"> PAGEREF _Toc526844605 \h </w:instrText>
        </w:r>
        <w:r w:rsidR="00136761" w:rsidRPr="00136761">
          <w:rPr>
            <w:vanish/>
          </w:rPr>
        </w:r>
        <w:r w:rsidR="00136761" w:rsidRPr="00136761">
          <w:rPr>
            <w:vanish/>
          </w:rPr>
          <w:fldChar w:fldCharType="separate"/>
        </w:r>
        <w:r w:rsidR="005F2669">
          <w:rPr>
            <w:vanish/>
          </w:rPr>
          <w:t>55</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06" w:history="1">
        <w:r w:rsidR="00136761" w:rsidRPr="00D85384">
          <w:t>Division 7.1</w:t>
        </w:r>
        <w:r w:rsidR="00136761">
          <w:rPr>
            <w:rFonts w:asciiTheme="minorHAnsi" w:eastAsiaTheme="minorEastAsia" w:hAnsiTheme="minorHAnsi" w:cstheme="minorBidi"/>
            <w:b w:val="0"/>
            <w:sz w:val="22"/>
            <w:szCs w:val="22"/>
            <w:lang w:eastAsia="en-AU"/>
          </w:rPr>
          <w:tab/>
        </w:r>
        <w:r w:rsidR="00136761" w:rsidRPr="00D85384">
          <w:t>Simplified outline of pt 7</w:t>
        </w:r>
        <w:r w:rsidR="00136761" w:rsidRPr="00136761">
          <w:rPr>
            <w:vanish/>
          </w:rPr>
          <w:tab/>
        </w:r>
        <w:r w:rsidR="00136761" w:rsidRPr="00136761">
          <w:rPr>
            <w:vanish/>
          </w:rPr>
          <w:fldChar w:fldCharType="begin"/>
        </w:r>
        <w:r w:rsidR="00136761" w:rsidRPr="00136761">
          <w:rPr>
            <w:vanish/>
          </w:rPr>
          <w:instrText xml:space="preserve"> PAGEREF _Toc526844606 \h </w:instrText>
        </w:r>
        <w:r w:rsidR="00136761" w:rsidRPr="00136761">
          <w:rPr>
            <w:vanish/>
          </w:rPr>
        </w:r>
        <w:r w:rsidR="00136761" w:rsidRPr="00136761">
          <w:rPr>
            <w:vanish/>
          </w:rPr>
          <w:fldChar w:fldCharType="separate"/>
        </w:r>
        <w:r w:rsidR="005F2669">
          <w:rPr>
            <w:vanish/>
          </w:rPr>
          <w:t>55</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07" w:history="1">
        <w:r w:rsidRPr="00D85384">
          <w:t>82</w:t>
        </w:r>
        <w:r>
          <w:rPr>
            <w:rFonts w:asciiTheme="minorHAnsi" w:eastAsiaTheme="minorEastAsia" w:hAnsiTheme="minorHAnsi" w:cstheme="minorBidi"/>
            <w:sz w:val="22"/>
            <w:szCs w:val="22"/>
            <w:lang w:eastAsia="en-AU"/>
          </w:rPr>
          <w:tab/>
        </w:r>
        <w:r w:rsidRPr="00D85384">
          <w:t>Simplified outline—pt 7</w:t>
        </w:r>
        <w:r>
          <w:tab/>
        </w:r>
        <w:r>
          <w:fldChar w:fldCharType="begin"/>
        </w:r>
        <w:r>
          <w:instrText xml:space="preserve"> PAGEREF _Toc526844607 \h </w:instrText>
        </w:r>
        <w:r>
          <w:fldChar w:fldCharType="separate"/>
        </w:r>
        <w:r w:rsidR="005F2669">
          <w:t>55</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08" w:history="1">
        <w:r w:rsidR="00136761" w:rsidRPr="00D85384">
          <w:t>Division 7.2</w:t>
        </w:r>
        <w:r w:rsidR="00136761">
          <w:rPr>
            <w:rFonts w:asciiTheme="minorHAnsi" w:eastAsiaTheme="minorEastAsia" w:hAnsiTheme="minorHAnsi" w:cstheme="minorBidi"/>
            <w:b w:val="0"/>
            <w:sz w:val="22"/>
            <w:szCs w:val="22"/>
            <w:lang w:eastAsia="en-AU"/>
          </w:rPr>
          <w:tab/>
        </w:r>
        <w:r w:rsidR="00136761" w:rsidRPr="00D85384">
          <w:t>Certification</w:t>
        </w:r>
        <w:r w:rsidR="00136761" w:rsidRPr="00136761">
          <w:rPr>
            <w:vanish/>
          </w:rPr>
          <w:tab/>
        </w:r>
        <w:r w:rsidR="00136761" w:rsidRPr="00136761">
          <w:rPr>
            <w:vanish/>
          </w:rPr>
          <w:fldChar w:fldCharType="begin"/>
        </w:r>
        <w:r w:rsidR="00136761" w:rsidRPr="00136761">
          <w:rPr>
            <w:vanish/>
          </w:rPr>
          <w:instrText xml:space="preserve"> PAGEREF _Toc526844608 \h </w:instrText>
        </w:r>
        <w:r w:rsidR="00136761" w:rsidRPr="00136761">
          <w:rPr>
            <w:vanish/>
          </w:rPr>
        </w:r>
        <w:r w:rsidR="00136761" w:rsidRPr="00136761">
          <w:rPr>
            <w:vanish/>
          </w:rPr>
          <w:fldChar w:fldCharType="separate"/>
        </w:r>
        <w:r w:rsidR="005F2669">
          <w:rPr>
            <w:vanish/>
          </w:rPr>
          <w:t>55</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09" w:history="1">
        <w:r w:rsidRPr="00D85384">
          <w:t>83</w:t>
        </w:r>
        <w:r>
          <w:rPr>
            <w:rFonts w:asciiTheme="minorHAnsi" w:eastAsiaTheme="minorEastAsia" w:hAnsiTheme="minorHAnsi" w:cstheme="minorBidi"/>
            <w:sz w:val="22"/>
            <w:szCs w:val="22"/>
            <w:lang w:eastAsia="en-AU"/>
          </w:rPr>
          <w:tab/>
        </w:r>
        <w:r w:rsidRPr="00D85384">
          <w:t>Application for certification</w:t>
        </w:r>
        <w:r>
          <w:tab/>
        </w:r>
        <w:r>
          <w:fldChar w:fldCharType="begin"/>
        </w:r>
        <w:r>
          <w:instrText xml:space="preserve"> PAGEREF _Toc526844609 \h </w:instrText>
        </w:r>
        <w:r>
          <w:fldChar w:fldCharType="separate"/>
        </w:r>
        <w:r w:rsidR="005F2669">
          <w:t>55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0" w:history="1">
        <w:r w:rsidRPr="00D85384">
          <w:t>84</w:t>
        </w:r>
        <w:r>
          <w:rPr>
            <w:rFonts w:asciiTheme="minorHAnsi" w:eastAsiaTheme="minorEastAsia" w:hAnsiTheme="minorHAnsi" w:cstheme="minorBidi"/>
            <w:sz w:val="22"/>
            <w:szCs w:val="22"/>
            <w:lang w:eastAsia="en-AU"/>
          </w:rPr>
          <w:tab/>
        </w:r>
        <w:r w:rsidRPr="00D85384">
          <w:t>When regulator may certify facility</w:t>
        </w:r>
        <w:r>
          <w:tab/>
        </w:r>
        <w:r>
          <w:fldChar w:fldCharType="begin"/>
        </w:r>
        <w:r>
          <w:instrText xml:space="preserve"> PAGEREF _Toc526844610 \h </w:instrText>
        </w:r>
        <w:r>
          <w:fldChar w:fldCharType="separate"/>
        </w:r>
        <w:r w:rsidR="005F2669">
          <w:t>56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1" w:history="1">
        <w:r w:rsidRPr="00D85384">
          <w:t>85</w:t>
        </w:r>
        <w:r>
          <w:rPr>
            <w:rFonts w:asciiTheme="minorHAnsi" w:eastAsiaTheme="minorEastAsia" w:hAnsiTheme="minorHAnsi" w:cstheme="minorBidi"/>
            <w:sz w:val="22"/>
            <w:szCs w:val="22"/>
            <w:lang w:eastAsia="en-AU"/>
          </w:rPr>
          <w:tab/>
        </w:r>
        <w:r w:rsidRPr="00D85384">
          <w:t>Regulator may require applicant to give further information</w:t>
        </w:r>
        <w:r>
          <w:tab/>
        </w:r>
        <w:r>
          <w:fldChar w:fldCharType="begin"/>
        </w:r>
        <w:r>
          <w:instrText xml:space="preserve"> PAGEREF _Toc526844611 \h </w:instrText>
        </w:r>
        <w:r>
          <w:fldChar w:fldCharType="separate"/>
        </w:r>
        <w:r w:rsidR="005F2669">
          <w:t>56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2" w:history="1">
        <w:r w:rsidRPr="00D85384">
          <w:t>86</w:t>
        </w:r>
        <w:r>
          <w:rPr>
            <w:rFonts w:asciiTheme="minorHAnsi" w:eastAsiaTheme="minorEastAsia" w:hAnsiTheme="minorHAnsi" w:cstheme="minorBidi"/>
            <w:sz w:val="22"/>
            <w:szCs w:val="22"/>
            <w:lang w:eastAsia="en-AU"/>
          </w:rPr>
          <w:tab/>
        </w:r>
        <w:r w:rsidRPr="00D85384">
          <w:t>Conditions of certification</w:t>
        </w:r>
        <w:r>
          <w:tab/>
        </w:r>
        <w:r>
          <w:fldChar w:fldCharType="begin"/>
        </w:r>
        <w:r>
          <w:instrText xml:space="preserve"> PAGEREF _Toc526844612 \h </w:instrText>
        </w:r>
        <w:r>
          <w:fldChar w:fldCharType="separate"/>
        </w:r>
        <w:r w:rsidR="005F2669">
          <w:t>56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3" w:history="1">
        <w:r w:rsidRPr="00D85384">
          <w:t>87</w:t>
        </w:r>
        <w:r>
          <w:rPr>
            <w:rFonts w:asciiTheme="minorHAnsi" w:eastAsiaTheme="minorEastAsia" w:hAnsiTheme="minorHAnsi" w:cstheme="minorBidi"/>
            <w:sz w:val="22"/>
            <w:szCs w:val="22"/>
            <w:lang w:eastAsia="en-AU"/>
          </w:rPr>
          <w:tab/>
        </w:r>
        <w:r w:rsidRPr="00D85384">
          <w:t>Variation of certification</w:t>
        </w:r>
        <w:r>
          <w:tab/>
        </w:r>
        <w:r>
          <w:fldChar w:fldCharType="begin"/>
        </w:r>
        <w:r>
          <w:instrText xml:space="preserve"> PAGEREF _Toc526844613 \h </w:instrText>
        </w:r>
        <w:r>
          <w:fldChar w:fldCharType="separate"/>
        </w:r>
        <w:r w:rsidR="005F2669">
          <w:t>56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4" w:history="1">
        <w:r w:rsidRPr="00D85384">
          <w:t>88</w:t>
        </w:r>
        <w:r>
          <w:rPr>
            <w:rFonts w:asciiTheme="minorHAnsi" w:eastAsiaTheme="minorEastAsia" w:hAnsiTheme="minorHAnsi" w:cstheme="minorBidi"/>
            <w:sz w:val="22"/>
            <w:szCs w:val="22"/>
            <w:lang w:eastAsia="en-AU"/>
          </w:rPr>
          <w:tab/>
        </w:r>
        <w:r w:rsidRPr="00D85384">
          <w:t>Suspension or cancellation of certification</w:t>
        </w:r>
        <w:r>
          <w:tab/>
        </w:r>
        <w:r>
          <w:fldChar w:fldCharType="begin"/>
        </w:r>
        <w:r>
          <w:instrText xml:space="preserve"> PAGEREF _Toc526844614 \h </w:instrText>
        </w:r>
        <w:r>
          <w:fldChar w:fldCharType="separate"/>
        </w:r>
        <w:r w:rsidR="005F2669">
          <w:t>57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5" w:history="1">
        <w:r w:rsidRPr="00D85384">
          <w:t>89</w:t>
        </w:r>
        <w:r>
          <w:rPr>
            <w:rFonts w:asciiTheme="minorHAnsi" w:eastAsiaTheme="minorEastAsia" w:hAnsiTheme="minorHAnsi" w:cstheme="minorBidi"/>
            <w:sz w:val="22"/>
            <w:szCs w:val="22"/>
            <w:lang w:eastAsia="en-AU"/>
          </w:rPr>
          <w:tab/>
        </w:r>
        <w:r w:rsidRPr="00D85384">
          <w:t>Regulator to notify of proposed suspension, cancellation or variation</w:t>
        </w:r>
        <w:r>
          <w:tab/>
        </w:r>
        <w:r>
          <w:fldChar w:fldCharType="begin"/>
        </w:r>
        <w:r>
          <w:instrText xml:space="preserve"> PAGEREF _Toc526844615 \h </w:instrText>
        </w:r>
        <w:r>
          <w:fldChar w:fldCharType="separate"/>
        </w:r>
        <w:r w:rsidR="005F2669">
          <w:t>57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6" w:history="1">
        <w:r w:rsidRPr="00D85384">
          <w:t>89A</w:t>
        </w:r>
        <w:r>
          <w:rPr>
            <w:rFonts w:asciiTheme="minorHAnsi" w:eastAsiaTheme="minorEastAsia" w:hAnsiTheme="minorHAnsi" w:cstheme="minorBidi"/>
            <w:sz w:val="22"/>
            <w:szCs w:val="22"/>
            <w:lang w:eastAsia="en-AU"/>
          </w:rPr>
          <w:tab/>
        </w:r>
        <w:r w:rsidRPr="00D85384">
          <w:t>Transfer of certification</w:t>
        </w:r>
        <w:r>
          <w:tab/>
        </w:r>
        <w:r>
          <w:fldChar w:fldCharType="begin"/>
        </w:r>
        <w:r>
          <w:instrText xml:space="preserve"> PAGEREF _Toc526844616 \h </w:instrText>
        </w:r>
        <w:r>
          <w:fldChar w:fldCharType="separate"/>
        </w:r>
        <w:r w:rsidR="005F2669">
          <w:t>58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7" w:history="1">
        <w:r w:rsidRPr="00D85384">
          <w:t>90</w:t>
        </w:r>
        <w:r>
          <w:rPr>
            <w:rFonts w:asciiTheme="minorHAnsi" w:eastAsiaTheme="minorEastAsia" w:hAnsiTheme="minorHAnsi" w:cstheme="minorBidi"/>
            <w:sz w:val="22"/>
            <w:szCs w:val="22"/>
            <w:lang w:eastAsia="en-AU"/>
          </w:rPr>
          <w:tab/>
        </w:r>
        <w:r w:rsidRPr="00D85384">
          <w:t>Guidelines</w:t>
        </w:r>
        <w:r>
          <w:tab/>
        </w:r>
        <w:r>
          <w:fldChar w:fldCharType="begin"/>
        </w:r>
        <w:r>
          <w:instrText xml:space="preserve"> PAGEREF _Toc526844617 \h </w:instrText>
        </w:r>
        <w:r>
          <w:fldChar w:fldCharType="separate"/>
        </w:r>
        <w:r w:rsidR="005F2669">
          <w:t>59</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18" w:history="1">
        <w:r w:rsidR="00136761" w:rsidRPr="00D85384">
          <w:t>Division 7.3</w:t>
        </w:r>
        <w:r w:rsidR="00136761">
          <w:rPr>
            <w:rFonts w:asciiTheme="minorHAnsi" w:eastAsiaTheme="minorEastAsia" w:hAnsiTheme="minorHAnsi" w:cstheme="minorBidi"/>
            <w:b w:val="0"/>
            <w:sz w:val="22"/>
            <w:szCs w:val="22"/>
            <w:lang w:eastAsia="en-AU"/>
          </w:rPr>
          <w:tab/>
        </w:r>
        <w:r w:rsidR="00136761" w:rsidRPr="00D85384">
          <w:t>Accredited organisations</w:t>
        </w:r>
        <w:r w:rsidR="00136761" w:rsidRPr="00136761">
          <w:rPr>
            <w:vanish/>
          </w:rPr>
          <w:tab/>
        </w:r>
        <w:r w:rsidR="00136761" w:rsidRPr="00136761">
          <w:rPr>
            <w:vanish/>
          </w:rPr>
          <w:fldChar w:fldCharType="begin"/>
        </w:r>
        <w:r w:rsidR="00136761" w:rsidRPr="00136761">
          <w:rPr>
            <w:vanish/>
          </w:rPr>
          <w:instrText xml:space="preserve"> PAGEREF _Toc526844618 \h </w:instrText>
        </w:r>
        <w:r w:rsidR="00136761" w:rsidRPr="00136761">
          <w:rPr>
            <w:vanish/>
          </w:rPr>
        </w:r>
        <w:r w:rsidR="00136761" w:rsidRPr="00136761">
          <w:rPr>
            <w:vanish/>
          </w:rPr>
          <w:fldChar w:fldCharType="separate"/>
        </w:r>
        <w:r w:rsidR="005F2669">
          <w:rPr>
            <w:vanish/>
          </w:rPr>
          <w:t>59</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19" w:history="1">
        <w:r w:rsidRPr="00D85384">
          <w:t>91</w:t>
        </w:r>
        <w:r>
          <w:rPr>
            <w:rFonts w:asciiTheme="minorHAnsi" w:eastAsiaTheme="minorEastAsia" w:hAnsiTheme="minorHAnsi" w:cstheme="minorBidi"/>
            <w:sz w:val="22"/>
            <w:szCs w:val="22"/>
            <w:lang w:eastAsia="en-AU"/>
          </w:rPr>
          <w:tab/>
        </w:r>
        <w:r w:rsidRPr="00D85384">
          <w:t>Application for accreditation</w:t>
        </w:r>
        <w:r>
          <w:tab/>
        </w:r>
        <w:r>
          <w:fldChar w:fldCharType="begin"/>
        </w:r>
        <w:r>
          <w:instrText xml:space="preserve"> PAGEREF _Toc526844619 \h </w:instrText>
        </w:r>
        <w:r>
          <w:fldChar w:fldCharType="separate"/>
        </w:r>
        <w:r w:rsidR="005F2669">
          <w:t>59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20" w:history="1">
        <w:r w:rsidRPr="00D85384">
          <w:t>92</w:t>
        </w:r>
        <w:r>
          <w:rPr>
            <w:rFonts w:asciiTheme="minorHAnsi" w:eastAsiaTheme="minorEastAsia" w:hAnsiTheme="minorHAnsi" w:cstheme="minorBidi"/>
            <w:sz w:val="22"/>
            <w:szCs w:val="22"/>
            <w:lang w:eastAsia="en-AU"/>
          </w:rPr>
          <w:tab/>
        </w:r>
        <w:r w:rsidRPr="00D85384">
          <w:t>Regulator may accredit organisations</w:t>
        </w:r>
        <w:r>
          <w:tab/>
        </w:r>
        <w:r>
          <w:fldChar w:fldCharType="begin"/>
        </w:r>
        <w:r>
          <w:instrText xml:space="preserve"> PAGEREF _Toc526844620 \h </w:instrText>
        </w:r>
        <w:r>
          <w:fldChar w:fldCharType="separate"/>
        </w:r>
        <w:r w:rsidR="005F2669">
          <w:t>59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21" w:history="1">
        <w:r w:rsidRPr="00D85384">
          <w:t>93</w:t>
        </w:r>
        <w:r>
          <w:rPr>
            <w:rFonts w:asciiTheme="minorHAnsi" w:eastAsiaTheme="minorEastAsia" w:hAnsiTheme="minorHAnsi" w:cstheme="minorBidi"/>
            <w:sz w:val="22"/>
            <w:szCs w:val="22"/>
            <w:lang w:eastAsia="en-AU"/>
          </w:rPr>
          <w:tab/>
        </w:r>
        <w:r w:rsidRPr="00D85384">
          <w:t>Regulator may require applicant to give further information</w:t>
        </w:r>
        <w:r>
          <w:tab/>
        </w:r>
        <w:r>
          <w:fldChar w:fldCharType="begin"/>
        </w:r>
        <w:r>
          <w:instrText xml:space="preserve"> PAGEREF _Toc526844621 \h </w:instrText>
        </w:r>
        <w:r>
          <w:fldChar w:fldCharType="separate"/>
        </w:r>
        <w:r w:rsidR="005F2669">
          <w:t>60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22" w:history="1">
        <w:r w:rsidRPr="00D85384">
          <w:t>94</w:t>
        </w:r>
        <w:r>
          <w:rPr>
            <w:rFonts w:asciiTheme="minorHAnsi" w:eastAsiaTheme="minorEastAsia" w:hAnsiTheme="minorHAnsi" w:cstheme="minorBidi"/>
            <w:sz w:val="22"/>
            <w:szCs w:val="22"/>
            <w:lang w:eastAsia="en-AU"/>
          </w:rPr>
          <w:tab/>
        </w:r>
        <w:r w:rsidRPr="00D85384">
          <w:t>Conditions of accreditation</w:t>
        </w:r>
        <w:r>
          <w:tab/>
        </w:r>
        <w:r>
          <w:fldChar w:fldCharType="begin"/>
        </w:r>
        <w:r>
          <w:instrText xml:space="preserve"> PAGEREF _Toc526844622 \h </w:instrText>
        </w:r>
        <w:r>
          <w:fldChar w:fldCharType="separate"/>
        </w:r>
        <w:r w:rsidR="005F2669">
          <w:t>60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23" w:history="1">
        <w:r w:rsidRPr="00D85384">
          <w:t>95</w:t>
        </w:r>
        <w:r>
          <w:rPr>
            <w:rFonts w:asciiTheme="minorHAnsi" w:eastAsiaTheme="minorEastAsia" w:hAnsiTheme="minorHAnsi" w:cstheme="minorBidi"/>
            <w:sz w:val="22"/>
            <w:szCs w:val="22"/>
            <w:lang w:eastAsia="en-AU"/>
          </w:rPr>
          <w:tab/>
        </w:r>
        <w:r w:rsidRPr="00D85384">
          <w:t>Variation of accreditation</w:t>
        </w:r>
        <w:r>
          <w:tab/>
        </w:r>
        <w:r>
          <w:fldChar w:fldCharType="begin"/>
        </w:r>
        <w:r>
          <w:instrText xml:space="preserve"> PAGEREF _Toc526844623 \h </w:instrText>
        </w:r>
        <w:r>
          <w:fldChar w:fldCharType="separate"/>
        </w:r>
        <w:r w:rsidR="005F2669">
          <w:t>61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24" w:history="1">
        <w:r w:rsidRPr="00D85384">
          <w:t>96</w:t>
        </w:r>
        <w:r>
          <w:rPr>
            <w:rFonts w:asciiTheme="minorHAnsi" w:eastAsiaTheme="minorEastAsia" w:hAnsiTheme="minorHAnsi" w:cstheme="minorBidi"/>
            <w:sz w:val="22"/>
            <w:szCs w:val="22"/>
            <w:lang w:eastAsia="en-AU"/>
          </w:rPr>
          <w:tab/>
        </w:r>
        <w:r w:rsidRPr="00D85384">
          <w:t>Suspension or cancellation of accreditation</w:t>
        </w:r>
        <w:r>
          <w:tab/>
        </w:r>
        <w:r>
          <w:fldChar w:fldCharType="begin"/>
        </w:r>
        <w:r>
          <w:instrText xml:space="preserve"> PAGEREF _Toc526844624 \h </w:instrText>
        </w:r>
        <w:r>
          <w:fldChar w:fldCharType="separate"/>
        </w:r>
        <w:r w:rsidR="005F2669">
          <w:t>61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25" w:history="1">
        <w:r w:rsidRPr="00D85384">
          <w:t>97</w:t>
        </w:r>
        <w:r>
          <w:rPr>
            <w:rFonts w:asciiTheme="minorHAnsi" w:eastAsiaTheme="minorEastAsia" w:hAnsiTheme="minorHAnsi" w:cstheme="minorBidi"/>
            <w:sz w:val="22"/>
            <w:szCs w:val="22"/>
            <w:lang w:eastAsia="en-AU"/>
          </w:rPr>
          <w:tab/>
        </w:r>
        <w:r w:rsidRPr="00D85384">
          <w:t>Regulator to notify of proposed suspension, cancellation or variation</w:t>
        </w:r>
        <w:r>
          <w:tab/>
        </w:r>
        <w:r>
          <w:fldChar w:fldCharType="begin"/>
        </w:r>
        <w:r>
          <w:instrText xml:space="preserve"> PAGEREF _Toc526844625 \h </w:instrText>
        </w:r>
        <w:r>
          <w:fldChar w:fldCharType="separate"/>
        </w:r>
        <w:r w:rsidR="005F2669">
          <w:t>61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26" w:history="1">
        <w:r w:rsidRPr="00D85384">
          <w:t>98</w:t>
        </w:r>
        <w:r>
          <w:rPr>
            <w:rFonts w:asciiTheme="minorHAnsi" w:eastAsiaTheme="minorEastAsia" w:hAnsiTheme="minorHAnsi" w:cstheme="minorBidi"/>
            <w:sz w:val="22"/>
            <w:szCs w:val="22"/>
            <w:lang w:eastAsia="en-AU"/>
          </w:rPr>
          <w:tab/>
        </w:r>
        <w:r w:rsidRPr="00D85384">
          <w:t>Guidelines</w:t>
        </w:r>
        <w:r>
          <w:tab/>
        </w:r>
        <w:r>
          <w:fldChar w:fldCharType="begin"/>
        </w:r>
        <w:r>
          <w:instrText xml:space="preserve"> PAGEREF _Toc526844626 \h </w:instrText>
        </w:r>
        <w:r>
          <w:fldChar w:fldCharType="separate"/>
        </w:r>
        <w:r w:rsidR="005F2669">
          <w:t>62</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627" w:history="1">
        <w:r w:rsidR="00136761" w:rsidRPr="00D85384">
          <w:t>Part 8</w:t>
        </w:r>
        <w:r w:rsidR="00136761">
          <w:rPr>
            <w:rFonts w:asciiTheme="minorHAnsi" w:eastAsiaTheme="minorEastAsia" w:hAnsiTheme="minorHAnsi" w:cstheme="minorBidi"/>
            <w:b w:val="0"/>
            <w:sz w:val="22"/>
            <w:szCs w:val="22"/>
            <w:lang w:eastAsia="en-AU"/>
          </w:rPr>
          <w:tab/>
        </w:r>
        <w:r w:rsidR="00136761" w:rsidRPr="00D85384">
          <w:t>Gene technology technical advisory committee and gene technology ethics and community consultative committee</w:t>
        </w:r>
        <w:r w:rsidR="00136761" w:rsidRPr="00136761">
          <w:rPr>
            <w:vanish/>
          </w:rPr>
          <w:tab/>
        </w:r>
        <w:r w:rsidR="00136761" w:rsidRPr="00136761">
          <w:rPr>
            <w:vanish/>
          </w:rPr>
          <w:fldChar w:fldCharType="begin"/>
        </w:r>
        <w:r w:rsidR="00136761" w:rsidRPr="00136761">
          <w:rPr>
            <w:vanish/>
          </w:rPr>
          <w:instrText xml:space="preserve"> PAGEREF _Toc526844627 \h </w:instrText>
        </w:r>
        <w:r w:rsidR="00136761" w:rsidRPr="00136761">
          <w:rPr>
            <w:vanish/>
          </w:rPr>
        </w:r>
        <w:r w:rsidR="00136761" w:rsidRPr="00136761">
          <w:rPr>
            <w:vanish/>
          </w:rPr>
          <w:fldChar w:fldCharType="separate"/>
        </w:r>
        <w:r w:rsidR="005F2669">
          <w:rPr>
            <w:vanish/>
          </w:rPr>
          <w:t>63</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28" w:history="1">
        <w:r w:rsidR="00136761" w:rsidRPr="00D85384">
          <w:t>Division 8.1</w:t>
        </w:r>
        <w:r w:rsidR="00136761">
          <w:rPr>
            <w:rFonts w:asciiTheme="minorHAnsi" w:eastAsiaTheme="minorEastAsia" w:hAnsiTheme="minorHAnsi" w:cstheme="minorBidi"/>
            <w:b w:val="0"/>
            <w:sz w:val="22"/>
            <w:szCs w:val="22"/>
            <w:lang w:eastAsia="en-AU"/>
          </w:rPr>
          <w:tab/>
        </w:r>
        <w:r w:rsidR="00136761" w:rsidRPr="00D85384">
          <w:t>Simplified outline of pt 8</w:t>
        </w:r>
        <w:r w:rsidR="00136761" w:rsidRPr="00136761">
          <w:rPr>
            <w:vanish/>
          </w:rPr>
          <w:tab/>
        </w:r>
        <w:r w:rsidR="00136761" w:rsidRPr="00136761">
          <w:rPr>
            <w:vanish/>
          </w:rPr>
          <w:fldChar w:fldCharType="begin"/>
        </w:r>
        <w:r w:rsidR="00136761" w:rsidRPr="00136761">
          <w:rPr>
            <w:vanish/>
          </w:rPr>
          <w:instrText xml:space="preserve"> PAGEREF _Toc526844628 \h </w:instrText>
        </w:r>
        <w:r w:rsidR="00136761" w:rsidRPr="00136761">
          <w:rPr>
            <w:vanish/>
          </w:rPr>
        </w:r>
        <w:r w:rsidR="00136761" w:rsidRPr="00136761">
          <w:rPr>
            <w:vanish/>
          </w:rPr>
          <w:fldChar w:fldCharType="separate"/>
        </w:r>
        <w:r w:rsidR="005F2669">
          <w:rPr>
            <w:vanish/>
          </w:rPr>
          <w:t>63</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29" w:history="1">
        <w:r w:rsidRPr="00D85384">
          <w:t>99</w:t>
        </w:r>
        <w:r>
          <w:rPr>
            <w:rFonts w:asciiTheme="minorHAnsi" w:eastAsiaTheme="minorEastAsia" w:hAnsiTheme="minorHAnsi" w:cstheme="minorBidi"/>
            <w:sz w:val="22"/>
            <w:szCs w:val="22"/>
            <w:lang w:eastAsia="en-AU"/>
          </w:rPr>
          <w:tab/>
        </w:r>
        <w:r w:rsidRPr="00D85384">
          <w:t>Simplified outline—pt 8</w:t>
        </w:r>
        <w:r>
          <w:tab/>
        </w:r>
        <w:r>
          <w:fldChar w:fldCharType="begin"/>
        </w:r>
        <w:r>
          <w:instrText xml:space="preserve"> PAGEREF _Toc526844629 \h </w:instrText>
        </w:r>
        <w:r>
          <w:fldChar w:fldCharType="separate"/>
        </w:r>
        <w:r w:rsidR="005F2669">
          <w:t>63</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30" w:history="1">
        <w:r w:rsidR="00136761" w:rsidRPr="00D85384">
          <w:t>Division 8.2</w:t>
        </w:r>
        <w:r w:rsidR="00136761">
          <w:rPr>
            <w:rFonts w:asciiTheme="minorHAnsi" w:eastAsiaTheme="minorEastAsia" w:hAnsiTheme="minorHAnsi" w:cstheme="minorBidi"/>
            <w:b w:val="0"/>
            <w:sz w:val="22"/>
            <w:szCs w:val="22"/>
            <w:lang w:eastAsia="en-AU"/>
          </w:rPr>
          <w:tab/>
        </w:r>
        <w:r w:rsidR="00136761" w:rsidRPr="00D85384">
          <w:t>Gene technology technical advisory committee</w:t>
        </w:r>
        <w:r w:rsidR="00136761" w:rsidRPr="00136761">
          <w:rPr>
            <w:vanish/>
          </w:rPr>
          <w:tab/>
        </w:r>
        <w:r w:rsidR="00136761" w:rsidRPr="00136761">
          <w:rPr>
            <w:vanish/>
          </w:rPr>
          <w:fldChar w:fldCharType="begin"/>
        </w:r>
        <w:r w:rsidR="00136761" w:rsidRPr="00136761">
          <w:rPr>
            <w:vanish/>
          </w:rPr>
          <w:instrText xml:space="preserve"> PAGEREF _Toc526844630 \h </w:instrText>
        </w:r>
        <w:r w:rsidR="00136761" w:rsidRPr="00136761">
          <w:rPr>
            <w:vanish/>
          </w:rPr>
        </w:r>
        <w:r w:rsidR="00136761" w:rsidRPr="00136761">
          <w:rPr>
            <w:vanish/>
          </w:rPr>
          <w:fldChar w:fldCharType="separate"/>
        </w:r>
        <w:r w:rsidR="005F2669">
          <w:rPr>
            <w:vanish/>
          </w:rPr>
          <w:t>63</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31" w:history="1">
        <w:r w:rsidRPr="00D85384">
          <w:t>100</w:t>
        </w:r>
        <w:r>
          <w:rPr>
            <w:rFonts w:asciiTheme="minorHAnsi" w:eastAsiaTheme="minorEastAsia" w:hAnsiTheme="minorHAnsi" w:cstheme="minorBidi"/>
            <w:sz w:val="22"/>
            <w:szCs w:val="22"/>
            <w:lang w:eastAsia="en-AU"/>
          </w:rPr>
          <w:tab/>
        </w:r>
        <w:r w:rsidRPr="00D85384">
          <w:t>Gene technology technical advisory committee</w:t>
        </w:r>
        <w:r>
          <w:tab/>
        </w:r>
        <w:r>
          <w:fldChar w:fldCharType="begin"/>
        </w:r>
        <w:r>
          <w:instrText xml:space="preserve"> PAGEREF _Toc526844631 \h </w:instrText>
        </w:r>
        <w:r>
          <w:fldChar w:fldCharType="separate"/>
        </w:r>
        <w:r w:rsidR="005F2669">
          <w:t>63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32" w:history="1">
        <w:r w:rsidRPr="00D85384">
          <w:t>101</w:t>
        </w:r>
        <w:r>
          <w:rPr>
            <w:rFonts w:asciiTheme="minorHAnsi" w:eastAsiaTheme="minorEastAsia" w:hAnsiTheme="minorHAnsi" w:cstheme="minorBidi"/>
            <w:sz w:val="22"/>
            <w:szCs w:val="22"/>
            <w:lang w:eastAsia="en-AU"/>
          </w:rPr>
          <w:tab/>
        </w:r>
        <w:r w:rsidRPr="00D85384">
          <w:t>Function of gene technology technical advisory committee</w:t>
        </w:r>
        <w:r>
          <w:tab/>
        </w:r>
        <w:r>
          <w:fldChar w:fldCharType="begin"/>
        </w:r>
        <w:r>
          <w:instrText xml:space="preserve"> PAGEREF _Toc526844632 \h </w:instrText>
        </w:r>
        <w:r>
          <w:fldChar w:fldCharType="separate"/>
        </w:r>
        <w:r w:rsidR="005F2669">
          <w:t>63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33" w:history="1">
        <w:r w:rsidRPr="00D85384">
          <w:t>102</w:t>
        </w:r>
        <w:r>
          <w:rPr>
            <w:rFonts w:asciiTheme="minorHAnsi" w:eastAsiaTheme="minorEastAsia" w:hAnsiTheme="minorHAnsi" w:cstheme="minorBidi"/>
            <w:sz w:val="22"/>
            <w:szCs w:val="22"/>
            <w:lang w:eastAsia="en-AU"/>
          </w:rPr>
          <w:tab/>
        </w:r>
        <w:r w:rsidRPr="00D85384">
          <w:t>Expert advisers</w:t>
        </w:r>
        <w:r>
          <w:tab/>
        </w:r>
        <w:r>
          <w:fldChar w:fldCharType="begin"/>
        </w:r>
        <w:r>
          <w:instrText xml:space="preserve"> PAGEREF _Toc526844633 \h </w:instrText>
        </w:r>
        <w:r>
          <w:fldChar w:fldCharType="separate"/>
        </w:r>
        <w:r w:rsidR="005F2669">
          <w:t>64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34" w:history="1">
        <w:r w:rsidRPr="00D85384">
          <w:t>103</w:t>
        </w:r>
        <w:r>
          <w:rPr>
            <w:rFonts w:asciiTheme="minorHAnsi" w:eastAsiaTheme="minorEastAsia" w:hAnsiTheme="minorHAnsi" w:cstheme="minorBidi"/>
            <w:sz w:val="22"/>
            <w:szCs w:val="22"/>
            <w:lang w:eastAsia="en-AU"/>
          </w:rPr>
          <w:tab/>
        </w:r>
        <w:r w:rsidRPr="00D85384">
          <w:t>Remuneration</w:t>
        </w:r>
        <w:r>
          <w:tab/>
        </w:r>
        <w:r>
          <w:fldChar w:fldCharType="begin"/>
        </w:r>
        <w:r>
          <w:instrText xml:space="preserve"> PAGEREF _Toc526844634 \h </w:instrText>
        </w:r>
        <w:r>
          <w:fldChar w:fldCharType="separate"/>
        </w:r>
        <w:r w:rsidR="005F2669">
          <w:t>64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35" w:history="1">
        <w:r w:rsidRPr="00D85384">
          <w:t>104</w:t>
        </w:r>
        <w:r>
          <w:rPr>
            <w:rFonts w:asciiTheme="minorHAnsi" w:eastAsiaTheme="minorEastAsia" w:hAnsiTheme="minorHAnsi" w:cstheme="minorBidi"/>
            <w:sz w:val="22"/>
            <w:szCs w:val="22"/>
            <w:lang w:eastAsia="en-AU"/>
          </w:rPr>
          <w:tab/>
        </w:r>
        <w:r w:rsidRPr="00D85384">
          <w:t>Members and procedures</w:t>
        </w:r>
        <w:r>
          <w:tab/>
        </w:r>
        <w:r>
          <w:fldChar w:fldCharType="begin"/>
        </w:r>
        <w:r>
          <w:instrText xml:space="preserve"> PAGEREF _Toc526844635 \h </w:instrText>
        </w:r>
        <w:r>
          <w:fldChar w:fldCharType="separate"/>
        </w:r>
        <w:r w:rsidR="005F2669">
          <w:t>64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36" w:history="1">
        <w:r w:rsidRPr="00D85384">
          <w:t>105</w:t>
        </w:r>
        <w:r>
          <w:rPr>
            <w:rFonts w:asciiTheme="minorHAnsi" w:eastAsiaTheme="minorEastAsia" w:hAnsiTheme="minorHAnsi" w:cstheme="minorBidi"/>
            <w:sz w:val="22"/>
            <w:szCs w:val="22"/>
            <w:lang w:eastAsia="en-AU"/>
          </w:rPr>
          <w:tab/>
        </w:r>
        <w:r w:rsidRPr="00D85384">
          <w:t>Subcommittees</w:t>
        </w:r>
        <w:r>
          <w:tab/>
        </w:r>
        <w:r>
          <w:fldChar w:fldCharType="begin"/>
        </w:r>
        <w:r>
          <w:instrText xml:space="preserve"> PAGEREF _Toc526844636 \h </w:instrText>
        </w:r>
        <w:r>
          <w:fldChar w:fldCharType="separate"/>
        </w:r>
        <w:r w:rsidR="005F2669">
          <w:t>64</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37" w:history="1">
        <w:r w:rsidR="00136761" w:rsidRPr="00D85384">
          <w:t>Division 8.3</w:t>
        </w:r>
        <w:r w:rsidR="00136761">
          <w:rPr>
            <w:rFonts w:asciiTheme="minorHAnsi" w:eastAsiaTheme="minorEastAsia" w:hAnsiTheme="minorHAnsi" w:cstheme="minorBidi"/>
            <w:b w:val="0"/>
            <w:sz w:val="22"/>
            <w:szCs w:val="22"/>
            <w:lang w:eastAsia="en-AU"/>
          </w:rPr>
          <w:tab/>
        </w:r>
        <w:r w:rsidR="00136761" w:rsidRPr="00D85384">
          <w:t>Gene technology ethics and community consultative committee</w:t>
        </w:r>
        <w:r w:rsidR="00136761" w:rsidRPr="00136761">
          <w:rPr>
            <w:vanish/>
          </w:rPr>
          <w:tab/>
        </w:r>
        <w:r w:rsidR="00136761" w:rsidRPr="00136761">
          <w:rPr>
            <w:vanish/>
          </w:rPr>
          <w:fldChar w:fldCharType="begin"/>
        </w:r>
        <w:r w:rsidR="00136761" w:rsidRPr="00136761">
          <w:rPr>
            <w:vanish/>
          </w:rPr>
          <w:instrText xml:space="preserve"> PAGEREF _Toc526844637 \h </w:instrText>
        </w:r>
        <w:r w:rsidR="00136761" w:rsidRPr="00136761">
          <w:rPr>
            <w:vanish/>
          </w:rPr>
        </w:r>
        <w:r w:rsidR="00136761" w:rsidRPr="00136761">
          <w:rPr>
            <w:vanish/>
          </w:rPr>
          <w:fldChar w:fldCharType="separate"/>
        </w:r>
        <w:r w:rsidR="005F2669">
          <w:rPr>
            <w:vanish/>
          </w:rPr>
          <w:t>64</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38" w:history="1">
        <w:r w:rsidRPr="00D85384">
          <w:t>106</w:t>
        </w:r>
        <w:r>
          <w:rPr>
            <w:rFonts w:asciiTheme="minorHAnsi" w:eastAsiaTheme="minorEastAsia" w:hAnsiTheme="minorHAnsi" w:cstheme="minorBidi"/>
            <w:sz w:val="22"/>
            <w:szCs w:val="22"/>
            <w:lang w:eastAsia="en-AU"/>
          </w:rPr>
          <w:tab/>
        </w:r>
        <w:r w:rsidRPr="00D85384">
          <w:t>Gene technology ethics and community consultative committee</w:t>
        </w:r>
        <w:r>
          <w:tab/>
        </w:r>
        <w:r>
          <w:fldChar w:fldCharType="begin"/>
        </w:r>
        <w:r>
          <w:instrText xml:space="preserve"> PAGEREF _Toc526844638 \h </w:instrText>
        </w:r>
        <w:r>
          <w:fldChar w:fldCharType="separate"/>
        </w:r>
        <w:r w:rsidR="005F2669">
          <w:t>64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39" w:history="1">
        <w:r w:rsidRPr="00D85384">
          <w:t>107</w:t>
        </w:r>
        <w:r>
          <w:rPr>
            <w:rFonts w:asciiTheme="minorHAnsi" w:eastAsiaTheme="minorEastAsia" w:hAnsiTheme="minorHAnsi" w:cstheme="minorBidi"/>
            <w:sz w:val="22"/>
            <w:szCs w:val="22"/>
            <w:lang w:eastAsia="en-AU"/>
          </w:rPr>
          <w:tab/>
        </w:r>
        <w:r w:rsidRPr="00D85384">
          <w:t>Function of ethics and community committee</w:t>
        </w:r>
        <w:r>
          <w:tab/>
        </w:r>
        <w:r>
          <w:fldChar w:fldCharType="begin"/>
        </w:r>
        <w:r>
          <w:instrText xml:space="preserve"> PAGEREF _Toc526844639 \h </w:instrText>
        </w:r>
        <w:r>
          <w:fldChar w:fldCharType="separate"/>
        </w:r>
        <w:r w:rsidR="005F2669">
          <w:t>65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40" w:history="1">
        <w:r w:rsidRPr="00D85384">
          <w:t>108</w:t>
        </w:r>
        <w:r>
          <w:rPr>
            <w:rFonts w:asciiTheme="minorHAnsi" w:eastAsiaTheme="minorEastAsia" w:hAnsiTheme="minorHAnsi" w:cstheme="minorBidi"/>
            <w:sz w:val="22"/>
            <w:szCs w:val="22"/>
            <w:lang w:eastAsia="en-AU"/>
          </w:rPr>
          <w:tab/>
        </w:r>
        <w:r w:rsidRPr="00D85384">
          <w:t>Membership</w:t>
        </w:r>
        <w:r>
          <w:tab/>
        </w:r>
        <w:r>
          <w:fldChar w:fldCharType="begin"/>
        </w:r>
        <w:r>
          <w:instrText xml:space="preserve"> PAGEREF _Toc526844640 \h </w:instrText>
        </w:r>
        <w:r>
          <w:fldChar w:fldCharType="separate"/>
        </w:r>
        <w:r w:rsidR="005F2669">
          <w:t>65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41" w:history="1">
        <w:r w:rsidRPr="00D85384">
          <w:t>109</w:t>
        </w:r>
        <w:r>
          <w:rPr>
            <w:rFonts w:asciiTheme="minorHAnsi" w:eastAsiaTheme="minorEastAsia" w:hAnsiTheme="minorHAnsi" w:cstheme="minorBidi"/>
            <w:sz w:val="22"/>
            <w:szCs w:val="22"/>
            <w:lang w:eastAsia="en-AU"/>
          </w:rPr>
          <w:tab/>
        </w:r>
        <w:r w:rsidRPr="00D85384">
          <w:t>Remuneration</w:t>
        </w:r>
        <w:r>
          <w:tab/>
        </w:r>
        <w:r>
          <w:fldChar w:fldCharType="begin"/>
        </w:r>
        <w:r>
          <w:instrText xml:space="preserve"> PAGEREF _Toc526844641 \h </w:instrText>
        </w:r>
        <w:r>
          <w:fldChar w:fldCharType="separate"/>
        </w:r>
        <w:r w:rsidR="005F2669">
          <w:t>65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42" w:history="1">
        <w:r w:rsidRPr="00D85384">
          <w:t>110</w:t>
        </w:r>
        <w:r>
          <w:rPr>
            <w:rFonts w:asciiTheme="minorHAnsi" w:eastAsiaTheme="minorEastAsia" w:hAnsiTheme="minorHAnsi" w:cstheme="minorBidi"/>
            <w:sz w:val="22"/>
            <w:szCs w:val="22"/>
            <w:lang w:eastAsia="en-AU"/>
          </w:rPr>
          <w:tab/>
        </w:r>
        <w:r w:rsidRPr="00D85384">
          <w:t>Regulations</w:t>
        </w:r>
        <w:r>
          <w:tab/>
        </w:r>
        <w:r>
          <w:fldChar w:fldCharType="begin"/>
        </w:r>
        <w:r>
          <w:instrText xml:space="preserve"> PAGEREF _Toc526844642 \h </w:instrText>
        </w:r>
        <w:r>
          <w:fldChar w:fldCharType="separate"/>
        </w:r>
        <w:r w:rsidR="005F2669">
          <w:t>66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43" w:history="1">
        <w:r w:rsidRPr="00D85384">
          <w:t>111</w:t>
        </w:r>
        <w:r>
          <w:rPr>
            <w:rFonts w:asciiTheme="minorHAnsi" w:eastAsiaTheme="minorEastAsia" w:hAnsiTheme="minorHAnsi" w:cstheme="minorBidi"/>
            <w:sz w:val="22"/>
            <w:szCs w:val="22"/>
            <w:lang w:eastAsia="en-AU"/>
          </w:rPr>
          <w:tab/>
        </w:r>
        <w:r w:rsidRPr="00D85384">
          <w:t>Subcommittees</w:t>
        </w:r>
        <w:r>
          <w:tab/>
        </w:r>
        <w:r>
          <w:fldChar w:fldCharType="begin"/>
        </w:r>
        <w:r>
          <w:instrText xml:space="preserve"> PAGEREF _Toc526844643 \h </w:instrText>
        </w:r>
        <w:r>
          <w:fldChar w:fldCharType="separate"/>
        </w:r>
        <w:r w:rsidR="005F2669">
          <w:t>66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44" w:history="1">
        <w:r w:rsidRPr="00D85384">
          <w:t>112</w:t>
        </w:r>
        <w:r>
          <w:rPr>
            <w:rFonts w:asciiTheme="minorHAnsi" w:eastAsiaTheme="minorEastAsia" w:hAnsiTheme="minorHAnsi" w:cstheme="minorBidi"/>
            <w:sz w:val="22"/>
            <w:szCs w:val="22"/>
            <w:lang w:eastAsia="en-AU"/>
          </w:rPr>
          <w:tab/>
        </w:r>
        <w:r w:rsidRPr="00D85384">
          <w:t>Expert advisers</w:t>
        </w:r>
        <w:r>
          <w:tab/>
        </w:r>
        <w:r>
          <w:fldChar w:fldCharType="begin"/>
        </w:r>
        <w:r>
          <w:instrText xml:space="preserve"> PAGEREF _Toc526844644 \h </w:instrText>
        </w:r>
        <w:r>
          <w:fldChar w:fldCharType="separate"/>
        </w:r>
        <w:r w:rsidR="005F2669">
          <w:t>66</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645" w:history="1">
        <w:r w:rsidR="00136761" w:rsidRPr="00D85384">
          <w:t>Part 9</w:t>
        </w:r>
        <w:r w:rsidR="00136761">
          <w:rPr>
            <w:rFonts w:asciiTheme="minorHAnsi" w:eastAsiaTheme="minorEastAsia" w:hAnsiTheme="minorHAnsi" w:cstheme="minorBidi"/>
            <w:b w:val="0"/>
            <w:sz w:val="22"/>
            <w:szCs w:val="22"/>
            <w:lang w:eastAsia="en-AU"/>
          </w:rPr>
          <w:tab/>
        </w:r>
        <w:r w:rsidR="00136761" w:rsidRPr="00D85384">
          <w:t>Administration</w:t>
        </w:r>
        <w:r w:rsidR="00136761" w:rsidRPr="00136761">
          <w:rPr>
            <w:vanish/>
          </w:rPr>
          <w:tab/>
        </w:r>
        <w:r w:rsidR="00136761" w:rsidRPr="00136761">
          <w:rPr>
            <w:vanish/>
          </w:rPr>
          <w:fldChar w:fldCharType="begin"/>
        </w:r>
        <w:r w:rsidR="00136761" w:rsidRPr="00136761">
          <w:rPr>
            <w:vanish/>
          </w:rPr>
          <w:instrText xml:space="preserve"> PAGEREF _Toc526844645 \h </w:instrText>
        </w:r>
        <w:r w:rsidR="00136761" w:rsidRPr="00136761">
          <w:rPr>
            <w:vanish/>
          </w:rPr>
        </w:r>
        <w:r w:rsidR="00136761" w:rsidRPr="00136761">
          <w:rPr>
            <w:vanish/>
          </w:rPr>
          <w:fldChar w:fldCharType="separate"/>
        </w:r>
        <w:r w:rsidR="005F2669">
          <w:rPr>
            <w:vanish/>
          </w:rPr>
          <w:t>67</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46" w:history="1">
        <w:r w:rsidR="00136761" w:rsidRPr="00D85384">
          <w:t>Division 9.1</w:t>
        </w:r>
        <w:r w:rsidR="00136761">
          <w:rPr>
            <w:rFonts w:asciiTheme="minorHAnsi" w:eastAsiaTheme="minorEastAsia" w:hAnsiTheme="minorHAnsi" w:cstheme="minorBidi"/>
            <w:b w:val="0"/>
            <w:sz w:val="22"/>
            <w:szCs w:val="22"/>
            <w:lang w:eastAsia="en-AU"/>
          </w:rPr>
          <w:tab/>
        </w:r>
        <w:r w:rsidR="00136761" w:rsidRPr="00D85384">
          <w:t>Simplified outline of pt 9</w:t>
        </w:r>
        <w:r w:rsidR="00136761" w:rsidRPr="00136761">
          <w:rPr>
            <w:vanish/>
          </w:rPr>
          <w:tab/>
        </w:r>
        <w:r w:rsidR="00136761" w:rsidRPr="00136761">
          <w:rPr>
            <w:vanish/>
          </w:rPr>
          <w:fldChar w:fldCharType="begin"/>
        </w:r>
        <w:r w:rsidR="00136761" w:rsidRPr="00136761">
          <w:rPr>
            <w:vanish/>
          </w:rPr>
          <w:instrText xml:space="preserve"> PAGEREF _Toc526844646 \h </w:instrText>
        </w:r>
        <w:r w:rsidR="00136761" w:rsidRPr="00136761">
          <w:rPr>
            <w:vanish/>
          </w:rPr>
        </w:r>
        <w:r w:rsidR="00136761" w:rsidRPr="00136761">
          <w:rPr>
            <w:vanish/>
          </w:rPr>
          <w:fldChar w:fldCharType="separate"/>
        </w:r>
        <w:r w:rsidR="005F2669">
          <w:rPr>
            <w:vanish/>
          </w:rPr>
          <w:t>67</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47" w:history="1">
        <w:r w:rsidRPr="00D85384">
          <w:t>117</w:t>
        </w:r>
        <w:r>
          <w:rPr>
            <w:rFonts w:asciiTheme="minorHAnsi" w:eastAsiaTheme="minorEastAsia" w:hAnsiTheme="minorHAnsi" w:cstheme="minorBidi"/>
            <w:sz w:val="22"/>
            <w:szCs w:val="22"/>
            <w:lang w:eastAsia="en-AU"/>
          </w:rPr>
          <w:tab/>
        </w:r>
        <w:r w:rsidRPr="00D85384">
          <w:t>Simplified outline—pt 9</w:t>
        </w:r>
        <w:r>
          <w:tab/>
        </w:r>
        <w:r>
          <w:fldChar w:fldCharType="begin"/>
        </w:r>
        <w:r>
          <w:instrText xml:space="preserve"> PAGEREF _Toc526844647 \h </w:instrText>
        </w:r>
        <w:r>
          <w:fldChar w:fldCharType="separate"/>
        </w:r>
        <w:r w:rsidR="005F2669">
          <w:t>67</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48" w:history="1">
        <w:r w:rsidR="00136761" w:rsidRPr="00D85384">
          <w:t>Division 9.2</w:t>
        </w:r>
        <w:r w:rsidR="00136761">
          <w:rPr>
            <w:rFonts w:asciiTheme="minorHAnsi" w:eastAsiaTheme="minorEastAsia" w:hAnsiTheme="minorHAnsi" w:cstheme="minorBidi"/>
            <w:b w:val="0"/>
            <w:sz w:val="22"/>
            <w:szCs w:val="22"/>
            <w:lang w:eastAsia="en-AU"/>
          </w:rPr>
          <w:tab/>
        </w:r>
        <w:r w:rsidR="00136761" w:rsidRPr="00D85384">
          <w:t>Appointment and conditions of regulator</w:t>
        </w:r>
        <w:r w:rsidR="00136761" w:rsidRPr="00136761">
          <w:rPr>
            <w:vanish/>
          </w:rPr>
          <w:tab/>
        </w:r>
        <w:r w:rsidR="00136761" w:rsidRPr="00136761">
          <w:rPr>
            <w:vanish/>
          </w:rPr>
          <w:fldChar w:fldCharType="begin"/>
        </w:r>
        <w:r w:rsidR="00136761" w:rsidRPr="00136761">
          <w:rPr>
            <w:vanish/>
          </w:rPr>
          <w:instrText xml:space="preserve"> PAGEREF _Toc526844648 \h </w:instrText>
        </w:r>
        <w:r w:rsidR="00136761" w:rsidRPr="00136761">
          <w:rPr>
            <w:vanish/>
          </w:rPr>
        </w:r>
        <w:r w:rsidR="00136761" w:rsidRPr="00136761">
          <w:rPr>
            <w:vanish/>
          </w:rPr>
          <w:fldChar w:fldCharType="separate"/>
        </w:r>
        <w:r w:rsidR="005F2669">
          <w:rPr>
            <w:vanish/>
          </w:rPr>
          <w:t>67</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49" w:history="1">
        <w:r w:rsidRPr="00D85384">
          <w:t>118</w:t>
        </w:r>
        <w:r>
          <w:rPr>
            <w:rFonts w:asciiTheme="minorHAnsi" w:eastAsiaTheme="minorEastAsia" w:hAnsiTheme="minorHAnsi" w:cstheme="minorBidi"/>
            <w:sz w:val="22"/>
            <w:szCs w:val="22"/>
            <w:lang w:eastAsia="en-AU"/>
          </w:rPr>
          <w:tab/>
        </w:r>
        <w:r w:rsidRPr="00D85384">
          <w:t>Appointment of regulator</w:t>
        </w:r>
        <w:r>
          <w:tab/>
        </w:r>
        <w:r>
          <w:fldChar w:fldCharType="begin"/>
        </w:r>
        <w:r>
          <w:instrText xml:space="preserve"> PAGEREF _Toc526844649 \h </w:instrText>
        </w:r>
        <w:r>
          <w:fldChar w:fldCharType="separate"/>
        </w:r>
        <w:r w:rsidR="005F2669">
          <w:t>67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0" w:history="1">
        <w:r w:rsidRPr="00D85384">
          <w:t>119</w:t>
        </w:r>
        <w:r>
          <w:rPr>
            <w:rFonts w:asciiTheme="minorHAnsi" w:eastAsiaTheme="minorEastAsia" w:hAnsiTheme="minorHAnsi" w:cstheme="minorBidi"/>
            <w:sz w:val="22"/>
            <w:szCs w:val="22"/>
            <w:lang w:eastAsia="en-AU"/>
          </w:rPr>
          <w:tab/>
        </w:r>
        <w:r w:rsidRPr="00D85384">
          <w:t>Termination of appointment</w:t>
        </w:r>
        <w:r>
          <w:tab/>
        </w:r>
        <w:r>
          <w:fldChar w:fldCharType="begin"/>
        </w:r>
        <w:r>
          <w:instrText xml:space="preserve"> PAGEREF _Toc526844650 \h </w:instrText>
        </w:r>
        <w:r>
          <w:fldChar w:fldCharType="separate"/>
        </w:r>
        <w:r w:rsidR="005F2669">
          <w:t>67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1" w:history="1">
        <w:r w:rsidRPr="00D85384">
          <w:t>120</w:t>
        </w:r>
        <w:r>
          <w:rPr>
            <w:rFonts w:asciiTheme="minorHAnsi" w:eastAsiaTheme="minorEastAsia" w:hAnsiTheme="minorHAnsi" w:cstheme="minorBidi"/>
            <w:sz w:val="22"/>
            <w:szCs w:val="22"/>
            <w:lang w:eastAsia="en-AU"/>
          </w:rPr>
          <w:tab/>
        </w:r>
        <w:r w:rsidRPr="00D85384">
          <w:t>Disclosure of interests</w:t>
        </w:r>
        <w:r>
          <w:tab/>
        </w:r>
        <w:r>
          <w:fldChar w:fldCharType="begin"/>
        </w:r>
        <w:r>
          <w:instrText xml:space="preserve"> PAGEREF _Toc526844651 \h </w:instrText>
        </w:r>
        <w:r>
          <w:fldChar w:fldCharType="separate"/>
        </w:r>
        <w:r w:rsidR="005F2669">
          <w:t>67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2" w:history="1">
        <w:r w:rsidRPr="00D85384">
          <w:t>121</w:t>
        </w:r>
        <w:r>
          <w:rPr>
            <w:rFonts w:asciiTheme="minorHAnsi" w:eastAsiaTheme="minorEastAsia" w:hAnsiTheme="minorHAnsi" w:cstheme="minorBidi"/>
            <w:sz w:val="22"/>
            <w:szCs w:val="22"/>
            <w:lang w:eastAsia="en-AU"/>
          </w:rPr>
          <w:tab/>
        </w:r>
        <w:r w:rsidRPr="00D85384">
          <w:t>Acting appointment</w:t>
        </w:r>
        <w:r>
          <w:tab/>
        </w:r>
        <w:r>
          <w:fldChar w:fldCharType="begin"/>
        </w:r>
        <w:r>
          <w:instrText xml:space="preserve"> PAGEREF _Toc526844652 \h </w:instrText>
        </w:r>
        <w:r>
          <w:fldChar w:fldCharType="separate"/>
        </w:r>
        <w:r w:rsidR="005F2669">
          <w:t>68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3" w:history="1">
        <w:r w:rsidRPr="00D85384">
          <w:t>122</w:t>
        </w:r>
        <w:r>
          <w:rPr>
            <w:rFonts w:asciiTheme="minorHAnsi" w:eastAsiaTheme="minorEastAsia" w:hAnsiTheme="minorHAnsi" w:cstheme="minorBidi"/>
            <w:sz w:val="22"/>
            <w:szCs w:val="22"/>
            <w:lang w:eastAsia="en-AU"/>
          </w:rPr>
          <w:tab/>
        </w:r>
        <w:r w:rsidRPr="00D85384">
          <w:t>Terms and conditions</w:t>
        </w:r>
        <w:r>
          <w:tab/>
        </w:r>
        <w:r>
          <w:fldChar w:fldCharType="begin"/>
        </w:r>
        <w:r>
          <w:instrText xml:space="preserve"> PAGEREF _Toc526844653 \h </w:instrText>
        </w:r>
        <w:r>
          <w:fldChar w:fldCharType="separate"/>
        </w:r>
        <w:r w:rsidR="005F2669">
          <w:t>68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4" w:history="1">
        <w:r w:rsidRPr="00D85384">
          <w:t>123</w:t>
        </w:r>
        <w:r>
          <w:rPr>
            <w:rFonts w:asciiTheme="minorHAnsi" w:eastAsiaTheme="minorEastAsia" w:hAnsiTheme="minorHAnsi" w:cstheme="minorBidi"/>
            <w:sz w:val="22"/>
            <w:szCs w:val="22"/>
            <w:lang w:eastAsia="en-AU"/>
          </w:rPr>
          <w:tab/>
        </w:r>
        <w:r w:rsidRPr="00D85384">
          <w:t>Outside employment</w:t>
        </w:r>
        <w:r>
          <w:tab/>
        </w:r>
        <w:r>
          <w:fldChar w:fldCharType="begin"/>
        </w:r>
        <w:r>
          <w:instrText xml:space="preserve"> PAGEREF _Toc526844654 \h </w:instrText>
        </w:r>
        <w:r>
          <w:fldChar w:fldCharType="separate"/>
        </w:r>
        <w:r w:rsidR="005F2669">
          <w:t>68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5" w:history="1">
        <w:r w:rsidRPr="00D85384">
          <w:t>124</w:t>
        </w:r>
        <w:r>
          <w:rPr>
            <w:rFonts w:asciiTheme="minorHAnsi" w:eastAsiaTheme="minorEastAsia" w:hAnsiTheme="minorHAnsi" w:cstheme="minorBidi"/>
            <w:sz w:val="22"/>
            <w:szCs w:val="22"/>
            <w:lang w:eastAsia="en-AU"/>
          </w:rPr>
          <w:tab/>
        </w:r>
        <w:r w:rsidRPr="00D85384">
          <w:t>Remuneration</w:t>
        </w:r>
        <w:r>
          <w:tab/>
        </w:r>
        <w:r>
          <w:fldChar w:fldCharType="begin"/>
        </w:r>
        <w:r>
          <w:instrText xml:space="preserve"> PAGEREF _Toc526844655 \h </w:instrText>
        </w:r>
        <w:r>
          <w:fldChar w:fldCharType="separate"/>
        </w:r>
        <w:r w:rsidR="005F2669">
          <w:t>68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6" w:history="1">
        <w:r w:rsidRPr="00D85384">
          <w:t>125</w:t>
        </w:r>
        <w:r>
          <w:rPr>
            <w:rFonts w:asciiTheme="minorHAnsi" w:eastAsiaTheme="minorEastAsia" w:hAnsiTheme="minorHAnsi" w:cstheme="minorBidi"/>
            <w:sz w:val="22"/>
            <w:szCs w:val="22"/>
            <w:lang w:eastAsia="en-AU"/>
          </w:rPr>
          <w:tab/>
        </w:r>
        <w:r w:rsidRPr="00D85384">
          <w:t>Leave of absence</w:t>
        </w:r>
        <w:r>
          <w:tab/>
        </w:r>
        <w:r>
          <w:fldChar w:fldCharType="begin"/>
        </w:r>
        <w:r>
          <w:instrText xml:space="preserve"> PAGEREF _Toc526844656 \h </w:instrText>
        </w:r>
        <w:r>
          <w:fldChar w:fldCharType="separate"/>
        </w:r>
        <w:r w:rsidR="005F2669">
          <w:t>68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7" w:history="1">
        <w:r w:rsidRPr="00D85384">
          <w:t>126</w:t>
        </w:r>
        <w:r>
          <w:rPr>
            <w:rFonts w:asciiTheme="minorHAnsi" w:eastAsiaTheme="minorEastAsia" w:hAnsiTheme="minorHAnsi" w:cstheme="minorBidi"/>
            <w:sz w:val="22"/>
            <w:szCs w:val="22"/>
            <w:lang w:eastAsia="en-AU"/>
          </w:rPr>
          <w:tab/>
        </w:r>
        <w:r w:rsidRPr="00D85384">
          <w:t>Resignation</w:t>
        </w:r>
        <w:r>
          <w:tab/>
        </w:r>
        <w:r>
          <w:fldChar w:fldCharType="begin"/>
        </w:r>
        <w:r>
          <w:instrText xml:space="preserve"> PAGEREF _Toc526844657 \h </w:instrText>
        </w:r>
        <w:r>
          <w:fldChar w:fldCharType="separate"/>
        </w:r>
        <w:r w:rsidR="005F2669">
          <w:t>68</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58" w:history="1">
        <w:r w:rsidR="00136761" w:rsidRPr="00D85384">
          <w:t>Division 9.3</w:t>
        </w:r>
        <w:r w:rsidR="00136761">
          <w:rPr>
            <w:rFonts w:asciiTheme="minorHAnsi" w:eastAsiaTheme="minorEastAsia" w:hAnsiTheme="minorHAnsi" w:cstheme="minorBidi"/>
            <w:b w:val="0"/>
            <w:sz w:val="22"/>
            <w:szCs w:val="22"/>
            <w:lang w:eastAsia="en-AU"/>
          </w:rPr>
          <w:tab/>
        </w:r>
        <w:r w:rsidR="00136761" w:rsidRPr="00D85384">
          <w:t>Money</w:t>
        </w:r>
        <w:r w:rsidR="00136761" w:rsidRPr="00136761">
          <w:rPr>
            <w:vanish/>
          </w:rPr>
          <w:tab/>
        </w:r>
        <w:r w:rsidR="00136761" w:rsidRPr="00136761">
          <w:rPr>
            <w:vanish/>
          </w:rPr>
          <w:fldChar w:fldCharType="begin"/>
        </w:r>
        <w:r w:rsidR="00136761" w:rsidRPr="00136761">
          <w:rPr>
            <w:vanish/>
          </w:rPr>
          <w:instrText xml:space="preserve"> PAGEREF _Toc526844658 \h </w:instrText>
        </w:r>
        <w:r w:rsidR="00136761" w:rsidRPr="00136761">
          <w:rPr>
            <w:vanish/>
          </w:rPr>
        </w:r>
        <w:r w:rsidR="00136761" w:rsidRPr="00136761">
          <w:rPr>
            <w:vanish/>
          </w:rPr>
          <w:fldChar w:fldCharType="separate"/>
        </w:r>
        <w:r w:rsidR="005F2669">
          <w:rPr>
            <w:vanish/>
          </w:rPr>
          <w:t>68</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59" w:history="1">
        <w:r w:rsidRPr="00D85384">
          <w:t>127</w:t>
        </w:r>
        <w:r>
          <w:rPr>
            <w:rFonts w:asciiTheme="minorHAnsi" w:eastAsiaTheme="minorEastAsia" w:hAnsiTheme="minorHAnsi" w:cstheme="minorBidi"/>
            <w:sz w:val="22"/>
            <w:szCs w:val="22"/>
            <w:lang w:eastAsia="en-AU"/>
          </w:rPr>
          <w:tab/>
        </w:r>
        <w:r w:rsidRPr="00D85384">
          <w:t>Regulator may charge for services</w:t>
        </w:r>
        <w:r>
          <w:tab/>
        </w:r>
        <w:r>
          <w:fldChar w:fldCharType="begin"/>
        </w:r>
        <w:r>
          <w:instrText xml:space="preserve"> PAGEREF _Toc526844659 \h </w:instrText>
        </w:r>
        <w:r>
          <w:fldChar w:fldCharType="separate"/>
        </w:r>
        <w:r w:rsidR="005F2669">
          <w:t>68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60" w:history="1">
        <w:r w:rsidRPr="00D85384">
          <w:t>128</w:t>
        </w:r>
        <w:r>
          <w:rPr>
            <w:rFonts w:asciiTheme="minorHAnsi" w:eastAsiaTheme="minorEastAsia" w:hAnsiTheme="minorHAnsi" w:cstheme="minorBidi"/>
            <w:sz w:val="22"/>
            <w:szCs w:val="22"/>
            <w:lang w:eastAsia="en-AU"/>
          </w:rPr>
          <w:tab/>
        </w:r>
        <w:r w:rsidRPr="00D85384">
          <w:t>Notional payments</w:t>
        </w:r>
        <w:r>
          <w:tab/>
        </w:r>
        <w:r>
          <w:fldChar w:fldCharType="begin"/>
        </w:r>
        <w:r>
          <w:instrText xml:space="preserve"> PAGEREF _Toc526844660 \h </w:instrText>
        </w:r>
        <w:r>
          <w:fldChar w:fldCharType="separate"/>
        </w:r>
        <w:r w:rsidR="005F2669">
          <w:t>69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61" w:history="1">
        <w:r w:rsidRPr="00D85384">
          <w:t>129</w:t>
        </w:r>
        <w:r>
          <w:rPr>
            <w:rFonts w:asciiTheme="minorHAnsi" w:eastAsiaTheme="minorEastAsia" w:hAnsiTheme="minorHAnsi" w:cstheme="minorBidi"/>
            <w:sz w:val="22"/>
            <w:szCs w:val="22"/>
            <w:lang w:eastAsia="en-AU"/>
          </w:rPr>
          <w:tab/>
        </w:r>
        <w:r w:rsidRPr="00D85384">
          <w:t>Gene technology account</w:t>
        </w:r>
        <w:r>
          <w:tab/>
        </w:r>
        <w:r>
          <w:fldChar w:fldCharType="begin"/>
        </w:r>
        <w:r>
          <w:instrText xml:space="preserve"> PAGEREF _Toc526844661 \h </w:instrText>
        </w:r>
        <w:r>
          <w:fldChar w:fldCharType="separate"/>
        </w:r>
        <w:r w:rsidR="005F2669">
          <w:t>69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62" w:history="1">
        <w:r w:rsidRPr="00D85384">
          <w:t>130</w:t>
        </w:r>
        <w:r>
          <w:rPr>
            <w:rFonts w:asciiTheme="minorHAnsi" w:eastAsiaTheme="minorEastAsia" w:hAnsiTheme="minorHAnsi" w:cstheme="minorBidi"/>
            <w:sz w:val="22"/>
            <w:szCs w:val="22"/>
            <w:lang w:eastAsia="en-AU"/>
          </w:rPr>
          <w:tab/>
        </w:r>
        <w:r w:rsidRPr="00D85384">
          <w:t>Credits to gene technology account</w:t>
        </w:r>
        <w:r>
          <w:tab/>
        </w:r>
        <w:r>
          <w:fldChar w:fldCharType="begin"/>
        </w:r>
        <w:r>
          <w:instrText xml:space="preserve"> PAGEREF _Toc526844662 \h </w:instrText>
        </w:r>
        <w:r>
          <w:fldChar w:fldCharType="separate"/>
        </w:r>
        <w:r w:rsidR="005F2669">
          <w:t>69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63" w:history="1">
        <w:r w:rsidRPr="00D85384">
          <w:t>131</w:t>
        </w:r>
        <w:r>
          <w:rPr>
            <w:rFonts w:asciiTheme="minorHAnsi" w:eastAsiaTheme="minorEastAsia" w:hAnsiTheme="minorHAnsi" w:cstheme="minorBidi"/>
            <w:sz w:val="22"/>
            <w:szCs w:val="22"/>
            <w:lang w:eastAsia="en-AU"/>
          </w:rPr>
          <w:tab/>
        </w:r>
        <w:r w:rsidRPr="00D85384">
          <w:t>Recovery of amounts</w:t>
        </w:r>
        <w:r>
          <w:tab/>
        </w:r>
        <w:r>
          <w:fldChar w:fldCharType="begin"/>
        </w:r>
        <w:r>
          <w:instrText xml:space="preserve"> PAGEREF _Toc526844663 \h </w:instrText>
        </w:r>
        <w:r>
          <w:fldChar w:fldCharType="separate"/>
        </w:r>
        <w:r w:rsidR="005F2669">
          <w:t>69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64" w:history="1">
        <w:r w:rsidRPr="00D85384">
          <w:t>132</w:t>
        </w:r>
        <w:r>
          <w:rPr>
            <w:rFonts w:asciiTheme="minorHAnsi" w:eastAsiaTheme="minorEastAsia" w:hAnsiTheme="minorHAnsi" w:cstheme="minorBidi"/>
            <w:sz w:val="22"/>
            <w:szCs w:val="22"/>
            <w:lang w:eastAsia="en-AU"/>
          </w:rPr>
          <w:tab/>
        </w:r>
        <w:r w:rsidRPr="00D85384">
          <w:t>Purposes of account</w:t>
        </w:r>
        <w:r>
          <w:tab/>
        </w:r>
        <w:r>
          <w:fldChar w:fldCharType="begin"/>
        </w:r>
        <w:r>
          <w:instrText xml:space="preserve"> PAGEREF _Toc526844664 \h </w:instrText>
        </w:r>
        <w:r>
          <w:fldChar w:fldCharType="separate"/>
        </w:r>
        <w:r w:rsidR="005F2669">
          <w:t>70</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65" w:history="1">
        <w:r w:rsidR="00136761" w:rsidRPr="00D85384">
          <w:t>Division 9.4</w:t>
        </w:r>
        <w:r w:rsidR="00136761">
          <w:rPr>
            <w:rFonts w:asciiTheme="minorHAnsi" w:eastAsiaTheme="minorEastAsia" w:hAnsiTheme="minorHAnsi" w:cstheme="minorBidi"/>
            <w:b w:val="0"/>
            <w:sz w:val="22"/>
            <w:szCs w:val="22"/>
            <w:lang w:eastAsia="en-AU"/>
          </w:rPr>
          <w:tab/>
        </w:r>
        <w:r w:rsidR="00136761" w:rsidRPr="00D85384">
          <w:t>Staffing</w:t>
        </w:r>
        <w:r w:rsidR="00136761" w:rsidRPr="00136761">
          <w:rPr>
            <w:vanish/>
          </w:rPr>
          <w:tab/>
        </w:r>
        <w:r w:rsidR="00136761" w:rsidRPr="00136761">
          <w:rPr>
            <w:vanish/>
          </w:rPr>
          <w:fldChar w:fldCharType="begin"/>
        </w:r>
        <w:r w:rsidR="00136761" w:rsidRPr="00136761">
          <w:rPr>
            <w:vanish/>
          </w:rPr>
          <w:instrText xml:space="preserve"> PAGEREF _Toc526844665 \h </w:instrText>
        </w:r>
        <w:r w:rsidR="00136761" w:rsidRPr="00136761">
          <w:rPr>
            <w:vanish/>
          </w:rPr>
        </w:r>
        <w:r w:rsidR="00136761" w:rsidRPr="00136761">
          <w:rPr>
            <w:vanish/>
          </w:rPr>
          <w:fldChar w:fldCharType="separate"/>
        </w:r>
        <w:r w:rsidR="005F2669">
          <w:rPr>
            <w:vanish/>
          </w:rPr>
          <w:t>70</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66" w:history="1">
        <w:r w:rsidRPr="00D85384">
          <w:t>133</w:t>
        </w:r>
        <w:r>
          <w:rPr>
            <w:rFonts w:asciiTheme="minorHAnsi" w:eastAsiaTheme="minorEastAsia" w:hAnsiTheme="minorHAnsi" w:cstheme="minorBidi"/>
            <w:sz w:val="22"/>
            <w:szCs w:val="22"/>
            <w:lang w:eastAsia="en-AU"/>
          </w:rPr>
          <w:tab/>
        </w:r>
        <w:r w:rsidRPr="00D85384">
          <w:t>Staff assisting regulator</w:t>
        </w:r>
        <w:r>
          <w:tab/>
        </w:r>
        <w:r>
          <w:fldChar w:fldCharType="begin"/>
        </w:r>
        <w:r>
          <w:instrText xml:space="preserve"> PAGEREF _Toc526844666 \h </w:instrText>
        </w:r>
        <w:r>
          <w:fldChar w:fldCharType="separate"/>
        </w:r>
        <w:r w:rsidR="005F2669">
          <w:t>70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67" w:history="1">
        <w:r w:rsidRPr="00D85384">
          <w:t>134</w:t>
        </w:r>
        <w:r>
          <w:rPr>
            <w:rFonts w:asciiTheme="minorHAnsi" w:eastAsiaTheme="minorEastAsia" w:hAnsiTheme="minorHAnsi" w:cstheme="minorBidi"/>
            <w:sz w:val="22"/>
            <w:szCs w:val="22"/>
            <w:lang w:eastAsia="en-AU"/>
          </w:rPr>
          <w:tab/>
        </w:r>
        <w:r w:rsidRPr="00D85384">
          <w:t>Consultants</w:t>
        </w:r>
        <w:r>
          <w:tab/>
        </w:r>
        <w:r>
          <w:fldChar w:fldCharType="begin"/>
        </w:r>
        <w:r>
          <w:instrText xml:space="preserve"> PAGEREF _Toc526844667 \h </w:instrText>
        </w:r>
        <w:r>
          <w:fldChar w:fldCharType="separate"/>
        </w:r>
        <w:r w:rsidR="005F2669">
          <w:t>70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68" w:history="1">
        <w:r w:rsidRPr="00D85384">
          <w:t>135</w:t>
        </w:r>
        <w:r>
          <w:rPr>
            <w:rFonts w:asciiTheme="minorHAnsi" w:eastAsiaTheme="minorEastAsia" w:hAnsiTheme="minorHAnsi" w:cstheme="minorBidi"/>
            <w:sz w:val="22"/>
            <w:szCs w:val="22"/>
            <w:lang w:eastAsia="en-AU"/>
          </w:rPr>
          <w:tab/>
        </w:r>
        <w:r w:rsidRPr="00D85384">
          <w:t>Seconded officers</w:t>
        </w:r>
        <w:r>
          <w:tab/>
        </w:r>
        <w:r>
          <w:fldChar w:fldCharType="begin"/>
        </w:r>
        <w:r>
          <w:instrText xml:space="preserve"> PAGEREF _Toc526844668 \h </w:instrText>
        </w:r>
        <w:r>
          <w:fldChar w:fldCharType="separate"/>
        </w:r>
        <w:r w:rsidR="005F2669">
          <w:t>70</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69" w:history="1">
        <w:r w:rsidR="00136761" w:rsidRPr="00D85384">
          <w:t>Division 9.5</w:t>
        </w:r>
        <w:r w:rsidR="00136761">
          <w:rPr>
            <w:rFonts w:asciiTheme="minorHAnsi" w:eastAsiaTheme="minorEastAsia" w:hAnsiTheme="minorHAnsi" w:cstheme="minorBidi"/>
            <w:b w:val="0"/>
            <w:sz w:val="22"/>
            <w:szCs w:val="22"/>
            <w:lang w:eastAsia="en-AU"/>
          </w:rPr>
          <w:tab/>
        </w:r>
        <w:r w:rsidR="00136761" w:rsidRPr="00D85384">
          <w:t>Reporting requirements</w:t>
        </w:r>
        <w:r w:rsidR="00136761" w:rsidRPr="00136761">
          <w:rPr>
            <w:vanish/>
          </w:rPr>
          <w:tab/>
        </w:r>
        <w:r w:rsidR="00136761" w:rsidRPr="00136761">
          <w:rPr>
            <w:vanish/>
          </w:rPr>
          <w:fldChar w:fldCharType="begin"/>
        </w:r>
        <w:r w:rsidR="00136761" w:rsidRPr="00136761">
          <w:rPr>
            <w:vanish/>
          </w:rPr>
          <w:instrText xml:space="preserve"> PAGEREF _Toc526844669 \h </w:instrText>
        </w:r>
        <w:r w:rsidR="00136761" w:rsidRPr="00136761">
          <w:rPr>
            <w:vanish/>
          </w:rPr>
        </w:r>
        <w:r w:rsidR="00136761" w:rsidRPr="00136761">
          <w:rPr>
            <w:vanish/>
          </w:rPr>
          <w:fldChar w:fldCharType="separate"/>
        </w:r>
        <w:r w:rsidR="005F2669">
          <w:rPr>
            <w:vanish/>
          </w:rPr>
          <w:t>70</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70" w:history="1">
        <w:r w:rsidRPr="00D85384">
          <w:t>136</w:t>
        </w:r>
        <w:r>
          <w:rPr>
            <w:rFonts w:asciiTheme="minorHAnsi" w:eastAsiaTheme="minorEastAsia" w:hAnsiTheme="minorHAnsi" w:cstheme="minorBidi"/>
            <w:sz w:val="22"/>
            <w:szCs w:val="22"/>
            <w:lang w:eastAsia="en-AU"/>
          </w:rPr>
          <w:tab/>
        </w:r>
        <w:r w:rsidRPr="00D85384">
          <w:t>Annual report</w:t>
        </w:r>
        <w:r>
          <w:tab/>
        </w:r>
        <w:r>
          <w:fldChar w:fldCharType="begin"/>
        </w:r>
        <w:r>
          <w:instrText xml:space="preserve"> PAGEREF _Toc526844670 \h </w:instrText>
        </w:r>
        <w:r>
          <w:fldChar w:fldCharType="separate"/>
        </w:r>
        <w:r w:rsidR="005F2669">
          <w:t>70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71" w:history="1">
        <w:r w:rsidRPr="00D85384">
          <w:t>137</w:t>
        </w:r>
        <w:r>
          <w:rPr>
            <w:rFonts w:asciiTheme="minorHAnsi" w:eastAsiaTheme="minorEastAsia" w:hAnsiTheme="minorHAnsi" w:cstheme="minorBidi"/>
            <w:sz w:val="22"/>
            <w:szCs w:val="22"/>
            <w:lang w:eastAsia="en-AU"/>
          </w:rPr>
          <w:tab/>
        </w:r>
        <w:r w:rsidRPr="00D85384">
          <w:t>Reports to Legislative Assembly</w:t>
        </w:r>
        <w:r>
          <w:tab/>
        </w:r>
        <w:r>
          <w:fldChar w:fldCharType="begin"/>
        </w:r>
        <w:r>
          <w:instrText xml:space="preserve"> PAGEREF _Toc526844671 \h </w:instrText>
        </w:r>
        <w:r>
          <w:fldChar w:fldCharType="separate"/>
        </w:r>
        <w:r w:rsidR="005F2669">
          <w:t>71</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72" w:history="1">
        <w:r w:rsidR="00136761" w:rsidRPr="00D85384">
          <w:t>Division 9.6</w:t>
        </w:r>
        <w:r w:rsidR="00136761">
          <w:rPr>
            <w:rFonts w:asciiTheme="minorHAnsi" w:eastAsiaTheme="minorEastAsia" w:hAnsiTheme="minorHAnsi" w:cstheme="minorBidi"/>
            <w:b w:val="0"/>
            <w:sz w:val="22"/>
            <w:szCs w:val="22"/>
            <w:lang w:eastAsia="en-AU"/>
          </w:rPr>
          <w:tab/>
        </w:r>
        <w:r w:rsidR="00136761" w:rsidRPr="00D85384">
          <w:t>Record of GMO dealings</w:t>
        </w:r>
        <w:r w:rsidR="00136761" w:rsidRPr="00136761">
          <w:rPr>
            <w:vanish/>
          </w:rPr>
          <w:tab/>
        </w:r>
        <w:r w:rsidR="00136761" w:rsidRPr="00136761">
          <w:rPr>
            <w:vanish/>
          </w:rPr>
          <w:fldChar w:fldCharType="begin"/>
        </w:r>
        <w:r w:rsidR="00136761" w:rsidRPr="00136761">
          <w:rPr>
            <w:vanish/>
          </w:rPr>
          <w:instrText xml:space="preserve"> PAGEREF _Toc526844672 \h </w:instrText>
        </w:r>
        <w:r w:rsidR="00136761" w:rsidRPr="00136761">
          <w:rPr>
            <w:vanish/>
          </w:rPr>
        </w:r>
        <w:r w:rsidR="00136761" w:rsidRPr="00136761">
          <w:rPr>
            <w:vanish/>
          </w:rPr>
          <w:fldChar w:fldCharType="separate"/>
        </w:r>
        <w:r w:rsidR="005F2669">
          <w:rPr>
            <w:vanish/>
          </w:rPr>
          <w:t>72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73" w:history="1">
        <w:r w:rsidRPr="00D85384">
          <w:t>138</w:t>
        </w:r>
        <w:r>
          <w:rPr>
            <w:rFonts w:asciiTheme="minorHAnsi" w:eastAsiaTheme="minorEastAsia" w:hAnsiTheme="minorHAnsi" w:cstheme="minorBidi"/>
            <w:sz w:val="22"/>
            <w:szCs w:val="22"/>
            <w:lang w:eastAsia="en-AU"/>
          </w:rPr>
          <w:tab/>
        </w:r>
        <w:r w:rsidRPr="00D85384">
          <w:t>Record of GMO dealings</w:t>
        </w:r>
        <w:r>
          <w:tab/>
        </w:r>
        <w:r>
          <w:fldChar w:fldCharType="begin"/>
        </w:r>
        <w:r>
          <w:instrText xml:space="preserve"> PAGEREF _Toc526844673 \h </w:instrText>
        </w:r>
        <w:r>
          <w:fldChar w:fldCharType="separate"/>
        </w:r>
        <w:r w:rsidR="005F2669">
          <w:t>72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74" w:history="1">
        <w:r w:rsidRPr="00D85384">
          <w:t>139</w:t>
        </w:r>
        <w:r>
          <w:rPr>
            <w:rFonts w:asciiTheme="minorHAnsi" w:eastAsiaTheme="minorEastAsia" w:hAnsiTheme="minorHAnsi" w:cstheme="minorBidi"/>
            <w:sz w:val="22"/>
            <w:szCs w:val="22"/>
            <w:lang w:eastAsia="en-AU"/>
          </w:rPr>
          <w:tab/>
        </w:r>
        <w:r w:rsidRPr="00D85384">
          <w:t>Inspection of record</w:t>
        </w:r>
        <w:r>
          <w:tab/>
        </w:r>
        <w:r>
          <w:fldChar w:fldCharType="begin"/>
        </w:r>
        <w:r>
          <w:instrText xml:space="preserve"> PAGEREF _Toc526844674 \h </w:instrText>
        </w:r>
        <w:r>
          <w:fldChar w:fldCharType="separate"/>
        </w:r>
        <w:r w:rsidR="005F2669">
          <w:t>73</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75" w:history="1">
        <w:r w:rsidR="00136761" w:rsidRPr="00D85384">
          <w:t>Division 9.7</w:t>
        </w:r>
        <w:r w:rsidR="00136761">
          <w:rPr>
            <w:rFonts w:asciiTheme="minorHAnsi" w:eastAsiaTheme="minorEastAsia" w:hAnsiTheme="minorHAnsi" w:cstheme="minorBidi"/>
            <w:b w:val="0"/>
            <w:sz w:val="22"/>
            <w:szCs w:val="22"/>
            <w:lang w:eastAsia="en-AU"/>
          </w:rPr>
          <w:tab/>
        </w:r>
        <w:r w:rsidR="00136761" w:rsidRPr="00D85384">
          <w:t>Reviews of notifiable low risk dealings and exemptions</w:t>
        </w:r>
        <w:r w:rsidR="00136761" w:rsidRPr="00136761">
          <w:rPr>
            <w:vanish/>
          </w:rPr>
          <w:tab/>
        </w:r>
        <w:r w:rsidR="00136761" w:rsidRPr="00136761">
          <w:rPr>
            <w:vanish/>
          </w:rPr>
          <w:fldChar w:fldCharType="begin"/>
        </w:r>
        <w:r w:rsidR="00136761" w:rsidRPr="00136761">
          <w:rPr>
            <w:vanish/>
          </w:rPr>
          <w:instrText xml:space="preserve"> PAGEREF _Toc526844675 \h </w:instrText>
        </w:r>
        <w:r w:rsidR="00136761" w:rsidRPr="00136761">
          <w:rPr>
            <w:vanish/>
          </w:rPr>
        </w:r>
        <w:r w:rsidR="00136761" w:rsidRPr="00136761">
          <w:rPr>
            <w:vanish/>
          </w:rPr>
          <w:fldChar w:fldCharType="separate"/>
        </w:r>
        <w:r w:rsidR="005F2669">
          <w:rPr>
            <w:vanish/>
          </w:rPr>
          <w:t>73</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76" w:history="1">
        <w:r w:rsidRPr="00D85384">
          <w:t>140</w:t>
        </w:r>
        <w:r>
          <w:rPr>
            <w:rFonts w:asciiTheme="minorHAnsi" w:eastAsiaTheme="minorEastAsia" w:hAnsiTheme="minorHAnsi" w:cstheme="minorBidi"/>
            <w:sz w:val="22"/>
            <w:szCs w:val="22"/>
            <w:lang w:eastAsia="en-AU"/>
          </w:rPr>
          <w:tab/>
        </w:r>
        <w:r w:rsidRPr="00D85384">
          <w:t>Regulator may review notifiable low risk dealings</w:t>
        </w:r>
        <w:r>
          <w:tab/>
        </w:r>
        <w:r>
          <w:fldChar w:fldCharType="begin"/>
        </w:r>
        <w:r>
          <w:instrText xml:space="preserve"> PAGEREF _Toc526844676 \h </w:instrText>
        </w:r>
        <w:r>
          <w:fldChar w:fldCharType="separate"/>
        </w:r>
        <w:r w:rsidR="005F2669">
          <w:t>73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77" w:history="1">
        <w:r w:rsidRPr="00D85384">
          <w:t>141</w:t>
        </w:r>
        <w:r>
          <w:rPr>
            <w:rFonts w:asciiTheme="minorHAnsi" w:eastAsiaTheme="minorEastAsia" w:hAnsiTheme="minorHAnsi" w:cstheme="minorBidi"/>
            <w:sz w:val="22"/>
            <w:szCs w:val="22"/>
            <w:lang w:eastAsia="en-AU"/>
          </w:rPr>
          <w:tab/>
        </w:r>
        <w:r w:rsidRPr="00D85384">
          <w:t>Regulator may review exemptions</w:t>
        </w:r>
        <w:r>
          <w:tab/>
        </w:r>
        <w:r>
          <w:fldChar w:fldCharType="begin"/>
        </w:r>
        <w:r>
          <w:instrText xml:space="preserve"> PAGEREF _Toc526844677 \h </w:instrText>
        </w:r>
        <w:r>
          <w:fldChar w:fldCharType="separate"/>
        </w:r>
        <w:r w:rsidR="005F2669">
          <w:t>74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78" w:history="1">
        <w:r w:rsidRPr="00D85384">
          <w:t>142</w:t>
        </w:r>
        <w:r>
          <w:rPr>
            <w:rFonts w:asciiTheme="minorHAnsi" w:eastAsiaTheme="minorEastAsia" w:hAnsiTheme="minorHAnsi" w:cstheme="minorBidi"/>
            <w:sz w:val="22"/>
            <w:szCs w:val="22"/>
            <w:lang w:eastAsia="en-AU"/>
          </w:rPr>
          <w:tab/>
        </w:r>
        <w:r w:rsidRPr="00D85384">
          <w:t>Regulator may give notice of consideration</w:t>
        </w:r>
        <w:r>
          <w:tab/>
        </w:r>
        <w:r>
          <w:fldChar w:fldCharType="begin"/>
        </w:r>
        <w:r>
          <w:instrText xml:space="preserve"> PAGEREF _Toc526844678 \h </w:instrText>
        </w:r>
        <w:r>
          <w:fldChar w:fldCharType="separate"/>
        </w:r>
        <w:r w:rsidR="005F2669">
          <w:t>74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79" w:history="1">
        <w:r w:rsidRPr="00D85384">
          <w:t>143</w:t>
        </w:r>
        <w:r>
          <w:rPr>
            <w:rFonts w:asciiTheme="minorHAnsi" w:eastAsiaTheme="minorEastAsia" w:hAnsiTheme="minorHAnsi" w:cstheme="minorBidi"/>
            <w:sz w:val="22"/>
            <w:szCs w:val="22"/>
            <w:lang w:eastAsia="en-AU"/>
          </w:rPr>
          <w:tab/>
        </w:r>
        <w:r w:rsidRPr="00D85384">
          <w:t>What regulator may do after consideration</w:t>
        </w:r>
        <w:r>
          <w:tab/>
        </w:r>
        <w:r>
          <w:fldChar w:fldCharType="begin"/>
        </w:r>
        <w:r>
          <w:instrText xml:space="preserve"> PAGEREF _Toc526844679 \h </w:instrText>
        </w:r>
        <w:r>
          <w:fldChar w:fldCharType="separate"/>
        </w:r>
        <w:r w:rsidR="005F2669">
          <w:t>74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80" w:history="1">
        <w:r w:rsidRPr="00D85384">
          <w:t>144</w:t>
        </w:r>
        <w:r>
          <w:rPr>
            <w:rFonts w:asciiTheme="minorHAnsi" w:eastAsiaTheme="minorEastAsia" w:hAnsiTheme="minorHAnsi" w:cstheme="minorBidi"/>
            <w:sz w:val="22"/>
            <w:szCs w:val="22"/>
            <w:lang w:eastAsia="en-AU"/>
          </w:rPr>
          <w:tab/>
        </w:r>
        <w:r w:rsidRPr="00D85384">
          <w:t>Regulator not required to review matters</w:t>
        </w:r>
        <w:r>
          <w:tab/>
        </w:r>
        <w:r>
          <w:fldChar w:fldCharType="begin"/>
        </w:r>
        <w:r>
          <w:instrText xml:space="preserve"> PAGEREF _Toc526844680 \h </w:instrText>
        </w:r>
        <w:r>
          <w:fldChar w:fldCharType="separate"/>
        </w:r>
        <w:r w:rsidR="005F2669">
          <w:t>75</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681" w:history="1">
        <w:r w:rsidR="00136761" w:rsidRPr="00D85384">
          <w:t>Part 10</w:t>
        </w:r>
        <w:r w:rsidR="00136761">
          <w:rPr>
            <w:rFonts w:asciiTheme="minorHAnsi" w:eastAsiaTheme="minorEastAsia" w:hAnsiTheme="minorHAnsi" w:cstheme="minorBidi"/>
            <w:b w:val="0"/>
            <w:sz w:val="22"/>
            <w:szCs w:val="22"/>
            <w:lang w:eastAsia="en-AU"/>
          </w:rPr>
          <w:tab/>
        </w:r>
        <w:r w:rsidR="00136761" w:rsidRPr="00D85384">
          <w:t>Enforcement</w:t>
        </w:r>
        <w:r w:rsidR="00136761" w:rsidRPr="00136761">
          <w:rPr>
            <w:vanish/>
          </w:rPr>
          <w:tab/>
        </w:r>
        <w:r w:rsidR="00136761" w:rsidRPr="00136761">
          <w:rPr>
            <w:vanish/>
          </w:rPr>
          <w:fldChar w:fldCharType="begin"/>
        </w:r>
        <w:r w:rsidR="00136761" w:rsidRPr="00136761">
          <w:rPr>
            <w:vanish/>
          </w:rPr>
          <w:instrText xml:space="preserve"> PAGEREF _Toc526844681 \h </w:instrText>
        </w:r>
        <w:r w:rsidR="00136761" w:rsidRPr="00136761">
          <w:rPr>
            <w:vanish/>
          </w:rPr>
        </w:r>
        <w:r w:rsidR="00136761" w:rsidRPr="00136761">
          <w:rPr>
            <w:vanish/>
          </w:rPr>
          <w:fldChar w:fldCharType="separate"/>
        </w:r>
        <w:r w:rsidR="005F2669">
          <w:rPr>
            <w:vanish/>
          </w:rPr>
          <w:t>76</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82" w:history="1">
        <w:r w:rsidRPr="00D85384">
          <w:t>145</w:t>
        </w:r>
        <w:r>
          <w:rPr>
            <w:rFonts w:asciiTheme="minorHAnsi" w:eastAsiaTheme="minorEastAsia" w:hAnsiTheme="minorHAnsi" w:cstheme="minorBidi"/>
            <w:sz w:val="22"/>
            <w:szCs w:val="22"/>
            <w:lang w:eastAsia="en-AU"/>
          </w:rPr>
          <w:tab/>
        </w:r>
        <w:r w:rsidRPr="00D85384">
          <w:t>Simplified outline—pt 10</w:t>
        </w:r>
        <w:r>
          <w:tab/>
        </w:r>
        <w:r>
          <w:fldChar w:fldCharType="begin"/>
        </w:r>
        <w:r>
          <w:instrText xml:space="preserve"> PAGEREF _Toc526844682 \h </w:instrText>
        </w:r>
        <w:r>
          <w:fldChar w:fldCharType="separate"/>
        </w:r>
        <w:r w:rsidR="005F2669">
          <w:t>76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83" w:history="1">
        <w:r w:rsidRPr="00D85384">
          <w:t>146</w:t>
        </w:r>
        <w:r>
          <w:rPr>
            <w:rFonts w:asciiTheme="minorHAnsi" w:eastAsiaTheme="minorEastAsia" w:hAnsiTheme="minorHAnsi" w:cstheme="minorBidi"/>
            <w:sz w:val="22"/>
            <w:szCs w:val="22"/>
            <w:lang w:eastAsia="en-AU"/>
          </w:rPr>
          <w:tab/>
        </w:r>
        <w:r w:rsidRPr="00D85384">
          <w:t>Regulator may give directions</w:t>
        </w:r>
        <w:r>
          <w:tab/>
        </w:r>
        <w:r>
          <w:fldChar w:fldCharType="begin"/>
        </w:r>
        <w:r>
          <w:instrText xml:space="preserve"> PAGEREF _Toc526844683 \h </w:instrText>
        </w:r>
        <w:r>
          <w:fldChar w:fldCharType="separate"/>
        </w:r>
        <w:r w:rsidR="005F2669">
          <w:t>76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84" w:history="1">
        <w:r w:rsidRPr="00D85384">
          <w:t>147</w:t>
        </w:r>
        <w:r>
          <w:rPr>
            <w:rFonts w:asciiTheme="minorHAnsi" w:eastAsiaTheme="minorEastAsia" w:hAnsiTheme="minorHAnsi" w:cstheme="minorBidi"/>
            <w:sz w:val="22"/>
            <w:szCs w:val="22"/>
            <w:lang w:eastAsia="en-AU"/>
          </w:rPr>
          <w:tab/>
        </w:r>
        <w:r w:rsidRPr="00D85384">
          <w:t>Injunctions</w:t>
        </w:r>
        <w:r>
          <w:tab/>
        </w:r>
        <w:r>
          <w:fldChar w:fldCharType="begin"/>
        </w:r>
        <w:r>
          <w:instrText xml:space="preserve"> PAGEREF _Toc526844684 \h </w:instrText>
        </w:r>
        <w:r>
          <w:fldChar w:fldCharType="separate"/>
        </w:r>
        <w:r w:rsidR="005F2669">
          <w:t>79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85" w:history="1">
        <w:r w:rsidRPr="00D85384">
          <w:t>148</w:t>
        </w:r>
        <w:r>
          <w:rPr>
            <w:rFonts w:asciiTheme="minorHAnsi" w:eastAsiaTheme="minorEastAsia" w:hAnsiTheme="minorHAnsi" w:cstheme="minorBidi"/>
            <w:sz w:val="22"/>
            <w:szCs w:val="22"/>
            <w:lang w:eastAsia="en-AU"/>
          </w:rPr>
          <w:tab/>
        </w:r>
        <w:r w:rsidRPr="00D85384">
          <w:t>Forfeiture</w:t>
        </w:r>
        <w:r>
          <w:tab/>
        </w:r>
        <w:r>
          <w:fldChar w:fldCharType="begin"/>
        </w:r>
        <w:r>
          <w:instrText xml:space="preserve"> PAGEREF _Toc526844685 \h </w:instrText>
        </w:r>
        <w:r>
          <w:fldChar w:fldCharType="separate"/>
        </w:r>
        <w:r w:rsidR="005F2669">
          <w:t>80</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686" w:history="1">
        <w:r w:rsidR="00136761" w:rsidRPr="00D85384">
          <w:t>Part 11</w:t>
        </w:r>
        <w:r w:rsidR="00136761">
          <w:rPr>
            <w:rFonts w:asciiTheme="minorHAnsi" w:eastAsiaTheme="minorEastAsia" w:hAnsiTheme="minorHAnsi" w:cstheme="minorBidi"/>
            <w:b w:val="0"/>
            <w:sz w:val="22"/>
            <w:szCs w:val="22"/>
            <w:lang w:eastAsia="en-AU"/>
          </w:rPr>
          <w:tab/>
        </w:r>
        <w:r w:rsidR="00136761" w:rsidRPr="00D85384">
          <w:t>Powers of inspection</w:t>
        </w:r>
        <w:r w:rsidR="00136761" w:rsidRPr="00136761">
          <w:rPr>
            <w:vanish/>
          </w:rPr>
          <w:tab/>
        </w:r>
        <w:r w:rsidR="00136761" w:rsidRPr="00136761">
          <w:rPr>
            <w:vanish/>
          </w:rPr>
          <w:fldChar w:fldCharType="begin"/>
        </w:r>
        <w:r w:rsidR="00136761" w:rsidRPr="00136761">
          <w:rPr>
            <w:vanish/>
          </w:rPr>
          <w:instrText xml:space="preserve"> PAGEREF _Toc526844686 \h </w:instrText>
        </w:r>
        <w:r w:rsidR="00136761" w:rsidRPr="00136761">
          <w:rPr>
            <w:vanish/>
          </w:rPr>
        </w:r>
        <w:r w:rsidR="00136761" w:rsidRPr="00136761">
          <w:rPr>
            <w:vanish/>
          </w:rPr>
          <w:fldChar w:fldCharType="separate"/>
        </w:r>
        <w:r w:rsidR="005F2669">
          <w:rPr>
            <w:vanish/>
          </w:rPr>
          <w:t>81</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87" w:history="1">
        <w:r w:rsidR="00136761" w:rsidRPr="00D85384">
          <w:t>Division 11.1</w:t>
        </w:r>
        <w:r w:rsidR="00136761">
          <w:rPr>
            <w:rFonts w:asciiTheme="minorHAnsi" w:eastAsiaTheme="minorEastAsia" w:hAnsiTheme="minorHAnsi" w:cstheme="minorBidi"/>
            <w:b w:val="0"/>
            <w:sz w:val="22"/>
            <w:szCs w:val="22"/>
            <w:lang w:eastAsia="en-AU"/>
          </w:rPr>
          <w:tab/>
        </w:r>
        <w:r w:rsidR="00136761" w:rsidRPr="00D85384">
          <w:t>Simplified outline of pt 11</w:t>
        </w:r>
        <w:r w:rsidR="00136761" w:rsidRPr="00136761">
          <w:rPr>
            <w:vanish/>
          </w:rPr>
          <w:tab/>
        </w:r>
        <w:r w:rsidR="00136761" w:rsidRPr="00136761">
          <w:rPr>
            <w:vanish/>
          </w:rPr>
          <w:fldChar w:fldCharType="begin"/>
        </w:r>
        <w:r w:rsidR="00136761" w:rsidRPr="00136761">
          <w:rPr>
            <w:vanish/>
          </w:rPr>
          <w:instrText xml:space="preserve"> PAGEREF _Toc526844687 \h </w:instrText>
        </w:r>
        <w:r w:rsidR="00136761" w:rsidRPr="00136761">
          <w:rPr>
            <w:vanish/>
          </w:rPr>
        </w:r>
        <w:r w:rsidR="00136761" w:rsidRPr="00136761">
          <w:rPr>
            <w:vanish/>
          </w:rPr>
          <w:fldChar w:fldCharType="separate"/>
        </w:r>
        <w:r w:rsidR="005F2669">
          <w:rPr>
            <w:vanish/>
          </w:rPr>
          <w:t>81</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88" w:history="1">
        <w:r w:rsidRPr="00D85384">
          <w:t>149</w:t>
        </w:r>
        <w:r>
          <w:rPr>
            <w:rFonts w:asciiTheme="minorHAnsi" w:eastAsiaTheme="minorEastAsia" w:hAnsiTheme="minorHAnsi" w:cstheme="minorBidi"/>
            <w:sz w:val="22"/>
            <w:szCs w:val="22"/>
            <w:lang w:eastAsia="en-AU"/>
          </w:rPr>
          <w:tab/>
        </w:r>
        <w:r w:rsidRPr="00D85384">
          <w:t>Simplified outline—pt 11</w:t>
        </w:r>
        <w:r>
          <w:tab/>
        </w:r>
        <w:r>
          <w:fldChar w:fldCharType="begin"/>
        </w:r>
        <w:r>
          <w:instrText xml:space="preserve"> PAGEREF _Toc526844688 \h </w:instrText>
        </w:r>
        <w:r>
          <w:fldChar w:fldCharType="separate"/>
        </w:r>
        <w:r w:rsidR="005F2669">
          <w:t>81</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89" w:history="1">
        <w:r w:rsidR="00136761" w:rsidRPr="00D85384">
          <w:t>Division 11.2</w:t>
        </w:r>
        <w:r w:rsidR="00136761">
          <w:rPr>
            <w:rFonts w:asciiTheme="minorHAnsi" w:eastAsiaTheme="minorEastAsia" w:hAnsiTheme="minorHAnsi" w:cstheme="minorBidi"/>
            <w:b w:val="0"/>
            <w:sz w:val="22"/>
            <w:szCs w:val="22"/>
            <w:lang w:eastAsia="en-AU"/>
          </w:rPr>
          <w:tab/>
        </w:r>
        <w:r w:rsidR="00136761" w:rsidRPr="00D85384">
          <w:t>Appointment of inspectors and identity cards</w:t>
        </w:r>
        <w:r w:rsidR="00136761" w:rsidRPr="00136761">
          <w:rPr>
            <w:vanish/>
          </w:rPr>
          <w:tab/>
        </w:r>
        <w:r w:rsidR="00136761" w:rsidRPr="00136761">
          <w:rPr>
            <w:vanish/>
          </w:rPr>
          <w:fldChar w:fldCharType="begin"/>
        </w:r>
        <w:r w:rsidR="00136761" w:rsidRPr="00136761">
          <w:rPr>
            <w:vanish/>
          </w:rPr>
          <w:instrText xml:space="preserve"> PAGEREF _Toc526844689 \h </w:instrText>
        </w:r>
        <w:r w:rsidR="00136761" w:rsidRPr="00136761">
          <w:rPr>
            <w:vanish/>
          </w:rPr>
        </w:r>
        <w:r w:rsidR="00136761" w:rsidRPr="00136761">
          <w:rPr>
            <w:vanish/>
          </w:rPr>
          <w:fldChar w:fldCharType="separate"/>
        </w:r>
        <w:r w:rsidR="005F2669">
          <w:rPr>
            <w:vanish/>
          </w:rPr>
          <w:t>81</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90" w:history="1">
        <w:r w:rsidRPr="00D85384">
          <w:t>150</w:t>
        </w:r>
        <w:r>
          <w:rPr>
            <w:rFonts w:asciiTheme="minorHAnsi" w:eastAsiaTheme="minorEastAsia" w:hAnsiTheme="minorHAnsi" w:cstheme="minorBidi"/>
            <w:sz w:val="22"/>
            <w:szCs w:val="22"/>
            <w:lang w:eastAsia="en-AU"/>
          </w:rPr>
          <w:tab/>
        </w:r>
        <w:r w:rsidRPr="00D85384">
          <w:t>Appointment of inspectors</w:t>
        </w:r>
        <w:r>
          <w:tab/>
        </w:r>
        <w:r>
          <w:fldChar w:fldCharType="begin"/>
        </w:r>
        <w:r>
          <w:instrText xml:space="preserve"> PAGEREF _Toc526844690 \h </w:instrText>
        </w:r>
        <w:r>
          <w:fldChar w:fldCharType="separate"/>
        </w:r>
        <w:r w:rsidR="005F2669">
          <w:t>81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91" w:history="1">
        <w:r w:rsidRPr="00D85384">
          <w:t>151</w:t>
        </w:r>
        <w:r>
          <w:rPr>
            <w:rFonts w:asciiTheme="minorHAnsi" w:eastAsiaTheme="minorEastAsia" w:hAnsiTheme="minorHAnsi" w:cstheme="minorBidi"/>
            <w:sz w:val="22"/>
            <w:szCs w:val="22"/>
            <w:lang w:eastAsia="en-AU"/>
          </w:rPr>
          <w:tab/>
        </w:r>
        <w:r w:rsidRPr="00D85384">
          <w:t>Identity card</w:t>
        </w:r>
        <w:r>
          <w:tab/>
        </w:r>
        <w:r>
          <w:fldChar w:fldCharType="begin"/>
        </w:r>
        <w:r>
          <w:instrText xml:space="preserve"> PAGEREF _Toc526844691 \h </w:instrText>
        </w:r>
        <w:r>
          <w:fldChar w:fldCharType="separate"/>
        </w:r>
        <w:r w:rsidR="005F2669">
          <w:t>82</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92" w:history="1">
        <w:r w:rsidR="00136761" w:rsidRPr="00D85384">
          <w:t>Division 11.3</w:t>
        </w:r>
        <w:r w:rsidR="00136761">
          <w:rPr>
            <w:rFonts w:asciiTheme="minorHAnsi" w:eastAsiaTheme="minorEastAsia" w:hAnsiTheme="minorHAnsi" w:cstheme="minorBidi"/>
            <w:b w:val="0"/>
            <w:sz w:val="22"/>
            <w:szCs w:val="22"/>
            <w:lang w:eastAsia="en-AU"/>
          </w:rPr>
          <w:tab/>
        </w:r>
        <w:r w:rsidR="00136761" w:rsidRPr="00D85384">
          <w:t>Monitoring powers</w:t>
        </w:r>
        <w:r w:rsidR="00136761" w:rsidRPr="00136761">
          <w:rPr>
            <w:vanish/>
          </w:rPr>
          <w:tab/>
        </w:r>
        <w:r w:rsidR="00136761" w:rsidRPr="00136761">
          <w:rPr>
            <w:vanish/>
          </w:rPr>
          <w:fldChar w:fldCharType="begin"/>
        </w:r>
        <w:r w:rsidR="00136761" w:rsidRPr="00136761">
          <w:rPr>
            <w:vanish/>
          </w:rPr>
          <w:instrText xml:space="preserve"> PAGEREF _Toc526844692 \h </w:instrText>
        </w:r>
        <w:r w:rsidR="00136761" w:rsidRPr="00136761">
          <w:rPr>
            <w:vanish/>
          </w:rPr>
        </w:r>
        <w:r w:rsidR="00136761" w:rsidRPr="00136761">
          <w:rPr>
            <w:vanish/>
          </w:rPr>
          <w:fldChar w:fldCharType="separate"/>
        </w:r>
        <w:r w:rsidR="005F2669">
          <w:rPr>
            <w:vanish/>
          </w:rPr>
          <w:t>82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93" w:history="1">
        <w:r w:rsidRPr="00D85384">
          <w:t>152</w:t>
        </w:r>
        <w:r>
          <w:rPr>
            <w:rFonts w:asciiTheme="minorHAnsi" w:eastAsiaTheme="minorEastAsia" w:hAnsiTheme="minorHAnsi" w:cstheme="minorBidi"/>
            <w:sz w:val="22"/>
            <w:szCs w:val="22"/>
            <w:lang w:eastAsia="en-AU"/>
          </w:rPr>
          <w:tab/>
        </w:r>
        <w:r w:rsidRPr="00D85384">
          <w:t>Powers available to inspectors for monitoring compliance</w:t>
        </w:r>
        <w:r>
          <w:tab/>
        </w:r>
        <w:r>
          <w:fldChar w:fldCharType="begin"/>
        </w:r>
        <w:r>
          <w:instrText xml:space="preserve"> PAGEREF _Toc526844693 \h </w:instrText>
        </w:r>
        <w:r>
          <w:fldChar w:fldCharType="separate"/>
        </w:r>
        <w:r w:rsidR="005F2669">
          <w:t>82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94" w:history="1">
        <w:r w:rsidRPr="00D85384">
          <w:t>153</w:t>
        </w:r>
        <w:r>
          <w:rPr>
            <w:rFonts w:asciiTheme="minorHAnsi" w:eastAsiaTheme="minorEastAsia" w:hAnsiTheme="minorHAnsi" w:cstheme="minorBidi"/>
            <w:sz w:val="22"/>
            <w:szCs w:val="22"/>
            <w:lang w:eastAsia="en-AU"/>
          </w:rPr>
          <w:tab/>
        </w:r>
        <w:r w:rsidRPr="00D85384">
          <w:t>Monitoring powers</w:t>
        </w:r>
        <w:r>
          <w:tab/>
        </w:r>
        <w:r>
          <w:fldChar w:fldCharType="begin"/>
        </w:r>
        <w:r>
          <w:instrText xml:space="preserve"> PAGEREF _Toc526844694 \h </w:instrText>
        </w:r>
        <w:r>
          <w:fldChar w:fldCharType="separate"/>
        </w:r>
        <w:r w:rsidR="005F2669">
          <w:t>83</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95" w:history="1">
        <w:r w:rsidR="00136761" w:rsidRPr="00D85384">
          <w:t>Division 11.4</w:t>
        </w:r>
        <w:r w:rsidR="00136761">
          <w:rPr>
            <w:rFonts w:asciiTheme="minorHAnsi" w:eastAsiaTheme="minorEastAsia" w:hAnsiTheme="minorHAnsi" w:cstheme="minorBidi"/>
            <w:b w:val="0"/>
            <w:sz w:val="22"/>
            <w:szCs w:val="22"/>
            <w:lang w:eastAsia="en-AU"/>
          </w:rPr>
          <w:tab/>
        </w:r>
        <w:r w:rsidR="00136761" w:rsidRPr="00D85384">
          <w:t>Offence-related powers</w:t>
        </w:r>
        <w:r w:rsidR="00136761" w:rsidRPr="00136761">
          <w:rPr>
            <w:vanish/>
          </w:rPr>
          <w:tab/>
        </w:r>
        <w:r w:rsidR="00136761" w:rsidRPr="00136761">
          <w:rPr>
            <w:vanish/>
          </w:rPr>
          <w:fldChar w:fldCharType="begin"/>
        </w:r>
        <w:r w:rsidR="00136761" w:rsidRPr="00136761">
          <w:rPr>
            <w:vanish/>
          </w:rPr>
          <w:instrText xml:space="preserve"> PAGEREF _Toc526844695 \h </w:instrText>
        </w:r>
        <w:r w:rsidR="00136761" w:rsidRPr="00136761">
          <w:rPr>
            <w:vanish/>
          </w:rPr>
        </w:r>
        <w:r w:rsidR="00136761" w:rsidRPr="00136761">
          <w:rPr>
            <w:vanish/>
          </w:rPr>
          <w:fldChar w:fldCharType="separate"/>
        </w:r>
        <w:r w:rsidR="005F2669">
          <w:rPr>
            <w:vanish/>
          </w:rPr>
          <w:t>85</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96" w:history="1">
        <w:r w:rsidRPr="00D85384">
          <w:t>154</w:t>
        </w:r>
        <w:r>
          <w:rPr>
            <w:rFonts w:asciiTheme="minorHAnsi" w:eastAsiaTheme="minorEastAsia" w:hAnsiTheme="minorHAnsi" w:cstheme="minorBidi"/>
            <w:sz w:val="22"/>
            <w:szCs w:val="22"/>
            <w:lang w:eastAsia="en-AU"/>
          </w:rPr>
          <w:tab/>
        </w:r>
        <w:r w:rsidRPr="00D85384">
          <w:t>Searches and seizures related to offences</w:t>
        </w:r>
        <w:r>
          <w:tab/>
        </w:r>
        <w:r>
          <w:fldChar w:fldCharType="begin"/>
        </w:r>
        <w:r>
          <w:instrText xml:space="preserve"> PAGEREF _Toc526844696 \h </w:instrText>
        </w:r>
        <w:r>
          <w:fldChar w:fldCharType="separate"/>
        </w:r>
        <w:r w:rsidR="005F2669">
          <w:t>85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97" w:history="1">
        <w:r w:rsidRPr="00D85384">
          <w:t>155</w:t>
        </w:r>
        <w:r>
          <w:rPr>
            <w:rFonts w:asciiTheme="minorHAnsi" w:eastAsiaTheme="minorEastAsia" w:hAnsiTheme="minorHAnsi" w:cstheme="minorBidi"/>
            <w:sz w:val="22"/>
            <w:szCs w:val="22"/>
            <w:lang w:eastAsia="en-AU"/>
          </w:rPr>
          <w:tab/>
        </w:r>
        <w:r w:rsidRPr="00D85384">
          <w:t>Offence-related powers of inspectors for premises</w:t>
        </w:r>
        <w:r>
          <w:tab/>
        </w:r>
        <w:r>
          <w:fldChar w:fldCharType="begin"/>
        </w:r>
        <w:r>
          <w:instrText xml:space="preserve"> PAGEREF _Toc526844697 \h </w:instrText>
        </w:r>
        <w:r>
          <w:fldChar w:fldCharType="separate"/>
        </w:r>
        <w:r w:rsidR="005F2669">
          <w:t>86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698" w:history="1">
        <w:r w:rsidRPr="00D85384">
          <w:t>156</w:t>
        </w:r>
        <w:r>
          <w:rPr>
            <w:rFonts w:asciiTheme="minorHAnsi" w:eastAsiaTheme="minorEastAsia" w:hAnsiTheme="minorHAnsi" w:cstheme="minorBidi"/>
            <w:sz w:val="22"/>
            <w:szCs w:val="22"/>
            <w:lang w:eastAsia="en-AU"/>
          </w:rPr>
          <w:tab/>
        </w:r>
        <w:r w:rsidRPr="00D85384">
          <w:t>Use of equipment at premises</w:t>
        </w:r>
        <w:r>
          <w:tab/>
        </w:r>
        <w:r>
          <w:fldChar w:fldCharType="begin"/>
        </w:r>
        <w:r>
          <w:instrText xml:space="preserve"> PAGEREF _Toc526844698 \h </w:instrText>
        </w:r>
        <w:r>
          <w:fldChar w:fldCharType="separate"/>
        </w:r>
        <w:r w:rsidR="005F2669">
          <w:t>86</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699" w:history="1">
        <w:r w:rsidR="00136761" w:rsidRPr="00D85384">
          <w:t>Division 11.5</w:t>
        </w:r>
        <w:r w:rsidR="00136761">
          <w:rPr>
            <w:rFonts w:asciiTheme="minorHAnsi" w:eastAsiaTheme="minorEastAsia" w:hAnsiTheme="minorHAnsi" w:cstheme="minorBidi"/>
            <w:b w:val="0"/>
            <w:sz w:val="22"/>
            <w:szCs w:val="22"/>
            <w:lang w:eastAsia="en-AU"/>
          </w:rPr>
          <w:tab/>
        </w:r>
        <w:r w:rsidR="00136761" w:rsidRPr="00D85384">
          <w:t>Expert assistance</w:t>
        </w:r>
        <w:r w:rsidR="00136761" w:rsidRPr="00136761">
          <w:rPr>
            <w:vanish/>
          </w:rPr>
          <w:tab/>
        </w:r>
        <w:r w:rsidR="00136761" w:rsidRPr="00136761">
          <w:rPr>
            <w:vanish/>
          </w:rPr>
          <w:fldChar w:fldCharType="begin"/>
        </w:r>
        <w:r w:rsidR="00136761" w:rsidRPr="00136761">
          <w:rPr>
            <w:vanish/>
          </w:rPr>
          <w:instrText xml:space="preserve"> PAGEREF _Toc526844699 \h </w:instrText>
        </w:r>
        <w:r w:rsidR="00136761" w:rsidRPr="00136761">
          <w:rPr>
            <w:vanish/>
          </w:rPr>
        </w:r>
        <w:r w:rsidR="00136761" w:rsidRPr="00136761">
          <w:rPr>
            <w:vanish/>
          </w:rPr>
          <w:fldChar w:fldCharType="separate"/>
        </w:r>
        <w:r w:rsidR="005F2669">
          <w:rPr>
            <w:vanish/>
          </w:rPr>
          <w:t>87</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00" w:history="1">
        <w:r w:rsidRPr="00D85384">
          <w:t>157</w:t>
        </w:r>
        <w:r>
          <w:rPr>
            <w:rFonts w:asciiTheme="minorHAnsi" w:eastAsiaTheme="minorEastAsia" w:hAnsiTheme="minorHAnsi" w:cstheme="minorBidi"/>
            <w:sz w:val="22"/>
            <w:szCs w:val="22"/>
            <w:lang w:eastAsia="en-AU"/>
          </w:rPr>
          <w:tab/>
        </w:r>
        <w:r w:rsidRPr="00D85384">
          <w:t>Expert assistance to operate thing</w:t>
        </w:r>
        <w:r>
          <w:tab/>
        </w:r>
        <w:r>
          <w:fldChar w:fldCharType="begin"/>
        </w:r>
        <w:r>
          <w:instrText xml:space="preserve"> PAGEREF _Toc526844700 \h </w:instrText>
        </w:r>
        <w:r>
          <w:fldChar w:fldCharType="separate"/>
        </w:r>
        <w:r w:rsidR="005F2669">
          <w:t>87</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01" w:history="1">
        <w:r w:rsidR="00136761" w:rsidRPr="00D85384">
          <w:t>Division 11.6</w:t>
        </w:r>
        <w:r w:rsidR="00136761">
          <w:rPr>
            <w:rFonts w:asciiTheme="minorHAnsi" w:eastAsiaTheme="minorEastAsia" w:hAnsiTheme="minorHAnsi" w:cstheme="minorBidi"/>
            <w:b w:val="0"/>
            <w:sz w:val="22"/>
            <w:szCs w:val="22"/>
            <w:lang w:eastAsia="en-AU"/>
          </w:rPr>
          <w:tab/>
        </w:r>
        <w:r w:rsidR="00136761" w:rsidRPr="00D85384">
          <w:t>Emergency powers</w:t>
        </w:r>
        <w:r w:rsidR="00136761" w:rsidRPr="00136761">
          <w:rPr>
            <w:vanish/>
          </w:rPr>
          <w:tab/>
        </w:r>
        <w:r w:rsidR="00136761" w:rsidRPr="00136761">
          <w:rPr>
            <w:vanish/>
          </w:rPr>
          <w:fldChar w:fldCharType="begin"/>
        </w:r>
        <w:r w:rsidR="00136761" w:rsidRPr="00136761">
          <w:rPr>
            <w:vanish/>
          </w:rPr>
          <w:instrText xml:space="preserve"> PAGEREF _Toc526844701 \h </w:instrText>
        </w:r>
        <w:r w:rsidR="00136761" w:rsidRPr="00136761">
          <w:rPr>
            <w:vanish/>
          </w:rPr>
        </w:r>
        <w:r w:rsidR="00136761" w:rsidRPr="00136761">
          <w:rPr>
            <w:vanish/>
          </w:rPr>
          <w:fldChar w:fldCharType="separate"/>
        </w:r>
        <w:r w:rsidR="005F2669">
          <w:rPr>
            <w:vanish/>
          </w:rPr>
          <w:t>88</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02" w:history="1">
        <w:r w:rsidRPr="00D85384">
          <w:t>158</w:t>
        </w:r>
        <w:r>
          <w:rPr>
            <w:rFonts w:asciiTheme="minorHAnsi" w:eastAsiaTheme="minorEastAsia" w:hAnsiTheme="minorHAnsi" w:cstheme="minorBidi"/>
            <w:sz w:val="22"/>
            <w:szCs w:val="22"/>
            <w:lang w:eastAsia="en-AU"/>
          </w:rPr>
          <w:tab/>
        </w:r>
        <w:r w:rsidRPr="00D85384">
          <w:t>Powers available to inspectors for dealing with dangerous situations</w:t>
        </w:r>
        <w:r>
          <w:tab/>
        </w:r>
        <w:r>
          <w:fldChar w:fldCharType="begin"/>
        </w:r>
        <w:r>
          <w:instrText xml:space="preserve"> PAGEREF _Toc526844702 \h </w:instrText>
        </w:r>
        <w:r>
          <w:fldChar w:fldCharType="separate"/>
        </w:r>
        <w:r w:rsidR="005F2669">
          <w:t>88</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03" w:history="1">
        <w:r w:rsidR="00136761" w:rsidRPr="00D85384">
          <w:t>Division 11.7</w:t>
        </w:r>
        <w:r w:rsidR="00136761">
          <w:rPr>
            <w:rFonts w:asciiTheme="minorHAnsi" w:eastAsiaTheme="minorEastAsia" w:hAnsiTheme="minorHAnsi" w:cstheme="minorBidi"/>
            <w:b w:val="0"/>
            <w:sz w:val="22"/>
            <w:szCs w:val="22"/>
            <w:lang w:eastAsia="en-AU"/>
          </w:rPr>
          <w:tab/>
        </w:r>
        <w:r w:rsidR="00136761" w:rsidRPr="00D85384">
          <w:t>Obligations and incidental powers of inspectors</w:t>
        </w:r>
        <w:r w:rsidR="00136761" w:rsidRPr="00136761">
          <w:rPr>
            <w:vanish/>
          </w:rPr>
          <w:tab/>
        </w:r>
        <w:r w:rsidR="00136761" w:rsidRPr="00136761">
          <w:rPr>
            <w:vanish/>
          </w:rPr>
          <w:fldChar w:fldCharType="begin"/>
        </w:r>
        <w:r w:rsidR="00136761" w:rsidRPr="00136761">
          <w:rPr>
            <w:vanish/>
          </w:rPr>
          <w:instrText xml:space="preserve"> PAGEREF _Toc526844703 \h </w:instrText>
        </w:r>
        <w:r w:rsidR="00136761" w:rsidRPr="00136761">
          <w:rPr>
            <w:vanish/>
          </w:rPr>
        </w:r>
        <w:r w:rsidR="00136761" w:rsidRPr="00136761">
          <w:rPr>
            <w:vanish/>
          </w:rPr>
          <w:fldChar w:fldCharType="separate"/>
        </w:r>
        <w:r w:rsidR="005F2669">
          <w:rPr>
            <w:vanish/>
          </w:rPr>
          <w:t>89</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04" w:history="1">
        <w:r w:rsidRPr="00D85384">
          <w:t>159</w:t>
        </w:r>
        <w:r>
          <w:rPr>
            <w:rFonts w:asciiTheme="minorHAnsi" w:eastAsiaTheme="minorEastAsia" w:hAnsiTheme="minorHAnsi" w:cstheme="minorBidi"/>
            <w:sz w:val="22"/>
            <w:szCs w:val="22"/>
            <w:lang w:eastAsia="en-AU"/>
          </w:rPr>
          <w:tab/>
        </w:r>
        <w:r w:rsidRPr="00D85384">
          <w:t>Inspector must produce identity card on request</w:t>
        </w:r>
        <w:r>
          <w:tab/>
        </w:r>
        <w:r>
          <w:fldChar w:fldCharType="begin"/>
        </w:r>
        <w:r>
          <w:instrText xml:space="preserve"> PAGEREF _Toc526844704 \h </w:instrText>
        </w:r>
        <w:r>
          <w:fldChar w:fldCharType="separate"/>
        </w:r>
        <w:r w:rsidR="005F2669">
          <w:t>89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05" w:history="1">
        <w:r w:rsidRPr="00D85384">
          <w:t>160</w:t>
        </w:r>
        <w:r>
          <w:rPr>
            <w:rFonts w:asciiTheme="minorHAnsi" w:eastAsiaTheme="minorEastAsia" w:hAnsiTheme="minorHAnsi" w:cstheme="minorBidi"/>
            <w:sz w:val="22"/>
            <w:szCs w:val="22"/>
            <w:lang w:eastAsia="en-AU"/>
          </w:rPr>
          <w:tab/>
        </w:r>
        <w:r w:rsidRPr="00D85384">
          <w:t>Consent</w:t>
        </w:r>
        <w:r>
          <w:tab/>
        </w:r>
        <w:r>
          <w:fldChar w:fldCharType="begin"/>
        </w:r>
        <w:r>
          <w:instrText xml:space="preserve"> PAGEREF _Toc526844705 \h </w:instrText>
        </w:r>
        <w:r>
          <w:fldChar w:fldCharType="separate"/>
        </w:r>
        <w:r w:rsidR="005F2669">
          <w:t>89</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06" w:history="1">
        <w:r w:rsidRPr="00D85384">
          <w:t>161</w:t>
        </w:r>
        <w:r>
          <w:rPr>
            <w:rFonts w:asciiTheme="minorHAnsi" w:eastAsiaTheme="minorEastAsia" w:hAnsiTheme="minorHAnsi" w:cstheme="minorBidi"/>
            <w:sz w:val="22"/>
            <w:szCs w:val="22"/>
            <w:lang w:eastAsia="en-AU"/>
          </w:rPr>
          <w:tab/>
        </w:r>
        <w:r w:rsidRPr="00D85384">
          <w:t>Details of warrant to be given to occupier etc</w:t>
        </w:r>
        <w:r>
          <w:tab/>
        </w:r>
        <w:r>
          <w:fldChar w:fldCharType="begin"/>
        </w:r>
        <w:r>
          <w:instrText xml:space="preserve"> PAGEREF _Toc526844706 \h </w:instrText>
        </w:r>
        <w:r>
          <w:fldChar w:fldCharType="separate"/>
        </w:r>
        <w:r w:rsidR="005F2669">
          <w:t>90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07" w:history="1">
        <w:r w:rsidRPr="00D85384">
          <w:t>162</w:t>
        </w:r>
        <w:r>
          <w:rPr>
            <w:rFonts w:asciiTheme="minorHAnsi" w:eastAsiaTheme="minorEastAsia" w:hAnsiTheme="minorHAnsi" w:cstheme="minorBidi"/>
            <w:sz w:val="22"/>
            <w:szCs w:val="22"/>
            <w:lang w:eastAsia="en-AU"/>
          </w:rPr>
          <w:tab/>
        </w:r>
        <w:r w:rsidRPr="00D85384">
          <w:t>Announcement before entry</w:t>
        </w:r>
        <w:r>
          <w:tab/>
        </w:r>
        <w:r>
          <w:fldChar w:fldCharType="begin"/>
        </w:r>
        <w:r>
          <w:instrText xml:space="preserve"> PAGEREF _Toc526844707 \h </w:instrText>
        </w:r>
        <w:r>
          <w:fldChar w:fldCharType="separate"/>
        </w:r>
        <w:r w:rsidR="005F2669">
          <w:t>91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08" w:history="1">
        <w:r w:rsidRPr="00D85384">
          <w:t>163</w:t>
        </w:r>
        <w:r>
          <w:rPr>
            <w:rFonts w:asciiTheme="minorHAnsi" w:eastAsiaTheme="minorEastAsia" w:hAnsiTheme="minorHAnsi" w:cstheme="minorBidi"/>
            <w:sz w:val="22"/>
            <w:szCs w:val="22"/>
            <w:lang w:eastAsia="en-AU"/>
          </w:rPr>
          <w:tab/>
        </w:r>
        <w:r w:rsidRPr="00D85384">
          <w:t>Compensation for damage</w:t>
        </w:r>
        <w:r>
          <w:tab/>
        </w:r>
        <w:r>
          <w:fldChar w:fldCharType="begin"/>
        </w:r>
        <w:r>
          <w:instrText xml:space="preserve"> PAGEREF _Toc526844708 \h </w:instrText>
        </w:r>
        <w:r>
          <w:fldChar w:fldCharType="separate"/>
        </w:r>
        <w:r w:rsidR="005F2669">
          <w:t>91</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09" w:history="1">
        <w:r w:rsidR="00136761" w:rsidRPr="00D85384">
          <w:t>Division 11.8</w:t>
        </w:r>
        <w:r w:rsidR="00136761">
          <w:rPr>
            <w:rFonts w:asciiTheme="minorHAnsi" w:eastAsiaTheme="minorEastAsia" w:hAnsiTheme="minorHAnsi" w:cstheme="minorBidi"/>
            <w:b w:val="0"/>
            <w:sz w:val="22"/>
            <w:szCs w:val="22"/>
            <w:lang w:eastAsia="en-AU"/>
          </w:rPr>
          <w:tab/>
        </w:r>
        <w:r w:rsidR="00136761" w:rsidRPr="00D85384">
          <w:t>Power to search goods, baggage and containers and seize goods</w:t>
        </w:r>
        <w:r w:rsidR="00136761" w:rsidRPr="00136761">
          <w:rPr>
            <w:vanish/>
          </w:rPr>
          <w:tab/>
        </w:r>
        <w:r w:rsidR="00136761" w:rsidRPr="00136761">
          <w:rPr>
            <w:vanish/>
          </w:rPr>
          <w:fldChar w:fldCharType="begin"/>
        </w:r>
        <w:r w:rsidR="00136761" w:rsidRPr="00136761">
          <w:rPr>
            <w:vanish/>
          </w:rPr>
          <w:instrText xml:space="preserve"> PAGEREF _Toc526844709 \h </w:instrText>
        </w:r>
        <w:r w:rsidR="00136761" w:rsidRPr="00136761">
          <w:rPr>
            <w:vanish/>
          </w:rPr>
        </w:r>
        <w:r w:rsidR="00136761" w:rsidRPr="00136761">
          <w:rPr>
            <w:vanish/>
          </w:rPr>
          <w:fldChar w:fldCharType="separate"/>
        </w:r>
        <w:r w:rsidR="005F2669">
          <w:rPr>
            <w:vanish/>
          </w:rPr>
          <w:t>92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10" w:history="1">
        <w:r w:rsidRPr="00D85384">
          <w:t>164</w:t>
        </w:r>
        <w:r>
          <w:rPr>
            <w:rFonts w:asciiTheme="minorHAnsi" w:eastAsiaTheme="minorEastAsia" w:hAnsiTheme="minorHAnsi" w:cstheme="minorBidi"/>
            <w:sz w:val="22"/>
            <w:szCs w:val="22"/>
            <w:lang w:eastAsia="en-AU"/>
          </w:rPr>
          <w:tab/>
        </w:r>
        <w:r w:rsidRPr="00D85384">
          <w:t>Power to search goods, baggage etc</w:t>
        </w:r>
        <w:r>
          <w:tab/>
        </w:r>
        <w:r>
          <w:fldChar w:fldCharType="begin"/>
        </w:r>
        <w:r>
          <w:instrText xml:space="preserve"> PAGEREF _Toc526844710 \h </w:instrText>
        </w:r>
        <w:r>
          <w:fldChar w:fldCharType="separate"/>
        </w:r>
        <w:r w:rsidR="005F2669">
          <w:t>92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11" w:history="1">
        <w:r w:rsidRPr="00D85384">
          <w:t>165</w:t>
        </w:r>
        <w:r>
          <w:rPr>
            <w:rFonts w:asciiTheme="minorHAnsi" w:eastAsiaTheme="minorEastAsia" w:hAnsiTheme="minorHAnsi" w:cstheme="minorBidi"/>
            <w:sz w:val="22"/>
            <w:szCs w:val="22"/>
            <w:lang w:eastAsia="en-AU"/>
          </w:rPr>
          <w:tab/>
        </w:r>
        <w:r w:rsidRPr="00D85384">
          <w:t>Seizure of goods</w:t>
        </w:r>
        <w:r>
          <w:tab/>
        </w:r>
        <w:r>
          <w:fldChar w:fldCharType="begin"/>
        </w:r>
        <w:r>
          <w:instrText xml:space="preserve"> PAGEREF _Toc526844711 \h </w:instrText>
        </w:r>
        <w:r>
          <w:fldChar w:fldCharType="separate"/>
        </w:r>
        <w:r w:rsidR="005F2669">
          <w:t>93</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12" w:history="1">
        <w:r w:rsidR="00136761" w:rsidRPr="00D85384">
          <w:t>Division 11.9</w:t>
        </w:r>
        <w:r w:rsidR="00136761">
          <w:rPr>
            <w:rFonts w:asciiTheme="minorHAnsi" w:eastAsiaTheme="minorEastAsia" w:hAnsiTheme="minorHAnsi" w:cstheme="minorBidi"/>
            <w:b w:val="0"/>
            <w:sz w:val="22"/>
            <w:szCs w:val="22"/>
            <w:lang w:eastAsia="en-AU"/>
          </w:rPr>
          <w:tab/>
        </w:r>
        <w:r w:rsidR="00136761" w:rsidRPr="00D85384">
          <w:t>General provisions relating to search and seizure</w:t>
        </w:r>
        <w:r w:rsidR="00136761" w:rsidRPr="00136761">
          <w:rPr>
            <w:vanish/>
          </w:rPr>
          <w:tab/>
        </w:r>
        <w:r w:rsidR="00136761" w:rsidRPr="00136761">
          <w:rPr>
            <w:vanish/>
          </w:rPr>
          <w:fldChar w:fldCharType="begin"/>
        </w:r>
        <w:r w:rsidR="00136761" w:rsidRPr="00136761">
          <w:rPr>
            <w:vanish/>
          </w:rPr>
          <w:instrText xml:space="preserve"> PAGEREF _Toc526844712 \h </w:instrText>
        </w:r>
        <w:r w:rsidR="00136761" w:rsidRPr="00136761">
          <w:rPr>
            <w:vanish/>
          </w:rPr>
        </w:r>
        <w:r w:rsidR="00136761" w:rsidRPr="00136761">
          <w:rPr>
            <w:vanish/>
          </w:rPr>
          <w:fldChar w:fldCharType="separate"/>
        </w:r>
        <w:r w:rsidR="005F2669">
          <w:rPr>
            <w:vanish/>
          </w:rPr>
          <w:t>93</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13" w:history="1">
        <w:r w:rsidRPr="00D85384">
          <w:t>166</w:t>
        </w:r>
        <w:r>
          <w:rPr>
            <w:rFonts w:asciiTheme="minorHAnsi" w:eastAsiaTheme="minorEastAsia" w:hAnsiTheme="minorHAnsi" w:cstheme="minorBidi"/>
            <w:sz w:val="22"/>
            <w:szCs w:val="22"/>
            <w:lang w:eastAsia="en-AU"/>
          </w:rPr>
          <w:tab/>
        </w:r>
        <w:r w:rsidRPr="00D85384">
          <w:t>Copies of seized things to be provided</w:t>
        </w:r>
        <w:r>
          <w:tab/>
        </w:r>
        <w:r>
          <w:fldChar w:fldCharType="begin"/>
        </w:r>
        <w:r>
          <w:instrText xml:space="preserve"> PAGEREF _Toc526844713 \h </w:instrText>
        </w:r>
        <w:r>
          <w:fldChar w:fldCharType="separate"/>
        </w:r>
        <w:r w:rsidR="005F2669">
          <w:t>93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14" w:history="1">
        <w:r w:rsidRPr="00D85384">
          <w:t>167</w:t>
        </w:r>
        <w:r>
          <w:rPr>
            <w:rFonts w:asciiTheme="minorHAnsi" w:eastAsiaTheme="minorEastAsia" w:hAnsiTheme="minorHAnsi" w:cstheme="minorBidi"/>
            <w:sz w:val="22"/>
            <w:szCs w:val="22"/>
            <w:lang w:eastAsia="en-AU"/>
          </w:rPr>
          <w:tab/>
        </w:r>
        <w:r w:rsidRPr="00D85384">
          <w:t>Occupier entitled to be present during search</w:t>
        </w:r>
        <w:r>
          <w:tab/>
        </w:r>
        <w:r>
          <w:fldChar w:fldCharType="begin"/>
        </w:r>
        <w:r>
          <w:instrText xml:space="preserve"> PAGEREF _Toc526844714 \h </w:instrText>
        </w:r>
        <w:r>
          <w:fldChar w:fldCharType="separate"/>
        </w:r>
        <w:r w:rsidR="005F2669">
          <w:t>93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15" w:history="1">
        <w:r w:rsidRPr="00D85384">
          <w:t>168</w:t>
        </w:r>
        <w:r>
          <w:rPr>
            <w:rFonts w:asciiTheme="minorHAnsi" w:eastAsiaTheme="minorEastAsia" w:hAnsiTheme="minorHAnsi" w:cstheme="minorBidi"/>
            <w:sz w:val="22"/>
            <w:szCs w:val="22"/>
            <w:lang w:eastAsia="en-AU"/>
          </w:rPr>
          <w:tab/>
        </w:r>
        <w:r w:rsidRPr="00D85384">
          <w:t>Receipts for things seized</w:t>
        </w:r>
        <w:r>
          <w:tab/>
        </w:r>
        <w:r>
          <w:fldChar w:fldCharType="begin"/>
        </w:r>
        <w:r>
          <w:instrText xml:space="preserve"> PAGEREF _Toc526844715 \h </w:instrText>
        </w:r>
        <w:r>
          <w:fldChar w:fldCharType="separate"/>
        </w:r>
        <w:r w:rsidR="005F2669">
          <w:t>94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16" w:history="1">
        <w:r w:rsidRPr="00D85384">
          <w:t>169</w:t>
        </w:r>
        <w:r>
          <w:rPr>
            <w:rFonts w:asciiTheme="minorHAnsi" w:eastAsiaTheme="minorEastAsia" w:hAnsiTheme="minorHAnsi" w:cstheme="minorBidi"/>
            <w:sz w:val="22"/>
            <w:szCs w:val="22"/>
            <w:lang w:eastAsia="en-AU"/>
          </w:rPr>
          <w:tab/>
        </w:r>
        <w:r w:rsidRPr="00D85384">
          <w:t>Keeping seized things</w:t>
        </w:r>
        <w:r>
          <w:tab/>
        </w:r>
        <w:r>
          <w:fldChar w:fldCharType="begin"/>
        </w:r>
        <w:r>
          <w:instrText xml:space="preserve"> PAGEREF _Toc526844716 \h </w:instrText>
        </w:r>
        <w:r>
          <w:fldChar w:fldCharType="separate"/>
        </w:r>
        <w:r w:rsidR="005F2669">
          <w:t>94</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17" w:history="1">
        <w:r w:rsidRPr="00D85384">
          <w:t>170</w:t>
        </w:r>
        <w:r>
          <w:rPr>
            <w:rFonts w:asciiTheme="minorHAnsi" w:eastAsiaTheme="minorEastAsia" w:hAnsiTheme="minorHAnsi" w:cstheme="minorBidi"/>
            <w:sz w:val="22"/>
            <w:szCs w:val="22"/>
            <w:lang w:eastAsia="en-AU"/>
          </w:rPr>
          <w:tab/>
        </w:r>
        <w:r w:rsidRPr="00D85384">
          <w:t>Magistrates Court may permit thing to be kept</w:t>
        </w:r>
        <w:r>
          <w:tab/>
        </w:r>
        <w:r>
          <w:fldChar w:fldCharType="begin"/>
        </w:r>
        <w:r>
          <w:instrText xml:space="preserve"> PAGEREF _Toc526844717 \h </w:instrText>
        </w:r>
        <w:r>
          <w:fldChar w:fldCharType="separate"/>
        </w:r>
        <w:r w:rsidR="005F2669">
          <w:t>95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18" w:history="1">
        <w:r w:rsidRPr="00D85384">
          <w:t>171</w:t>
        </w:r>
        <w:r>
          <w:rPr>
            <w:rFonts w:asciiTheme="minorHAnsi" w:eastAsiaTheme="minorEastAsia" w:hAnsiTheme="minorHAnsi" w:cstheme="minorBidi"/>
            <w:sz w:val="22"/>
            <w:szCs w:val="22"/>
            <w:lang w:eastAsia="en-AU"/>
          </w:rPr>
          <w:tab/>
        </w:r>
        <w:r w:rsidRPr="00D85384">
          <w:t>Disposal of goods if there is no owner or owner cannot be located</w:t>
        </w:r>
        <w:r>
          <w:tab/>
        </w:r>
        <w:r>
          <w:fldChar w:fldCharType="begin"/>
        </w:r>
        <w:r>
          <w:instrText xml:space="preserve"> PAGEREF _Toc526844718 \h </w:instrText>
        </w:r>
        <w:r>
          <w:fldChar w:fldCharType="separate"/>
        </w:r>
        <w:r w:rsidR="005F2669">
          <w:t>96</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19" w:history="1">
        <w:r w:rsidR="00136761" w:rsidRPr="00D85384">
          <w:t>Division 11.10</w:t>
        </w:r>
        <w:r w:rsidR="00136761">
          <w:rPr>
            <w:rFonts w:asciiTheme="minorHAnsi" w:eastAsiaTheme="minorEastAsia" w:hAnsiTheme="minorHAnsi" w:cstheme="minorBidi"/>
            <w:b w:val="0"/>
            <w:sz w:val="22"/>
            <w:szCs w:val="22"/>
            <w:lang w:eastAsia="en-AU"/>
          </w:rPr>
          <w:tab/>
        </w:r>
        <w:r w:rsidR="00136761" w:rsidRPr="00D85384">
          <w:t>Warrants</w:t>
        </w:r>
        <w:r w:rsidR="00136761" w:rsidRPr="00136761">
          <w:rPr>
            <w:vanish/>
          </w:rPr>
          <w:tab/>
        </w:r>
        <w:r w:rsidR="00136761" w:rsidRPr="00136761">
          <w:rPr>
            <w:vanish/>
          </w:rPr>
          <w:fldChar w:fldCharType="begin"/>
        </w:r>
        <w:r w:rsidR="00136761" w:rsidRPr="00136761">
          <w:rPr>
            <w:vanish/>
          </w:rPr>
          <w:instrText xml:space="preserve"> PAGEREF _Toc526844719 \h </w:instrText>
        </w:r>
        <w:r w:rsidR="00136761" w:rsidRPr="00136761">
          <w:rPr>
            <w:vanish/>
          </w:rPr>
        </w:r>
        <w:r w:rsidR="00136761" w:rsidRPr="00136761">
          <w:rPr>
            <w:vanish/>
          </w:rPr>
          <w:fldChar w:fldCharType="separate"/>
        </w:r>
        <w:r w:rsidR="005F2669">
          <w:rPr>
            <w:vanish/>
          </w:rPr>
          <w:t>96</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20" w:history="1">
        <w:r w:rsidRPr="00D85384">
          <w:t>172</w:t>
        </w:r>
        <w:r>
          <w:rPr>
            <w:rFonts w:asciiTheme="minorHAnsi" w:eastAsiaTheme="minorEastAsia" w:hAnsiTheme="minorHAnsi" w:cstheme="minorBidi"/>
            <w:sz w:val="22"/>
            <w:szCs w:val="22"/>
            <w:lang w:eastAsia="en-AU"/>
          </w:rPr>
          <w:tab/>
        </w:r>
        <w:r w:rsidRPr="00D85384">
          <w:t>Monitoring warrants</w:t>
        </w:r>
        <w:r>
          <w:tab/>
        </w:r>
        <w:r>
          <w:fldChar w:fldCharType="begin"/>
        </w:r>
        <w:r>
          <w:instrText xml:space="preserve"> PAGEREF _Toc526844720 \h </w:instrText>
        </w:r>
        <w:r>
          <w:fldChar w:fldCharType="separate"/>
        </w:r>
        <w:r w:rsidR="005F2669">
          <w:t>96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21" w:history="1">
        <w:r w:rsidRPr="00D85384">
          <w:t>173</w:t>
        </w:r>
        <w:r>
          <w:rPr>
            <w:rFonts w:asciiTheme="minorHAnsi" w:eastAsiaTheme="minorEastAsia" w:hAnsiTheme="minorHAnsi" w:cstheme="minorBidi"/>
            <w:sz w:val="22"/>
            <w:szCs w:val="22"/>
            <w:lang w:eastAsia="en-AU"/>
          </w:rPr>
          <w:tab/>
        </w:r>
        <w:r w:rsidRPr="00D85384">
          <w:t>Offence-related warrants</w:t>
        </w:r>
        <w:r>
          <w:tab/>
        </w:r>
        <w:r>
          <w:fldChar w:fldCharType="begin"/>
        </w:r>
        <w:r>
          <w:instrText xml:space="preserve"> PAGEREF _Toc526844721 \h </w:instrText>
        </w:r>
        <w:r>
          <w:fldChar w:fldCharType="separate"/>
        </w:r>
        <w:r w:rsidR="005F2669">
          <w:t>97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22" w:history="1">
        <w:r w:rsidRPr="00D85384">
          <w:t>174</w:t>
        </w:r>
        <w:r>
          <w:rPr>
            <w:rFonts w:asciiTheme="minorHAnsi" w:eastAsiaTheme="minorEastAsia" w:hAnsiTheme="minorHAnsi" w:cstheme="minorBidi"/>
            <w:sz w:val="22"/>
            <w:szCs w:val="22"/>
            <w:lang w:eastAsia="en-AU"/>
          </w:rPr>
          <w:tab/>
        </w:r>
        <w:r w:rsidRPr="00D85384">
          <w:t>Offence-related warrants by telephone, telex, fax etc</w:t>
        </w:r>
        <w:r>
          <w:tab/>
        </w:r>
        <w:r>
          <w:fldChar w:fldCharType="begin"/>
        </w:r>
        <w:r>
          <w:instrText xml:space="preserve"> PAGEREF _Toc526844722 \h </w:instrText>
        </w:r>
        <w:r>
          <w:fldChar w:fldCharType="separate"/>
        </w:r>
        <w:r w:rsidR="005F2669">
          <w:t>98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23" w:history="1">
        <w:r w:rsidRPr="00D85384">
          <w:t>175</w:t>
        </w:r>
        <w:r>
          <w:rPr>
            <w:rFonts w:asciiTheme="minorHAnsi" w:eastAsiaTheme="minorEastAsia" w:hAnsiTheme="minorHAnsi" w:cstheme="minorBidi"/>
            <w:sz w:val="22"/>
            <w:szCs w:val="22"/>
            <w:lang w:eastAsia="en-AU"/>
          </w:rPr>
          <w:tab/>
        </w:r>
        <w:r w:rsidRPr="00D85384">
          <w:t>Offences relating to warrants</w:t>
        </w:r>
        <w:r>
          <w:tab/>
        </w:r>
        <w:r>
          <w:fldChar w:fldCharType="begin"/>
        </w:r>
        <w:r>
          <w:instrText xml:space="preserve"> PAGEREF _Toc526844723 \h </w:instrText>
        </w:r>
        <w:r>
          <w:fldChar w:fldCharType="separate"/>
        </w:r>
        <w:r w:rsidR="005F2669">
          <w:t>100</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24" w:history="1">
        <w:r w:rsidR="00136761" w:rsidRPr="00D85384">
          <w:t>Division 11.11</w:t>
        </w:r>
        <w:r w:rsidR="00136761">
          <w:rPr>
            <w:rFonts w:asciiTheme="minorHAnsi" w:eastAsiaTheme="minorEastAsia" w:hAnsiTheme="minorHAnsi" w:cstheme="minorBidi"/>
            <w:b w:val="0"/>
            <w:sz w:val="22"/>
            <w:szCs w:val="22"/>
            <w:lang w:eastAsia="en-AU"/>
          </w:rPr>
          <w:tab/>
        </w:r>
        <w:r w:rsidR="00136761" w:rsidRPr="00D85384">
          <w:t>Other matters</w:t>
        </w:r>
        <w:r w:rsidR="00136761" w:rsidRPr="00136761">
          <w:rPr>
            <w:vanish/>
          </w:rPr>
          <w:tab/>
        </w:r>
        <w:r w:rsidR="00136761" w:rsidRPr="00136761">
          <w:rPr>
            <w:vanish/>
          </w:rPr>
          <w:fldChar w:fldCharType="begin"/>
        </w:r>
        <w:r w:rsidR="00136761" w:rsidRPr="00136761">
          <w:rPr>
            <w:vanish/>
          </w:rPr>
          <w:instrText xml:space="preserve"> PAGEREF _Toc526844724 \h </w:instrText>
        </w:r>
        <w:r w:rsidR="00136761" w:rsidRPr="00136761">
          <w:rPr>
            <w:vanish/>
          </w:rPr>
        </w:r>
        <w:r w:rsidR="00136761" w:rsidRPr="00136761">
          <w:rPr>
            <w:vanish/>
          </w:rPr>
          <w:fldChar w:fldCharType="separate"/>
        </w:r>
        <w:r w:rsidR="005F2669">
          <w:rPr>
            <w:vanish/>
          </w:rPr>
          <w:t>101</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25" w:history="1">
        <w:r w:rsidRPr="00D85384">
          <w:t>176</w:t>
        </w:r>
        <w:r>
          <w:rPr>
            <w:rFonts w:asciiTheme="minorHAnsi" w:eastAsiaTheme="minorEastAsia" w:hAnsiTheme="minorHAnsi" w:cstheme="minorBidi"/>
            <w:sz w:val="22"/>
            <w:szCs w:val="22"/>
            <w:lang w:eastAsia="en-AU"/>
          </w:rPr>
          <w:tab/>
        </w:r>
        <w:r w:rsidRPr="00D85384">
          <w:t>Pt 11 not to abrogate privilege against self-incrimination</w:t>
        </w:r>
        <w:r>
          <w:tab/>
        </w:r>
        <w:r>
          <w:fldChar w:fldCharType="begin"/>
        </w:r>
        <w:r>
          <w:instrText xml:space="preserve"> PAGEREF _Toc526844725 \h </w:instrText>
        </w:r>
        <w:r>
          <w:fldChar w:fldCharType="separate"/>
        </w:r>
        <w:r w:rsidR="005F2669">
          <w:t>101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26" w:history="1">
        <w:r w:rsidRPr="00D85384">
          <w:t>176A</w:t>
        </w:r>
        <w:r>
          <w:rPr>
            <w:rFonts w:asciiTheme="minorHAnsi" w:eastAsiaTheme="minorEastAsia" w:hAnsiTheme="minorHAnsi" w:cstheme="minorBidi"/>
            <w:sz w:val="22"/>
            <w:szCs w:val="22"/>
            <w:lang w:eastAsia="en-AU"/>
          </w:rPr>
          <w:tab/>
        </w:r>
        <w:r w:rsidRPr="00D85384">
          <w:t>Damage etc to be minimised</w:t>
        </w:r>
        <w:r>
          <w:tab/>
        </w:r>
        <w:r>
          <w:fldChar w:fldCharType="begin"/>
        </w:r>
        <w:r>
          <w:instrText xml:space="preserve"> PAGEREF _Toc526844726 \h </w:instrText>
        </w:r>
        <w:r>
          <w:fldChar w:fldCharType="separate"/>
        </w:r>
        <w:r w:rsidR="005F2669">
          <w:t>101</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27" w:history="1">
        <w:r w:rsidRPr="00D85384">
          <w:t>176B</w:t>
        </w:r>
        <w:r>
          <w:rPr>
            <w:rFonts w:asciiTheme="minorHAnsi" w:eastAsiaTheme="minorEastAsia" w:hAnsiTheme="minorHAnsi" w:cstheme="minorBidi"/>
            <w:sz w:val="22"/>
            <w:szCs w:val="22"/>
            <w:lang w:eastAsia="en-AU"/>
          </w:rPr>
          <w:tab/>
        </w:r>
        <w:r w:rsidRPr="00D85384">
          <w:rPr>
            <w:snapToGrid w:val="0"/>
          </w:rPr>
          <w:t>Compensation to be paid in certain circumstances</w:t>
        </w:r>
        <w:r>
          <w:tab/>
        </w:r>
        <w:r>
          <w:fldChar w:fldCharType="begin"/>
        </w:r>
        <w:r>
          <w:instrText xml:space="preserve"> PAGEREF _Toc526844727 \h </w:instrText>
        </w:r>
        <w:r>
          <w:fldChar w:fldCharType="separate"/>
        </w:r>
        <w:r w:rsidR="005F2669">
          <w:t>102</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28" w:history="1">
        <w:r w:rsidRPr="00D85384">
          <w:t>177</w:t>
        </w:r>
        <w:r>
          <w:rPr>
            <w:rFonts w:asciiTheme="minorHAnsi" w:eastAsiaTheme="minorEastAsia" w:hAnsiTheme="minorHAnsi" w:cstheme="minorBidi"/>
            <w:sz w:val="22"/>
            <w:szCs w:val="22"/>
            <w:lang w:eastAsia="en-AU"/>
          </w:rPr>
          <w:tab/>
        </w:r>
        <w:r w:rsidRPr="00D85384">
          <w:t>Pt 11 does not limit power to impose conditions</w:t>
        </w:r>
        <w:r>
          <w:tab/>
        </w:r>
        <w:r>
          <w:fldChar w:fldCharType="begin"/>
        </w:r>
        <w:r>
          <w:instrText xml:space="preserve"> PAGEREF _Toc526844728 \h </w:instrText>
        </w:r>
        <w:r>
          <w:fldChar w:fldCharType="separate"/>
        </w:r>
        <w:r w:rsidR="005F2669">
          <w:t>102</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729" w:history="1">
        <w:r w:rsidR="00136761" w:rsidRPr="00D85384">
          <w:t>Part 12</w:t>
        </w:r>
        <w:r w:rsidR="00136761">
          <w:rPr>
            <w:rFonts w:asciiTheme="minorHAnsi" w:eastAsiaTheme="minorEastAsia" w:hAnsiTheme="minorHAnsi" w:cstheme="minorBidi"/>
            <w:b w:val="0"/>
            <w:sz w:val="22"/>
            <w:szCs w:val="22"/>
            <w:lang w:eastAsia="en-AU"/>
          </w:rPr>
          <w:tab/>
        </w:r>
        <w:r w:rsidR="00136761" w:rsidRPr="00D85384">
          <w:t>Miscellaneous</w:t>
        </w:r>
        <w:r w:rsidR="00136761" w:rsidRPr="00136761">
          <w:rPr>
            <w:vanish/>
          </w:rPr>
          <w:tab/>
        </w:r>
        <w:r w:rsidR="00136761" w:rsidRPr="00136761">
          <w:rPr>
            <w:vanish/>
          </w:rPr>
          <w:fldChar w:fldCharType="begin"/>
        </w:r>
        <w:r w:rsidR="00136761" w:rsidRPr="00136761">
          <w:rPr>
            <w:vanish/>
          </w:rPr>
          <w:instrText xml:space="preserve"> PAGEREF _Toc526844729 \h </w:instrText>
        </w:r>
        <w:r w:rsidR="00136761" w:rsidRPr="00136761">
          <w:rPr>
            <w:vanish/>
          </w:rPr>
        </w:r>
        <w:r w:rsidR="00136761" w:rsidRPr="00136761">
          <w:rPr>
            <w:vanish/>
          </w:rPr>
          <w:fldChar w:fldCharType="separate"/>
        </w:r>
        <w:r w:rsidR="005F2669">
          <w:rPr>
            <w:vanish/>
          </w:rPr>
          <w:t>103</w:t>
        </w:r>
        <w:r w:rsidR="00136761" w:rsidRPr="00136761">
          <w:rPr>
            <w:vanish/>
          </w:rP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30" w:history="1">
        <w:r w:rsidR="00136761" w:rsidRPr="00D85384">
          <w:t>Division 12.1</w:t>
        </w:r>
        <w:r w:rsidR="00136761">
          <w:rPr>
            <w:rFonts w:asciiTheme="minorHAnsi" w:eastAsiaTheme="minorEastAsia" w:hAnsiTheme="minorHAnsi" w:cstheme="minorBidi"/>
            <w:b w:val="0"/>
            <w:sz w:val="22"/>
            <w:szCs w:val="22"/>
            <w:lang w:eastAsia="en-AU"/>
          </w:rPr>
          <w:tab/>
        </w:r>
        <w:r w:rsidR="00136761" w:rsidRPr="00D85384">
          <w:t>Simplified outline of pt 12</w:t>
        </w:r>
        <w:r w:rsidR="00136761" w:rsidRPr="00136761">
          <w:rPr>
            <w:vanish/>
          </w:rPr>
          <w:tab/>
        </w:r>
        <w:r w:rsidR="00136761" w:rsidRPr="00136761">
          <w:rPr>
            <w:vanish/>
          </w:rPr>
          <w:fldChar w:fldCharType="begin"/>
        </w:r>
        <w:r w:rsidR="00136761" w:rsidRPr="00136761">
          <w:rPr>
            <w:vanish/>
          </w:rPr>
          <w:instrText xml:space="preserve"> PAGEREF _Toc526844730 \h </w:instrText>
        </w:r>
        <w:r w:rsidR="00136761" w:rsidRPr="00136761">
          <w:rPr>
            <w:vanish/>
          </w:rPr>
        </w:r>
        <w:r w:rsidR="00136761" w:rsidRPr="00136761">
          <w:rPr>
            <w:vanish/>
          </w:rPr>
          <w:fldChar w:fldCharType="separate"/>
        </w:r>
        <w:r w:rsidR="005F2669">
          <w:rPr>
            <w:vanish/>
          </w:rPr>
          <w:t>103</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31" w:history="1">
        <w:r w:rsidRPr="00D85384">
          <w:t>178</w:t>
        </w:r>
        <w:r>
          <w:rPr>
            <w:rFonts w:asciiTheme="minorHAnsi" w:eastAsiaTheme="minorEastAsia" w:hAnsiTheme="minorHAnsi" w:cstheme="minorBidi"/>
            <w:sz w:val="22"/>
            <w:szCs w:val="22"/>
            <w:lang w:eastAsia="en-AU"/>
          </w:rPr>
          <w:tab/>
        </w:r>
        <w:r w:rsidRPr="00D85384">
          <w:t>Simplified outline—pt 12</w:t>
        </w:r>
        <w:r>
          <w:tab/>
        </w:r>
        <w:r>
          <w:fldChar w:fldCharType="begin"/>
        </w:r>
        <w:r>
          <w:instrText xml:space="preserve"> PAGEREF _Toc526844731 \h </w:instrText>
        </w:r>
        <w:r>
          <w:fldChar w:fldCharType="separate"/>
        </w:r>
        <w:r w:rsidR="005F2669">
          <w:t>103</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32" w:history="1">
        <w:r w:rsidR="00136761" w:rsidRPr="00D85384">
          <w:t>Division 12.2</w:t>
        </w:r>
        <w:r w:rsidR="00136761">
          <w:rPr>
            <w:rFonts w:asciiTheme="minorHAnsi" w:eastAsiaTheme="minorEastAsia" w:hAnsiTheme="minorHAnsi" w:cstheme="minorBidi"/>
            <w:b w:val="0"/>
            <w:sz w:val="22"/>
            <w:szCs w:val="22"/>
            <w:lang w:eastAsia="en-AU"/>
          </w:rPr>
          <w:tab/>
        </w:r>
        <w:r w:rsidR="00136761" w:rsidRPr="00D85384">
          <w:t>Review of decisions</w:t>
        </w:r>
        <w:r w:rsidR="00136761" w:rsidRPr="00136761">
          <w:rPr>
            <w:vanish/>
          </w:rPr>
          <w:tab/>
        </w:r>
        <w:r w:rsidR="00136761" w:rsidRPr="00136761">
          <w:rPr>
            <w:vanish/>
          </w:rPr>
          <w:fldChar w:fldCharType="begin"/>
        </w:r>
        <w:r w:rsidR="00136761" w:rsidRPr="00136761">
          <w:rPr>
            <w:vanish/>
          </w:rPr>
          <w:instrText xml:space="preserve"> PAGEREF _Toc526844732 \h </w:instrText>
        </w:r>
        <w:r w:rsidR="00136761" w:rsidRPr="00136761">
          <w:rPr>
            <w:vanish/>
          </w:rPr>
        </w:r>
        <w:r w:rsidR="00136761" w:rsidRPr="00136761">
          <w:rPr>
            <w:vanish/>
          </w:rPr>
          <w:fldChar w:fldCharType="separate"/>
        </w:r>
        <w:r w:rsidR="005F2669">
          <w:rPr>
            <w:vanish/>
          </w:rPr>
          <w:t>103</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33" w:history="1">
        <w:r w:rsidRPr="00D85384">
          <w:t>179</w:t>
        </w:r>
        <w:r>
          <w:rPr>
            <w:rFonts w:asciiTheme="minorHAnsi" w:eastAsiaTheme="minorEastAsia" w:hAnsiTheme="minorHAnsi" w:cstheme="minorBidi"/>
            <w:sz w:val="22"/>
            <w:szCs w:val="22"/>
            <w:lang w:eastAsia="en-AU"/>
          </w:rPr>
          <w:tab/>
        </w:r>
        <w:r w:rsidRPr="00D85384">
          <w:t xml:space="preserve">Meaning of </w:t>
        </w:r>
        <w:r w:rsidRPr="00D85384">
          <w:rPr>
            <w:i/>
          </w:rPr>
          <w:t>reviewable decision</w:t>
        </w:r>
        <w:r w:rsidRPr="00D85384">
          <w:t xml:space="preserve"> and </w:t>
        </w:r>
        <w:r w:rsidRPr="00D85384">
          <w:rPr>
            <w:i/>
          </w:rPr>
          <w:t>eligible person</w:t>
        </w:r>
        <w:r>
          <w:tab/>
        </w:r>
        <w:r>
          <w:fldChar w:fldCharType="begin"/>
        </w:r>
        <w:r>
          <w:instrText xml:space="preserve"> PAGEREF _Toc526844733 \h </w:instrText>
        </w:r>
        <w:r>
          <w:fldChar w:fldCharType="separate"/>
        </w:r>
        <w:r w:rsidR="005F2669">
          <w:t>103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34" w:history="1">
        <w:r w:rsidRPr="00D85384">
          <w:t>180</w:t>
        </w:r>
        <w:r>
          <w:rPr>
            <w:rFonts w:asciiTheme="minorHAnsi" w:eastAsiaTheme="minorEastAsia" w:hAnsiTheme="minorHAnsi" w:cstheme="minorBidi"/>
            <w:sz w:val="22"/>
            <w:szCs w:val="22"/>
            <w:lang w:eastAsia="en-AU"/>
          </w:rPr>
          <w:tab/>
        </w:r>
        <w:r w:rsidRPr="00D85384">
          <w:t>Notification of decisions and review rights</w:t>
        </w:r>
        <w:r>
          <w:tab/>
        </w:r>
        <w:r>
          <w:fldChar w:fldCharType="begin"/>
        </w:r>
        <w:r>
          <w:instrText xml:space="preserve"> PAGEREF _Toc526844734 \h </w:instrText>
        </w:r>
        <w:r>
          <w:fldChar w:fldCharType="separate"/>
        </w:r>
        <w:r w:rsidR="005F2669">
          <w:t>105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35" w:history="1">
        <w:r w:rsidRPr="00D85384">
          <w:t>181</w:t>
        </w:r>
        <w:r>
          <w:rPr>
            <w:rFonts w:asciiTheme="minorHAnsi" w:eastAsiaTheme="minorEastAsia" w:hAnsiTheme="minorHAnsi" w:cstheme="minorBidi"/>
            <w:sz w:val="22"/>
            <w:szCs w:val="22"/>
            <w:lang w:eastAsia="en-AU"/>
          </w:rPr>
          <w:tab/>
        </w:r>
        <w:r w:rsidRPr="00D85384">
          <w:t>Internal review</w:t>
        </w:r>
        <w:r>
          <w:tab/>
        </w:r>
        <w:r>
          <w:fldChar w:fldCharType="begin"/>
        </w:r>
        <w:r>
          <w:instrText xml:space="preserve"> PAGEREF _Toc526844735 \h </w:instrText>
        </w:r>
        <w:r>
          <w:fldChar w:fldCharType="separate"/>
        </w:r>
        <w:r w:rsidR="005F2669">
          <w:t>106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36" w:history="1">
        <w:r w:rsidRPr="00D85384">
          <w:t>182</w:t>
        </w:r>
        <w:r>
          <w:rPr>
            <w:rFonts w:asciiTheme="minorHAnsi" w:eastAsiaTheme="minorEastAsia" w:hAnsiTheme="minorHAnsi" w:cstheme="minorBidi"/>
            <w:sz w:val="22"/>
            <w:szCs w:val="22"/>
            <w:lang w:eastAsia="en-AU"/>
          </w:rPr>
          <w:tab/>
        </w:r>
        <w:r w:rsidRPr="00D85384">
          <w:t>Deadlines for making reviewable decisions</w:t>
        </w:r>
        <w:r>
          <w:tab/>
        </w:r>
        <w:r>
          <w:fldChar w:fldCharType="begin"/>
        </w:r>
        <w:r>
          <w:instrText xml:space="preserve"> PAGEREF _Toc526844736 \h </w:instrText>
        </w:r>
        <w:r>
          <w:fldChar w:fldCharType="separate"/>
        </w:r>
        <w:r w:rsidR="005F2669">
          <w:t>106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37" w:history="1">
        <w:r w:rsidRPr="00D85384">
          <w:t>183</w:t>
        </w:r>
        <w:r>
          <w:rPr>
            <w:rFonts w:asciiTheme="minorHAnsi" w:eastAsiaTheme="minorEastAsia" w:hAnsiTheme="minorHAnsi" w:cstheme="minorBidi"/>
            <w:sz w:val="22"/>
            <w:szCs w:val="22"/>
            <w:lang w:eastAsia="en-AU"/>
          </w:rPr>
          <w:tab/>
        </w:r>
        <w:r w:rsidRPr="00D85384">
          <w:t>Review of decisions by Commonwealth administrative appeals tribunal</w:t>
        </w:r>
        <w:r>
          <w:tab/>
        </w:r>
        <w:r>
          <w:fldChar w:fldCharType="begin"/>
        </w:r>
        <w:r>
          <w:instrText xml:space="preserve"> PAGEREF _Toc526844737 \h </w:instrText>
        </w:r>
        <w:r>
          <w:fldChar w:fldCharType="separate"/>
        </w:r>
        <w:r w:rsidR="005F2669">
          <w:t>107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38" w:history="1">
        <w:r w:rsidRPr="00D85384">
          <w:t>183A</w:t>
        </w:r>
        <w:r>
          <w:rPr>
            <w:rFonts w:asciiTheme="minorHAnsi" w:eastAsiaTheme="minorEastAsia" w:hAnsiTheme="minorHAnsi" w:cstheme="minorBidi"/>
            <w:sz w:val="22"/>
            <w:szCs w:val="22"/>
            <w:lang w:eastAsia="en-AU"/>
          </w:rPr>
          <w:tab/>
        </w:r>
        <w:r w:rsidRPr="00D85384">
          <w:t>Extended standing for judicial review</w:t>
        </w:r>
        <w:r>
          <w:tab/>
        </w:r>
        <w:r>
          <w:fldChar w:fldCharType="begin"/>
        </w:r>
        <w:r>
          <w:instrText xml:space="preserve"> PAGEREF _Toc526844738 \h </w:instrText>
        </w:r>
        <w:r>
          <w:fldChar w:fldCharType="separate"/>
        </w:r>
        <w:r w:rsidR="005F2669">
          <w:t>107</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39" w:history="1">
        <w:r w:rsidR="00136761" w:rsidRPr="00D85384">
          <w:t>Division 12.3</w:t>
        </w:r>
        <w:r w:rsidR="00136761">
          <w:rPr>
            <w:rFonts w:asciiTheme="minorHAnsi" w:eastAsiaTheme="minorEastAsia" w:hAnsiTheme="minorHAnsi" w:cstheme="minorBidi"/>
            <w:b w:val="0"/>
            <w:sz w:val="22"/>
            <w:szCs w:val="22"/>
            <w:lang w:eastAsia="en-AU"/>
          </w:rPr>
          <w:tab/>
        </w:r>
        <w:r w:rsidR="00136761" w:rsidRPr="00D85384">
          <w:t>Confidential commercial information</w:t>
        </w:r>
        <w:r w:rsidR="00136761" w:rsidRPr="00136761">
          <w:rPr>
            <w:vanish/>
          </w:rPr>
          <w:tab/>
        </w:r>
        <w:r w:rsidR="00136761" w:rsidRPr="00136761">
          <w:rPr>
            <w:vanish/>
          </w:rPr>
          <w:fldChar w:fldCharType="begin"/>
        </w:r>
        <w:r w:rsidR="00136761" w:rsidRPr="00136761">
          <w:rPr>
            <w:vanish/>
          </w:rPr>
          <w:instrText xml:space="preserve"> PAGEREF _Toc526844739 \h </w:instrText>
        </w:r>
        <w:r w:rsidR="00136761" w:rsidRPr="00136761">
          <w:rPr>
            <w:vanish/>
          </w:rPr>
        </w:r>
        <w:r w:rsidR="00136761" w:rsidRPr="00136761">
          <w:rPr>
            <w:vanish/>
          </w:rPr>
          <w:fldChar w:fldCharType="separate"/>
        </w:r>
        <w:r w:rsidR="005F2669">
          <w:rPr>
            <w:vanish/>
          </w:rPr>
          <w:t>107</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40" w:history="1">
        <w:r w:rsidRPr="00D85384">
          <w:t>184</w:t>
        </w:r>
        <w:r>
          <w:rPr>
            <w:rFonts w:asciiTheme="minorHAnsi" w:eastAsiaTheme="minorEastAsia" w:hAnsiTheme="minorHAnsi" w:cstheme="minorBidi"/>
            <w:sz w:val="22"/>
            <w:szCs w:val="22"/>
            <w:lang w:eastAsia="en-AU"/>
          </w:rPr>
          <w:tab/>
        </w:r>
        <w:r w:rsidRPr="00D85384">
          <w:t>Application for protection of confidential commercial information</w:t>
        </w:r>
        <w:r>
          <w:tab/>
        </w:r>
        <w:r>
          <w:fldChar w:fldCharType="begin"/>
        </w:r>
        <w:r>
          <w:instrText xml:space="preserve"> PAGEREF _Toc526844740 \h </w:instrText>
        </w:r>
        <w:r>
          <w:fldChar w:fldCharType="separate"/>
        </w:r>
        <w:r w:rsidR="005F2669">
          <w:t>107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41" w:history="1">
        <w:r w:rsidRPr="00D85384">
          <w:t>185</w:t>
        </w:r>
        <w:r>
          <w:rPr>
            <w:rFonts w:asciiTheme="minorHAnsi" w:eastAsiaTheme="minorEastAsia" w:hAnsiTheme="minorHAnsi" w:cstheme="minorBidi"/>
            <w:sz w:val="22"/>
            <w:szCs w:val="22"/>
            <w:lang w:eastAsia="en-AU"/>
          </w:rPr>
          <w:tab/>
        </w:r>
        <w:r w:rsidRPr="00D85384">
          <w:t>Regulator may declare information is confidential commercial information</w:t>
        </w:r>
        <w:r>
          <w:tab/>
        </w:r>
        <w:r>
          <w:fldChar w:fldCharType="begin"/>
        </w:r>
        <w:r>
          <w:instrText xml:space="preserve"> PAGEREF _Toc526844741 \h </w:instrText>
        </w:r>
        <w:r>
          <w:fldChar w:fldCharType="separate"/>
        </w:r>
        <w:r w:rsidR="005F2669">
          <w:t>108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42" w:history="1">
        <w:r w:rsidRPr="00D85384">
          <w:t>186</w:t>
        </w:r>
        <w:r>
          <w:rPr>
            <w:rFonts w:asciiTheme="minorHAnsi" w:eastAsiaTheme="minorEastAsia" w:hAnsiTheme="minorHAnsi" w:cstheme="minorBidi"/>
            <w:sz w:val="22"/>
            <w:szCs w:val="22"/>
            <w:lang w:eastAsia="en-AU"/>
          </w:rPr>
          <w:tab/>
        </w:r>
        <w:r w:rsidRPr="00D85384">
          <w:t>Revocation of declaration</w:t>
        </w:r>
        <w:r>
          <w:tab/>
        </w:r>
        <w:r>
          <w:fldChar w:fldCharType="begin"/>
        </w:r>
        <w:r>
          <w:instrText xml:space="preserve"> PAGEREF _Toc526844742 \h </w:instrText>
        </w:r>
        <w:r>
          <w:fldChar w:fldCharType="separate"/>
        </w:r>
        <w:r w:rsidR="005F2669">
          <w:t>110</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43" w:history="1">
        <w:r w:rsidRPr="00D85384">
          <w:t>187</w:t>
        </w:r>
        <w:r>
          <w:rPr>
            <w:rFonts w:asciiTheme="minorHAnsi" w:eastAsiaTheme="minorEastAsia" w:hAnsiTheme="minorHAnsi" w:cstheme="minorBidi"/>
            <w:sz w:val="22"/>
            <w:szCs w:val="22"/>
            <w:lang w:eastAsia="en-AU"/>
          </w:rPr>
          <w:tab/>
        </w:r>
        <w:r w:rsidRPr="00D85384">
          <w:t>Confidential commercial information must not be disclosed</w:t>
        </w:r>
        <w:r>
          <w:tab/>
        </w:r>
        <w:r>
          <w:fldChar w:fldCharType="begin"/>
        </w:r>
        <w:r>
          <w:instrText xml:space="preserve"> PAGEREF _Toc526844743 \h </w:instrText>
        </w:r>
        <w:r>
          <w:fldChar w:fldCharType="separate"/>
        </w:r>
        <w:r w:rsidR="005F2669">
          <w:t>110</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44" w:history="1">
        <w:r w:rsidR="00136761" w:rsidRPr="00D85384">
          <w:t>Division 12.4</w:t>
        </w:r>
        <w:r w:rsidR="00136761">
          <w:rPr>
            <w:rFonts w:asciiTheme="minorHAnsi" w:eastAsiaTheme="minorEastAsia" w:hAnsiTheme="minorHAnsi" w:cstheme="minorBidi"/>
            <w:b w:val="0"/>
            <w:sz w:val="22"/>
            <w:szCs w:val="22"/>
            <w:lang w:eastAsia="en-AU"/>
          </w:rPr>
          <w:tab/>
        </w:r>
        <w:r w:rsidR="00136761" w:rsidRPr="00D85384">
          <w:t>Acts and omissions of representatives</w:t>
        </w:r>
        <w:r w:rsidR="00136761" w:rsidRPr="00136761">
          <w:rPr>
            <w:vanish/>
          </w:rPr>
          <w:tab/>
        </w:r>
        <w:r w:rsidR="00136761" w:rsidRPr="00136761">
          <w:rPr>
            <w:vanish/>
          </w:rPr>
          <w:fldChar w:fldCharType="begin"/>
        </w:r>
        <w:r w:rsidR="00136761" w:rsidRPr="00136761">
          <w:rPr>
            <w:vanish/>
          </w:rPr>
          <w:instrText xml:space="preserve"> PAGEREF _Toc526844744 \h </w:instrText>
        </w:r>
        <w:r w:rsidR="00136761" w:rsidRPr="00136761">
          <w:rPr>
            <w:vanish/>
          </w:rPr>
        </w:r>
        <w:r w:rsidR="00136761" w:rsidRPr="00136761">
          <w:rPr>
            <w:vanish/>
          </w:rPr>
          <w:fldChar w:fldCharType="separate"/>
        </w:r>
        <w:r w:rsidR="005F2669">
          <w:rPr>
            <w:vanish/>
          </w:rPr>
          <w:t>112</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45" w:history="1">
        <w:r w:rsidRPr="00D85384">
          <w:t>188</w:t>
        </w:r>
        <w:r>
          <w:rPr>
            <w:rFonts w:asciiTheme="minorHAnsi" w:eastAsiaTheme="minorEastAsia" w:hAnsiTheme="minorHAnsi" w:cstheme="minorBidi"/>
            <w:sz w:val="22"/>
            <w:szCs w:val="22"/>
            <w:lang w:eastAsia="en-AU"/>
          </w:rPr>
          <w:tab/>
        </w:r>
        <w:r w:rsidRPr="00D85384">
          <w:t>Acts and omissions of representatives</w:t>
        </w:r>
        <w:r>
          <w:tab/>
        </w:r>
        <w:r>
          <w:fldChar w:fldCharType="begin"/>
        </w:r>
        <w:r>
          <w:instrText xml:space="preserve"> PAGEREF _Toc526844745 \h </w:instrText>
        </w:r>
        <w:r>
          <w:fldChar w:fldCharType="separate"/>
        </w:r>
        <w:r w:rsidR="005F2669">
          <w:t>112</w:t>
        </w:r>
        <w:r>
          <w:fldChar w:fldCharType="end"/>
        </w:r>
      </w:hyperlink>
    </w:p>
    <w:p w:rsidR="00136761" w:rsidRDefault="00DC28D5">
      <w:pPr>
        <w:pStyle w:val="TOC3"/>
        <w:rPr>
          <w:rFonts w:asciiTheme="minorHAnsi" w:eastAsiaTheme="minorEastAsia" w:hAnsiTheme="minorHAnsi" w:cstheme="minorBidi"/>
          <w:b w:val="0"/>
          <w:sz w:val="22"/>
          <w:szCs w:val="22"/>
          <w:lang w:eastAsia="en-AU"/>
        </w:rPr>
      </w:pPr>
      <w:hyperlink w:anchor="_Toc526844746" w:history="1">
        <w:r w:rsidR="00136761" w:rsidRPr="00D85384">
          <w:t>Division 12.6</w:t>
        </w:r>
        <w:r w:rsidR="00136761">
          <w:rPr>
            <w:rFonts w:asciiTheme="minorHAnsi" w:eastAsiaTheme="minorEastAsia" w:hAnsiTheme="minorHAnsi" w:cstheme="minorBidi"/>
            <w:b w:val="0"/>
            <w:sz w:val="22"/>
            <w:szCs w:val="22"/>
            <w:lang w:eastAsia="en-AU"/>
          </w:rPr>
          <w:tab/>
        </w:r>
        <w:r w:rsidR="00136761" w:rsidRPr="00D85384">
          <w:t>Other provisions</w:t>
        </w:r>
        <w:r w:rsidR="00136761" w:rsidRPr="00136761">
          <w:rPr>
            <w:vanish/>
          </w:rPr>
          <w:tab/>
        </w:r>
        <w:r w:rsidR="00136761" w:rsidRPr="00136761">
          <w:rPr>
            <w:vanish/>
          </w:rPr>
          <w:fldChar w:fldCharType="begin"/>
        </w:r>
        <w:r w:rsidR="00136761" w:rsidRPr="00136761">
          <w:rPr>
            <w:vanish/>
          </w:rPr>
          <w:instrText xml:space="preserve"> PAGEREF _Toc526844746 \h </w:instrText>
        </w:r>
        <w:r w:rsidR="00136761" w:rsidRPr="00136761">
          <w:rPr>
            <w:vanish/>
          </w:rPr>
        </w:r>
        <w:r w:rsidR="00136761" w:rsidRPr="00136761">
          <w:rPr>
            <w:vanish/>
          </w:rPr>
          <w:fldChar w:fldCharType="separate"/>
        </w:r>
        <w:r w:rsidR="005F2669">
          <w:rPr>
            <w:vanish/>
          </w:rPr>
          <w:t>113</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47" w:history="1">
        <w:r w:rsidRPr="00D85384">
          <w:t>192</w:t>
        </w:r>
        <w:r>
          <w:rPr>
            <w:rFonts w:asciiTheme="minorHAnsi" w:eastAsiaTheme="minorEastAsia" w:hAnsiTheme="minorHAnsi" w:cstheme="minorBidi"/>
            <w:sz w:val="22"/>
            <w:szCs w:val="22"/>
            <w:lang w:eastAsia="en-AU"/>
          </w:rPr>
          <w:tab/>
        </w:r>
        <w:r w:rsidRPr="00D85384">
          <w:t>False or misleading information or document</w:t>
        </w:r>
        <w:r>
          <w:tab/>
        </w:r>
        <w:r>
          <w:fldChar w:fldCharType="begin"/>
        </w:r>
        <w:r>
          <w:instrText xml:space="preserve"> PAGEREF _Toc526844747 \h </w:instrText>
        </w:r>
        <w:r>
          <w:fldChar w:fldCharType="separate"/>
        </w:r>
        <w:r w:rsidR="005F2669">
          <w:t>113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48" w:history="1">
        <w:r w:rsidRPr="00D85384">
          <w:t>192A</w:t>
        </w:r>
        <w:r>
          <w:rPr>
            <w:rFonts w:asciiTheme="minorHAnsi" w:eastAsiaTheme="minorEastAsia" w:hAnsiTheme="minorHAnsi" w:cstheme="minorBidi"/>
            <w:sz w:val="22"/>
            <w:szCs w:val="22"/>
            <w:lang w:eastAsia="en-AU"/>
          </w:rPr>
          <w:tab/>
        </w:r>
        <w:r w:rsidRPr="00D85384">
          <w:t>Interference with dealings with GMOs</w:t>
        </w:r>
        <w:r>
          <w:tab/>
        </w:r>
        <w:r>
          <w:fldChar w:fldCharType="begin"/>
        </w:r>
        <w:r>
          <w:instrText xml:space="preserve"> PAGEREF _Toc526844748 \h </w:instrText>
        </w:r>
        <w:r>
          <w:fldChar w:fldCharType="separate"/>
        </w:r>
        <w:r w:rsidR="005F2669">
          <w:t>113</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49" w:history="1">
        <w:r w:rsidRPr="00D85384">
          <w:t>192B</w:t>
        </w:r>
        <w:r>
          <w:rPr>
            <w:rFonts w:asciiTheme="minorHAnsi" w:eastAsiaTheme="minorEastAsia" w:hAnsiTheme="minorHAnsi" w:cstheme="minorBidi"/>
            <w:sz w:val="22"/>
            <w:szCs w:val="22"/>
            <w:lang w:eastAsia="en-AU"/>
          </w:rPr>
          <w:tab/>
        </w:r>
        <w:r w:rsidRPr="00D85384">
          <w:t>Cloning of human beings is prohibited</w:t>
        </w:r>
        <w:r>
          <w:tab/>
        </w:r>
        <w:r>
          <w:fldChar w:fldCharType="begin"/>
        </w:r>
        <w:r>
          <w:instrText xml:space="preserve"> PAGEREF _Toc526844749 \h </w:instrText>
        </w:r>
        <w:r>
          <w:fldChar w:fldCharType="separate"/>
        </w:r>
        <w:r w:rsidR="005F2669">
          <w:t>115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0" w:history="1">
        <w:r w:rsidRPr="00D85384">
          <w:t>192C</w:t>
        </w:r>
        <w:r>
          <w:rPr>
            <w:rFonts w:asciiTheme="minorHAnsi" w:eastAsiaTheme="minorEastAsia" w:hAnsiTheme="minorHAnsi" w:cstheme="minorBidi"/>
            <w:sz w:val="22"/>
            <w:szCs w:val="22"/>
            <w:lang w:eastAsia="en-AU"/>
          </w:rPr>
          <w:tab/>
        </w:r>
        <w:r w:rsidRPr="00D85384">
          <w:t>Certain experiments involving animal eggs prohibited</w:t>
        </w:r>
        <w:r>
          <w:tab/>
        </w:r>
        <w:r>
          <w:fldChar w:fldCharType="begin"/>
        </w:r>
        <w:r>
          <w:instrText xml:space="preserve"> PAGEREF _Toc526844750 \h </w:instrText>
        </w:r>
        <w:r>
          <w:fldChar w:fldCharType="separate"/>
        </w:r>
        <w:r w:rsidR="005F2669">
          <w:t>115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1" w:history="1">
        <w:r w:rsidRPr="00D85384">
          <w:t>192D</w:t>
        </w:r>
        <w:r>
          <w:rPr>
            <w:rFonts w:asciiTheme="minorHAnsi" w:eastAsiaTheme="minorEastAsia" w:hAnsiTheme="minorHAnsi" w:cstheme="minorBidi"/>
            <w:sz w:val="22"/>
            <w:szCs w:val="22"/>
            <w:lang w:eastAsia="en-AU"/>
          </w:rPr>
          <w:tab/>
        </w:r>
        <w:r w:rsidRPr="00D85384">
          <w:t>Certain experiments involving putting human and animal cells into human uterus prohibited</w:t>
        </w:r>
        <w:r>
          <w:tab/>
        </w:r>
        <w:r>
          <w:fldChar w:fldCharType="begin"/>
        </w:r>
        <w:r>
          <w:instrText xml:space="preserve"> PAGEREF _Toc526844751 \h </w:instrText>
        </w:r>
        <w:r>
          <w:fldChar w:fldCharType="separate"/>
        </w:r>
        <w:r w:rsidR="005F2669">
          <w:t>115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2" w:history="1">
        <w:r w:rsidRPr="00D85384">
          <w:t>192E</w:t>
        </w:r>
        <w:r>
          <w:rPr>
            <w:rFonts w:asciiTheme="minorHAnsi" w:eastAsiaTheme="minorEastAsia" w:hAnsiTheme="minorHAnsi" w:cstheme="minorBidi"/>
            <w:sz w:val="22"/>
            <w:szCs w:val="22"/>
            <w:lang w:eastAsia="en-AU"/>
          </w:rPr>
          <w:tab/>
        </w:r>
        <w:r w:rsidRPr="00D85384">
          <w:t>Approved forms</w:t>
        </w:r>
        <w:r>
          <w:tab/>
        </w:r>
        <w:r>
          <w:fldChar w:fldCharType="begin"/>
        </w:r>
        <w:r>
          <w:instrText xml:space="preserve"> PAGEREF _Toc526844752 \h </w:instrText>
        </w:r>
        <w:r>
          <w:fldChar w:fldCharType="separate"/>
        </w:r>
        <w:r w:rsidR="005F2669">
          <w:t>115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3" w:history="1">
        <w:r w:rsidRPr="00D85384">
          <w:t>193</w:t>
        </w:r>
        <w:r>
          <w:rPr>
            <w:rFonts w:asciiTheme="minorHAnsi" w:eastAsiaTheme="minorEastAsia" w:hAnsiTheme="minorHAnsi" w:cstheme="minorBidi"/>
            <w:sz w:val="22"/>
            <w:szCs w:val="22"/>
            <w:lang w:eastAsia="en-AU"/>
          </w:rPr>
          <w:tab/>
        </w:r>
        <w:r w:rsidRPr="00D85384">
          <w:t>Regulation-making power</w:t>
        </w:r>
        <w:r>
          <w:tab/>
        </w:r>
        <w:r>
          <w:fldChar w:fldCharType="begin"/>
        </w:r>
        <w:r>
          <w:instrText xml:space="preserve"> PAGEREF _Toc526844753 \h </w:instrText>
        </w:r>
        <w:r>
          <w:fldChar w:fldCharType="separate"/>
        </w:r>
        <w:r w:rsidR="005F2669">
          <w:t>115</w:t>
        </w:r>
        <w:r>
          <w:fldChar w:fldCharType="end"/>
        </w:r>
      </w:hyperlink>
    </w:p>
    <w:p w:rsidR="00136761" w:rsidRDefault="00DC28D5">
      <w:pPr>
        <w:pStyle w:val="TOC2"/>
        <w:rPr>
          <w:rFonts w:asciiTheme="minorHAnsi" w:eastAsiaTheme="minorEastAsia" w:hAnsiTheme="minorHAnsi" w:cstheme="minorBidi"/>
          <w:b w:val="0"/>
          <w:sz w:val="22"/>
          <w:szCs w:val="22"/>
          <w:lang w:eastAsia="en-AU"/>
        </w:rPr>
      </w:pPr>
      <w:hyperlink w:anchor="_Toc526844754" w:history="1">
        <w:r w:rsidR="00136761" w:rsidRPr="00D85384">
          <w:t>Part 13</w:t>
        </w:r>
        <w:r w:rsidR="00136761">
          <w:rPr>
            <w:rFonts w:asciiTheme="minorHAnsi" w:eastAsiaTheme="minorEastAsia" w:hAnsiTheme="minorHAnsi" w:cstheme="minorBidi"/>
            <w:b w:val="0"/>
            <w:sz w:val="22"/>
            <w:szCs w:val="22"/>
            <w:lang w:eastAsia="en-AU"/>
          </w:rPr>
          <w:tab/>
        </w:r>
        <w:r w:rsidR="00136761" w:rsidRPr="00D85384">
          <w:t>Transitional—Gene Technology Amendment Act 2017</w:t>
        </w:r>
        <w:r w:rsidR="00136761" w:rsidRPr="00136761">
          <w:rPr>
            <w:vanish/>
          </w:rPr>
          <w:tab/>
        </w:r>
        <w:r w:rsidR="00136761" w:rsidRPr="00136761">
          <w:rPr>
            <w:vanish/>
          </w:rPr>
          <w:fldChar w:fldCharType="begin"/>
        </w:r>
        <w:r w:rsidR="00136761" w:rsidRPr="00136761">
          <w:rPr>
            <w:vanish/>
          </w:rPr>
          <w:instrText xml:space="preserve"> PAGEREF _Toc526844754 \h </w:instrText>
        </w:r>
        <w:r w:rsidR="00136761" w:rsidRPr="00136761">
          <w:rPr>
            <w:vanish/>
          </w:rPr>
        </w:r>
        <w:r w:rsidR="00136761" w:rsidRPr="00136761">
          <w:rPr>
            <w:vanish/>
          </w:rPr>
          <w:fldChar w:fldCharType="separate"/>
        </w:r>
        <w:r w:rsidR="005F2669">
          <w:rPr>
            <w:vanish/>
          </w:rPr>
          <w:t>116</w:t>
        </w:r>
        <w:r w:rsidR="00136761" w:rsidRPr="00136761">
          <w:rPr>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5" w:history="1">
        <w:r w:rsidRPr="00D85384">
          <w:t>200</w:t>
        </w:r>
        <w:r>
          <w:rPr>
            <w:rFonts w:asciiTheme="minorHAnsi" w:eastAsiaTheme="minorEastAsia" w:hAnsiTheme="minorHAnsi" w:cstheme="minorBidi"/>
            <w:sz w:val="22"/>
            <w:szCs w:val="22"/>
            <w:lang w:eastAsia="en-AU"/>
          </w:rPr>
          <w:tab/>
        </w:r>
        <w:r w:rsidRPr="00D85384">
          <w:t xml:space="preserve">Meaning of </w:t>
        </w:r>
        <w:r w:rsidRPr="00D85384">
          <w:rPr>
            <w:i/>
          </w:rPr>
          <w:t>commencement day</w:t>
        </w:r>
        <w:r w:rsidRPr="00D85384">
          <w:t>—pt 13</w:t>
        </w:r>
        <w:r>
          <w:tab/>
        </w:r>
        <w:r>
          <w:fldChar w:fldCharType="begin"/>
        </w:r>
        <w:r>
          <w:instrText xml:space="preserve"> PAGEREF _Toc526844755 \h </w:instrText>
        </w:r>
        <w:r>
          <w:fldChar w:fldCharType="separate"/>
        </w:r>
        <w:r w:rsidR="005F2669">
          <w:t>116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6" w:history="1">
        <w:r w:rsidRPr="00D85384">
          <w:t>201</w:t>
        </w:r>
        <w:r>
          <w:rPr>
            <w:rFonts w:asciiTheme="minorHAnsi" w:eastAsiaTheme="minorEastAsia" w:hAnsiTheme="minorHAnsi" w:cstheme="minorBidi"/>
            <w:sz w:val="22"/>
            <w:szCs w:val="22"/>
            <w:lang w:eastAsia="en-AU"/>
          </w:rPr>
          <w:tab/>
        </w:r>
        <w:r w:rsidRPr="00D85384">
          <w:t>Inadvertent dealings applications—s 46A (a) and s 49 (a)</w:t>
        </w:r>
        <w:r>
          <w:tab/>
        </w:r>
        <w:r>
          <w:fldChar w:fldCharType="begin"/>
        </w:r>
        <w:r>
          <w:instrText xml:space="preserve"> PAGEREF _Toc526844756 \h </w:instrText>
        </w:r>
        <w:r>
          <w:fldChar w:fldCharType="separate"/>
        </w:r>
        <w:r w:rsidR="005F2669">
          <w:t>116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7" w:history="1">
        <w:r w:rsidRPr="00D85384">
          <w:t>202</w:t>
        </w:r>
        <w:r>
          <w:rPr>
            <w:rFonts w:asciiTheme="minorHAnsi" w:eastAsiaTheme="minorEastAsia" w:hAnsiTheme="minorHAnsi" w:cstheme="minorBidi"/>
            <w:sz w:val="22"/>
            <w:szCs w:val="22"/>
            <w:lang w:eastAsia="en-AU"/>
          </w:rPr>
          <w:tab/>
        </w:r>
        <w:r w:rsidRPr="00D85384">
          <w:t>Variation of licence applications—s 71 (2B)</w:t>
        </w:r>
        <w:r>
          <w:tab/>
        </w:r>
        <w:r>
          <w:fldChar w:fldCharType="begin"/>
        </w:r>
        <w:r>
          <w:instrText xml:space="preserve"> PAGEREF _Toc526844757 \h </w:instrText>
        </w:r>
        <w:r>
          <w:fldChar w:fldCharType="separate"/>
        </w:r>
        <w:r w:rsidR="005F2669">
          <w:t>116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8" w:history="1">
        <w:r w:rsidRPr="00D85384">
          <w:t>203</w:t>
        </w:r>
        <w:r>
          <w:rPr>
            <w:rFonts w:asciiTheme="minorHAnsi" w:eastAsiaTheme="minorEastAsia" w:hAnsiTheme="minorHAnsi" w:cstheme="minorBidi"/>
            <w:sz w:val="22"/>
            <w:szCs w:val="22"/>
            <w:lang w:eastAsia="en-AU"/>
          </w:rPr>
          <w:tab/>
        </w:r>
        <w:r w:rsidRPr="00D85384">
          <w:t>Record of GMO dealings—s 138</w:t>
        </w:r>
        <w:r>
          <w:tab/>
        </w:r>
        <w:r>
          <w:fldChar w:fldCharType="begin"/>
        </w:r>
        <w:r>
          <w:instrText xml:space="preserve"> PAGEREF _Toc526844758 \h </w:instrText>
        </w:r>
        <w:r>
          <w:fldChar w:fldCharType="separate"/>
        </w:r>
        <w:r w:rsidR="005F2669">
          <w:t>117</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59" w:history="1">
        <w:r w:rsidRPr="00D85384">
          <w:t>204</w:t>
        </w:r>
        <w:r>
          <w:rPr>
            <w:rFonts w:asciiTheme="minorHAnsi" w:eastAsiaTheme="minorEastAsia" w:hAnsiTheme="minorHAnsi" w:cstheme="minorBidi"/>
            <w:sz w:val="22"/>
            <w:szCs w:val="22"/>
            <w:lang w:eastAsia="en-AU"/>
          </w:rPr>
          <w:tab/>
        </w:r>
        <w:r w:rsidRPr="00D85384">
          <w:t>Expiry—pt 13</w:t>
        </w:r>
        <w:r>
          <w:tab/>
        </w:r>
        <w:r>
          <w:fldChar w:fldCharType="begin"/>
        </w:r>
        <w:r>
          <w:instrText xml:space="preserve"> PAGEREF _Toc526844759 \h </w:instrText>
        </w:r>
        <w:r>
          <w:fldChar w:fldCharType="separate"/>
        </w:r>
        <w:r w:rsidR="005F2669">
          <w:t>117</w:t>
        </w:r>
        <w:r>
          <w:fldChar w:fldCharType="end"/>
        </w:r>
      </w:hyperlink>
    </w:p>
    <w:p w:rsidR="00136761" w:rsidRDefault="00DC28D5">
      <w:pPr>
        <w:pStyle w:val="TOC6"/>
        <w:rPr>
          <w:rFonts w:asciiTheme="minorHAnsi" w:eastAsiaTheme="minorEastAsia" w:hAnsiTheme="minorHAnsi" w:cstheme="minorBidi"/>
          <w:b w:val="0"/>
          <w:sz w:val="22"/>
          <w:szCs w:val="22"/>
          <w:lang w:eastAsia="en-AU"/>
        </w:rPr>
      </w:pPr>
      <w:hyperlink w:anchor="_Toc526844760" w:history="1">
        <w:r w:rsidR="00136761" w:rsidRPr="00D85384">
          <w:t>Dictionary</w:t>
        </w:r>
        <w:r w:rsidR="00136761">
          <w:tab/>
        </w:r>
        <w:r w:rsidR="00136761">
          <w:tab/>
        </w:r>
        <w:r w:rsidR="00136761">
          <w:tab/>
        </w:r>
        <w:r w:rsidR="00136761" w:rsidRPr="00136761">
          <w:rPr>
            <w:b w:val="0"/>
            <w:sz w:val="20"/>
          </w:rPr>
          <w:fldChar w:fldCharType="begin"/>
        </w:r>
        <w:r w:rsidR="00136761" w:rsidRPr="00136761">
          <w:rPr>
            <w:b w:val="0"/>
            <w:sz w:val="20"/>
          </w:rPr>
          <w:instrText xml:space="preserve"> PAGEREF _Toc526844760 \h </w:instrText>
        </w:r>
        <w:r w:rsidR="00136761" w:rsidRPr="00136761">
          <w:rPr>
            <w:b w:val="0"/>
            <w:sz w:val="20"/>
          </w:rPr>
        </w:r>
        <w:r w:rsidR="00136761" w:rsidRPr="00136761">
          <w:rPr>
            <w:b w:val="0"/>
            <w:sz w:val="20"/>
          </w:rPr>
          <w:fldChar w:fldCharType="separate"/>
        </w:r>
        <w:r w:rsidR="005F2669">
          <w:rPr>
            <w:b w:val="0"/>
            <w:sz w:val="20"/>
          </w:rPr>
          <w:t>118</w:t>
        </w:r>
        <w:r w:rsidR="00136761" w:rsidRPr="00136761">
          <w:rPr>
            <w:b w:val="0"/>
            <w:sz w:val="20"/>
          </w:rPr>
          <w:fldChar w:fldCharType="end"/>
        </w:r>
      </w:hyperlink>
    </w:p>
    <w:p w:rsidR="00FE0CF3" w:rsidRPr="00FE0CF3" w:rsidRDefault="00FE0CF3" w:rsidP="00FE0CF3">
      <w:pPr>
        <w:pStyle w:val="PageBreak"/>
        <w:rPr>
          <w:noProof/>
        </w:rPr>
      </w:pPr>
      <w:r w:rsidRPr="00FE0CF3">
        <w:rPr>
          <w:noProof/>
        </w:rPr>
        <w:br w:type="page"/>
      </w:r>
    </w:p>
    <w:p w:rsidR="00136761" w:rsidRDefault="00DC28D5" w:rsidP="00136761">
      <w:pPr>
        <w:pStyle w:val="TOC7"/>
        <w:spacing w:before="480"/>
        <w:rPr>
          <w:rFonts w:asciiTheme="minorHAnsi" w:eastAsiaTheme="minorEastAsia" w:hAnsiTheme="minorHAnsi" w:cstheme="minorBidi"/>
          <w:b w:val="0"/>
          <w:sz w:val="22"/>
          <w:szCs w:val="22"/>
          <w:lang w:eastAsia="en-AU"/>
        </w:rPr>
      </w:pPr>
      <w:hyperlink w:anchor="_Toc526844761" w:history="1">
        <w:r w:rsidR="00136761">
          <w:t>Endnotes</w:t>
        </w:r>
        <w:r w:rsidR="00136761" w:rsidRPr="00136761">
          <w:rPr>
            <w:vanish/>
          </w:rPr>
          <w:tab/>
        </w:r>
        <w:r w:rsidR="00136761">
          <w:rPr>
            <w:vanish/>
          </w:rPr>
          <w:tab/>
        </w:r>
        <w:r w:rsidR="00136761" w:rsidRPr="00136761">
          <w:rPr>
            <w:b w:val="0"/>
            <w:vanish/>
          </w:rPr>
          <w:fldChar w:fldCharType="begin"/>
        </w:r>
        <w:r w:rsidR="00136761" w:rsidRPr="00136761">
          <w:rPr>
            <w:b w:val="0"/>
            <w:vanish/>
          </w:rPr>
          <w:instrText xml:space="preserve"> PAGEREF _Toc526844761 \h </w:instrText>
        </w:r>
        <w:r w:rsidR="00136761" w:rsidRPr="00136761">
          <w:rPr>
            <w:b w:val="0"/>
            <w:vanish/>
          </w:rPr>
        </w:r>
        <w:r w:rsidR="00136761" w:rsidRPr="00136761">
          <w:rPr>
            <w:b w:val="0"/>
            <w:vanish/>
          </w:rPr>
          <w:fldChar w:fldCharType="separate"/>
        </w:r>
        <w:r w:rsidR="005F2669">
          <w:rPr>
            <w:b w:val="0"/>
            <w:vanish/>
          </w:rPr>
          <w:t>125</w:t>
        </w:r>
        <w:r w:rsidR="00136761" w:rsidRPr="00136761">
          <w:rPr>
            <w:b w:val="0"/>
            <w:vanish/>
          </w:rP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62" w:history="1">
        <w:r w:rsidRPr="00D85384">
          <w:t>1</w:t>
        </w:r>
        <w:r>
          <w:rPr>
            <w:rFonts w:asciiTheme="minorHAnsi" w:eastAsiaTheme="minorEastAsia" w:hAnsiTheme="minorHAnsi" w:cstheme="minorBidi"/>
            <w:sz w:val="22"/>
            <w:szCs w:val="22"/>
            <w:lang w:eastAsia="en-AU"/>
          </w:rPr>
          <w:tab/>
        </w:r>
        <w:r w:rsidRPr="00D85384">
          <w:t>About the endnotes</w:t>
        </w:r>
        <w:r>
          <w:tab/>
        </w:r>
        <w:r>
          <w:fldChar w:fldCharType="begin"/>
        </w:r>
        <w:r>
          <w:instrText xml:space="preserve"> PAGEREF _Toc526844762 \h </w:instrText>
        </w:r>
        <w:r>
          <w:fldChar w:fldCharType="separate"/>
        </w:r>
        <w:r w:rsidR="005F2669">
          <w:t>125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63" w:history="1">
        <w:r w:rsidRPr="00D85384">
          <w:t>2</w:t>
        </w:r>
        <w:r>
          <w:rPr>
            <w:rFonts w:asciiTheme="minorHAnsi" w:eastAsiaTheme="minorEastAsia" w:hAnsiTheme="minorHAnsi" w:cstheme="minorBidi"/>
            <w:sz w:val="22"/>
            <w:szCs w:val="22"/>
            <w:lang w:eastAsia="en-AU"/>
          </w:rPr>
          <w:tab/>
        </w:r>
        <w:r w:rsidRPr="00D85384">
          <w:t>Abbreviation key</w:t>
        </w:r>
        <w:r>
          <w:tab/>
        </w:r>
        <w:r>
          <w:fldChar w:fldCharType="begin"/>
        </w:r>
        <w:r>
          <w:instrText xml:space="preserve"> PAGEREF _Toc526844763 \h </w:instrText>
        </w:r>
        <w:r>
          <w:fldChar w:fldCharType="separate"/>
        </w:r>
        <w:r w:rsidR="005F2669">
          <w:t>125</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64" w:history="1">
        <w:r w:rsidRPr="00D85384">
          <w:t>3</w:t>
        </w:r>
        <w:r>
          <w:rPr>
            <w:rFonts w:asciiTheme="minorHAnsi" w:eastAsiaTheme="minorEastAsia" w:hAnsiTheme="minorHAnsi" w:cstheme="minorBidi"/>
            <w:sz w:val="22"/>
            <w:szCs w:val="22"/>
            <w:lang w:eastAsia="en-AU"/>
          </w:rPr>
          <w:tab/>
        </w:r>
        <w:r w:rsidRPr="00D85384">
          <w:t>Legislation history</w:t>
        </w:r>
        <w:r>
          <w:tab/>
        </w:r>
        <w:r>
          <w:fldChar w:fldCharType="begin"/>
        </w:r>
        <w:r>
          <w:instrText xml:space="preserve"> PAGEREF _Toc526844764 \h </w:instrText>
        </w:r>
        <w:r>
          <w:fldChar w:fldCharType="separate"/>
        </w:r>
        <w:r w:rsidR="005F2669">
          <w:t>126</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65" w:history="1">
        <w:r w:rsidRPr="00D85384">
          <w:t>4</w:t>
        </w:r>
        <w:r>
          <w:rPr>
            <w:rFonts w:asciiTheme="minorHAnsi" w:eastAsiaTheme="minorEastAsia" w:hAnsiTheme="minorHAnsi" w:cstheme="minorBidi"/>
            <w:sz w:val="22"/>
            <w:szCs w:val="22"/>
            <w:lang w:eastAsia="en-AU"/>
          </w:rPr>
          <w:tab/>
        </w:r>
        <w:r w:rsidRPr="00D85384">
          <w:t>Amendment history</w:t>
        </w:r>
        <w:r>
          <w:tab/>
        </w:r>
        <w:r>
          <w:fldChar w:fldCharType="begin"/>
        </w:r>
        <w:r>
          <w:instrText xml:space="preserve"> PAGEREF _Toc526844765 \h </w:instrText>
        </w:r>
        <w:r>
          <w:fldChar w:fldCharType="separate"/>
        </w:r>
        <w:r w:rsidR="005F2669">
          <w:t>128</w:t>
        </w:r>
        <w:r>
          <w:fldChar w:fldCharType="end"/>
        </w:r>
      </w:hyperlink>
    </w:p>
    <w:p w:rsidR="00136761" w:rsidRDefault="00136761">
      <w:pPr>
        <w:pStyle w:val="TOC5"/>
        <w:rPr>
          <w:rFonts w:asciiTheme="minorHAnsi" w:eastAsiaTheme="minorEastAsia" w:hAnsiTheme="minorHAnsi" w:cstheme="minorBidi"/>
          <w:sz w:val="22"/>
          <w:szCs w:val="22"/>
          <w:lang w:eastAsia="en-AU"/>
        </w:rPr>
      </w:pPr>
      <w:r>
        <w:tab/>
      </w:r>
      <w:hyperlink w:anchor="_Toc526844766" w:history="1">
        <w:r w:rsidRPr="00D85384">
          <w:t>5</w:t>
        </w:r>
        <w:r>
          <w:rPr>
            <w:rFonts w:asciiTheme="minorHAnsi" w:eastAsiaTheme="minorEastAsia" w:hAnsiTheme="minorHAnsi" w:cstheme="minorBidi"/>
            <w:sz w:val="22"/>
            <w:szCs w:val="22"/>
            <w:lang w:eastAsia="en-AU"/>
          </w:rPr>
          <w:tab/>
        </w:r>
        <w:r w:rsidRPr="00D85384">
          <w:t>Earlier republications</w:t>
        </w:r>
        <w:r>
          <w:tab/>
        </w:r>
        <w:r>
          <w:fldChar w:fldCharType="begin"/>
        </w:r>
        <w:r>
          <w:instrText xml:space="preserve"> PAGEREF _Toc526844766 \h </w:instrText>
        </w:r>
        <w:r>
          <w:fldChar w:fldCharType="separate"/>
        </w:r>
        <w:r w:rsidR="005F2669">
          <w:t>134</w:t>
        </w:r>
        <w:r>
          <w:fldChar w:fldCharType="end"/>
        </w:r>
      </w:hyperlink>
    </w:p>
    <w:p w:rsidR="00F93509" w:rsidRDefault="00136761" w:rsidP="00F93509">
      <w:pPr>
        <w:pStyle w:val="BillBasic"/>
      </w:pPr>
      <w:r>
        <w:fldChar w:fldCharType="end"/>
      </w:r>
    </w:p>
    <w:p w:rsidR="00F93509" w:rsidRDefault="00F93509" w:rsidP="00F93509">
      <w:pPr>
        <w:pStyle w:val="01Contents"/>
        <w:sectPr w:rsidR="00F93509">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F93509" w:rsidRDefault="00F93509" w:rsidP="00F93509">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3509" w:rsidRDefault="00F93509" w:rsidP="00F93509">
      <w:pPr>
        <w:jc w:val="center"/>
        <w:rPr>
          <w:rFonts w:ascii="Arial" w:hAnsi="Arial"/>
        </w:rPr>
      </w:pPr>
      <w:r>
        <w:rPr>
          <w:rFonts w:ascii="Arial" w:hAnsi="Arial"/>
        </w:rPr>
        <w:t>Australian Capital Territory</w:t>
      </w:r>
    </w:p>
    <w:p w:rsidR="00F93509" w:rsidRDefault="00136761" w:rsidP="00F93509">
      <w:pPr>
        <w:pStyle w:val="Billname"/>
      </w:pPr>
      <w:bookmarkStart w:id="7" w:name="Citation"/>
      <w:r>
        <w:t>Gene Technology Act 2003</w:t>
      </w:r>
      <w:bookmarkEnd w:id="7"/>
    </w:p>
    <w:p w:rsidR="00F93509" w:rsidRDefault="00F93509" w:rsidP="00F93509">
      <w:pPr>
        <w:pStyle w:val="ActNo"/>
      </w:pPr>
    </w:p>
    <w:p w:rsidR="00F93509" w:rsidRDefault="00F93509" w:rsidP="00F93509">
      <w:pPr>
        <w:pStyle w:val="N-line3"/>
      </w:pPr>
    </w:p>
    <w:p w:rsidR="00F93509" w:rsidRDefault="00F93509" w:rsidP="00F93509">
      <w:pPr>
        <w:pStyle w:val="LongTitle"/>
      </w:pPr>
      <w:r>
        <w:t>An Act to regulate activities involving gene technology, and for related purposes</w:t>
      </w:r>
    </w:p>
    <w:p w:rsidR="00F93509" w:rsidRDefault="00F93509" w:rsidP="00F93509">
      <w:pPr>
        <w:pStyle w:val="N-line3"/>
      </w:pPr>
    </w:p>
    <w:p w:rsidR="00F93509" w:rsidRDefault="00F93509" w:rsidP="00F93509">
      <w:pPr>
        <w:pStyle w:val="Placeholder"/>
      </w:pPr>
      <w:r>
        <w:rPr>
          <w:rStyle w:val="charContents"/>
          <w:sz w:val="16"/>
        </w:rPr>
        <w:t xml:space="preserve">  </w:t>
      </w:r>
      <w:r>
        <w:rPr>
          <w:rStyle w:val="charPage"/>
        </w:rPr>
        <w:t xml:space="preserve">  </w:t>
      </w:r>
    </w:p>
    <w:p w:rsidR="00F93509" w:rsidRDefault="00F93509" w:rsidP="00F93509">
      <w:pPr>
        <w:pStyle w:val="Placeholder"/>
      </w:pPr>
      <w:r>
        <w:rPr>
          <w:rStyle w:val="CharChapNo"/>
        </w:rPr>
        <w:t xml:space="preserve">  </w:t>
      </w:r>
      <w:r>
        <w:rPr>
          <w:rStyle w:val="CharChapText"/>
        </w:rPr>
        <w:t xml:space="preserve">  </w:t>
      </w:r>
    </w:p>
    <w:p w:rsidR="00F93509" w:rsidRDefault="00F93509" w:rsidP="00F93509">
      <w:pPr>
        <w:pStyle w:val="Placeholder"/>
      </w:pPr>
      <w:r>
        <w:rPr>
          <w:rStyle w:val="CharPartNo"/>
        </w:rPr>
        <w:t xml:space="preserve">  </w:t>
      </w:r>
      <w:r>
        <w:rPr>
          <w:rStyle w:val="CharPartText"/>
        </w:rPr>
        <w:t xml:space="preserve">  </w:t>
      </w:r>
    </w:p>
    <w:p w:rsidR="00F93509" w:rsidRDefault="00F93509" w:rsidP="00F93509">
      <w:pPr>
        <w:pStyle w:val="Placeholder"/>
      </w:pPr>
      <w:r>
        <w:rPr>
          <w:rStyle w:val="CharDivNo"/>
        </w:rPr>
        <w:t xml:space="preserve">  </w:t>
      </w:r>
      <w:r>
        <w:rPr>
          <w:rStyle w:val="CharDivText"/>
        </w:rPr>
        <w:t xml:space="preserve">  </w:t>
      </w:r>
    </w:p>
    <w:p w:rsidR="00F93509" w:rsidRPr="00CA74E4" w:rsidRDefault="00F93509" w:rsidP="00F93509">
      <w:pPr>
        <w:pStyle w:val="PageBreak"/>
      </w:pPr>
      <w:r w:rsidRPr="00CA74E4">
        <w:br w:type="page"/>
      </w:r>
    </w:p>
    <w:p w:rsidR="00F93509" w:rsidRPr="00325B6A" w:rsidRDefault="00F93509" w:rsidP="00F93509">
      <w:pPr>
        <w:pStyle w:val="AH2Part"/>
      </w:pPr>
      <w:bookmarkStart w:id="8" w:name="_Toc526844485"/>
      <w:r w:rsidRPr="00325B6A">
        <w:rPr>
          <w:rStyle w:val="CharPartNo"/>
        </w:rPr>
        <w:t>Part 1</w:t>
      </w:r>
      <w:r>
        <w:tab/>
      </w:r>
      <w:r w:rsidRPr="00325B6A">
        <w:rPr>
          <w:rStyle w:val="CharPartText"/>
        </w:rPr>
        <w:t>Preliminary</w:t>
      </w:r>
      <w:bookmarkEnd w:id="8"/>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9" w:name="_Toc526844486"/>
      <w:r w:rsidRPr="00325B6A">
        <w:rPr>
          <w:rStyle w:val="CharSectNo"/>
        </w:rPr>
        <w:t>1</w:t>
      </w:r>
      <w:r>
        <w:tab/>
        <w:t>Name of Act etc</w:t>
      </w:r>
      <w:bookmarkEnd w:id="9"/>
    </w:p>
    <w:p w:rsidR="00F93509" w:rsidRDefault="00F93509" w:rsidP="00F93509">
      <w:pPr>
        <w:pStyle w:val="Amain"/>
      </w:pPr>
      <w:r>
        <w:tab/>
        <w:t>(1)</w:t>
      </w:r>
      <w:r>
        <w:tab/>
        <w:t xml:space="preserve">This Act is the </w:t>
      </w:r>
      <w:r w:rsidRPr="00903C3C">
        <w:rPr>
          <w:rStyle w:val="charItals"/>
        </w:rPr>
        <w:t>Gene Technology Act 2003</w:t>
      </w:r>
      <w:r>
        <w:t>.</w:t>
      </w:r>
    </w:p>
    <w:p w:rsidR="00F93509" w:rsidRDefault="00F93509" w:rsidP="00F93509">
      <w:pPr>
        <w:pStyle w:val="Amain"/>
        <w:keepNext/>
      </w:pPr>
      <w:r>
        <w:tab/>
        <w:t>(2)</w:t>
      </w:r>
      <w:r>
        <w:tab/>
        <w:t>This Act may also be referred to as the Gene Technology Law of the ACT or simply as the Gene Technology Law.</w:t>
      </w:r>
    </w:p>
    <w:p w:rsidR="00F93509" w:rsidRDefault="00F93509" w:rsidP="00F93509">
      <w:pPr>
        <w:pStyle w:val="aNote"/>
      </w:pPr>
      <w:r w:rsidRPr="00903C3C">
        <w:rPr>
          <w:rStyle w:val="charItals"/>
        </w:rPr>
        <w:t>Note</w:t>
      </w:r>
      <w:r w:rsidRPr="00903C3C">
        <w:rPr>
          <w:rStyle w:val="charItals"/>
        </w:rPr>
        <w:tab/>
      </w:r>
      <w:r>
        <w:t xml:space="preserve">This section differs from the </w:t>
      </w:r>
      <w:hyperlink r:id="rId30" w:tooltip="Gene Technology Act 2000" w:history="1">
        <w:r w:rsidRPr="00575CE6">
          <w:rPr>
            <w:rStyle w:val="charCitHyperlinkAbbrev"/>
          </w:rPr>
          <w:t>Commonwealth Act</w:t>
        </w:r>
      </w:hyperlink>
      <w:r>
        <w:t>, s 1.</w:t>
      </w:r>
    </w:p>
    <w:p w:rsidR="00F93509" w:rsidRDefault="00F93509" w:rsidP="00F93509">
      <w:pPr>
        <w:pStyle w:val="AH5Sec"/>
      </w:pPr>
      <w:bookmarkStart w:id="10" w:name="_Toc526844487"/>
      <w:r w:rsidRPr="00325B6A">
        <w:rPr>
          <w:rStyle w:val="CharSectNo"/>
        </w:rPr>
        <w:t>3</w:t>
      </w:r>
      <w:r>
        <w:tab/>
        <w:t>Object of Act</w:t>
      </w:r>
      <w:bookmarkEnd w:id="10"/>
    </w:p>
    <w:p w:rsidR="00F93509" w:rsidRDefault="00F93509" w:rsidP="00F93509">
      <w:pPr>
        <w:pStyle w:val="Amainreturn"/>
      </w:pPr>
      <w:r>
        <w:t>The object of this Act is to protect the health and safety of people, and to protect the environment, by identifying risks posed by or as a result of gene technology, and by managing those risks through regulating certain dealings with GMOs.</w:t>
      </w:r>
    </w:p>
    <w:p w:rsidR="00F93509" w:rsidRDefault="00F93509" w:rsidP="00F93509">
      <w:pPr>
        <w:pStyle w:val="AH5Sec"/>
      </w:pPr>
      <w:bookmarkStart w:id="11" w:name="_Toc526844488"/>
      <w:r w:rsidRPr="00325B6A">
        <w:rPr>
          <w:rStyle w:val="CharSectNo"/>
        </w:rPr>
        <w:t>4</w:t>
      </w:r>
      <w:r>
        <w:tab/>
        <w:t>Regulatory framework to achieve object</w:t>
      </w:r>
      <w:bookmarkEnd w:id="11"/>
    </w:p>
    <w:p w:rsidR="00F93509" w:rsidRDefault="00F93509" w:rsidP="00F93509">
      <w:pPr>
        <w:pStyle w:val="Amainreturn"/>
      </w:pPr>
      <w:r>
        <w:t>The object of this Act is to be achieved through a regulatory framework that—</w:t>
      </w:r>
    </w:p>
    <w:p w:rsidR="00F93509" w:rsidRDefault="00F93509" w:rsidP="00F93509">
      <w:pPr>
        <w:pStyle w:val="Apara"/>
      </w:pPr>
      <w:r>
        <w:rPr>
          <w:rFonts w:ascii="Tms Rmn" w:hAnsi="Tms Rmn"/>
        </w:rPr>
        <w:tab/>
        <w:t>(a)</w:t>
      </w:r>
      <w:r>
        <w:rPr>
          <w:rFonts w:ascii="Tms Rmn" w:hAnsi="Tms Rmn"/>
        </w:rPr>
        <w:tab/>
      </w:r>
      <w:r>
        <w:t>provides that where there are threats of serious or irreversible environmental damage, a lack of full scientific certainty should not be used as a reason for postponing cost-effective measures to prevent environmental degradation; and</w:t>
      </w:r>
    </w:p>
    <w:p w:rsidR="00F93509" w:rsidRDefault="00F93509" w:rsidP="00F93509">
      <w:pPr>
        <w:pStyle w:val="Apara"/>
      </w:pPr>
      <w:r>
        <w:rPr>
          <w:rFonts w:ascii="Tms Rmn" w:hAnsi="Tms Rmn"/>
        </w:rPr>
        <w:tab/>
        <w:t>(b)</w:t>
      </w:r>
      <w:r>
        <w:rPr>
          <w:rFonts w:ascii="Tms Rmn" w:hAnsi="Tms Rmn"/>
        </w:rPr>
        <w:tab/>
      </w:r>
      <w:r>
        <w:t xml:space="preserve">provides an efficient and effective system for the application of gene technologies; and </w:t>
      </w:r>
    </w:p>
    <w:p w:rsidR="00F93509" w:rsidRDefault="00F93509" w:rsidP="00F93509">
      <w:pPr>
        <w:pStyle w:val="Apara"/>
        <w:keepNext/>
      </w:pPr>
      <w:r>
        <w:rPr>
          <w:rFonts w:ascii="Tms Rmn" w:hAnsi="Tms Rmn"/>
        </w:rPr>
        <w:tab/>
        <w:t>(c)</w:t>
      </w:r>
      <w:r>
        <w:rPr>
          <w:rFonts w:ascii="Tms Rmn" w:hAnsi="Tms Rmn"/>
        </w:rPr>
        <w:tab/>
      </w:r>
      <w:r>
        <w:t>operates in conjunction with other Commonwealth and State regulatory schemes relevant to GMOs and GM products.</w:t>
      </w:r>
    </w:p>
    <w:p w:rsidR="00F93509" w:rsidRDefault="00F93509" w:rsidP="00F93509">
      <w:pPr>
        <w:pStyle w:val="aNote"/>
      </w:pPr>
      <w:r>
        <w:rPr>
          <w:rStyle w:val="charItals"/>
        </w:rPr>
        <w:t>Note</w:t>
      </w:r>
      <w:r>
        <w:tab/>
        <w:t>Examples of the schemes mentioned in par (c) are those that regulate food, agricultural and veterinary chemicals, industrial chemicals and therapeutic goods.</w:t>
      </w:r>
    </w:p>
    <w:p w:rsidR="00F93509" w:rsidRDefault="00F93509" w:rsidP="00F93509">
      <w:pPr>
        <w:pStyle w:val="AH5Sec"/>
      </w:pPr>
      <w:bookmarkStart w:id="12" w:name="_Toc526844489"/>
      <w:r w:rsidRPr="00325B6A">
        <w:rPr>
          <w:rStyle w:val="CharSectNo"/>
        </w:rPr>
        <w:t>5</w:t>
      </w:r>
      <w:r>
        <w:tab/>
        <w:t>Nationally consistent scheme</w:t>
      </w:r>
      <w:bookmarkEnd w:id="12"/>
    </w:p>
    <w:p w:rsidR="00F93509" w:rsidRDefault="00F93509" w:rsidP="00F93509">
      <w:pPr>
        <w:pStyle w:val="Amainreturn"/>
      </w:pPr>
      <w:r>
        <w:t>It is the intention of the Legislative Assembly that this Act form a component of a nationally consistent scheme for the regulation of certain dealings with GMOs by the Commonwealth and the States.</w:t>
      </w:r>
    </w:p>
    <w:p w:rsidR="00F93509" w:rsidRDefault="00F93509" w:rsidP="00F93509">
      <w:pPr>
        <w:pStyle w:val="AH5Sec"/>
      </w:pPr>
      <w:bookmarkStart w:id="13" w:name="_Toc526844490"/>
      <w:r w:rsidRPr="00325B6A">
        <w:rPr>
          <w:rStyle w:val="CharSectNo"/>
        </w:rPr>
        <w:t>6</w:t>
      </w:r>
      <w:r>
        <w:tab/>
        <w:t>Act to bind the Crown</w:t>
      </w:r>
      <w:bookmarkEnd w:id="13"/>
    </w:p>
    <w:p w:rsidR="00F93509" w:rsidRDefault="00F93509" w:rsidP="00F93509">
      <w:pPr>
        <w:pStyle w:val="aNote"/>
      </w:pPr>
      <w:r w:rsidRPr="00903C3C">
        <w:rPr>
          <w:rStyle w:val="charItals"/>
        </w:rPr>
        <w:t>Note</w:t>
      </w:r>
      <w:r w:rsidRPr="00903C3C">
        <w:rPr>
          <w:rStyle w:val="charItals"/>
        </w:rPr>
        <w:tab/>
      </w:r>
      <w:r>
        <w:t>The</w:t>
      </w:r>
      <w:r w:rsidR="0065444A">
        <w:t xml:space="preserve"> </w:t>
      </w:r>
      <w:hyperlink r:id="rId31" w:tooltip="Gene Technology Act 2000" w:history="1">
        <w:r w:rsidR="0065444A" w:rsidRPr="0065444A">
          <w:rPr>
            <w:rStyle w:val="charCitHyperlinkAbbrev"/>
          </w:rPr>
          <w:t>Commonwealth Act</w:t>
        </w:r>
      </w:hyperlink>
      <w:r w:rsidR="0065444A">
        <w:t xml:space="preserve"> </w:t>
      </w:r>
      <w:r>
        <w:t xml:space="preserve">includes a provision binding the Crown. The provision is unnecessary in the ACT (see </w:t>
      </w:r>
      <w:hyperlink r:id="rId32" w:tooltip="A2001-14" w:history="1">
        <w:r w:rsidRPr="00903C3C">
          <w:rPr>
            <w:rStyle w:val="charCitHyperlinkAbbrev"/>
          </w:rPr>
          <w:t>Legislation Act</w:t>
        </w:r>
      </w:hyperlink>
      <w:r>
        <w:t>, s 121).</w:t>
      </w:r>
    </w:p>
    <w:p w:rsidR="00F93509" w:rsidRDefault="00F93509" w:rsidP="00F93509">
      <w:pPr>
        <w:pStyle w:val="AH5Sec"/>
      </w:pPr>
      <w:bookmarkStart w:id="14" w:name="_Toc526844491"/>
      <w:r w:rsidRPr="00325B6A">
        <w:rPr>
          <w:rStyle w:val="CharSectNo"/>
        </w:rPr>
        <w:t>7</w:t>
      </w:r>
      <w:r>
        <w:tab/>
        <w:t>External Territories</w:t>
      </w:r>
      <w:bookmarkEnd w:id="14"/>
    </w:p>
    <w:p w:rsidR="00F93509" w:rsidRDefault="00F93509" w:rsidP="00F93509">
      <w:pPr>
        <w:pStyle w:val="aNote"/>
      </w:pPr>
      <w:r>
        <w:rPr>
          <w:rStyle w:val="charItals"/>
        </w:rPr>
        <w:t>Note</w:t>
      </w:r>
      <w:r>
        <w:tab/>
        <w:t xml:space="preserve">The </w:t>
      </w:r>
      <w:hyperlink r:id="rId33" w:tooltip="Gene Technology Act 2000" w:history="1">
        <w:r w:rsidRPr="00575CE6">
          <w:rPr>
            <w:rStyle w:val="charCitHyperlinkAbbrev"/>
          </w:rPr>
          <w:t>Commonwealth Act</w:t>
        </w:r>
      </w:hyperlink>
      <w:r>
        <w:t xml:space="preserve"> includes a provision extending that Act to every external territory other than Norfolk Island.</w:t>
      </w:r>
    </w:p>
    <w:p w:rsidR="00F93509" w:rsidRDefault="00F93509" w:rsidP="00F93509">
      <w:pPr>
        <w:pStyle w:val="AH5Sec"/>
      </w:pPr>
      <w:bookmarkStart w:id="15" w:name="_Toc526844492"/>
      <w:r w:rsidRPr="00325B6A">
        <w:rPr>
          <w:rStyle w:val="CharSectNo"/>
        </w:rPr>
        <w:t>8</w:t>
      </w:r>
      <w:r>
        <w:tab/>
        <w:t>Offences against Act—application of Criminal Code etc</w:t>
      </w:r>
      <w:bookmarkEnd w:id="15"/>
    </w:p>
    <w:p w:rsidR="00F93509" w:rsidRDefault="00F93509" w:rsidP="00F93509">
      <w:pPr>
        <w:pStyle w:val="Amain"/>
        <w:keepNext/>
      </w:pPr>
      <w:r>
        <w:tab/>
      </w:r>
      <w:r>
        <w:tab/>
        <w:t>Other legislation applies to offences against this Act.</w:t>
      </w:r>
    </w:p>
    <w:p w:rsidR="00F93509" w:rsidRPr="00903C3C" w:rsidRDefault="00F93509" w:rsidP="00F93509">
      <w:pPr>
        <w:pStyle w:val="aNote"/>
        <w:rPr>
          <w:rStyle w:val="charItals"/>
        </w:rPr>
      </w:pPr>
      <w:r w:rsidRPr="00903C3C">
        <w:rPr>
          <w:rStyle w:val="charItals"/>
        </w:rPr>
        <w:t>Note 1</w:t>
      </w:r>
      <w:r w:rsidRPr="00903C3C">
        <w:rPr>
          <w:rStyle w:val="charItals"/>
        </w:rPr>
        <w:tab/>
        <w:t>Criminal Code</w:t>
      </w:r>
    </w:p>
    <w:p w:rsidR="00F93509" w:rsidRDefault="00F93509" w:rsidP="00F93509">
      <w:pPr>
        <w:pStyle w:val="aNote"/>
      </w:pPr>
      <w:r w:rsidRPr="00903C3C">
        <w:tab/>
      </w:r>
      <w:r>
        <w:t xml:space="preserve">The </w:t>
      </w:r>
      <w:hyperlink r:id="rId34" w:tooltip="A2002-51" w:history="1">
        <w:r w:rsidRPr="00903C3C">
          <w:rPr>
            <w:rStyle w:val="charCitHyperlinkAbbrev"/>
          </w:rPr>
          <w:t>Criminal Code</w:t>
        </w:r>
      </w:hyperlink>
      <w:r>
        <w:t>, ch 2 applies to all offences against this Act (see Code, pt 2.1).</w:t>
      </w:r>
    </w:p>
    <w:p w:rsidR="00F93509" w:rsidRDefault="00F93509" w:rsidP="00F93509">
      <w:pPr>
        <w:pStyle w:val="aNote"/>
      </w:pPr>
      <w:r>
        <w:tab/>
        <w:t xml:space="preserve">The chapter sets out the general principles of criminal responsibility (including burdens of proof and general defences), and defines terms used for offences to which the Code applies (eg </w:t>
      </w:r>
      <w:r w:rsidRPr="00903C3C">
        <w:rPr>
          <w:rStyle w:val="charBoldItals"/>
        </w:rPr>
        <w:t>conduct, intention, recklessness</w:t>
      </w:r>
      <w:r>
        <w:t xml:space="preserve"> and </w:t>
      </w:r>
      <w:r w:rsidRPr="00903C3C">
        <w:rPr>
          <w:rStyle w:val="charBoldItals"/>
        </w:rPr>
        <w:t>strict liability</w:t>
      </w:r>
      <w:r>
        <w:t>).</w:t>
      </w:r>
    </w:p>
    <w:p w:rsidR="00F93509" w:rsidRPr="00903C3C" w:rsidRDefault="00F93509" w:rsidP="00F93509">
      <w:pPr>
        <w:pStyle w:val="aNote"/>
        <w:rPr>
          <w:rStyle w:val="charItals"/>
        </w:rPr>
      </w:pPr>
      <w:r w:rsidRPr="00903C3C">
        <w:rPr>
          <w:rStyle w:val="charItals"/>
        </w:rPr>
        <w:t>Note 2</w:t>
      </w:r>
      <w:r>
        <w:tab/>
      </w:r>
      <w:r w:rsidRPr="00903C3C">
        <w:rPr>
          <w:rStyle w:val="charItals"/>
        </w:rPr>
        <w:t>Penalty units</w:t>
      </w:r>
    </w:p>
    <w:p w:rsidR="00F93509" w:rsidRDefault="00F93509" w:rsidP="00F93509">
      <w:pPr>
        <w:pStyle w:val="aNote"/>
      </w:pPr>
      <w:r>
        <w:tab/>
        <w:t xml:space="preserve">The </w:t>
      </w:r>
      <w:hyperlink r:id="rId35" w:tooltip="A2001-14" w:history="1">
        <w:r w:rsidRPr="00903C3C">
          <w:rPr>
            <w:rStyle w:val="charCitHyperlinkAbbrev"/>
          </w:rPr>
          <w:t>Legislation Act</w:t>
        </w:r>
      </w:hyperlink>
      <w:r>
        <w:t>, s 133 deals with the meaning of offence penalties that are expressed in penalty units.</w:t>
      </w:r>
    </w:p>
    <w:p w:rsidR="00F93509" w:rsidRDefault="00F93509" w:rsidP="00F93509">
      <w:pPr>
        <w:pStyle w:val="aNote"/>
      </w:pPr>
      <w:r>
        <w:rPr>
          <w:rStyle w:val="charItals"/>
        </w:rPr>
        <w:t>Note 3</w:t>
      </w:r>
      <w:r>
        <w:tab/>
        <w:t xml:space="preserve">This section differs from the </w:t>
      </w:r>
      <w:hyperlink r:id="rId36" w:tooltip="Gene Technology Act 2000" w:history="1">
        <w:r w:rsidR="00FD2B77" w:rsidRPr="00823FD6">
          <w:rPr>
            <w:rStyle w:val="charCitHyperlinkAbbrev"/>
          </w:rPr>
          <w:t>Commonwealth Act</w:t>
        </w:r>
      </w:hyperlink>
      <w:r>
        <w:t>, s 8.</w:t>
      </w:r>
    </w:p>
    <w:p w:rsidR="00F93509" w:rsidRDefault="00F93509" w:rsidP="00F93509">
      <w:pPr>
        <w:pStyle w:val="AH5Sec"/>
      </w:pPr>
      <w:bookmarkStart w:id="16" w:name="_Toc526844493"/>
      <w:r w:rsidRPr="00325B6A">
        <w:rPr>
          <w:rStyle w:val="CharSectNo"/>
        </w:rPr>
        <w:t>8A</w:t>
      </w:r>
      <w:r>
        <w:tab/>
        <w:t>Numbering</w:t>
      </w:r>
      <w:bookmarkEnd w:id="16"/>
    </w:p>
    <w:p w:rsidR="00F93509" w:rsidRDefault="00F93509" w:rsidP="00F93509">
      <w:pPr>
        <w:pStyle w:val="Amain"/>
        <w:keepNext/>
      </w:pPr>
      <w:r>
        <w:rPr>
          <w:rFonts w:ascii="Tms Rmn" w:hAnsi="Tms Rmn"/>
        </w:rPr>
        <w:tab/>
        <w:t>(1)</w:t>
      </w:r>
      <w:r>
        <w:rPr>
          <w:rFonts w:ascii="Tms Rmn" w:hAnsi="Tms Rmn"/>
        </w:rPr>
        <w:tab/>
      </w:r>
      <w:r>
        <w:t xml:space="preserve">To maintain consistent section numbering between this Act and the </w:t>
      </w:r>
      <w:hyperlink r:id="rId37" w:tooltip="Gene Technology Act 2000" w:history="1">
        <w:r w:rsidR="00FD2B77" w:rsidRPr="00823FD6">
          <w:rPr>
            <w:rStyle w:val="charCitHyperlinkAbbrev"/>
          </w:rPr>
          <w:t>Commonwealth Act</w:t>
        </w:r>
      </w:hyperlink>
      <w:r>
        <w:t>—</w:t>
      </w:r>
    </w:p>
    <w:p w:rsidR="00F93509" w:rsidRDefault="00F93509" w:rsidP="00F93509">
      <w:pPr>
        <w:pStyle w:val="Apara"/>
        <w:keepLines/>
      </w:pPr>
      <w:r>
        <w:rPr>
          <w:rFonts w:ascii="Tms Rmn" w:hAnsi="Tms Rmn"/>
        </w:rPr>
        <w:tab/>
        <w:t>(a)</w:t>
      </w:r>
      <w:r>
        <w:rPr>
          <w:rFonts w:ascii="Tms Rmn" w:hAnsi="Tms Rmn"/>
        </w:rPr>
        <w:tab/>
      </w:r>
      <w:r>
        <w:t xml:space="preserve">if the </w:t>
      </w:r>
      <w:hyperlink r:id="rId38" w:tooltip="Gene Technology Act 2000" w:history="1">
        <w:r w:rsidR="00FD2B77" w:rsidRPr="00823FD6">
          <w:rPr>
            <w:rStyle w:val="charCitHyperlinkAbbrev"/>
          </w:rPr>
          <w:t>Commonwealth Act</w:t>
        </w:r>
      </w:hyperlink>
      <w:r>
        <w:t xml:space="preserve"> contains a section that is not needed in this Act—the provision number and heading to the section appearing in the </w:t>
      </w:r>
      <w:hyperlink r:id="rId39" w:tooltip="Gene Technology Act 2000" w:history="1">
        <w:r w:rsidR="00FD2B77" w:rsidRPr="00823FD6">
          <w:rPr>
            <w:rStyle w:val="charCitHyperlinkAbbrev"/>
          </w:rPr>
          <w:t>Commonwealth Act</w:t>
        </w:r>
      </w:hyperlink>
      <w:r>
        <w:t xml:space="preserve"> are included in this Act despite the omission of the body of the section; and</w:t>
      </w:r>
    </w:p>
    <w:p w:rsidR="00F93509" w:rsidRDefault="00F93509" w:rsidP="00F93509">
      <w:pPr>
        <w:pStyle w:val="Apara"/>
      </w:pPr>
      <w:r>
        <w:rPr>
          <w:rFonts w:ascii="Tms Rmn" w:hAnsi="Tms Rmn"/>
        </w:rPr>
        <w:tab/>
        <w:t>(b)</w:t>
      </w:r>
      <w:r>
        <w:rPr>
          <w:rFonts w:ascii="Tms Rmn" w:hAnsi="Tms Rmn"/>
        </w:rPr>
        <w:tab/>
      </w:r>
      <w:r>
        <w:t xml:space="preserve">if this Act contains a section that is not included in the </w:t>
      </w:r>
      <w:hyperlink r:id="rId40" w:tooltip="Gene Technology Act 2000" w:history="1">
        <w:r w:rsidR="00FD2B77" w:rsidRPr="00823FD6">
          <w:rPr>
            <w:rStyle w:val="charCitHyperlinkAbbrev"/>
          </w:rPr>
          <w:t>Commonwealth Act</w:t>
        </w:r>
      </w:hyperlink>
      <w:r>
        <w:t>—the section is numbered so as to maintain consistency in numbering between sections common to both Acts.</w:t>
      </w:r>
    </w:p>
    <w:p w:rsidR="00F93509" w:rsidRDefault="00F93509" w:rsidP="00F93509">
      <w:pPr>
        <w:pStyle w:val="Amain"/>
      </w:pPr>
      <w:r>
        <w:rPr>
          <w:rFonts w:ascii="Tms Rmn" w:hAnsi="Tms Rmn"/>
        </w:rPr>
        <w:tab/>
        <w:t>(2)</w:t>
      </w:r>
      <w:r>
        <w:rPr>
          <w:rFonts w:ascii="Tms Rmn" w:hAnsi="Tms Rmn"/>
        </w:rPr>
        <w:tab/>
      </w:r>
      <w:r>
        <w:t>A provision number and heading mentioned in subsection (1) (a) form part of this Act.</w:t>
      </w:r>
    </w:p>
    <w:p w:rsidR="00F93509" w:rsidRDefault="00F93509" w:rsidP="00F93509">
      <w:pPr>
        <w:pStyle w:val="Amain"/>
        <w:keepNext/>
      </w:pPr>
      <w:r>
        <w:tab/>
        <w:t>(3)</w:t>
      </w:r>
      <w:r>
        <w:tab/>
        <w:t xml:space="preserve">If a provision of this Act (other than a section) is numbered differently from the equivalent provision of the </w:t>
      </w:r>
      <w:hyperlink r:id="rId41" w:tooltip="Gene Technology Act 2000" w:history="1">
        <w:r w:rsidR="00FD2B77" w:rsidRPr="00823FD6">
          <w:rPr>
            <w:rStyle w:val="charCitHyperlinkAbbrev"/>
          </w:rPr>
          <w:t>Commonwealth Act</w:t>
        </w:r>
      </w:hyperlink>
      <w:r>
        <w:t xml:space="preserve">, the provision of this Act may be referred to using the number of the equivalent provision of the </w:t>
      </w:r>
      <w:hyperlink r:id="rId42" w:tooltip="Gene Technology Act 2000" w:history="1">
        <w:r w:rsidR="00FD2B77" w:rsidRPr="00823FD6">
          <w:rPr>
            <w:rStyle w:val="charCitHyperlinkAbbrev"/>
          </w:rPr>
          <w:t>Commonwealth Act</w:t>
        </w:r>
      </w:hyperlink>
      <w:r>
        <w:t>.</w:t>
      </w:r>
    </w:p>
    <w:p w:rsidR="00F93509" w:rsidRDefault="00F93509" w:rsidP="00F93509">
      <w:pPr>
        <w:pStyle w:val="aNote"/>
        <w:keepNext/>
      </w:pPr>
      <w:r>
        <w:rPr>
          <w:rStyle w:val="charItals"/>
        </w:rPr>
        <w:t>Note 1</w:t>
      </w:r>
      <w:r>
        <w:tab/>
        <w:t xml:space="preserve">A note appears under each heading of a kind mentioned in s (1) (a) describing the omitted section of the </w:t>
      </w:r>
      <w:hyperlink r:id="rId43" w:tooltip="Gene Technology Act 2000" w:history="1">
        <w:r w:rsidR="00FD2B77" w:rsidRPr="00823FD6">
          <w:rPr>
            <w:rStyle w:val="charCitHyperlinkAbbrev"/>
          </w:rPr>
          <w:t>Commonwealth Act</w:t>
        </w:r>
      </w:hyperlink>
      <w:r>
        <w:t>.</w:t>
      </w:r>
    </w:p>
    <w:p w:rsidR="00F93509" w:rsidRDefault="00F93509" w:rsidP="00F93509">
      <w:pPr>
        <w:pStyle w:val="aNote"/>
        <w:keepNext/>
      </w:pPr>
      <w:r>
        <w:rPr>
          <w:rStyle w:val="charItals"/>
        </w:rPr>
        <w:t>Note 2</w:t>
      </w:r>
      <w:r>
        <w:tab/>
        <w:t xml:space="preserve">A note appears under each section of a kind mentioned in s (1) (b) highlighting the non-appearance of an equivalent section in the </w:t>
      </w:r>
      <w:hyperlink r:id="rId44" w:tooltip="Gene Technology Act 2000" w:history="1">
        <w:r w:rsidR="00FD2B77" w:rsidRPr="00823FD6">
          <w:rPr>
            <w:rStyle w:val="charCitHyperlinkAbbrev"/>
          </w:rPr>
          <w:t>Commonwealth Act</w:t>
        </w:r>
      </w:hyperlink>
      <w:r>
        <w:t>.</w:t>
      </w:r>
    </w:p>
    <w:p w:rsidR="00F93509" w:rsidRDefault="00F93509" w:rsidP="00F93509">
      <w:pPr>
        <w:pStyle w:val="aNote"/>
      </w:pPr>
      <w:r>
        <w:rPr>
          <w:rStyle w:val="charItals"/>
        </w:rPr>
        <w:t>Note 3</w:t>
      </w:r>
      <w:r>
        <w:tab/>
        <w:t xml:space="preserve">This section does not appear in the </w:t>
      </w:r>
      <w:hyperlink r:id="rId45" w:tooltip="Gene Technology Act 2000" w:history="1">
        <w:r w:rsidR="00FD2B77" w:rsidRPr="00823FD6">
          <w:rPr>
            <w:rStyle w:val="charCitHyperlinkAbbrev"/>
          </w:rPr>
          <w:t>Commonwealth Act</w:t>
        </w:r>
      </w:hyperlink>
      <w:r>
        <w:t>.</w:t>
      </w:r>
    </w:p>
    <w:p w:rsidR="00F93509" w:rsidRDefault="00F93509" w:rsidP="00F93509">
      <w:pPr>
        <w:pStyle w:val="AH5Sec"/>
      </w:pPr>
      <w:bookmarkStart w:id="17" w:name="_Toc526844494"/>
      <w:r w:rsidRPr="00325B6A">
        <w:rPr>
          <w:rStyle w:val="CharSectNo"/>
        </w:rPr>
        <w:t>8B</w:t>
      </w:r>
      <w:r>
        <w:tab/>
        <w:t>Notes</w:t>
      </w:r>
      <w:bookmarkEnd w:id="17"/>
    </w:p>
    <w:p w:rsidR="00F93509" w:rsidRDefault="00F93509" w:rsidP="00F93509">
      <w:pPr>
        <w:pStyle w:val="Amainreturn"/>
        <w:keepNext/>
      </w:pPr>
      <w:r>
        <w:t>A note included in this Act is explanatory and is not part of this Act.</w:t>
      </w:r>
    </w:p>
    <w:p w:rsidR="00F93509" w:rsidRDefault="00F93509" w:rsidP="00F93509">
      <w:pPr>
        <w:pStyle w:val="aNote"/>
      </w:pPr>
      <w:r w:rsidRPr="00903C3C">
        <w:rPr>
          <w:rStyle w:val="charItals"/>
        </w:rPr>
        <w:t>Note 1</w:t>
      </w:r>
      <w:r w:rsidRPr="00903C3C">
        <w:rPr>
          <w:rStyle w:val="charItals"/>
        </w:rPr>
        <w:tab/>
      </w:r>
      <w:r>
        <w:t xml:space="preserve">See the </w:t>
      </w:r>
      <w:hyperlink r:id="rId46" w:tooltip="A2001-14" w:history="1">
        <w:r w:rsidRPr="00903C3C">
          <w:rPr>
            <w:rStyle w:val="charCitHyperlinkAbbrev"/>
          </w:rPr>
          <w:t>Legislation Act</w:t>
        </w:r>
      </w:hyperlink>
      <w:r>
        <w:t>, s 127 (1), (4) and (5) for the legal status of notes.</w:t>
      </w:r>
    </w:p>
    <w:p w:rsidR="00F93509" w:rsidRDefault="00F93509" w:rsidP="00F93509">
      <w:pPr>
        <w:pStyle w:val="aNote"/>
      </w:pPr>
      <w:r>
        <w:rPr>
          <w:rStyle w:val="charItals"/>
        </w:rPr>
        <w:t>Note 2</w:t>
      </w:r>
      <w:r>
        <w:tab/>
        <w:t xml:space="preserve">This section does not appear in the </w:t>
      </w:r>
      <w:hyperlink r:id="rId47" w:tooltip="Gene Technology Act 2000" w:history="1">
        <w:r w:rsidR="00FD2B77" w:rsidRPr="00823FD6">
          <w:rPr>
            <w:rStyle w:val="charCitHyperlinkAbbrev"/>
          </w:rPr>
          <w:t>Commonwealth Act</w:t>
        </w:r>
      </w:hyperlink>
      <w:r>
        <w:t>.</w:t>
      </w:r>
    </w:p>
    <w:p w:rsidR="00F93509" w:rsidRDefault="00F93509" w:rsidP="00F93509">
      <w:pPr>
        <w:pStyle w:val="AH5Sec"/>
      </w:pPr>
      <w:bookmarkStart w:id="18" w:name="_Toc526844495"/>
      <w:r w:rsidRPr="00325B6A">
        <w:rPr>
          <w:rStyle w:val="CharSectNo"/>
        </w:rPr>
        <w:t>8C</w:t>
      </w:r>
      <w:r>
        <w:tab/>
        <w:t>Outlines</w:t>
      </w:r>
      <w:bookmarkEnd w:id="18"/>
    </w:p>
    <w:p w:rsidR="00F93509" w:rsidRDefault="00F93509" w:rsidP="00F93509">
      <w:pPr>
        <w:pStyle w:val="Amainreturn"/>
        <w:keepNext/>
      </w:pPr>
      <w:r>
        <w:t>The provisions appearing at the beginning of parts 2 to 12, outlining the part (simplified outlines), are intended only as a guide to readers about the general scheme and effect of the parts.</w:t>
      </w:r>
    </w:p>
    <w:p w:rsidR="00F93509" w:rsidRDefault="00F93509" w:rsidP="00F93509">
      <w:pPr>
        <w:pStyle w:val="aNote"/>
      </w:pPr>
      <w:r>
        <w:rPr>
          <w:rStyle w:val="charItals"/>
        </w:rPr>
        <w:t>Note</w:t>
      </w:r>
      <w:r>
        <w:tab/>
        <w:t xml:space="preserve">This section does not appear in the </w:t>
      </w:r>
      <w:hyperlink r:id="rId48" w:tooltip="Gene Technology Act 2000" w:history="1">
        <w:r w:rsidR="00FD2B77" w:rsidRPr="00823FD6">
          <w:rPr>
            <w:rStyle w:val="charCitHyperlinkAbbrev"/>
          </w:rPr>
          <w:t>Commonwealth Act</w:t>
        </w:r>
      </w:hyperlink>
      <w:r>
        <w:t>.</w:t>
      </w:r>
    </w:p>
    <w:p w:rsidR="00F93509" w:rsidRPr="00A91E66" w:rsidRDefault="00F93509" w:rsidP="00F93509">
      <w:pPr>
        <w:pStyle w:val="PageBreak"/>
      </w:pPr>
      <w:r w:rsidRPr="00A91E66">
        <w:br w:type="page"/>
      </w:r>
    </w:p>
    <w:p w:rsidR="00F93509" w:rsidRPr="00325B6A" w:rsidRDefault="00F93509" w:rsidP="00F93509">
      <w:pPr>
        <w:pStyle w:val="AH2Part"/>
      </w:pPr>
      <w:bookmarkStart w:id="19" w:name="_Toc526844496"/>
      <w:r w:rsidRPr="00325B6A">
        <w:rPr>
          <w:rStyle w:val="CharPartNo"/>
        </w:rPr>
        <w:t>Part 2</w:t>
      </w:r>
      <w:r>
        <w:tab/>
      </w:r>
      <w:r w:rsidRPr="00325B6A">
        <w:rPr>
          <w:rStyle w:val="CharPartText"/>
        </w:rPr>
        <w:t>Interpretation and operation of Act</w:t>
      </w:r>
      <w:bookmarkEnd w:id="19"/>
    </w:p>
    <w:p w:rsidR="00F93509" w:rsidRPr="00325B6A" w:rsidRDefault="00F93509" w:rsidP="00F93509">
      <w:pPr>
        <w:pStyle w:val="AH3Div"/>
      </w:pPr>
      <w:bookmarkStart w:id="20" w:name="_Toc526844497"/>
      <w:r w:rsidRPr="00325B6A">
        <w:rPr>
          <w:rStyle w:val="CharDivNo"/>
        </w:rPr>
        <w:t>Division 2.1</w:t>
      </w:r>
      <w:r>
        <w:tab/>
      </w:r>
      <w:r w:rsidRPr="00325B6A">
        <w:rPr>
          <w:rStyle w:val="CharDivText"/>
        </w:rPr>
        <w:t>Simplified outline of pt 2</w:t>
      </w:r>
      <w:bookmarkEnd w:id="20"/>
    </w:p>
    <w:p w:rsidR="00F93509" w:rsidRDefault="00F93509" w:rsidP="00F93509">
      <w:pPr>
        <w:pStyle w:val="AH5Sec"/>
      </w:pPr>
      <w:bookmarkStart w:id="21" w:name="_Toc526844498"/>
      <w:r w:rsidRPr="00325B6A">
        <w:rPr>
          <w:rStyle w:val="CharSectNo"/>
        </w:rPr>
        <w:t>9</w:t>
      </w:r>
      <w:r>
        <w:tab/>
        <w:t>Simplified outline—pt 2</w:t>
      </w:r>
      <w:bookmarkEnd w:id="21"/>
    </w:p>
    <w:p w:rsidR="00F93509" w:rsidRDefault="00F93509" w:rsidP="00F93509">
      <w:pPr>
        <w:pStyle w:val="Amainreturn"/>
      </w:pPr>
      <w:r>
        <w:t>In outline, this part—</w:t>
      </w:r>
    </w:p>
    <w:p w:rsidR="00F93509" w:rsidRDefault="00F93509" w:rsidP="00F93509">
      <w:pPr>
        <w:pStyle w:val="Apara"/>
      </w:pPr>
      <w:r>
        <w:tab/>
        <w:t>(a)</w:t>
      </w:r>
      <w:r>
        <w:tab/>
        <w:t>provides for the definitions used in this Act; and</w:t>
      </w:r>
    </w:p>
    <w:p w:rsidR="00F93509" w:rsidRDefault="00F93509" w:rsidP="00F93509">
      <w:pPr>
        <w:pStyle w:val="Apara"/>
      </w:pPr>
      <w:r>
        <w:tab/>
        <w:t>(b)</w:t>
      </w:r>
      <w:r>
        <w:tab/>
        <w:t>contains provisions to facilitate a nationally consistent regulatory scheme; and</w:t>
      </w:r>
    </w:p>
    <w:p w:rsidR="00F93509" w:rsidRDefault="00F93509" w:rsidP="00F93509">
      <w:pPr>
        <w:pStyle w:val="Apara"/>
        <w:keepNext/>
      </w:pPr>
      <w:r>
        <w:tab/>
        <w:t>(c)</w:t>
      </w:r>
      <w:r>
        <w:tab/>
        <w:t>enables the ministerial council to issue policy principles, policy guidelines and codes of practice.</w:t>
      </w:r>
    </w:p>
    <w:p w:rsidR="00F93509" w:rsidRDefault="00F93509" w:rsidP="00F93509">
      <w:pPr>
        <w:pStyle w:val="aNote"/>
      </w:pPr>
      <w:r>
        <w:rPr>
          <w:rStyle w:val="charItals"/>
        </w:rPr>
        <w:t>Note</w:t>
      </w:r>
      <w:r>
        <w:tab/>
        <w:t xml:space="preserve">This section differs from the </w:t>
      </w:r>
      <w:hyperlink r:id="rId49" w:tooltip="Gene Technology Act 2000" w:history="1">
        <w:r w:rsidR="00FD2B77" w:rsidRPr="00823FD6">
          <w:rPr>
            <w:rStyle w:val="charCitHyperlinkAbbrev"/>
          </w:rPr>
          <w:t>Commonwealth Act</w:t>
        </w:r>
      </w:hyperlink>
      <w:r>
        <w:t>, s 9.</w:t>
      </w:r>
    </w:p>
    <w:p w:rsidR="00F93509" w:rsidRPr="00325B6A" w:rsidRDefault="00F93509" w:rsidP="00F93509">
      <w:pPr>
        <w:pStyle w:val="AH3Div"/>
      </w:pPr>
      <w:bookmarkStart w:id="22" w:name="_Toc526844499"/>
      <w:r w:rsidRPr="00325B6A">
        <w:rPr>
          <w:rStyle w:val="CharDivNo"/>
        </w:rPr>
        <w:t>Division 2.2</w:t>
      </w:r>
      <w:r>
        <w:tab/>
      </w:r>
      <w:r w:rsidRPr="00325B6A">
        <w:rPr>
          <w:rStyle w:val="CharDivText"/>
        </w:rPr>
        <w:t>Interpretation</w:t>
      </w:r>
      <w:bookmarkEnd w:id="22"/>
    </w:p>
    <w:p w:rsidR="00F93509" w:rsidRDefault="00F93509" w:rsidP="00F93509">
      <w:pPr>
        <w:pStyle w:val="AH5Sec"/>
      </w:pPr>
      <w:bookmarkStart w:id="23" w:name="_Toc526844500"/>
      <w:r w:rsidRPr="00325B6A">
        <w:rPr>
          <w:rStyle w:val="CharSectNo"/>
        </w:rPr>
        <w:t>10</w:t>
      </w:r>
      <w:r>
        <w:tab/>
        <w:t>Dictionary etc</w:t>
      </w:r>
      <w:bookmarkEnd w:id="23"/>
    </w:p>
    <w:p w:rsidR="00F93509" w:rsidRDefault="00F93509" w:rsidP="00F93509">
      <w:pPr>
        <w:pStyle w:val="Amain"/>
        <w:keepNext/>
      </w:pPr>
      <w:r>
        <w:tab/>
        <w:t>(1)</w:t>
      </w:r>
      <w:r>
        <w:tab/>
        <w:t>The dictionary at the end of this Act is part of this Act.</w:t>
      </w:r>
    </w:p>
    <w:p w:rsidR="00F93509" w:rsidRDefault="00F93509" w:rsidP="00F93509">
      <w:pPr>
        <w:pStyle w:val="aNote"/>
      </w:pPr>
      <w:r w:rsidRPr="00903C3C">
        <w:rPr>
          <w:rStyle w:val="charItals"/>
        </w:rPr>
        <w:t>Note 1</w:t>
      </w:r>
      <w:r w:rsidRPr="00903C3C">
        <w:rPr>
          <w:rStyle w:val="charItals"/>
        </w:rPr>
        <w:tab/>
      </w:r>
      <w:r>
        <w:t>The dictionary at the end of this Act defines certain terms used in this Act, and includes references (</w:t>
      </w:r>
      <w:r w:rsidRPr="00903C3C">
        <w:rPr>
          <w:rStyle w:val="charBoldItals"/>
        </w:rPr>
        <w:t>signpost definitions</w:t>
      </w:r>
      <w:r>
        <w:t>) to other terms defined elsewhere in this Act.</w:t>
      </w:r>
    </w:p>
    <w:p w:rsidR="00F93509" w:rsidRDefault="00F93509" w:rsidP="00F93509">
      <w:pPr>
        <w:pStyle w:val="aNote"/>
      </w:pPr>
      <w:r>
        <w:tab/>
        <w:t>For example, the signpost definition ‘</w:t>
      </w:r>
      <w:r w:rsidRPr="00903C3C">
        <w:rPr>
          <w:rStyle w:val="charBoldItals"/>
        </w:rPr>
        <w:t>aggravated offence</w:t>
      </w:r>
      <w:r>
        <w:t>—see section 38 (1).’ means that the term ‘aggravated offence’ is defined in that subsection.</w:t>
      </w:r>
    </w:p>
    <w:p w:rsidR="00F93509" w:rsidRDefault="00F93509" w:rsidP="00F93509">
      <w:pPr>
        <w:pStyle w:val="aNote"/>
      </w:pPr>
      <w:r w:rsidRPr="00903C3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50" w:tooltip="A2001-14" w:history="1">
        <w:r w:rsidRPr="00903C3C">
          <w:rPr>
            <w:rStyle w:val="charCitHyperlinkAbbrev"/>
          </w:rPr>
          <w:t>Legislation Act</w:t>
        </w:r>
      </w:hyperlink>
      <w:r>
        <w:t>, s 155 and s 156 (1)).</w:t>
      </w:r>
    </w:p>
    <w:p w:rsidR="00F93509" w:rsidRDefault="00F93509" w:rsidP="00F93509">
      <w:pPr>
        <w:pStyle w:val="Amain"/>
        <w:keepNext/>
      </w:pPr>
      <w:r>
        <w:rPr>
          <w:rFonts w:ascii="Tms Rmn" w:hAnsi="Tms Rmn"/>
        </w:rPr>
        <w:tab/>
        <w:t>(2)</w:t>
      </w:r>
      <w:r>
        <w:rPr>
          <w:rFonts w:ascii="Tms Rmn" w:hAnsi="Tms Rmn"/>
        </w:rPr>
        <w:tab/>
      </w:r>
      <w:r>
        <w:t xml:space="preserve">If this Act requires or permits the ministerial council to do something, the ministerial council must do it in accordance with the </w:t>
      </w:r>
      <w:hyperlink r:id="rId51" w:tooltip="gene technology agreement" w:history="1">
        <w:r w:rsidRPr="00EE014D">
          <w:rPr>
            <w:rStyle w:val="charCitHyperlinkAbbrev"/>
          </w:rPr>
          <w:t>gene technology agreement</w:t>
        </w:r>
      </w:hyperlink>
      <w:r>
        <w:t xml:space="preserve">. </w:t>
      </w:r>
    </w:p>
    <w:p w:rsidR="00F93509" w:rsidRDefault="00F93509" w:rsidP="00F93509">
      <w:pPr>
        <w:pStyle w:val="aNote"/>
      </w:pPr>
      <w:r>
        <w:rPr>
          <w:rStyle w:val="charItals"/>
        </w:rPr>
        <w:t>Note</w:t>
      </w:r>
      <w:r>
        <w:tab/>
        <w:t xml:space="preserve">Subsection (1) differs from the </w:t>
      </w:r>
      <w:hyperlink r:id="rId52" w:tooltip="Gene Technology Act 2000" w:history="1">
        <w:r w:rsidR="00FD2B77" w:rsidRPr="00823FD6">
          <w:rPr>
            <w:rStyle w:val="charCitHyperlinkAbbrev"/>
          </w:rPr>
          <w:t>Commonwealth Act</w:t>
        </w:r>
      </w:hyperlink>
      <w:r>
        <w:t>, s 10 (1).</w:t>
      </w:r>
    </w:p>
    <w:p w:rsidR="00F93509" w:rsidRDefault="00F93509" w:rsidP="00F93509">
      <w:pPr>
        <w:pStyle w:val="AH5Sec"/>
      </w:pPr>
      <w:bookmarkStart w:id="24" w:name="_Toc526844501"/>
      <w:r w:rsidRPr="00325B6A">
        <w:rPr>
          <w:rStyle w:val="CharSectNo"/>
        </w:rPr>
        <w:t>11</w:t>
      </w:r>
      <w:r>
        <w:tab/>
        <w:t xml:space="preserve">Meaning of </w:t>
      </w:r>
      <w:r w:rsidRPr="00903C3C">
        <w:rPr>
          <w:rStyle w:val="charItals"/>
        </w:rPr>
        <w:t>intentional release of a GMO into the environment</w:t>
      </w:r>
      <w:bookmarkEnd w:id="24"/>
    </w:p>
    <w:p w:rsidR="00F93509" w:rsidRDefault="00F93509" w:rsidP="00F93509">
      <w:pPr>
        <w:pStyle w:val="Amainreturn"/>
      </w:pPr>
      <w:r>
        <w:t xml:space="preserve">A dealing with a GMO involves the </w:t>
      </w:r>
      <w:r w:rsidRPr="00903C3C">
        <w:rPr>
          <w:rStyle w:val="charBoldItals"/>
        </w:rPr>
        <w:t>intentional release of the GMO into the environment</w:t>
      </w:r>
      <w:r>
        <w:t xml:space="preserve"> if the GMO is intentionally released into the open environment, whether or not it is released with provision for limiting the dissemination or persistence of the GMO or its genetic material in the environment.</w:t>
      </w:r>
    </w:p>
    <w:p w:rsidR="00F93509" w:rsidRDefault="00F93509" w:rsidP="00F93509">
      <w:pPr>
        <w:pStyle w:val="AH5Sec"/>
      </w:pPr>
      <w:bookmarkStart w:id="25" w:name="_Toc526844502"/>
      <w:r w:rsidRPr="00325B6A">
        <w:rPr>
          <w:rStyle w:val="CharSectNo"/>
        </w:rPr>
        <w:t>12</w:t>
      </w:r>
      <w:r>
        <w:tab/>
        <w:t xml:space="preserve">Meaning of </w:t>
      </w:r>
      <w:r w:rsidRPr="00903C3C">
        <w:rPr>
          <w:rStyle w:val="charItals"/>
        </w:rPr>
        <w:t>corresponding State law</w:t>
      </w:r>
      <w:bookmarkEnd w:id="25"/>
    </w:p>
    <w:p w:rsidR="00F93509" w:rsidRDefault="00F93509" w:rsidP="00F93509">
      <w:pPr>
        <w:pStyle w:val="aNote"/>
      </w:pPr>
      <w:r>
        <w:rPr>
          <w:rStyle w:val="charItals"/>
        </w:rPr>
        <w:t>Note</w:t>
      </w:r>
      <w:r>
        <w:tab/>
        <w:t xml:space="preserve">The </w:t>
      </w:r>
      <w:hyperlink r:id="rId53" w:tooltip="Gene Technology Act 2000" w:history="1">
        <w:r w:rsidR="00FD2B77" w:rsidRPr="00823FD6">
          <w:rPr>
            <w:rStyle w:val="charCitHyperlinkAbbrev"/>
          </w:rPr>
          <w:t>Commonwealth Act</w:t>
        </w:r>
      </w:hyperlink>
      <w:r>
        <w:t xml:space="preserve"> includes a provision defining ‘corresponding State law’ for that Act.</w:t>
      </w:r>
    </w:p>
    <w:p w:rsidR="00F93509" w:rsidRPr="00325B6A" w:rsidRDefault="00F93509" w:rsidP="00F93509">
      <w:pPr>
        <w:pStyle w:val="AH3Div"/>
      </w:pPr>
      <w:bookmarkStart w:id="26" w:name="_Toc526844503"/>
      <w:r w:rsidRPr="00325B6A">
        <w:rPr>
          <w:rStyle w:val="CharDivNo"/>
        </w:rPr>
        <w:t>Division 2.3</w:t>
      </w:r>
      <w:r>
        <w:tab/>
      </w:r>
      <w:r w:rsidRPr="00325B6A">
        <w:rPr>
          <w:rStyle w:val="CharDivText"/>
        </w:rPr>
        <w:t>Operation of Act</w:t>
      </w:r>
      <w:bookmarkEnd w:id="26"/>
    </w:p>
    <w:p w:rsidR="00F93509" w:rsidRDefault="00F93509" w:rsidP="00F93509">
      <w:pPr>
        <w:pStyle w:val="AH5Sec"/>
      </w:pPr>
      <w:bookmarkStart w:id="27" w:name="_Toc526844504"/>
      <w:r w:rsidRPr="00325B6A">
        <w:rPr>
          <w:rStyle w:val="CharSectNo"/>
        </w:rPr>
        <w:t>13</w:t>
      </w:r>
      <w:r>
        <w:tab/>
        <w:t>Operation of Act</w:t>
      </w:r>
      <w:bookmarkEnd w:id="27"/>
    </w:p>
    <w:p w:rsidR="00F93509" w:rsidRDefault="00F93509" w:rsidP="00F93509">
      <w:pPr>
        <w:pStyle w:val="aNote"/>
      </w:pPr>
      <w:r>
        <w:rPr>
          <w:rStyle w:val="charItals"/>
        </w:rPr>
        <w:t>Note</w:t>
      </w:r>
      <w:r>
        <w:tab/>
        <w:t xml:space="preserve">The </w:t>
      </w:r>
      <w:hyperlink r:id="rId54" w:tooltip="Gene Technology Act 2000" w:history="1">
        <w:r w:rsidR="00FD2B77" w:rsidRPr="00823FD6">
          <w:rPr>
            <w:rStyle w:val="charCitHyperlinkAbbrev"/>
          </w:rPr>
          <w:t>Commonwealth Act</w:t>
        </w:r>
      </w:hyperlink>
      <w:r>
        <w:t xml:space="preserve"> includes a provision about the application of that Act. </w:t>
      </w:r>
    </w:p>
    <w:p w:rsidR="00F93509" w:rsidRDefault="00F93509" w:rsidP="00F93509">
      <w:pPr>
        <w:pStyle w:val="AH5Sec"/>
      </w:pPr>
      <w:bookmarkStart w:id="28" w:name="_Toc526844505"/>
      <w:r w:rsidRPr="00325B6A">
        <w:rPr>
          <w:rStyle w:val="CharSectNo"/>
        </w:rPr>
        <w:t>14</w:t>
      </w:r>
      <w:r>
        <w:tab/>
        <w:t>Wind-back of reach of Act</w:t>
      </w:r>
      <w:bookmarkEnd w:id="28"/>
    </w:p>
    <w:p w:rsidR="00F93509" w:rsidRPr="00903C3C" w:rsidRDefault="00F93509" w:rsidP="00F93509">
      <w:pPr>
        <w:pStyle w:val="aNote"/>
      </w:pPr>
      <w:r>
        <w:rPr>
          <w:rStyle w:val="charItals"/>
        </w:rPr>
        <w:t>Note</w:t>
      </w:r>
      <w:r>
        <w:rPr>
          <w:rStyle w:val="charItals"/>
        </w:rPr>
        <w:tab/>
      </w:r>
      <w:r>
        <w:t xml:space="preserve">The </w:t>
      </w:r>
      <w:hyperlink r:id="rId55" w:tooltip="Gene Technology Act 2000" w:history="1">
        <w:r w:rsidR="00FD2B77" w:rsidRPr="00823FD6">
          <w:rPr>
            <w:rStyle w:val="charCitHyperlinkAbbrev"/>
          </w:rPr>
          <w:t>Commonwealth Act</w:t>
        </w:r>
      </w:hyperlink>
      <w:r>
        <w:t xml:space="preserve"> includes a provision about the giving of wind-back notices to a State.</w:t>
      </w:r>
    </w:p>
    <w:p w:rsidR="00F93509" w:rsidRDefault="00F93509" w:rsidP="00F93509">
      <w:pPr>
        <w:pStyle w:val="AH5Sec"/>
      </w:pPr>
      <w:bookmarkStart w:id="29" w:name="_Toc526844506"/>
      <w:r w:rsidRPr="00325B6A">
        <w:rPr>
          <w:rStyle w:val="CharSectNo"/>
        </w:rPr>
        <w:t>15</w:t>
      </w:r>
      <w:r>
        <w:tab/>
        <w:t>Relationship to other territory laws</w:t>
      </w:r>
      <w:bookmarkEnd w:id="29"/>
    </w:p>
    <w:p w:rsidR="00F93509" w:rsidRDefault="00F93509" w:rsidP="00F93509">
      <w:pPr>
        <w:pStyle w:val="Amainreturn"/>
        <w:keepNext/>
      </w:pPr>
      <w:r>
        <w:t>This Act is in addition to, and not in substitution for, the requirements of any other territory law, whether passed or made before or after the commencement of this section.</w:t>
      </w:r>
    </w:p>
    <w:p w:rsidR="00F93509" w:rsidRDefault="00F93509" w:rsidP="00F93509">
      <w:pPr>
        <w:pStyle w:val="aNote"/>
      </w:pPr>
      <w:r>
        <w:rPr>
          <w:rStyle w:val="charItals"/>
        </w:rPr>
        <w:t>Note</w:t>
      </w:r>
      <w:r>
        <w:rPr>
          <w:rStyle w:val="charItals"/>
        </w:rPr>
        <w:tab/>
      </w:r>
      <w:r>
        <w:t xml:space="preserve">The equivalent section in the </w:t>
      </w:r>
      <w:hyperlink r:id="rId56" w:tooltip="Gene Technology Act 2000" w:history="1">
        <w:r w:rsidR="00FD2B77" w:rsidRPr="00823FD6">
          <w:rPr>
            <w:rStyle w:val="charCitHyperlinkAbbrev"/>
          </w:rPr>
          <w:t>Commonwealth Act</w:t>
        </w:r>
      </w:hyperlink>
      <w:r>
        <w:t xml:space="preserve"> deals with the relationship of that Act to other Commonwealth laws.</w:t>
      </w:r>
    </w:p>
    <w:p w:rsidR="00F93509" w:rsidRPr="00325B6A" w:rsidRDefault="00F93509" w:rsidP="00F93509">
      <w:pPr>
        <w:pStyle w:val="AH3Div"/>
      </w:pPr>
      <w:bookmarkStart w:id="30" w:name="_Toc526844507"/>
      <w:r w:rsidRPr="00325B6A">
        <w:rPr>
          <w:rStyle w:val="CharDivNo"/>
        </w:rPr>
        <w:t>Division 2.4</w:t>
      </w:r>
      <w:r>
        <w:tab/>
      </w:r>
      <w:r w:rsidRPr="00325B6A">
        <w:rPr>
          <w:rStyle w:val="CharDivText"/>
        </w:rPr>
        <w:t>Provisions to facilitate a nationally consistent scheme</w:t>
      </w:r>
      <w:bookmarkEnd w:id="30"/>
    </w:p>
    <w:p w:rsidR="00F93509" w:rsidRDefault="00F93509" w:rsidP="00F93509">
      <w:pPr>
        <w:pStyle w:val="AH4SubDiv"/>
      </w:pPr>
      <w:bookmarkStart w:id="31" w:name="_Toc526844508"/>
      <w:r>
        <w:t>Subdivision 2.4.1</w:t>
      </w:r>
      <w:r>
        <w:tab/>
        <w:t>General provisions</w:t>
      </w:r>
      <w:bookmarkEnd w:id="31"/>
    </w:p>
    <w:p w:rsidR="00F93509" w:rsidRDefault="00F93509" w:rsidP="00F93509">
      <w:pPr>
        <w:pStyle w:val="AH5Sec"/>
      </w:pPr>
      <w:bookmarkStart w:id="32" w:name="_Toc526844509"/>
      <w:r w:rsidRPr="00325B6A">
        <w:rPr>
          <w:rStyle w:val="CharSectNo"/>
        </w:rPr>
        <w:t>16</w:t>
      </w:r>
      <w:r>
        <w:tab/>
        <w:t>State laws may operate concurrently</w:t>
      </w:r>
      <w:bookmarkEnd w:id="32"/>
    </w:p>
    <w:p w:rsidR="00F93509" w:rsidRDefault="00F93509" w:rsidP="00F93509">
      <w:pPr>
        <w:pStyle w:val="aNote"/>
      </w:pPr>
      <w:r>
        <w:rPr>
          <w:rStyle w:val="charItals"/>
        </w:rPr>
        <w:t>Note</w:t>
      </w:r>
      <w:r>
        <w:rPr>
          <w:rStyle w:val="charItals"/>
        </w:rPr>
        <w:tab/>
      </w:r>
      <w:r>
        <w:t xml:space="preserve">The </w:t>
      </w:r>
      <w:hyperlink r:id="rId57" w:tooltip="Gene Technology Act 2000" w:history="1">
        <w:r w:rsidR="00FD2B77" w:rsidRPr="00823FD6">
          <w:rPr>
            <w:rStyle w:val="charCitHyperlinkAbbrev"/>
          </w:rPr>
          <w:t>Commonwealth Act</w:t>
        </w:r>
      </w:hyperlink>
      <w:r>
        <w:t xml:space="preserve"> includes a provision allowing State laws, other than State laws prescribed for the provision, to operate concurrently with that Act.</w:t>
      </w:r>
    </w:p>
    <w:p w:rsidR="00F93509" w:rsidRDefault="00F93509" w:rsidP="00F93509">
      <w:pPr>
        <w:pStyle w:val="AH5Sec"/>
      </w:pPr>
      <w:bookmarkStart w:id="33" w:name="_Toc526844510"/>
      <w:r w:rsidRPr="00325B6A">
        <w:rPr>
          <w:rStyle w:val="CharSectNo"/>
        </w:rPr>
        <w:t>17</w:t>
      </w:r>
      <w:r>
        <w:tab/>
        <w:t>Conferral of functions on Commonwealth officers and bodies</w:t>
      </w:r>
      <w:bookmarkEnd w:id="33"/>
    </w:p>
    <w:p w:rsidR="00F93509" w:rsidRDefault="00F93509" w:rsidP="00F93509">
      <w:pPr>
        <w:pStyle w:val="aNote"/>
      </w:pPr>
      <w:r>
        <w:rPr>
          <w:rStyle w:val="charItals"/>
        </w:rPr>
        <w:t>Note</w:t>
      </w:r>
      <w:r>
        <w:rPr>
          <w:rStyle w:val="charItals"/>
        </w:rPr>
        <w:tab/>
      </w:r>
      <w:r>
        <w:t xml:space="preserve">The </w:t>
      </w:r>
      <w:hyperlink r:id="rId58" w:tooltip="Gene Technology Act 2000" w:history="1">
        <w:r w:rsidR="00FD2B77" w:rsidRPr="00823FD6">
          <w:rPr>
            <w:rStyle w:val="charCitHyperlinkAbbrev"/>
          </w:rPr>
          <w:t>Commonwealth Act</w:t>
        </w:r>
      </w:hyperlink>
      <w:r>
        <w:t xml:space="preserve"> includes a provision allowing corresponding State laws to give functions, powers and duties to certain Commonwealth officers and bodies.</w:t>
      </w:r>
    </w:p>
    <w:p w:rsidR="00F93509" w:rsidRDefault="00F93509" w:rsidP="00F93509">
      <w:pPr>
        <w:pStyle w:val="AH5Sec"/>
      </w:pPr>
      <w:bookmarkStart w:id="34" w:name="_Toc526844511"/>
      <w:r w:rsidRPr="00325B6A">
        <w:rPr>
          <w:rStyle w:val="CharSectNo"/>
        </w:rPr>
        <w:t>18</w:t>
      </w:r>
      <w:r>
        <w:tab/>
        <w:t>No doubling-up of liabilities</w:t>
      </w:r>
      <w:bookmarkEnd w:id="34"/>
    </w:p>
    <w:p w:rsidR="00F93509" w:rsidRDefault="00F93509" w:rsidP="00F93509">
      <w:pPr>
        <w:pStyle w:val="Amainreturn"/>
        <w:keepNext/>
      </w:pPr>
      <w:r>
        <w:t xml:space="preserve">If a person has been ordered to pay a pecuniary penalty under the </w:t>
      </w:r>
      <w:hyperlink r:id="rId59" w:tooltip="Gene Technology Act 2000" w:history="1">
        <w:r w:rsidR="00FD2B77" w:rsidRPr="00823FD6">
          <w:rPr>
            <w:rStyle w:val="charCitHyperlinkAbbrev"/>
          </w:rPr>
          <w:t>Commonwealth Act</w:t>
        </w:r>
      </w:hyperlink>
      <w:r>
        <w:t>, the person is not liable to a pecuniary penalty under this Act in relation to the same conduct.</w:t>
      </w:r>
    </w:p>
    <w:p w:rsidR="00F93509" w:rsidRDefault="00F93509" w:rsidP="00F93509">
      <w:pPr>
        <w:pStyle w:val="aNote"/>
      </w:pPr>
      <w:r>
        <w:rPr>
          <w:rStyle w:val="charItals"/>
        </w:rPr>
        <w:t>Note</w:t>
      </w:r>
      <w:r>
        <w:rPr>
          <w:rStyle w:val="charItals"/>
        </w:rPr>
        <w:tab/>
      </w:r>
      <w:r>
        <w:t xml:space="preserve">The </w:t>
      </w:r>
      <w:hyperlink r:id="rId60" w:tooltip="Gene Technology Act 2000" w:history="1">
        <w:r w:rsidR="00FD2B77" w:rsidRPr="00823FD6">
          <w:rPr>
            <w:rStyle w:val="charCitHyperlinkAbbrev"/>
          </w:rPr>
          <w:t>Commonwealth Act</w:t>
        </w:r>
      </w:hyperlink>
      <w:r>
        <w:t xml:space="preserve">, s 18 also includes a provision preventing a person being punished for an offence against this Act and the </w:t>
      </w:r>
      <w:hyperlink r:id="rId61" w:tooltip="Gene Technology Act 2000" w:history="1">
        <w:r w:rsidR="00FD2B77" w:rsidRPr="00823FD6">
          <w:rPr>
            <w:rStyle w:val="charCitHyperlinkAbbrev"/>
          </w:rPr>
          <w:t>Commonwealth Act</w:t>
        </w:r>
      </w:hyperlink>
      <w:r>
        <w:t xml:space="preserve">. The provision is unnecessary in the ACT (see </w:t>
      </w:r>
      <w:hyperlink r:id="rId62" w:tooltip="A2001-14" w:history="1">
        <w:r w:rsidRPr="00903C3C">
          <w:rPr>
            <w:rStyle w:val="charCitHyperlinkAbbrev"/>
          </w:rPr>
          <w:t>Legislation Act</w:t>
        </w:r>
      </w:hyperlink>
      <w:r>
        <w:t>, s 191).</w:t>
      </w:r>
    </w:p>
    <w:p w:rsidR="00F93509" w:rsidRDefault="00F93509" w:rsidP="00F93509">
      <w:pPr>
        <w:pStyle w:val="AH5Sec"/>
      </w:pPr>
      <w:bookmarkStart w:id="35" w:name="_Toc526844512"/>
      <w:r w:rsidRPr="00325B6A">
        <w:rPr>
          <w:rStyle w:val="CharSectNo"/>
        </w:rPr>
        <w:t>19</w:t>
      </w:r>
      <w:r>
        <w:tab/>
        <w:t>Review of certain decisions</w:t>
      </w:r>
      <w:bookmarkEnd w:id="35"/>
    </w:p>
    <w:p w:rsidR="00F93509" w:rsidRDefault="00F93509" w:rsidP="00F93509">
      <w:pPr>
        <w:pStyle w:val="Amain"/>
      </w:pPr>
      <w:r>
        <w:rPr>
          <w:rFonts w:ascii="Tms Rmn" w:hAnsi="Tms Rmn"/>
        </w:rPr>
        <w:tab/>
        <w:t>(1)</w:t>
      </w:r>
      <w:r>
        <w:rPr>
          <w:rFonts w:ascii="Tms Rmn" w:hAnsi="Tms Rmn"/>
        </w:rPr>
        <w:tab/>
      </w:r>
      <w:r>
        <w:t>Application may be made to the Commonwealth administrative appeals tribunal for review of a reviewable State decision.</w:t>
      </w:r>
    </w:p>
    <w:p w:rsidR="00F93509" w:rsidRDefault="00F93509" w:rsidP="00F93509">
      <w:pPr>
        <w:pStyle w:val="Amain"/>
      </w:pPr>
      <w:r>
        <w:rPr>
          <w:rFonts w:ascii="Tms Rmn" w:hAnsi="Tms Rmn"/>
        </w:rPr>
        <w:tab/>
        <w:t>(2)</w:t>
      </w:r>
      <w:r>
        <w:rPr>
          <w:rFonts w:ascii="Tms Rmn" w:hAnsi="Tms Rmn"/>
        </w:rPr>
        <w:tab/>
      </w:r>
      <w:r>
        <w:t xml:space="preserve">A decision made by the regulator in the exercise of a function under this Act is a </w:t>
      </w:r>
      <w:r w:rsidRPr="00903C3C">
        <w:rPr>
          <w:rStyle w:val="charBoldItals"/>
        </w:rPr>
        <w:t>reviewable State decision</w:t>
      </w:r>
      <w:r>
        <w:t xml:space="preserve"> if—</w:t>
      </w:r>
    </w:p>
    <w:p w:rsidR="00F93509" w:rsidRDefault="00F93509" w:rsidP="00F93509">
      <w:pPr>
        <w:pStyle w:val="Apara"/>
      </w:pPr>
      <w:r>
        <w:rPr>
          <w:rFonts w:ascii="Tms Rmn" w:hAnsi="Tms Rmn"/>
        </w:rPr>
        <w:tab/>
        <w:t>(a)</w:t>
      </w:r>
      <w:r>
        <w:rPr>
          <w:rFonts w:ascii="Tms Rmn" w:hAnsi="Tms Rmn"/>
        </w:rPr>
        <w:tab/>
      </w:r>
      <w:r>
        <w:t>this Act provides for review of the decision by the Commonwealth administrative appeals tribunal; and</w:t>
      </w:r>
    </w:p>
    <w:p w:rsidR="00F93509" w:rsidRDefault="00F93509" w:rsidP="00F93509">
      <w:pPr>
        <w:pStyle w:val="Apara"/>
      </w:pPr>
      <w:r>
        <w:rPr>
          <w:rFonts w:ascii="Tms Rmn" w:hAnsi="Tms Rmn"/>
        </w:rPr>
        <w:tab/>
        <w:t>(b)</w:t>
      </w:r>
      <w:r>
        <w:rPr>
          <w:rFonts w:ascii="Tms Rmn" w:hAnsi="Tms Rmn"/>
        </w:rPr>
        <w:tab/>
      </w:r>
      <w:r>
        <w:t xml:space="preserve">the decision is declared by regulations made under the </w:t>
      </w:r>
      <w:hyperlink r:id="rId63" w:tooltip="Gene Technology Act 2000" w:history="1">
        <w:r w:rsidR="00FD2B77" w:rsidRPr="00823FD6">
          <w:rPr>
            <w:rStyle w:val="charCitHyperlinkAbbrev"/>
          </w:rPr>
          <w:t>Commonwealth Act</w:t>
        </w:r>
      </w:hyperlink>
      <w:r>
        <w:t xml:space="preserve"> to be a reviewable State decision for the </w:t>
      </w:r>
      <w:hyperlink r:id="rId64" w:tooltip="Gene Technology Act 2000" w:history="1">
        <w:r w:rsidR="00FD2B77" w:rsidRPr="00823FD6">
          <w:rPr>
            <w:rStyle w:val="charCitHyperlinkAbbrev"/>
          </w:rPr>
          <w:t>Commonwealth Act</w:t>
        </w:r>
      </w:hyperlink>
      <w:r>
        <w:t>, section 19.</w:t>
      </w:r>
    </w:p>
    <w:p w:rsidR="00F93509" w:rsidRDefault="00F93509" w:rsidP="00F93509">
      <w:pPr>
        <w:pStyle w:val="Amain"/>
      </w:pPr>
      <w:r>
        <w:rPr>
          <w:rFonts w:ascii="Tms Rmn" w:hAnsi="Tms Rmn"/>
        </w:rPr>
        <w:tab/>
        <w:t>(3)</w:t>
      </w:r>
      <w:r>
        <w:rPr>
          <w:rFonts w:ascii="Tms Rmn" w:hAnsi="Tms Rmn"/>
        </w:rPr>
        <w:tab/>
      </w:r>
      <w:r>
        <w:t xml:space="preserve">The </w:t>
      </w:r>
      <w:hyperlink r:id="rId65" w:tooltip="Act 1975 No 91 (Cwlth)" w:history="1">
        <w:r w:rsidRPr="00EE014D">
          <w:rPr>
            <w:rStyle w:val="charCitHyperlinkAbbrev"/>
          </w:rPr>
          <w:t>Commonwealth Administrative Appeals Tribunal Act</w:t>
        </w:r>
      </w:hyperlink>
      <w:r>
        <w:t xml:space="preserve"> (other than part 4A) applies as a territory law in relation to reviewable State decisions.</w:t>
      </w:r>
    </w:p>
    <w:p w:rsidR="00F93509" w:rsidRDefault="00F93509" w:rsidP="00F93509">
      <w:pPr>
        <w:pStyle w:val="Amain"/>
        <w:keepNext/>
      </w:pPr>
      <w:r>
        <w:rPr>
          <w:rFonts w:ascii="Tms Rmn" w:hAnsi="Tms Rmn"/>
        </w:rPr>
        <w:tab/>
        <w:t>(4)</w:t>
      </w:r>
      <w:r>
        <w:rPr>
          <w:rFonts w:ascii="Tms Rmn" w:hAnsi="Tms Rmn"/>
        </w:rPr>
        <w:tab/>
      </w:r>
      <w:r>
        <w:t xml:space="preserve">For this section, a reference in a provision of the </w:t>
      </w:r>
      <w:hyperlink r:id="rId66" w:tooltip="Act 1975 No 91 (Cwlth)" w:history="1">
        <w:r w:rsidRPr="00EE014D">
          <w:rPr>
            <w:rStyle w:val="charCitHyperlinkAbbrev"/>
          </w:rPr>
          <w:t>Commonwealth Administrative Appeals Tribunal Act</w:t>
        </w:r>
      </w:hyperlink>
      <w:r>
        <w:t xml:space="preserve"> (as that provision applies as a territory law) to all or any part of that Act, part 4A is taken to be a reference to all or any part of that part as it has effect as a law of the Commonwealth.</w:t>
      </w:r>
    </w:p>
    <w:p w:rsidR="00F93509" w:rsidRDefault="00F93509" w:rsidP="00F93509">
      <w:pPr>
        <w:pStyle w:val="aNote"/>
      </w:pPr>
      <w:r w:rsidRPr="00903C3C">
        <w:rPr>
          <w:rStyle w:val="charItals"/>
        </w:rPr>
        <w:t>Note 1</w:t>
      </w:r>
      <w:r w:rsidRPr="00903C3C">
        <w:rPr>
          <w:rStyle w:val="charItals"/>
        </w:rPr>
        <w:tab/>
      </w:r>
      <w:r>
        <w:t xml:space="preserve">A reference to the </w:t>
      </w:r>
      <w:hyperlink r:id="rId67" w:tooltip="Act 1975 No 91 (Cwlth)" w:history="1">
        <w:r w:rsidRPr="00EE014D">
          <w:rPr>
            <w:rStyle w:val="charCitHyperlinkAbbrev"/>
          </w:rPr>
          <w:t>Commonwealth Administrative Appeals Tribunal Act</w:t>
        </w:r>
      </w:hyperlink>
      <w:r>
        <w:t xml:space="preserve"> includes a reference to the regulations in force under that Act from time to time (see </w:t>
      </w:r>
      <w:hyperlink r:id="rId68" w:tooltip="A2001-14" w:history="1">
        <w:r w:rsidRPr="00903C3C">
          <w:rPr>
            <w:rStyle w:val="charCitHyperlinkAbbrev"/>
          </w:rPr>
          <w:t>Legislation Act</w:t>
        </w:r>
      </w:hyperlink>
      <w:r>
        <w:t>, s 102 and s 104).</w:t>
      </w:r>
    </w:p>
    <w:p w:rsidR="00F93509" w:rsidRDefault="00F93509" w:rsidP="00F93509">
      <w:pPr>
        <w:pStyle w:val="aNote"/>
      </w:pPr>
      <w:r>
        <w:rPr>
          <w:rStyle w:val="charItals"/>
        </w:rPr>
        <w:t>Note 2</w:t>
      </w:r>
      <w:r>
        <w:tab/>
        <w:t xml:space="preserve">This section differs from the </w:t>
      </w:r>
      <w:hyperlink r:id="rId69" w:tooltip="Gene Technology Act 2000" w:history="1">
        <w:r w:rsidR="00FD2B77" w:rsidRPr="00823FD6">
          <w:rPr>
            <w:rStyle w:val="charCitHyperlinkAbbrev"/>
          </w:rPr>
          <w:t>Commonwealth Act</w:t>
        </w:r>
      </w:hyperlink>
      <w:r>
        <w:t>, s 19.</w:t>
      </w:r>
    </w:p>
    <w:p w:rsidR="00F93509" w:rsidRDefault="00F93509" w:rsidP="00F93509">
      <w:pPr>
        <w:pStyle w:val="AH5Sec"/>
      </w:pPr>
      <w:bookmarkStart w:id="36" w:name="_Toc526844513"/>
      <w:r w:rsidRPr="00325B6A">
        <w:rPr>
          <w:rStyle w:val="CharSectNo"/>
        </w:rPr>
        <w:t>20</w:t>
      </w:r>
      <w:r>
        <w:tab/>
        <w:t>Things done for multiple purposes</w:t>
      </w:r>
      <w:bookmarkEnd w:id="36"/>
    </w:p>
    <w:p w:rsidR="00F93509" w:rsidRDefault="00F93509" w:rsidP="00F93509">
      <w:pPr>
        <w:pStyle w:val="Amainreturn"/>
      </w:pPr>
      <w:r>
        <w:t xml:space="preserve">The validity of a licence, certificate or other thing issued, given or done for this Act is not affected only because it was issued, given or done also for the </w:t>
      </w:r>
      <w:hyperlink r:id="rId70" w:tooltip="Gene Technology Act 2000" w:history="1">
        <w:r w:rsidR="00FD2B77" w:rsidRPr="00823FD6">
          <w:rPr>
            <w:rStyle w:val="charCitHyperlinkAbbrev"/>
          </w:rPr>
          <w:t>Commonwealth Act</w:t>
        </w:r>
      </w:hyperlink>
      <w:r>
        <w:t>.</w:t>
      </w:r>
    </w:p>
    <w:p w:rsidR="00F93509" w:rsidRDefault="00F93509" w:rsidP="00F93509">
      <w:pPr>
        <w:pStyle w:val="AH4SubDiv"/>
      </w:pPr>
      <w:bookmarkStart w:id="37" w:name="_Toc526844514"/>
      <w:r>
        <w:t>Subdivision 2.4.2</w:t>
      </w:r>
      <w:r>
        <w:tab/>
        <w:t>Policy principles, policy guidelines and codes of practice</w:t>
      </w:r>
      <w:bookmarkEnd w:id="37"/>
    </w:p>
    <w:p w:rsidR="00F93509" w:rsidRDefault="00F93509" w:rsidP="00F93509">
      <w:pPr>
        <w:pStyle w:val="AH5Sec"/>
      </w:pPr>
      <w:bookmarkStart w:id="38" w:name="_Toc526844515"/>
      <w:r w:rsidRPr="00325B6A">
        <w:rPr>
          <w:rStyle w:val="CharSectNo"/>
        </w:rPr>
        <w:t>21</w:t>
      </w:r>
      <w:r>
        <w:tab/>
        <w:t>Ministerial council may issue policy principles</w:t>
      </w:r>
      <w:bookmarkEnd w:id="38"/>
    </w:p>
    <w:p w:rsidR="00F93509" w:rsidRDefault="00F93509" w:rsidP="00F93509">
      <w:pPr>
        <w:pStyle w:val="Amain"/>
        <w:keepNext/>
      </w:pPr>
      <w:r>
        <w:rPr>
          <w:rFonts w:ascii="Tms Rmn" w:hAnsi="Tms Rmn"/>
        </w:rPr>
        <w:tab/>
        <w:t>(1)</w:t>
      </w:r>
      <w:r>
        <w:rPr>
          <w:rFonts w:ascii="Tms Rmn" w:hAnsi="Tms Rmn"/>
        </w:rPr>
        <w:tab/>
      </w:r>
      <w:r>
        <w:t>The ministerial council may issue policy principles in relation to the following:</w:t>
      </w:r>
    </w:p>
    <w:p w:rsidR="00F93509" w:rsidRDefault="00F93509" w:rsidP="00F93509">
      <w:pPr>
        <w:pStyle w:val="Apara"/>
      </w:pPr>
      <w:r>
        <w:rPr>
          <w:rFonts w:ascii="Tms Rmn" w:hAnsi="Tms Rmn"/>
        </w:rPr>
        <w:tab/>
        <w:t>(a)</w:t>
      </w:r>
      <w:r>
        <w:rPr>
          <w:rFonts w:ascii="Tms Rmn" w:hAnsi="Tms Rmn"/>
        </w:rPr>
        <w:tab/>
      </w:r>
      <w:r>
        <w:t>ethical issues relating to dealings with GMOs;</w:t>
      </w:r>
    </w:p>
    <w:p w:rsidR="00F93509" w:rsidRDefault="00F93509" w:rsidP="00F93509">
      <w:pPr>
        <w:pStyle w:val="Apara"/>
        <w:keepNext/>
      </w:pPr>
      <w:r>
        <w:rPr>
          <w:rFonts w:ascii="Tms Rmn" w:hAnsi="Tms Rmn"/>
        </w:rPr>
        <w:tab/>
        <w:t>(b)</w:t>
      </w:r>
      <w:r>
        <w:rPr>
          <w:rFonts w:ascii="Tms Rmn" w:hAnsi="Tms Rmn"/>
        </w:rPr>
        <w:tab/>
      </w:r>
      <w:r>
        <w:t>recognising areas (if any) designated under a territory law for the purpose of preserving the identity of 1 or both of the following for marketing purposes:</w:t>
      </w:r>
    </w:p>
    <w:p w:rsidR="00F93509" w:rsidRDefault="00F93509" w:rsidP="00F93509">
      <w:pPr>
        <w:pStyle w:val="Asubpara"/>
        <w:keepNext/>
      </w:pPr>
      <w:r>
        <w:rPr>
          <w:rFonts w:ascii="Tms Rmn" w:hAnsi="Tms Rmn"/>
        </w:rPr>
        <w:tab/>
        <w:t>(i)</w:t>
      </w:r>
      <w:r>
        <w:rPr>
          <w:rFonts w:ascii="Tms Rmn" w:hAnsi="Tms Rmn"/>
        </w:rPr>
        <w:tab/>
      </w:r>
      <w:r>
        <w:t>GM crops;</w:t>
      </w:r>
    </w:p>
    <w:p w:rsidR="00F93509" w:rsidRDefault="00F93509" w:rsidP="00F93509">
      <w:pPr>
        <w:pStyle w:val="Asubpara"/>
      </w:pPr>
      <w:r>
        <w:rPr>
          <w:rFonts w:ascii="Tms Rmn" w:hAnsi="Tms Rmn"/>
        </w:rPr>
        <w:tab/>
        <w:t>(ii)</w:t>
      </w:r>
      <w:r>
        <w:rPr>
          <w:rFonts w:ascii="Tms Rmn" w:hAnsi="Tms Rmn"/>
        </w:rPr>
        <w:tab/>
      </w:r>
      <w:r>
        <w:t>non-GM crops;</w:t>
      </w:r>
    </w:p>
    <w:p w:rsidR="00F93509" w:rsidRDefault="00F93509" w:rsidP="00F93509">
      <w:pPr>
        <w:pStyle w:val="Apara"/>
        <w:keepNext/>
      </w:pPr>
      <w:r>
        <w:rPr>
          <w:rFonts w:ascii="Tms Rmn" w:hAnsi="Tms Rmn"/>
        </w:rPr>
        <w:tab/>
        <w:t>(c)</w:t>
      </w:r>
      <w:r>
        <w:rPr>
          <w:rFonts w:ascii="Tms Rmn" w:hAnsi="Tms Rmn"/>
        </w:rPr>
        <w:tab/>
      </w:r>
      <w:r>
        <w:t>matters relating to dealings with GMOs prescribed by regulation for this paragraph.</w:t>
      </w:r>
    </w:p>
    <w:p w:rsidR="00F93509" w:rsidRDefault="00F93509" w:rsidP="00F93509">
      <w:pPr>
        <w:pStyle w:val="aNote"/>
        <w:keepNext/>
      </w:pPr>
      <w:r>
        <w:rPr>
          <w:rStyle w:val="charItals"/>
        </w:rPr>
        <w:t>Note 1</w:t>
      </w:r>
      <w:r>
        <w:tab/>
        <w:t>Section 57 provides that the regulator must not issue a licence if to do so would be inconsistent with a policy principle.</w:t>
      </w:r>
    </w:p>
    <w:p w:rsidR="00F93509" w:rsidRDefault="00F93509" w:rsidP="00F93509">
      <w:pPr>
        <w:pStyle w:val="aNote"/>
      </w:pPr>
      <w:r>
        <w:rPr>
          <w:rStyle w:val="charItals"/>
        </w:rPr>
        <w:t>Note 2</w:t>
      </w:r>
      <w:r>
        <w:tab/>
        <w:t xml:space="preserve">The </w:t>
      </w:r>
      <w:hyperlink r:id="rId71"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main"/>
      </w:pPr>
      <w:r>
        <w:rPr>
          <w:rFonts w:ascii="Tms Rmn" w:hAnsi="Tms Rmn"/>
        </w:rPr>
        <w:tab/>
        <w:t>(2)</w:t>
      </w:r>
      <w:r>
        <w:rPr>
          <w:rFonts w:ascii="Tms Rmn" w:hAnsi="Tms Rmn"/>
        </w:rPr>
        <w:tab/>
      </w:r>
      <w:r>
        <w:t xml:space="preserve">Before issuing a policy principle, the ministerial council must be satisfied that the policy principle was developed in accordance with the </w:t>
      </w:r>
      <w:hyperlink r:id="rId72" w:tooltip="Gene Technology Act 2000" w:history="1">
        <w:r w:rsidR="00FD2B77" w:rsidRPr="00823FD6">
          <w:rPr>
            <w:rStyle w:val="charCitHyperlinkAbbrev"/>
          </w:rPr>
          <w:t>Commonwealth Act</w:t>
        </w:r>
      </w:hyperlink>
      <w:r>
        <w:t>, section 22.</w:t>
      </w:r>
    </w:p>
    <w:p w:rsidR="00F93509" w:rsidRDefault="00F93509" w:rsidP="00F93509">
      <w:pPr>
        <w:pStyle w:val="Amain"/>
        <w:keepNext/>
      </w:pPr>
      <w:r>
        <w:rPr>
          <w:rFonts w:ascii="Tms Rmn" w:hAnsi="Tms Rmn"/>
        </w:rPr>
        <w:tab/>
        <w:t>(3)</w:t>
      </w:r>
      <w:r>
        <w:rPr>
          <w:rFonts w:ascii="Tms Rmn" w:hAnsi="Tms Rmn"/>
        </w:rPr>
        <w:tab/>
      </w:r>
      <w:r>
        <w:t>A regulation for subsection (1) (c) may relate to matters other than the health and safety of people or the environment, but must not derogate from the health and safety of people or the environment.</w:t>
      </w:r>
    </w:p>
    <w:p w:rsidR="00F93509" w:rsidRDefault="00F93509" w:rsidP="00F93509">
      <w:pPr>
        <w:pStyle w:val="aNote"/>
      </w:pPr>
      <w:r>
        <w:rPr>
          <w:rStyle w:val="charItals"/>
        </w:rPr>
        <w:t>Note</w:t>
      </w:r>
      <w:r>
        <w:tab/>
        <w:t xml:space="preserve">This section differs from the </w:t>
      </w:r>
      <w:hyperlink r:id="rId73" w:tooltip="Gene Technology Act 2000" w:history="1">
        <w:r w:rsidR="00FD2B77" w:rsidRPr="00823FD6">
          <w:rPr>
            <w:rStyle w:val="charCitHyperlinkAbbrev"/>
          </w:rPr>
          <w:t>Commonwealth Act</w:t>
        </w:r>
      </w:hyperlink>
      <w:r>
        <w:t>, s 21.</w:t>
      </w:r>
    </w:p>
    <w:p w:rsidR="00F93509" w:rsidRDefault="00F93509" w:rsidP="00F93509">
      <w:pPr>
        <w:pStyle w:val="AH5Sec"/>
      </w:pPr>
      <w:bookmarkStart w:id="39" w:name="_Toc526844516"/>
      <w:r w:rsidRPr="00325B6A">
        <w:rPr>
          <w:rStyle w:val="CharSectNo"/>
        </w:rPr>
        <w:t>22</w:t>
      </w:r>
      <w:r>
        <w:tab/>
        <w:t>Consultation on policy principles</w:t>
      </w:r>
      <w:bookmarkEnd w:id="39"/>
    </w:p>
    <w:p w:rsidR="00F93509" w:rsidRDefault="00F93509" w:rsidP="00F93509">
      <w:pPr>
        <w:pStyle w:val="aNote"/>
      </w:pPr>
      <w:r>
        <w:rPr>
          <w:rStyle w:val="charItals"/>
        </w:rPr>
        <w:t>Note</w:t>
      </w:r>
      <w:r>
        <w:rPr>
          <w:rStyle w:val="charItals"/>
        </w:rPr>
        <w:tab/>
      </w:r>
      <w:r>
        <w:t xml:space="preserve">The </w:t>
      </w:r>
      <w:hyperlink r:id="rId74" w:tooltip="Gene Technology Act 2000" w:history="1">
        <w:r w:rsidR="00FD2B77" w:rsidRPr="00823FD6">
          <w:rPr>
            <w:rStyle w:val="charCitHyperlinkAbbrev"/>
          </w:rPr>
          <w:t>Commonwealth Act</w:t>
        </w:r>
      </w:hyperlink>
      <w:r>
        <w:t xml:space="preserve"> includes a provision about how policy principles are to be developed.</w:t>
      </w:r>
    </w:p>
    <w:p w:rsidR="00F93509" w:rsidRDefault="00F93509" w:rsidP="00F93509">
      <w:pPr>
        <w:pStyle w:val="AH5Sec"/>
      </w:pPr>
      <w:bookmarkStart w:id="40" w:name="_Toc526844517"/>
      <w:r w:rsidRPr="00325B6A">
        <w:rPr>
          <w:rStyle w:val="CharSectNo"/>
        </w:rPr>
        <w:t>23</w:t>
      </w:r>
      <w:r>
        <w:tab/>
        <w:t>Ministerial council may issue policy guidelines</w:t>
      </w:r>
      <w:bookmarkEnd w:id="40"/>
    </w:p>
    <w:p w:rsidR="00F93509" w:rsidRDefault="00F93509" w:rsidP="00F93509">
      <w:pPr>
        <w:pStyle w:val="Amainreturn"/>
        <w:keepNext/>
      </w:pPr>
      <w:r>
        <w:t>The ministerial council may issue policy guidelines in relation to matters relevant to the functions of the regulator under this Act.</w:t>
      </w:r>
    </w:p>
    <w:p w:rsidR="00F93509" w:rsidRDefault="00F93509" w:rsidP="00F93509">
      <w:pPr>
        <w:pStyle w:val="aNote"/>
        <w:keepNext/>
      </w:pPr>
      <w:r>
        <w:rPr>
          <w:rStyle w:val="charItals"/>
        </w:rPr>
        <w:t>Note 1</w:t>
      </w:r>
      <w:r>
        <w:tab/>
        <w:t>Section 56, among other things, requires the regulator to have regard to policy guidelines when deciding an application for a GMO licence.  Section 30 provides that the regulator is not subject to direction in relation to individual decisions.</w:t>
      </w:r>
    </w:p>
    <w:p w:rsidR="00F93509" w:rsidRDefault="00F93509" w:rsidP="00F93509">
      <w:pPr>
        <w:pStyle w:val="aNote"/>
      </w:pPr>
      <w:r>
        <w:rPr>
          <w:rStyle w:val="charItals"/>
        </w:rPr>
        <w:t>Note 2</w:t>
      </w:r>
      <w:r>
        <w:tab/>
        <w:t xml:space="preserve">The </w:t>
      </w:r>
      <w:hyperlink r:id="rId75"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H5Sec"/>
        <w:keepLines/>
      </w:pPr>
      <w:bookmarkStart w:id="41" w:name="_Toc526844518"/>
      <w:r w:rsidRPr="00325B6A">
        <w:rPr>
          <w:rStyle w:val="CharSectNo"/>
        </w:rPr>
        <w:t>24</w:t>
      </w:r>
      <w:r>
        <w:tab/>
        <w:t>Ministerial council may issue codes of practice</w:t>
      </w:r>
      <w:bookmarkEnd w:id="41"/>
    </w:p>
    <w:p w:rsidR="00F93509" w:rsidRDefault="00F93509" w:rsidP="00F93509">
      <w:pPr>
        <w:pStyle w:val="Amainreturn"/>
        <w:keepNext/>
        <w:keepLines/>
      </w:pPr>
      <w:r>
        <w:t>The ministerial council may issue codes of practice, developed under the</w:t>
      </w:r>
      <w:r w:rsidR="00115B40">
        <w:t xml:space="preserve"> </w:t>
      </w:r>
      <w:hyperlink r:id="rId76" w:tooltip="Gene Technology Act 2000" w:history="1">
        <w:r w:rsidR="00115B40" w:rsidRPr="00115B40">
          <w:rPr>
            <w:rStyle w:val="charCitHyperlinkAbbrev"/>
          </w:rPr>
          <w:t>Commonwealth Act</w:t>
        </w:r>
      </w:hyperlink>
      <w:r w:rsidR="00115B40">
        <w:t xml:space="preserve">, </w:t>
      </w:r>
      <w:r>
        <w:t>section 24 (2) in relation to gene technology.</w:t>
      </w:r>
    </w:p>
    <w:p w:rsidR="00F93509" w:rsidRDefault="00F93509" w:rsidP="00F93509">
      <w:pPr>
        <w:pStyle w:val="aNote"/>
        <w:keepNext/>
        <w:keepLines/>
      </w:pPr>
      <w:r>
        <w:rPr>
          <w:rStyle w:val="charItals"/>
        </w:rPr>
        <w:t>Note 1</w:t>
      </w:r>
      <w:r>
        <w:tab/>
        <w:t xml:space="preserve">The </w:t>
      </w:r>
      <w:hyperlink r:id="rId77"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Note"/>
      </w:pPr>
      <w:r>
        <w:rPr>
          <w:rStyle w:val="charItals"/>
        </w:rPr>
        <w:t>Note 2</w:t>
      </w:r>
      <w:r>
        <w:tab/>
        <w:t>The</w:t>
      </w:r>
      <w:r w:rsidR="00115B40">
        <w:t xml:space="preserve"> </w:t>
      </w:r>
      <w:hyperlink r:id="rId78" w:tooltip="Gene Technology Act 2000" w:history="1">
        <w:r w:rsidR="00115B40" w:rsidRPr="00115B40">
          <w:rPr>
            <w:rStyle w:val="charCitHyperlinkAbbrev"/>
          </w:rPr>
          <w:t>Commonwealth Act</w:t>
        </w:r>
      </w:hyperlink>
      <w:r w:rsidR="00115B40">
        <w:t xml:space="preserve">, </w:t>
      </w:r>
      <w:r>
        <w:t>s 24 includes provisions about how codes of practice are to be developed and making them disallowable instruments.</w:t>
      </w:r>
    </w:p>
    <w:p w:rsidR="00F93509" w:rsidRDefault="00F93509" w:rsidP="00F93509">
      <w:pPr>
        <w:pStyle w:val="PageBreak"/>
      </w:pPr>
      <w:r>
        <w:br w:type="page"/>
      </w:r>
    </w:p>
    <w:p w:rsidR="00F93509" w:rsidRPr="00325B6A" w:rsidRDefault="00F93509" w:rsidP="00F93509">
      <w:pPr>
        <w:pStyle w:val="AH2Part"/>
      </w:pPr>
      <w:bookmarkStart w:id="42" w:name="_Toc526844519"/>
      <w:r w:rsidRPr="00325B6A">
        <w:rPr>
          <w:rStyle w:val="CharPartNo"/>
        </w:rPr>
        <w:t>Part 3</w:t>
      </w:r>
      <w:r>
        <w:tab/>
      </w:r>
      <w:r w:rsidRPr="00325B6A">
        <w:rPr>
          <w:rStyle w:val="CharPartText"/>
        </w:rPr>
        <w:t>Gene technology regulator</w:t>
      </w:r>
      <w:bookmarkEnd w:id="42"/>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43" w:name="_Toc526844520"/>
      <w:r w:rsidRPr="00325B6A">
        <w:rPr>
          <w:rStyle w:val="CharSectNo"/>
        </w:rPr>
        <w:t>25</w:t>
      </w:r>
      <w:r>
        <w:tab/>
        <w:t>Simplified outline—pt 3</w:t>
      </w:r>
      <w:bookmarkEnd w:id="43"/>
    </w:p>
    <w:p w:rsidR="00F93509" w:rsidRDefault="00F93509" w:rsidP="00F93509">
      <w:pPr>
        <w:pStyle w:val="Amainreturn"/>
        <w:keepNext/>
      </w:pPr>
      <w:r>
        <w:t>In outline, this part provides the functions and powers of the gene technology regulator under this Act.</w:t>
      </w:r>
    </w:p>
    <w:p w:rsidR="00F93509" w:rsidRDefault="00F93509" w:rsidP="00F93509">
      <w:pPr>
        <w:pStyle w:val="aNote"/>
      </w:pPr>
      <w:r>
        <w:rPr>
          <w:rStyle w:val="charItals"/>
        </w:rPr>
        <w:t>Note</w:t>
      </w:r>
      <w:r>
        <w:tab/>
        <w:t>This section differs from the</w:t>
      </w:r>
      <w:r w:rsidR="00D67082">
        <w:t xml:space="preserve"> </w:t>
      </w:r>
      <w:hyperlink r:id="rId79" w:tooltip="Gene Technology Act 2000" w:history="1">
        <w:r w:rsidR="00D67082" w:rsidRPr="00D67082">
          <w:rPr>
            <w:rStyle w:val="charCitHyperlinkAbbrev"/>
          </w:rPr>
          <w:t>Commonwealth Act</w:t>
        </w:r>
      </w:hyperlink>
      <w:r w:rsidR="00D67082">
        <w:t xml:space="preserve">, </w:t>
      </w:r>
      <w:r>
        <w:t>s 25.</w:t>
      </w:r>
    </w:p>
    <w:p w:rsidR="00F93509" w:rsidRDefault="00F93509" w:rsidP="00F93509">
      <w:pPr>
        <w:pStyle w:val="AH5Sec"/>
      </w:pPr>
      <w:bookmarkStart w:id="44" w:name="_Toc526844521"/>
      <w:r w:rsidRPr="00325B6A">
        <w:rPr>
          <w:rStyle w:val="CharSectNo"/>
        </w:rPr>
        <w:t>26</w:t>
      </w:r>
      <w:r>
        <w:tab/>
        <w:t>Gene technology regulator</w:t>
      </w:r>
      <w:bookmarkEnd w:id="44"/>
    </w:p>
    <w:p w:rsidR="00F93509" w:rsidRDefault="00F93509" w:rsidP="00F93509">
      <w:pPr>
        <w:pStyle w:val="aNote"/>
      </w:pPr>
      <w:r>
        <w:rPr>
          <w:rStyle w:val="charItals"/>
        </w:rPr>
        <w:t>Note</w:t>
      </w:r>
      <w:r>
        <w:tab/>
        <w:t>The</w:t>
      </w:r>
      <w:r w:rsidR="00D67082">
        <w:t xml:space="preserve"> </w:t>
      </w:r>
      <w:hyperlink r:id="rId80" w:tooltip="Gene Technology Act 2000" w:history="1">
        <w:r w:rsidR="00D67082" w:rsidRPr="00D67082">
          <w:rPr>
            <w:rStyle w:val="charCitHyperlinkAbbrev"/>
          </w:rPr>
          <w:t>Commonwealth Act</w:t>
        </w:r>
      </w:hyperlink>
      <w:r w:rsidR="00D67082">
        <w:t xml:space="preserve">, </w:t>
      </w:r>
      <w:r>
        <w:t>s 26 creates the office of gene technology regulator.</w:t>
      </w:r>
    </w:p>
    <w:p w:rsidR="00F93509" w:rsidRDefault="00F93509" w:rsidP="00F93509">
      <w:pPr>
        <w:pStyle w:val="AH5Sec"/>
      </w:pPr>
      <w:bookmarkStart w:id="45" w:name="_Toc526844522"/>
      <w:r w:rsidRPr="00325B6A">
        <w:rPr>
          <w:rStyle w:val="CharSectNo"/>
        </w:rPr>
        <w:t>27</w:t>
      </w:r>
      <w:r>
        <w:tab/>
        <w:t>Functions of regulator</w:t>
      </w:r>
      <w:bookmarkEnd w:id="45"/>
    </w:p>
    <w:p w:rsidR="00F93509" w:rsidRDefault="00F93509" w:rsidP="00F93509">
      <w:pPr>
        <w:pStyle w:val="Amainreturn"/>
        <w:keepNext/>
      </w:pPr>
      <w:r>
        <w:t>The regulator has the following functions:</w:t>
      </w:r>
    </w:p>
    <w:p w:rsidR="00F93509" w:rsidRDefault="00F93509" w:rsidP="00F93509">
      <w:pPr>
        <w:pStyle w:val="Apara"/>
      </w:pPr>
      <w:r>
        <w:rPr>
          <w:rFonts w:ascii="Tms Rmn" w:hAnsi="Tms Rmn"/>
        </w:rPr>
        <w:tab/>
        <w:t>(a)</w:t>
      </w:r>
      <w:r>
        <w:rPr>
          <w:rFonts w:ascii="Tms Rmn" w:hAnsi="Tms Rmn"/>
        </w:rPr>
        <w:tab/>
        <w:t xml:space="preserve">to exercise </w:t>
      </w:r>
      <w:r>
        <w:t>functions relating to GMO licences under part 5;</w:t>
      </w:r>
    </w:p>
    <w:p w:rsidR="00F93509" w:rsidRDefault="00F93509" w:rsidP="00F93509">
      <w:pPr>
        <w:pStyle w:val="Apara"/>
      </w:pPr>
      <w:r>
        <w:rPr>
          <w:rFonts w:ascii="Tms Rmn" w:hAnsi="Tms Rmn"/>
        </w:rPr>
        <w:tab/>
        <w:t>(b)</w:t>
      </w:r>
      <w:r>
        <w:rPr>
          <w:rFonts w:ascii="Tms Rmn" w:hAnsi="Tms Rmn"/>
        </w:rPr>
        <w:tab/>
      </w:r>
      <w:r>
        <w:t>to develop draft policy principles and policy guidelines, as requested by the ministerial council;</w:t>
      </w:r>
    </w:p>
    <w:p w:rsidR="00F93509" w:rsidRDefault="00F93509" w:rsidP="00F93509">
      <w:pPr>
        <w:pStyle w:val="Apara"/>
      </w:pPr>
      <w:r>
        <w:rPr>
          <w:rFonts w:ascii="Tms Rmn" w:hAnsi="Tms Rmn"/>
        </w:rPr>
        <w:tab/>
        <w:t>(c)</w:t>
      </w:r>
      <w:r>
        <w:rPr>
          <w:rFonts w:ascii="Tms Rmn" w:hAnsi="Tms Rmn"/>
        </w:rPr>
        <w:tab/>
      </w:r>
      <w:r>
        <w:t>to develop codes of practice;</w:t>
      </w:r>
    </w:p>
    <w:p w:rsidR="00F93509" w:rsidRDefault="00F93509" w:rsidP="00F93509">
      <w:pPr>
        <w:pStyle w:val="Apara"/>
      </w:pPr>
      <w:r>
        <w:rPr>
          <w:rFonts w:ascii="Tms Rmn" w:hAnsi="Tms Rmn"/>
        </w:rPr>
        <w:tab/>
        <w:t>(d)</w:t>
      </w:r>
      <w:r>
        <w:rPr>
          <w:rFonts w:ascii="Tms Rmn" w:hAnsi="Tms Rmn"/>
        </w:rPr>
        <w:tab/>
      </w:r>
      <w:r>
        <w:t>to issue technical and procedural guidelines about GMOs;</w:t>
      </w:r>
    </w:p>
    <w:p w:rsidR="00F93509" w:rsidRDefault="00F93509" w:rsidP="00F93509">
      <w:pPr>
        <w:pStyle w:val="Apara"/>
      </w:pPr>
      <w:r>
        <w:rPr>
          <w:rFonts w:ascii="Tms Rmn" w:hAnsi="Tms Rmn"/>
        </w:rPr>
        <w:tab/>
        <w:t>(e)</w:t>
      </w:r>
      <w:r>
        <w:rPr>
          <w:rFonts w:ascii="Tms Rmn" w:hAnsi="Tms Rmn"/>
        </w:rPr>
        <w:tab/>
      </w:r>
      <w:r>
        <w:t>to provide information and advice to other regulatory agencies about GMOs and GM products;</w:t>
      </w:r>
    </w:p>
    <w:p w:rsidR="00F93509" w:rsidRDefault="00F93509" w:rsidP="00F93509">
      <w:pPr>
        <w:pStyle w:val="Apara"/>
      </w:pPr>
      <w:r>
        <w:rPr>
          <w:rFonts w:ascii="Tms Rmn" w:hAnsi="Tms Rmn"/>
        </w:rPr>
        <w:tab/>
        <w:t>(f)</w:t>
      </w:r>
      <w:r>
        <w:rPr>
          <w:rFonts w:ascii="Tms Rmn" w:hAnsi="Tms Rmn"/>
        </w:rPr>
        <w:tab/>
      </w:r>
      <w:r>
        <w:t>to provide information and advice to the public about the regulation of GMOs;</w:t>
      </w:r>
    </w:p>
    <w:p w:rsidR="00F93509" w:rsidRDefault="00F93509" w:rsidP="00F93509">
      <w:pPr>
        <w:pStyle w:val="Apara"/>
      </w:pPr>
      <w:r>
        <w:rPr>
          <w:rFonts w:ascii="Tms Rmn" w:hAnsi="Tms Rmn"/>
        </w:rPr>
        <w:tab/>
        <w:t>(g)</w:t>
      </w:r>
      <w:r>
        <w:rPr>
          <w:rFonts w:ascii="Tms Rmn" w:hAnsi="Tms Rmn"/>
        </w:rPr>
        <w:tab/>
      </w:r>
      <w:r>
        <w:t>to provide advice to the ministerial council about—</w:t>
      </w:r>
    </w:p>
    <w:p w:rsidR="00F93509" w:rsidRDefault="00F93509" w:rsidP="00F93509">
      <w:pPr>
        <w:pStyle w:val="Asubpara"/>
      </w:pPr>
      <w:r>
        <w:rPr>
          <w:rFonts w:ascii="Tms Rmn" w:hAnsi="Tms Rmn"/>
        </w:rPr>
        <w:tab/>
        <w:t>(i)</w:t>
      </w:r>
      <w:r>
        <w:rPr>
          <w:rFonts w:ascii="Tms Rmn" w:hAnsi="Tms Rmn"/>
        </w:rPr>
        <w:tab/>
      </w:r>
      <w:r>
        <w:t xml:space="preserve">the operations of the regulator and the gene technology technical advisory committee; and </w:t>
      </w:r>
    </w:p>
    <w:p w:rsidR="00F93509" w:rsidRDefault="00F93509" w:rsidP="00F93509">
      <w:pPr>
        <w:pStyle w:val="Asubpara"/>
      </w:pPr>
      <w:r>
        <w:rPr>
          <w:rFonts w:ascii="Tms Rmn" w:hAnsi="Tms Rmn"/>
        </w:rPr>
        <w:tab/>
        <w:t>(ii)</w:t>
      </w:r>
      <w:r>
        <w:rPr>
          <w:rFonts w:ascii="Tms Rmn" w:hAnsi="Tms Rmn"/>
        </w:rPr>
        <w:tab/>
      </w:r>
      <w:r>
        <w:t>the effectiveness of the legislative framework for the regulation of GMOs, including about possible amendments of relevant legislation;</w:t>
      </w:r>
    </w:p>
    <w:p w:rsidR="00F93509" w:rsidRDefault="00F93509" w:rsidP="00F93509">
      <w:pPr>
        <w:pStyle w:val="Apara"/>
      </w:pPr>
      <w:r>
        <w:rPr>
          <w:rFonts w:ascii="Tms Rmn" w:hAnsi="Tms Rmn"/>
        </w:rPr>
        <w:tab/>
        <w:t>(h)</w:t>
      </w:r>
      <w:r>
        <w:rPr>
          <w:rFonts w:ascii="Tms Rmn" w:hAnsi="Tms Rmn"/>
        </w:rPr>
        <w:tab/>
      </w:r>
      <w:r>
        <w:t>to undertake or commission research about risk assessment and the biosafety of GMOs;</w:t>
      </w:r>
    </w:p>
    <w:p w:rsidR="00F93509" w:rsidRDefault="00F93509" w:rsidP="00F93509">
      <w:pPr>
        <w:pStyle w:val="Apara"/>
      </w:pPr>
      <w:r>
        <w:rPr>
          <w:rFonts w:ascii="Tms Rmn" w:hAnsi="Tms Rmn"/>
        </w:rPr>
        <w:tab/>
        <w:t>(i)</w:t>
      </w:r>
      <w:r>
        <w:rPr>
          <w:rFonts w:ascii="Tms Rmn" w:hAnsi="Tms Rmn"/>
        </w:rPr>
        <w:tab/>
      </w:r>
      <w:r>
        <w:t>to promote the harmonisation of risk assessments for GMOs and GM products by regulatory agencies;</w:t>
      </w:r>
    </w:p>
    <w:p w:rsidR="00F93509" w:rsidRDefault="00F93509" w:rsidP="00F93509">
      <w:pPr>
        <w:pStyle w:val="Apara"/>
      </w:pPr>
      <w:r>
        <w:rPr>
          <w:rFonts w:ascii="Tms Rmn" w:hAnsi="Tms Rmn"/>
        </w:rPr>
        <w:tab/>
        <w:t>(j)</w:t>
      </w:r>
      <w:r>
        <w:rPr>
          <w:rFonts w:ascii="Tms Rmn" w:hAnsi="Tms Rmn"/>
        </w:rPr>
        <w:tab/>
      </w:r>
      <w:r>
        <w:t>to monitor international practice for regulating GMOs;</w:t>
      </w:r>
    </w:p>
    <w:p w:rsidR="00F93509" w:rsidRDefault="00F93509" w:rsidP="00F93509">
      <w:pPr>
        <w:pStyle w:val="Apara"/>
      </w:pPr>
      <w:r>
        <w:rPr>
          <w:rFonts w:ascii="Tms Rmn" w:hAnsi="Tms Rmn"/>
        </w:rPr>
        <w:tab/>
        <w:t>(k)</w:t>
      </w:r>
      <w:r>
        <w:rPr>
          <w:rFonts w:ascii="Tms Rmn" w:hAnsi="Tms Rmn"/>
        </w:rPr>
        <w:tab/>
      </w:r>
      <w:r>
        <w:t>to maintain links with international organisations dealing with the regulation of gene technology and with agencies regulating GMOs in places outside the ACT;</w:t>
      </w:r>
    </w:p>
    <w:p w:rsidR="00F93509" w:rsidRDefault="00F93509" w:rsidP="00F93509">
      <w:pPr>
        <w:pStyle w:val="Apara"/>
      </w:pPr>
      <w:r>
        <w:rPr>
          <w:rFonts w:ascii="Tms Rmn" w:hAnsi="Tms Rmn"/>
        </w:rPr>
        <w:tab/>
        <w:t>(l)</w:t>
      </w:r>
      <w:r>
        <w:rPr>
          <w:rFonts w:ascii="Tms Rmn" w:hAnsi="Tms Rmn"/>
        </w:rPr>
        <w:tab/>
      </w:r>
      <w:r>
        <w:t>to exercise other functions given to the regulator under this Act or any other law.</w:t>
      </w:r>
    </w:p>
    <w:p w:rsidR="00F93509" w:rsidRDefault="00F93509" w:rsidP="00F93509">
      <w:pPr>
        <w:pStyle w:val="AH5Sec"/>
      </w:pPr>
      <w:bookmarkStart w:id="46" w:name="_Toc526844523"/>
      <w:r w:rsidRPr="00325B6A">
        <w:rPr>
          <w:rStyle w:val="CharSectNo"/>
        </w:rPr>
        <w:t>28</w:t>
      </w:r>
      <w:r>
        <w:tab/>
        <w:t>Powers of regulator</w:t>
      </w:r>
      <w:bookmarkEnd w:id="46"/>
    </w:p>
    <w:p w:rsidR="00F93509" w:rsidRDefault="00F93509" w:rsidP="00F93509">
      <w:pPr>
        <w:pStyle w:val="aNote"/>
      </w:pPr>
      <w:r w:rsidRPr="00903C3C">
        <w:rPr>
          <w:rStyle w:val="charItals"/>
        </w:rPr>
        <w:t>Note</w:t>
      </w:r>
      <w:r w:rsidRPr="00903C3C">
        <w:rPr>
          <w:rStyle w:val="charItals"/>
        </w:rPr>
        <w:tab/>
      </w:r>
      <w:r>
        <w:t>The</w:t>
      </w:r>
      <w:r w:rsidR="00D67082">
        <w:t xml:space="preserve"> </w:t>
      </w:r>
      <w:hyperlink r:id="rId81" w:tooltip="Gene Technology Act 2000" w:history="1">
        <w:r w:rsidR="00D67082" w:rsidRPr="00D67082">
          <w:rPr>
            <w:rStyle w:val="charCitHyperlinkAbbrev"/>
          </w:rPr>
          <w:t>Commonwealth Act</w:t>
        </w:r>
      </w:hyperlink>
      <w:r w:rsidR="00D67082">
        <w:t xml:space="preserve">, </w:t>
      </w:r>
      <w:r>
        <w:t xml:space="preserve">s 28 gives the regulator powers. The provision is unnecessary in the ACT (see </w:t>
      </w:r>
      <w:hyperlink r:id="rId82" w:tooltip="A2001-14" w:history="1">
        <w:r w:rsidRPr="00903C3C">
          <w:rPr>
            <w:rStyle w:val="charCitHyperlinkAbbrev"/>
          </w:rPr>
          <w:t>Legislation Act</w:t>
        </w:r>
      </w:hyperlink>
      <w:r>
        <w:t>, s 196).</w:t>
      </w:r>
    </w:p>
    <w:p w:rsidR="00F93509" w:rsidRDefault="00F93509" w:rsidP="00F93509">
      <w:pPr>
        <w:pStyle w:val="AH5Sec"/>
      </w:pPr>
      <w:bookmarkStart w:id="47" w:name="_Toc526844524"/>
      <w:r w:rsidRPr="00325B6A">
        <w:rPr>
          <w:rStyle w:val="CharSectNo"/>
        </w:rPr>
        <w:t>29</w:t>
      </w:r>
      <w:r>
        <w:tab/>
        <w:t>Delegation</w:t>
      </w:r>
      <w:bookmarkEnd w:id="47"/>
    </w:p>
    <w:p w:rsidR="00F93509" w:rsidRDefault="00F93509" w:rsidP="00F93509">
      <w:pPr>
        <w:pStyle w:val="Amain"/>
        <w:keepNext/>
      </w:pPr>
      <w:r>
        <w:rPr>
          <w:rFonts w:ascii="Tms Rmn" w:hAnsi="Tms Rmn"/>
        </w:rPr>
        <w:tab/>
        <w:t>(1)</w:t>
      </w:r>
      <w:r>
        <w:rPr>
          <w:rFonts w:ascii="Tms Rmn" w:hAnsi="Tms Rmn"/>
        </w:rPr>
        <w:tab/>
      </w:r>
      <w:r>
        <w:t>The regulator may delegate the regulator’s functions under this Act to any of the following:</w:t>
      </w:r>
    </w:p>
    <w:p w:rsidR="00F93509" w:rsidRDefault="00F93509" w:rsidP="00F93509">
      <w:pPr>
        <w:pStyle w:val="Apara"/>
      </w:pPr>
      <w:r>
        <w:rPr>
          <w:rFonts w:ascii="Tms Rmn" w:hAnsi="Tms Rmn"/>
        </w:rPr>
        <w:tab/>
        <w:t>(a)</w:t>
      </w:r>
      <w:r>
        <w:rPr>
          <w:rFonts w:ascii="Tms Rmn" w:hAnsi="Tms Rmn"/>
        </w:rPr>
        <w:tab/>
      </w:r>
      <w:r>
        <w:t>a public servant;</w:t>
      </w:r>
    </w:p>
    <w:p w:rsidR="00F93509" w:rsidRDefault="00F93509" w:rsidP="00F93509">
      <w:pPr>
        <w:pStyle w:val="Apara"/>
      </w:pPr>
      <w:r>
        <w:rPr>
          <w:rFonts w:ascii="Tms Rmn" w:hAnsi="Tms Rmn"/>
        </w:rPr>
        <w:tab/>
        <w:t>(b)</w:t>
      </w:r>
      <w:r>
        <w:rPr>
          <w:rFonts w:ascii="Tms Rmn" w:hAnsi="Tms Rmn"/>
        </w:rPr>
        <w:tab/>
      </w:r>
      <w:r>
        <w:t>an officer or employee of a territory agency, if the functions of the territory agency relate, directly or indirectly, to GMOs or GM products;</w:t>
      </w:r>
    </w:p>
    <w:p w:rsidR="00F93509" w:rsidRDefault="00F93509" w:rsidP="00F93509">
      <w:pPr>
        <w:pStyle w:val="Apara"/>
        <w:keepNext/>
      </w:pPr>
      <w:r>
        <w:rPr>
          <w:rFonts w:ascii="Tms Rmn" w:hAnsi="Tms Rmn"/>
        </w:rPr>
        <w:tab/>
        <w:t>(c)</w:t>
      </w:r>
      <w:r>
        <w:rPr>
          <w:rFonts w:ascii="Tms Rmn" w:hAnsi="Tms Rmn"/>
        </w:rPr>
        <w:tab/>
      </w:r>
      <w:r>
        <w:t>an employee of a Commonwealth authority, if the functions of the Commonwealth authority relate, directly or indirectly, to GMOs or GM products.</w:t>
      </w:r>
    </w:p>
    <w:p w:rsidR="00F93509" w:rsidRDefault="00F93509" w:rsidP="00F93509">
      <w:pPr>
        <w:pStyle w:val="aNote"/>
      </w:pPr>
      <w:r w:rsidRPr="00903C3C">
        <w:rPr>
          <w:rStyle w:val="charItals"/>
        </w:rPr>
        <w:t>Note</w:t>
      </w:r>
      <w:r>
        <w:tab/>
        <w:t xml:space="preserve">For the making of delegations and the exercise of delegated functions, see </w:t>
      </w:r>
      <w:hyperlink r:id="rId83" w:tooltip="A2001-14" w:history="1">
        <w:r w:rsidRPr="00903C3C">
          <w:rPr>
            <w:rStyle w:val="charCitHyperlinkAbbrev"/>
          </w:rPr>
          <w:t>Legislation Act</w:t>
        </w:r>
      </w:hyperlink>
      <w:r>
        <w:t>, pt 19.4.</w:t>
      </w:r>
    </w:p>
    <w:p w:rsidR="00F93509" w:rsidRDefault="00F93509" w:rsidP="00F93509">
      <w:pPr>
        <w:pStyle w:val="Amain"/>
        <w:keepNext/>
      </w:pPr>
      <w:r>
        <w:rPr>
          <w:rFonts w:ascii="Tms Rmn" w:hAnsi="Tms Rmn"/>
        </w:rPr>
        <w:tab/>
        <w:t>(2)</w:t>
      </w:r>
      <w:r>
        <w:rPr>
          <w:rFonts w:ascii="Tms Rmn" w:hAnsi="Tms Rmn"/>
        </w:rPr>
        <w:tab/>
      </w:r>
      <w:r>
        <w:t>In exercising a function under a delegation, the delegate must comply with any directions of the regulator.</w:t>
      </w:r>
    </w:p>
    <w:p w:rsidR="00F93509" w:rsidRDefault="00F93509" w:rsidP="00F93509">
      <w:pPr>
        <w:pStyle w:val="aNote"/>
      </w:pPr>
      <w:r>
        <w:rPr>
          <w:rStyle w:val="charItals"/>
        </w:rPr>
        <w:t>Note</w:t>
      </w:r>
      <w:r>
        <w:tab/>
        <w:t>This section differs from the</w:t>
      </w:r>
      <w:r w:rsidR="00D67082">
        <w:t xml:space="preserve"> </w:t>
      </w:r>
      <w:hyperlink r:id="rId84" w:tooltip="Gene Technology Act 2000" w:history="1">
        <w:r w:rsidR="00D67082" w:rsidRPr="00D67082">
          <w:rPr>
            <w:rStyle w:val="charCitHyperlinkAbbrev"/>
          </w:rPr>
          <w:t>Commonwealth Act</w:t>
        </w:r>
      </w:hyperlink>
      <w:r w:rsidR="00D67082">
        <w:t xml:space="preserve">, </w:t>
      </w:r>
      <w:r>
        <w:t>s 29.</w:t>
      </w:r>
    </w:p>
    <w:p w:rsidR="00F93509" w:rsidRDefault="00F93509" w:rsidP="00F93509">
      <w:pPr>
        <w:pStyle w:val="AH5Sec"/>
      </w:pPr>
      <w:bookmarkStart w:id="48" w:name="_Toc526844525"/>
      <w:r w:rsidRPr="00325B6A">
        <w:rPr>
          <w:rStyle w:val="CharSectNo"/>
        </w:rPr>
        <w:t>30</w:t>
      </w:r>
      <w:r>
        <w:tab/>
        <w:t>Independence of regulator</w:t>
      </w:r>
      <w:bookmarkEnd w:id="48"/>
    </w:p>
    <w:p w:rsidR="00F93509" w:rsidRDefault="00F93509" w:rsidP="00F93509">
      <w:pPr>
        <w:pStyle w:val="Amain"/>
      </w:pPr>
      <w:r>
        <w:tab/>
        <w:t>(1)</w:t>
      </w:r>
      <w:r>
        <w:tab/>
        <w:t xml:space="preserve">The regulator has discretion in the exercise of the regulator’s functions under this Act.  </w:t>
      </w:r>
    </w:p>
    <w:p w:rsidR="00F93509" w:rsidRDefault="00F93509" w:rsidP="00F93509">
      <w:pPr>
        <w:pStyle w:val="Amain"/>
      </w:pPr>
      <w:r>
        <w:tab/>
        <w:t>(2)</w:t>
      </w:r>
      <w:r>
        <w:tab/>
        <w:t>In particular, the regulator is not subject to direction from anyone about—</w:t>
      </w:r>
    </w:p>
    <w:p w:rsidR="003A7289" w:rsidRPr="00E2623C" w:rsidRDefault="003A7289" w:rsidP="003A7289">
      <w:pPr>
        <w:pStyle w:val="Apara"/>
      </w:pPr>
      <w:r w:rsidRPr="00E2623C">
        <w:tab/>
        <w:t>(a)</w:t>
      </w:r>
      <w:r w:rsidRPr="00E2623C">
        <w:tab/>
        <w:t>whether a GMO licence is issued or refused in relation to a particular application; or</w:t>
      </w:r>
    </w:p>
    <w:p w:rsidR="00F93509" w:rsidRDefault="00F93509" w:rsidP="00F93509">
      <w:pPr>
        <w:pStyle w:val="Apara"/>
      </w:pPr>
      <w:r>
        <w:rPr>
          <w:rFonts w:ascii="Tms Rmn" w:hAnsi="Tms Rmn"/>
        </w:rPr>
        <w:tab/>
        <w:t>(b)</w:t>
      </w:r>
      <w:r>
        <w:rPr>
          <w:rFonts w:ascii="Tms Rmn" w:hAnsi="Tms Rmn"/>
        </w:rPr>
        <w:tab/>
      </w:r>
      <w:r>
        <w:t>the conditions to which a particular GMO licence is subject.</w:t>
      </w:r>
    </w:p>
    <w:p w:rsidR="00D67082" w:rsidRPr="00D67082" w:rsidRDefault="00D67082" w:rsidP="00D67082">
      <w:pPr>
        <w:pStyle w:val="PageBreak"/>
        <w:rPr>
          <w:rStyle w:val="CharPartNo"/>
          <w:rFonts w:ascii="Arial" w:hAnsi="Arial"/>
          <w:b/>
          <w:szCs w:val="4"/>
        </w:rPr>
      </w:pPr>
      <w:r w:rsidRPr="00D67082">
        <w:rPr>
          <w:rStyle w:val="CharPartNo"/>
          <w:szCs w:val="4"/>
        </w:rPr>
        <w:br w:type="page"/>
      </w:r>
    </w:p>
    <w:p w:rsidR="00F93509" w:rsidRPr="00325B6A" w:rsidRDefault="00F93509" w:rsidP="00F93509">
      <w:pPr>
        <w:pStyle w:val="AH2Part"/>
      </w:pPr>
      <w:bookmarkStart w:id="49" w:name="_Toc526844526"/>
      <w:r w:rsidRPr="00325B6A">
        <w:rPr>
          <w:rStyle w:val="CharPartNo"/>
        </w:rPr>
        <w:t>Part 4</w:t>
      </w:r>
      <w:r>
        <w:tab/>
      </w:r>
      <w:r w:rsidRPr="00325B6A">
        <w:rPr>
          <w:rStyle w:val="CharPartText"/>
        </w:rPr>
        <w:t>Regulation of dealings with GMOs</w:t>
      </w:r>
      <w:bookmarkEnd w:id="49"/>
    </w:p>
    <w:p w:rsidR="00F93509" w:rsidRPr="00325B6A" w:rsidRDefault="00F93509" w:rsidP="00F93509">
      <w:pPr>
        <w:pStyle w:val="AH3Div"/>
      </w:pPr>
      <w:bookmarkStart w:id="50" w:name="_Toc526844527"/>
      <w:r w:rsidRPr="00325B6A">
        <w:rPr>
          <w:rStyle w:val="CharDivNo"/>
        </w:rPr>
        <w:t>Division 4.1</w:t>
      </w:r>
      <w:r>
        <w:tab/>
      </w:r>
      <w:r w:rsidRPr="00325B6A">
        <w:rPr>
          <w:rStyle w:val="CharDivText"/>
        </w:rPr>
        <w:t>Simplified outline of pt 4</w:t>
      </w:r>
      <w:bookmarkEnd w:id="50"/>
    </w:p>
    <w:p w:rsidR="00F93509" w:rsidRDefault="00F93509" w:rsidP="00F93509">
      <w:pPr>
        <w:pStyle w:val="AH5Sec"/>
      </w:pPr>
      <w:bookmarkStart w:id="51" w:name="_Toc526844528"/>
      <w:r w:rsidRPr="00325B6A">
        <w:rPr>
          <w:rStyle w:val="CharSectNo"/>
        </w:rPr>
        <w:t>31</w:t>
      </w:r>
      <w:r>
        <w:tab/>
        <w:t>Simplified outline—pt 4</w:t>
      </w:r>
      <w:bookmarkEnd w:id="51"/>
    </w:p>
    <w:p w:rsidR="00F93509" w:rsidRDefault="00F93509" w:rsidP="00F93509">
      <w:pPr>
        <w:pStyle w:val="Amainreturn"/>
      </w:pPr>
      <w:r>
        <w:t>In outline, this part—</w:t>
      </w:r>
    </w:p>
    <w:p w:rsidR="00F93509" w:rsidRDefault="00F93509" w:rsidP="00F93509">
      <w:pPr>
        <w:pStyle w:val="Apara"/>
      </w:pPr>
      <w:r>
        <w:tab/>
        <w:t>(a)</w:t>
      </w:r>
      <w:r>
        <w:tab/>
        <w:t>deals with the regulation of dealings with GMOs; and</w:t>
      </w:r>
    </w:p>
    <w:p w:rsidR="00F93509" w:rsidRDefault="00F93509" w:rsidP="00F93509">
      <w:pPr>
        <w:pStyle w:val="Apara"/>
      </w:pPr>
      <w:r>
        <w:tab/>
        <w:t>(b)</w:t>
      </w:r>
      <w:r>
        <w:tab/>
        <w:t>prohibits dealings with GMOs unless—</w:t>
      </w:r>
    </w:p>
    <w:p w:rsidR="00F93509" w:rsidRDefault="00F93509" w:rsidP="00F93509">
      <w:pPr>
        <w:pStyle w:val="Asubpara"/>
      </w:pPr>
      <w:r>
        <w:tab/>
        <w:t>(i)</w:t>
      </w:r>
      <w:r>
        <w:tab/>
        <w:t>the person undertaking the dealing is authorised to do so by a GMO licence; or</w:t>
      </w:r>
    </w:p>
    <w:p w:rsidR="00F93509" w:rsidRDefault="00F93509" w:rsidP="00F93509">
      <w:pPr>
        <w:pStyle w:val="Asubpara"/>
      </w:pPr>
      <w:r>
        <w:tab/>
        <w:t>(ia)</w:t>
      </w:r>
      <w:r>
        <w:tab/>
        <w:t>the dealing is specified in an emergency dealing determination; or</w:t>
      </w:r>
    </w:p>
    <w:p w:rsidR="00F93509" w:rsidRDefault="00F93509" w:rsidP="00F93509">
      <w:pPr>
        <w:pStyle w:val="Asubpara"/>
      </w:pPr>
      <w:r>
        <w:tab/>
        <w:t>(ii)</w:t>
      </w:r>
      <w:r>
        <w:tab/>
        <w:t>the dealing is a notifiable low risk dealing (see division 6.2); or</w:t>
      </w:r>
    </w:p>
    <w:p w:rsidR="00F93509" w:rsidRDefault="00F93509" w:rsidP="00F93509">
      <w:pPr>
        <w:pStyle w:val="Asubpara"/>
      </w:pPr>
      <w:r>
        <w:tab/>
        <w:t>(iii)</w:t>
      </w:r>
      <w:r>
        <w:tab/>
        <w:t>the dealing is an exempt dealing; or</w:t>
      </w:r>
    </w:p>
    <w:p w:rsidR="00F93509" w:rsidRDefault="00F93509" w:rsidP="00F93509">
      <w:pPr>
        <w:pStyle w:val="Asubpara"/>
      </w:pPr>
      <w:r>
        <w:tab/>
        <w:t>(iv)</w:t>
      </w:r>
      <w:r>
        <w:tab/>
        <w:t>the dealing is included in the GMO register (see division 6.3); and</w:t>
      </w:r>
    </w:p>
    <w:p w:rsidR="00F93509" w:rsidRDefault="00F93509" w:rsidP="00F93509">
      <w:pPr>
        <w:pStyle w:val="Apara"/>
      </w:pPr>
      <w:r>
        <w:tab/>
        <w:t>(c)</w:t>
      </w:r>
      <w:r>
        <w:tab/>
        <w:t>imposes heavier penalties on unlawful dealings that cause, or are likely to cause, significant damage to the health and safety of people or to the environment.</w:t>
      </w:r>
    </w:p>
    <w:p w:rsidR="00F93509" w:rsidRPr="00325B6A" w:rsidRDefault="00F93509" w:rsidP="00F93509">
      <w:pPr>
        <w:pStyle w:val="AH3Div"/>
      </w:pPr>
      <w:bookmarkStart w:id="52" w:name="_Toc526844529"/>
      <w:r w:rsidRPr="00325B6A">
        <w:rPr>
          <w:rStyle w:val="CharDivNo"/>
        </w:rPr>
        <w:t>Division 4.2</w:t>
      </w:r>
      <w:r>
        <w:tab/>
      </w:r>
      <w:r w:rsidRPr="00325B6A">
        <w:rPr>
          <w:rStyle w:val="CharDivText"/>
        </w:rPr>
        <w:t>Dealings with GMOs must be licensed</w:t>
      </w:r>
      <w:bookmarkEnd w:id="52"/>
    </w:p>
    <w:p w:rsidR="00F93509" w:rsidRDefault="00F93509" w:rsidP="00F93509">
      <w:pPr>
        <w:pStyle w:val="AH5Sec"/>
      </w:pPr>
      <w:bookmarkStart w:id="53" w:name="_Toc526844530"/>
      <w:r w:rsidRPr="00325B6A">
        <w:rPr>
          <w:rStyle w:val="CharSectNo"/>
        </w:rPr>
        <w:t>32</w:t>
      </w:r>
      <w:r>
        <w:tab/>
        <w:t>Person not to deal with GMO without licence</w:t>
      </w:r>
      <w:bookmarkEnd w:id="53"/>
    </w:p>
    <w:p w:rsidR="00F93509" w:rsidRDefault="00F93509" w:rsidP="00F93509">
      <w:pPr>
        <w:pStyle w:val="Amainreturn"/>
        <w:keepNext/>
      </w:pPr>
      <w:r>
        <w:t>A person commits an offence if—</w:t>
      </w:r>
    </w:p>
    <w:p w:rsidR="00F93509" w:rsidRDefault="00F93509" w:rsidP="00F93509">
      <w:pPr>
        <w:pStyle w:val="Apara"/>
      </w:pPr>
      <w:r>
        <w:tab/>
        <w:t>(a)</w:t>
      </w:r>
      <w:r>
        <w:tab/>
        <w:t>the person deals with a  GMO, knowing that it is a GMO; and</w:t>
      </w:r>
    </w:p>
    <w:p w:rsidR="00F93509" w:rsidRDefault="00F93509" w:rsidP="00F93509">
      <w:pPr>
        <w:pStyle w:val="Apara"/>
      </w:pPr>
      <w:r>
        <w:tab/>
        <w:t>(b)</w:t>
      </w:r>
      <w:r>
        <w:tab/>
        <w:t>the dealing with the GMO by the person is not authorised by a GMO licence, and the person knows or is reckless about that fact; and</w:t>
      </w:r>
    </w:p>
    <w:p w:rsidR="00F93509" w:rsidRDefault="00F93509" w:rsidP="00F93509">
      <w:pPr>
        <w:pStyle w:val="Apara"/>
      </w:pPr>
      <w:r>
        <w:tab/>
        <w:t>(c)</w:t>
      </w:r>
      <w:r>
        <w:tab/>
        <w:t>the dealing with the GMO is not specified in an emergency dealing determination, and the person knows or is reckless about that fact; and</w:t>
      </w:r>
    </w:p>
    <w:p w:rsidR="00F93509" w:rsidRDefault="00F93509" w:rsidP="00F93509">
      <w:pPr>
        <w:pStyle w:val="Apara"/>
      </w:pPr>
      <w:r>
        <w:tab/>
        <w:t>(d)</w:t>
      </w:r>
      <w:r>
        <w:tab/>
        <w:t>the dealing is not a notifiable low risk dealing, and the person knows or is reckless about that fact; and</w:t>
      </w:r>
    </w:p>
    <w:p w:rsidR="00F93509" w:rsidRDefault="00F93509" w:rsidP="00F93509">
      <w:pPr>
        <w:pStyle w:val="Apara"/>
      </w:pPr>
      <w:r>
        <w:tab/>
        <w:t>(e)</w:t>
      </w:r>
      <w:r>
        <w:tab/>
        <w:t>the dealing is not an exempt dealing and the person knows or is reckless about that fact; and</w:t>
      </w:r>
    </w:p>
    <w:p w:rsidR="00F93509" w:rsidRDefault="00F93509" w:rsidP="00F93509">
      <w:pPr>
        <w:pStyle w:val="Apara"/>
      </w:pPr>
      <w:r>
        <w:tab/>
        <w:t>(f)</w:t>
      </w:r>
      <w:r>
        <w:tab/>
        <w:t>the dealing is not included on the GMO Register, and the person knows or is reckless about that fact.</w:t>
      </w:r>
    </w:p>
    <w:p w:rsidR="00F93509" w:rsidRDefault="00F93509" w:rsidP="00F93509">
      <w:pPr>
        <w:pStyle w:val="Penalty"/>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Note"/>
        <w:keepNext/>
      </w:pPr>
      <w:r>
        <w:rPr>
          <w:rStyle w:val="charItals"/>
        </w:rPr>
        <w:t>Note 1</w:t>
      </w:r>
      <w:r>
        <w:rPr>
          <w:rStyle w:val="charItals"/>
        </w:rPr>
        <w:tab/>
      </w:r>
      <w:r>
        <w:rPr>
          <w:rStyle w:val="charBoldItals"/>
        </w:rPr>
        <w:t>Aggravated offence</w:t>
      </w:r>
      <w:r>
        <w:t xml:space="preserve"> is defined in s 38.</w:t>
      </w:r>
    </w:p>
    <w:p w:rsidR="00F93509" w:rsidRDefault="00F93509" w:rsidP="00F93509">
      <w:pPr>
        <w:pStyle w:val="aNote"/>
      </w:pPr>
      <w:r>
        <w:rPr>
          <w:rStyle w:val="charItals"/>
        </w:rPr>
        <w:t>Note 2</w:t>
      </w:r>
      <w:r>
        <w:rPr>
          <w:b/>
          <w:bCs/>
        </w:rPr>
        <w:tab/>
      </w:r>
      <w:r>
        <w:t>For provisions corresponding to the</w:t>
      </w:r>
      <w:r w:rsidR="00D67082">
        <w:t xml:space="preserve"> </w:t>
      </w:r>
      <w:hyperlink r:id="rId85" w:tooltip="Gene Technology Act 2000" w:history="1">
        <w:r w:rsidR="00D67082" w:rsidRPr="00D67082">
          <w:rPr>
            <w:rStyle w:val="charCitHyperlinkAbbrev"/>
          </w:rPr>
          <w:t>Commonwealth Act</w:t>
        </w:r>
      </w:hyperlink>
      <w:r w:rsidR="00D67082">
        <w:t xml:space="preserve">, </w:t>
      </w:r>
      <w:r>
        <w:t xml:space="preserve">s 32 (4), see the </w:t>
      </w:r>
      <w:hyperlink r:id="rId86" w:tooltip="A2001-14" w:history="1">
        <w:r w:rsidRPr="00903C3C">
          <w:rPr>
            <w:rStyle w:val="charCitHyperlinkAbbrev"/>
          </w:rPr>
          <w:t>Legislation Act</w:t>
        </w:r>
      </w:hyperlink>
      <w:r>
        <w:t>, s 48.</w:t>
      </w:r>
    </w:p>
    <w:p w:rsidR="00F93509" w:rsidRDefault="00F93509" w:rsidP="00F93509">
      <w:pPr>
        <w:pStyle w:val="AH5Sec"/>
      </w:pPr>
      <w:bookmarkStart w:id="54" w:name="_Toc526844531"/>
      <w:r w:rsidRPr="00325B6A">
        <w:rPr>
          <w:rStyle w:val="CharSectNo"/>
        </w:rPr>
        <w:t>33</w:t>
      </w:r>
      <w:r>
        <w:tab/>
        <w:t>Person not to deal with GMO without licence—strict liability offence</w:t>
      </w:r>
      <w:bookmarkEnd w:id="54"/>
    </w:p>
    <w:p w:rsidR="00F93509" w:rsidRDefault="00F93509" w:rsidP="00F93509">
      <w:pPr>
        <w:pStyle w:val="Amain"/>
      </w:pPr>
      <w:r>
        <w:rPr>
          <w:rFonts w:ascii="Tms Rmn" w:hAnsi="Tms Rmn"/>
        </w:rPr>
        <w:tab/>
        <w:t>(1)</w:t>
      </w:r>
      <w:r>
        <w:rPr>
          <w:rFonts w:ascii="Tms Rmn" w:hAnsi="Tms Rmn"/>
        </w:rPr>
        <w:tab/>
      </w:r>
      <w:r>
        <w:t>A person commits an offence if—</w:t>
      </w:r>
    </w:p>
    <w:p w:rsidR="00F93509" w:rsidRDefault="00F93509" w:rsidP="00F93509">
      <w:pPr>
        <w:pStyle w:val="Apara"/>
      </w:pPr>
      <w:r>
        <w:rPr>
          <w:rFonts w:ascii="Tms Rmn" w:hAnsi="Tms Rmn"/>
        </w:rPr>
        <w:tab/>
        <w:t>(a)</w:t>
      </w:r>
      <w:r>
        <w:rPr>
          <w:rFonts w:ascii="Tms Rmn" w:hAnsi="Tms Rmn"/>
        </w:rPr>
        <w:tab/>
      </w:r>
      <w:r>
        <w:t xml:space="preserve">the person deals with a GMO, knowing that it is a GMO; and </w:t>
      </w:r>
    </w:p>
    <w:p w:rsidR="00F93509" w:rsidRDefault="00F93509" w:rsidP="00F93509">
      <w:pPr>
        <w:pStyle w:val="Apara"/>
      </w:pPr>
      <w:r>
        <w:rPr>
          <w:rFonts w:ascii="Tms Rmn" w:hAnsi="Tms Rmn"/>
        </w:rPr>
        <w:tab/>
        <w:t>(b)</w:t>
      </w:r>
      <w:r>
        <w:rPr>
          <w:rFonts w:ascii="Tms Rmn" w:hAnsi="Tms Rmn"/>
        </w:rPr>
        <w:tab/>
      </w:r>
      <w:r>
        <w:t>the dealing with the GMO by the person is not authorised by a GMO licence; and</w:t>
      </w:r>
    </w:p>
    <w:p w:rsidR="00F93509" w:rsidRDefault="00F93509" w:rsidP="00F93509">
      <w:pPr>
        <w:pStyle w:val="Apara"/>
      </w:pPr>
      <w:r>
        <w:tab/>
        <w:t>(ba)</w:t>
      </w:r>
      <w:r>
        <w:tab/>
        <w:t>the dealing with the GMO is not specified in an emergency dealing determination; and</w:t>
      </w:r>
    </w:p>
    <w:p w:rsidR="00F93509" w:rsidRDefault="00F93509" w:rsidP="00F93509">
      <w:pPr>
        <w:pStyle w:val="Apara"/>
      </w:pPr>
      <w:r>
        <w:rPr>
          <w:rFonts w:ascii="Tms Rmn" w:hAnsi="Tms Rmn"/>
        </w:rPr>
        <w:tab/>
        <w:t>(c)</w:t>
      </w:r>
      <w:r>
        <w:rPr>
          <w:rFonts w:ascii="Tms Rmn" w:hAnsi="Tms Rmn"/>
        </w:rPr>
        <w:tab/>
      </w:r>
      <w:r>
        <w:t xml:space="preserve">the dealing is not a notifiable low risk dealing; and </w:t>
      </w:r>
    </w:p>
    <w:p w:rsidR="00F93509" w:rsidRDefault="00F93509" w:rsidP="00F93509">
      <w:pPr>
        <w:pStyle w:val="Apara"/>
      </w:pPr>
      <w:r>
        <w:rPr>
          <w:rFonts w:ascii="Tms Rmn" w:hAnsi="Tms Rmn"/>
        </w:rPr>
        <w:tab/>
        <w:t>(d)</w:t>
      </w:r>
      <w:r>
        <w:rPr>
          <w:rFonts w:ascii="Tms Rmn" w:hAnsi="Tms Rmn"/>
        </w:rPr>
        <w:tab/>
      </w:r>
      <w:r>
        <w:t xml:space="preserve">the dealing is not an exempt dealing; and </w:t>
      </w:r>
    </w:p>
    <w:p w:rsidR="00F93509" w:rsidRDefault="00F93509" w:rsidP="00F93509">
      <w:pPr>
        <w:pStyle w:val="Apara"/>
        <w:keepNext/>
      </w:pPr>
      <w:r>
        <w:rPr>
          <w:rFonts w:ascii="Tms Rmn" w:hAnsi="Tms Rmn"/>
        </w:rPr>
        <w:tab/>
        <w:t>(e)</w:t>
      </w:r>
      <w:r>
        <w:rPr>
          <w:rFonts w:ascii="Tms Rmn" w:hAnsi="Tms Rmn"/>
        </w:rPr>
        <w:tab/>
      </w:r>
      <w:r>
        <w:t>the dealing is not included on the GMO register.</w:t>
      </w:r>
    </w:p>
    <w:p w:rsidR="00F93509" w:rsidRDefault="00F93509" w:rsidP="00F93509">
      <w:pPr>
        <w:pStyle w:val="Penalty"/>
        <w:keepNext/>
      </w:pPr>
      <w:r>
        <w:t>Maximum penalty:</w:t>
      </w:r>
    </w:p>
    <w:p w:rsidR="00F93509" w:rsidRDefault="00F93509" w:rsidP="00F93509">
      <w:pPr>
        <w:pStyle w:val="PenaltyPara"/>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keepNext/>
      </w:pPr>
      <w:r>
        <w:rPr>
          <w:rFonts w:ascii="Tms Rmn" w:hAnsi="Tms Rmn"/>
        </w:rPr>
        <w:tab/>
        <w:t>(2)</w:t>
      </w:r>
      <w:r>
        <w:rPr>
          <w:rFonts w:ascii="Tms Rmn" w:hAnsi="Tms Rmn"/>
        </w:rPr>
        <w:tab/>
      </w:r>
      <w:r>
        <w:t>Strict liability applies to subsection (1) (b), (ba), (c), (d) and (e).</w:t>
      </w:r>
    </w:p>
    <w:p w:rsidR="00F93509" w:rsidRDefault="00F93509" w:rsidP="00F93509">
      <w:pPr>
        <w:pStyle w:val="aNote"/>
      </w:pPr>
      <w:r>
        <w:rPr>
          <w:rStyle w:val="charItals"/>
        </w:rPr>
        <w:t>Note</w:t>
      </w:r>
      <w:r>
        <w:tab/>
        <w:t>This section differs from the</w:t>
      </w:r>
      <w:r w:rsidR="00D67082">
        <w:t xml:space="preserve"> </w:t>
      </w:r>
      <w:hyperlink r:id="rId87" w:tooltip="Gene Technology Act 2000" w:history="1">
        <w:r w:rsidR="00D97422" w:rsidRPr="00D97422">
          <w:rPr>
            <w:rStyle w:val="charCitHyperlinkAbbrev"/>
          </w:rPr>
          <w:t>Commonwealth Act</w:t>
        </w:r>
      </w:hyperlink>
      <w:r w:rsidR="00D67082">
        <w:t xml:space="preserve">, </w:t>
      </w:r>
      <w:r>
        <w:t>s 33.</w:t>
      </w:r>
    </w:p>
    <w:p w:rsidR="00F93509" w:rsidRDefault="00F93509" w:rsidP="00F93509">
      <w:pPr>
        <w:pStyle w:val="AH5Sec"/>
      </w:pPr>
      <w:bookmarkStart w:id="55" w:name="_Toc526844532"/>
      <w:r w:rsidRPr="00325B6A">
        <w:rPr>
          <w:rStyle w:val="CharSectNo"/>
        </w:rPr>
        <w:t>34</w:t>
      </w:r>
      <w:r>
        <w:tab/>
        <w:t>Person must not breach conditions of GMO licence</w:t>
      </w:r>
      <w:bookmarkEnd w:id="55"/>
    </w:p>
    <w:p w:rsidR="00F93509" w:rsidRDefault="00F93509" w:rsidP="00F93509">
      <w:pPr>
        <w:pStyle w:val="Amain"/>
      </w:pPr>
      <w:r>
        <w:tab/>
        <w:t>(1)</w:t>
      </w:r>
      <w:r>
        <w:tab/>
        <w:t>The holder of a GMO licence commits an offence if—</w:t>
      </w:r>
    </w:p>
    <w:p w:rsidR="00F93509" w:rsidRDefault="00F93509" w:rsidP="00F93509">
      <w:pPr>
        <w:pStyle w:val="Apara"/>
      </w:pPr>
      <w:r>
        <w:tab/>
        <w:t>(a)</w:t>
      </w:r>
      <w:r>
        <w:tab/>
        <w:t>the holder intentionally takes an action or omits to take an action; and</w:t>
      </w:r>
    </w:p>
    <w:p w:rsidR="00F93509" w:rsidRDefault="00F93509" w:rsidP="00F93509">
      <w:pPr>
        <w:pStyle w:val="Apara"/>
      </w:pPr>
      <w:r>
        <w:tab/>
        <w:t>(b)</w:t>
      </w:r>
      <w:r>
        <w:tab/>
        <w:t>the action or omission contravenes the licence, and the holder knows or is reckless about that fact.</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main"/>
      </w:pPr>
      <w:r>
        <w:rPr>
          <w:rFonts w:ascii="Tms Rmn" w:hAnsi="Tms Rmn"/>
        </w:rPr>
        <w:tab/>
        <w:t>(2)</w:t>
      </w:r>
      <w:r>
        <w:rPr>
          <w:rFonts w:ascii="Tms Rmn" w:hAnsi="Tms Rmn"/>
        </w:rPr>
        <w:tab/>
      </w:r>
      <w:r>
        <w:t>A person covered by a GMO licence commits an offence if the person—</w:t>
      </w:r>
    </w:p>
    <w:p w:rsidR="00F93509" w:rsidRDefault="00F93509" w:rsidP="00F93509">
      <w:pPr>
        <w:pStyle w:val="Apara"/>
      </w:pPr>
      <w:r>
        <w:rPr>
          <w:rFonts w:ascii="Tms Rmn" w:hAnsi="Tms Rmn"/>
        </w:rPr>
        <w:tab/>
        <w:t>(a)</w:t>
      </w:r>
      <w:r>
        <w:rPr>
          <w:rFonts w:ascii="Tms Rmn" w:hAnsi="Tms Rmn"/>
        </w:rPr>
        <w:tab/>
      </w:r>
      <w:r>
        <w:t>intentionally takes an action or omits to take an action; and</w:t>
      </w:r>
    </w:p>
    <w:p w:rsidR="00F93509" w:rsidRDefault="00F93509" w:rsidP="00F93509">
      <w:pPr>
        <w:pStyle w:val="Apara"/>
      </w:pPr>
      <w:r>
        <w:tab/>
        <w:t>(b)</w:t>
      </w:r>
      <w:r>
        <w:tab/>
        <w:t>the person has knowledge of the conditions of the licence; and</w:t>
      </w:r>
    </w:p>
    <w:p w:rsidR="00F93509" w:rsidRDefault="00F93509" w:rsidP="00F93509">
      <w:pPr>
        <w:pStyle w:val="Apara"/>
        <w:keepNext/>
      </w:pPr>
      <w:r>
        <w:tab/>
        <w:t>(c)</w:t>
      </w:r>
      <w:r>
        <w:tab/>
        <w:t>the action or omission contravenes a condition of the licence, and the person knows or is reckless about that fact.</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imprisonment for 5 years or both ; or</w:t>
      </w:r>
    </w:p>
    <w:p w:rsidR="00F93509" w:rsidRDefault="00F93509" w:rsidP="00F93509">
      <w:pPr>
        <w:pStyle w:val="PenaltyPara"/>
      </w:pPr>
      <w:r>
        <w:tab/>
        <w:t>(b)</w:t>
      </w:r>
      <w:r>
        <w:tab/>
        <w:t>in any other case—500 penalty units, imprisonment for 2 years or both.</w:t>
      </w:r>
    </w:p>
    <w:p w:rsidR="00F93509" w:rsidRDefault="00F93509" w:rsidP="00F93509">
      <w:pPr>
        <w:pStyle w:val="Amain"/>
        <w:keepNext/>
        <w:keepLines/>
      </w:pPr>
      <w:r>
        <w:tab/>
        <w:t>(3)</w:t>
      </w:r>
      <w:r>
        <w:tab/>
        <w:t>A person who contravenes subsection (1) or (2) commits a separate offence for each day (after the first day) during any part of which the contravention continues.</w:t>
      </w:r>
    </w:p>
    <w:p w:rsidR="00F93509" w:rsidRDefault="00F93509" w:rsidP="00F93509">
      <w:pPr>
        <w:pStyle w:val="Penalty"/>
        <w:keepNext/>
      </w:pPr>
      <w:r>
        <w:t>Maximum penalty (for each day):</w:t>
      </w:r>
    </w:p>
    <w:p w:rsidR="00F93509" w:rsidRDefault="00F93509" w:rsidP="00F93509">
      <w:pPr>
        <w:pStyle w:val="PenaltyPara"/>
        <w:keepNext/>
        <w:keepLines/>
      </w:pPr>
      <w:r>
        <w:tab/>
        <w:t>(a)</w:t>
      </w:r>
      <w:r>
        <w:tab/>
        <w:t>for an aggravated offence—200 penalty units ; or</w:t>
      </w:r>
    </w:p>
    <w:p w:rsidR="00F93509" w:rsidRDefault="00F93509" w:rsidP="00F93509">
      <w:pPr>
        <w:pStyle w:val="PenaltyPara"/>
        <w:keepNext/>
        <w:keepLines/>
      </w:pPr>
      <w:r>
        <w:tab/>
        <w:t>(b)</w:t>
      </w:r>
      <w:r>
        <w:tab/>
        <w:t>in any other case—50 penalty units.</w:t>
      </w:r>
    </w:p>
    <w:p w:rsidR="00F93509" w:rsidRDefault="00F93509" w:rsidP="00F93509">
      <w:pPr>
        <w:pStyle w:val="AH5Sec"/>
      </w:pPr>
      <w:bookmarkStart w:id="56" w:name="_Toc526844533"/>
      <w:r w:rsidRPr="00325B6A">
        <w:rPr>
          <w:rStyle w:val="CharSectNo"/>
        </w:rPr>
        <w:t>35</w:t>
      </w:r>
      <w:r>
        <w:tab/>
        <w:t>Person must not breach conditions of GMO licence—strict liability offence</w:t>
      </w:r>
      <w:bookmarkEnd w:id="56"/>
    </w:p>
    <w:p w:rsidR="00F93509" w:rsidRDefault="00F93509" w:rsidP="00F93509">
      <w:pPr>
        <w:pStyle w:val="Amain"/>
      </w:pPr>
      <w:r>
        <w:rPr>
          <w:rFonts w:ascii="Tms Rmn" w:hAnsi="Tms Rmn"/>
        </w:rPr>
        <w:tab/>
        <w:t>(1)</w:t>
      </w:r>
      <w:r>
        <w:rPr>
          <w:rFonts w:ascii="Tms Rmn" w:hAnsi="Tms Rmn"/>
        </w:rPr>
        <w:tab/>
      </w:r>
      <w:r>
        <w:t>The holder of a GMO licence commits an offence if the holder—</w:t>
      </w:r>
    </w:p>
    <w:p w:rsidR="00F93509" w:rsidRDefault="00F93509" w:rsidP="00F93509">
      <w:pPr>
        <w:pStyle w:val="Apara"/>
      </w:pPr>
      <w:r>
        <w:rPr>
          <w:rFonts w:ascii="Tms Rmn" w:hAnsi="Tms Rmn"/>
        </w:rPr>
        <w:tab/>
        <w:t>(a)</w:t>
      </w:r>
      <w:r>
        <w:rPr>
          <w:rFonts w:ascii="Tms Rmn" w:hAnsi="Tms Rmn"/>
        </w:rPr>
        <w:tab/>
      </w:r>
      <w:r>
        <w:t xml:space="preserve">takes an action or omits to take an action; and </w:t>
      </w:r>
    </w:p>
    <w:p w:rsidR="00F93509" w:rsidRDefault="00F93509" w:rsidP="00F93509">
      <w:pPr>
        <w:pStyle w:val="Apara"/>
        <w:keepNext/>
      </w:pPr>
      <w:r>
        <w:rPr>
          <w:rFonts w:ascii="Tms Rmn" w:hAnsi="Tms Rmn"/>
        </w:rPr>
        <w:tab/>
        <w:t>(b)</w:t>
      </w:r>
      <w:r>
        <w:rPr>
          <w:rFonts w:ascii="Tms Rmn" w:hAnsi="Tms Rmn"/>
        </w:rPr>
        <w:tab/>
      </w:r>
      <w:r>
        <w:t>the action or omission contravenes the licence.</w:t>
      </w:r>
    </w:p>
    <w:p w:rsidR="00F93509" w:rsidRDefault="00F93509" w:rsidP="00F93509">
      <w:pPr>
        <w:pStyle w:val="Penalty"/>
        <w:keepNext/>
      </w:pPr>
      <w:r>
        <w:t>Maximum penalty:</w:t>
      </w:r>
    </w:p>
    <w:p w:rsidR="00F93509" w:rsidRDefault="00F93509" w:rsidP="00F93509">
      <w:pPr>
        <w:pStyle w:val="PenaltyPara"/>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rPr>
          <w:rFonts w:ascii="Tms Rmn" w:hAnsi="Tms Rmn"/>
        </w:rPr>
        <w:tab/>
        <w:t>(2)</w:t>
      </w:r>
      <w:r>
        <w:rPr>
          <w:rFonts w:ascii="Tms Rmn" w:hAnsi="Tms Rmn"/>
        </w:rPr>
        <w:tab/>
      </w:r>
      <w:r>
        <w:t>A person covered by a GMO licence commits an offence if—</w:t>
      </w:r>
    </w:p>
    <w:p w:rsidR="00F93509" w:rsidRDefault="00F93509" w:rsidP="00F93509">
      <w:pPr>
        <w:pStyle w:val="Apara"/>
      </w:pPr>
      <w:r>
        <w:rPr>
          <w:rFonts w:ascii="Tms Rmn" w:hAnsi="Tms Rmn"/>
        </w:rPr>
        <w:tab/>
        <w:t>(a)</w:t>
      </w:r>
      <w:r>
        <w:rPr>
          <w:rFonts w:ascii="Tms Rmn" w:hAnsi="Tms Rmn"/>
        </w:rPr>
        <w:tab/>
      </w:r>
      <w:r>
        <w:t xml:space="preserve">the person takes an action or omits to take an action; and </w:t>
      </w:r>
    </w:p>
    <w:p w:rsidR="00F93509" w:rsidRDefault="00F93509" w:rsidP="00F93509">
      <w:pPr>
        <w:pStyle w:val="Apara"/>
      </w:pPr>
      <w:r>
        <w:rPr>
          <w:rFonts w:ascii="Tms Rmn" w:hAnsi="Tms Rmn"/>
        </w:rPr>
        <w:tab/>
        <w:t>(b)</w:t>
      </w:r>
      <w:r>
        <w:rPr>
          <w:rFonts w:ascii="Tms Rmn" w:hAnsi="Tms Rmn"/>
        </w:rPr>
        <w:tab/>
      </w:r>
      <w:r>
        <w:t xml:space="preserve">the action or omission contravenes the licence; and </w:t>
      </w:r>
    </w:p>
    <w:p w:rsidR="00F93509" w:rsidRDefault="00F93509" w:rsidP="00F93509">
      <w:pPr>
        <w:pStyle w:val="Apara"/>
        <w:keepNext/>
      </w:pPr>
      <w:r>
        <w:rPr>
          <w:rFonts w:ascii="Tms Rmn" w:hAnsi="Tms Rmn"/>
        </w:rPr>
        <w:tab/>
        <w:t>(c)</w:t>
      </w:r>
      <w:r>
        <w:rPr>
          <w:rFonts w:ascii="Tms Rmn" w:hAnsi="Tms Rmn"/>
        </w:rPr>
        <w:tab/>
      </w:r>
      <w:r>
        <w:t>the person has knowledge of the conditions of the licence.</w:t>
      </w:r>
    </w:p>
    <w:p w:rsidR="00F93509" w:rsidRDefault="00F93509" w:rsidP="00F93509">
      <w:pPr>
        <w:pStyle w:val="Penalty"/>
        <w:keepNext/>
      </w:pPr>
      <w:r>
        <w:t>Maximum penalty:</w:t>
      </w:r>
    </w:p>
    <w:p w:rsidR="00F93509" w:rsidRDefault="00F93509" w:rsidP="00F93509">
      <w:pPr>
        <w:pStyle w:val="PenaltyPara"/>
        <w:keepNext/>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rPr>
          <w:rFonts w:ascii="Tms Rmn" w:hAnsi="Tms Rmn"/>
        </w:rPr>
        <w:tab/>
        <w:t>(3)</w:t>
      </w:r>
      <w:r>
        <w:rPr>
          <w:rFonts w:ascii="Tms Rmn" w:hAnsi="Tms Rmn"/>
        </w:rPr>
        <w:tab/>
      </w:r>
      <w:r>
        <w:t>Strict liability applies to subsection (1) (a) and (b) and subsection (2) (a) and (b).</w:t>
      </w:r>
    </w:p>
    <w:p w:rsidR="00F93509" w:rsidRDefault="00F93509" w:rsidP="00F93509">
      <w:pPr>
        <w:pStyle w:val="AH5Sec"/>
      </w:pPr>
      <w:bookmarkStart w:id="57" w:name="_Toc526844534"/>
      <w:r w:rsidRPr="00325B6A">
        <w:rPr>
          <w:rStyle w:val="CharSectNo"/>
        </w:rPr>
        <w:t>35A</w:t>
      </w:r>
      <w:r>
        <w:tab/>
        <w:t>Person must not breach conditions of emergency dealing determination</w:t>
      </w:r>
      <w:bookmarkEnd w:id="57"/>
    </w:p>
    <w:p w:rsidR="00F93509" w:rsidRDefault="00F93509" w:rsidP="00F93509">
      <w:pPr>
        <w:pStyle w:val="Amainreturn"/>
      </w:pPr>
      <w:r>
        <w:t>A person commits an offence if—</w:t>
      </w:r>
    </w:p>
    <w:p w:rsidR="00F93509" w:rsidRDefault="00F93509" w:rsidP="00F93509">
      <w:pPr>
        <w:pStyle w:val="Apara"/>
      </w:pPr>
      <w:r>
        <w:tab/>
        <w:t>(a)</w:t>
      </w:r>
      <w:r>
        <w:tab/>
        <w:t>the person intentionally takes an action or omits to take an action; and</w:t>
      </w:r>
    </w:p>
    <w:p w:rsidR="00F93509" w:rsidRDefault="00F93509" w:rsidP="00F93509">
      <w:pPr>
        <w:pStyle w:val="Apara"/>
      </w:pPr>
      <w:r>
        <w:tab/>
        <w:t>(b)</w:t>
      </w:r>
      <w:r>
        <w:tab/>
        <w:t>the person has knowledge of the conditions to which an emergency dealing determination is subject; and</w:t>
      </w:r>
    </w:p>
    <w:p w:rsidR="00F93509" w:rsidRDefault="00F93509" w:rsidP="00F93509">
      <w:pPr>
        <w:pStyle w:val="Apara"/>
      </w:pPr>
      <w:r>
        <w:tab/>
        <w:t>(c)</w:t>
      </w:r>
      <w:r>
        <w:tab/>
        <w:t>the action or omission contravenes such a condition, and the person knows or is reckless about that fact.</w:t>
      </w:r>
    </w:p>
    <w:p w:rsidR="00F93509" w:rsidRDefault="00F93509" w:rsidP="00F93509">
      <w:pPr>
        <w:pStyle w:val="Penalty"/>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Note"/>
      </w:pPr>
      <w:r>
        <w:rPr>
          <w:rStyle w:val="charItals"/>
        </w:rPr>
        <w:t>Note</w:t>
      </w:r>
      <w:r>
        <w:tab/>
        <w:t>This section differs from the</w:t>
      </w:r>
      <w:r w:rsidR="00D97422">
        <w:t xml:space="preserve"> </w:t>
      </w:r>
      <w:hyperlink r:id="rId88" w:tooltip="Gene Technology Act 2000" w:history="1">
        <w:r w:rsidR="00D97422" w:rsidRPr="00D97422">
          <w:rPr>
            <w:rStyle w:val="charCitHyperlinkAbbrev"/>
          </w:rPr>
          <w:t>Commonwealth Act</w:t>
        </w:r>
      </w:hyperlink>
      <w:r w:rsidR="00D97422">
        <w:t xml:space="preserve">, </w:t>
      </w:r>
      <w:r>
        <w:t>s 35A.</w:t>
      </w:r>
    </w:p>
    <w:p w:rsidR="00F93509" w:rsidRDefault="00F93509" w:rsidP="00F93509">
      <w:pPr>
        <w:pStyle w:val="AH5Sec"/>
      </w:pPr>
      <w:bookmarkStart w:id="58" w:name="_Toc526844535"/>
      <w:r w:rsidRPr="00325B6A">
        <w:rPr>
          <w:rStyle w:val="CharSectNo"/>
        </w:rPr>
        <w:t>35B</w:t>
      </w:r>
      <w:r>
        <w:tab/>
        <w:t>Person must not breach conditions of emergency dealing determination—strict liability offence</w:t>
      </w:r>
      <w:bookmarkEnd w:id="58"/>
    </w:p>
    <w:p w:rsidR="00F93509" w:rsidRDefault="00F93509" w:rsidP="00F93509">
      <w:pPr>
        <w:pStyle w:val="Amain"/>
      </w:pPr>
      <w:r>
        <w:tab/>
        <w:t>(1)</w:t>
      </w:r>
      <w:r>
        <w:tab/>
        <w:t>A person commits an offence if—</w:t>
      </w:r>
    </w:p>
    <w:p w:rsidR="00F93509" w:rsidRDefault="00F93509" w:rsidP="00F93509">
      <w:pPr>
        <w:pStyle w:val="Apara"/>
      </w:pPr>
      <w:r>
        <w:tab/>
        <w:t>(a)</w:t>
      </w:r>
      <w:r>
        <w:tab/>
        <w:t>the person takes an action or omits to take an action; and</w:t>
      </w:r>
    </w:p>
    <w:p w:rsidR="00F93509" w:rsidRDefault="00F93509" w:rsidP="00F93509">
      <w:pPr>
        <w:pStyle w:val="Apara"/>
      </w:pPr>
      <w:r>
        <w:tab/>
        <w:t>(b)</w:t>
      </w:r>
      <w:r>
        <w:tab/>
        <w:t>the person has knowledge of the conditions to which an emergency dealing determination is subject; and</w:t>
      </w:r>
    </w:p>
    <w:p w:rsidR="00F93509" w:rsidRDefault="00F93509" w:rsidP="00F93509">
      <w:pPr>
        <w:pStyle w:val="Apara"/>
      </w:pPr>
      <w:r>
        <w:tab/>
        <w:t>(c)</w:t>
      </w:r>
      <w:r>
        <w:tab/>
        <w:t>the action or omission by the person contravenes such a condition.</w:t>
      </w:r>
    </w:p>
    <w:p w:rsidR="00F93509" w:rsidRDefault="00F93509" w:rsidP="00F93509">
      <w:pPr>
        <w:pStyle w:val="Penalty"/>
        <w:keepNext/>
      </w:pPr>
      <w:r>
        <w:t>Maximum penalty:</w:t>
      </w:r>
    </w:p>
    <w:p w:rsidR="00F93509" w:rsidRDefault="00F93509" w:rsidP="00F93509">
      <w:pPr>
        <w:pStyle w:val="PenaltyPara"/>
        <w:keepNext/>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tab/>
        <w:t>(2)</w:t>
      </w:r>
      <w:r>
        <w:tab/>
        <w:t>Strict liability applies to subsection (1) (a) and (c).</w:t>
      </w:r>
    </w:p>
    <w:p w:rsidR="00F93509" w:rsidRDefault="00F93509" w:rsidP="00F93509">
      <w:pPr>
        <w:pStyle w:val="aNote"/>
      </w:pPr>
      <w:r>
        <w:rPr>
          <w:rStyle w:val="charItals"/>
        </w:rPr>
        <w:t xml:space="preserve">Note </w:t>
      </w:r>
      <w:r>
        <w:tab/>
        <w:t>This section differs from the</w:t>
      </w:r>
      <w:r w:rsidR="00D97422">
        <w:t xml:space="preserve"> </w:t>
      </w:r>
      <w:hyperlink r:id="rId89" w:tooltip="Gene Technology Act 2000" w:history="1">
        <w:r w:rsidR="00D97422" w:rsidRPr="00D97422">
          <w:rPr>
            <w:rStyle w:val="charCitHyperlinkAbbrev"/>
          </w:rPr>
          <w:t>Commonwealth Act</w:t>
        </w:r>
      </w:hyperlink>
      <w:r w:rsidR="00D97422">
        <w:t xml:space="preserve">, </w:t>
      </w:r>
      <w:r>
        <w:t>s 35B.</w:t>
      </w:r>
    </w:p>
    <w:p w:rsidR="00F93509" w:rsidRDefault="00F93509" w:rsidP="00F93509">
      <w:pPr>
        <w:pStyle w:val="AH5Sec"/>
      </w:pPr>
      <w:bookmarkStart w:id="59" w:name="_Toc526844536"/>
      <w:r w:rsidRPr="00325B6A">
        <w:rPr>
          <w:rStyle w:val="CharSectNo"/>
        </w:rPr>
        <w:t>36</w:t>
      </w:r>
      <w:r>
        <w:tab/>
        <w:t>Person must not breach conditions on GMO register</w:t>
      </w:r>
      <w:bookmarkEnd w:id="59"/>
    </w:p>
    <w:p w:rsidR="00F93509" w:rsidRDefault="00F93509" w:rsidP="00F93509">
      <w:pPr>
        <w:pStyle w:val="Amain"/>
      </w:pPr>
      <w:r>
        <w:rPr>
          <w:rFonts w:ascii="Tms Rmn" w:hAnsi="Tms Rmn"/>
        </w:rPr>
        <w:tab/>
        <w:t>(1)</w:t>
      </w:r>
      <w:r>
        <w:rPr>
          <w:rFonts w:ascii="Tms Rmn" w:hAnsi="Tms Rmn"/>
        </w:rPr>
        <w:tab/>
      </w:r>
      <w:r>
        <w:t>A person commits an offence if the person—</w:t>
      </w:r>
    </w:p>
    <w:p w:rsidR="00F93509" w:rsidRDefault="00F93509" w:rsidP="00F93509">
      <w:pPr>
        <w:pStyle w:val="Apara"/>
      </w:pPr>
      <w:r>
        <w:rPr>
          <w:rFonts w:ascii="Tms Rmn" w:hAnsi="Tms Rmn"/>
        </w:rPr>
        <w:tab/>
        <w:t>(a)</w:t>
      </w:r>
      <w:r>
        <w:rPr>
          <w:rFonts w:ascii="Tms Rmn" w:hAnsi="Tms Rmn"/>
        </w:rPr>
        <w:tab/>
      </w:r>
      <w:r>
        <w:t xml:space="preserve">deals with a GMO, knowing that it is a GMO; and </w:t>
      </w:r>
    </w:p>
    <w:p w:rsidR="00F93509" w:rsidRDefault="00F93509" w:rsidP="00F93509">
      <w:pPr>
        <w:pStyle w:val="Apara"/>
      </w:pPr>
      <w:r>
        <w:rPr>
          <w:rFonts w:ascii="Tms Rmn" w:hAnsi="Tms Rmn"/>
        </w:rPr>
        <w:tab/>
        <w:t>(b)</w:t>
      </w:r>
      <w:r>
        <w:rPr>
          <w:rFonts w:ascii="Tms Rmn" w:hAnsi="Tms Rmn"/>
        </w:rPr>
        <w:tab/>
      </w:r>
      <w:r>
        <w:t xml:space="preserve">the dealing is on the GMO register; and </w:t>
      </w:r>
    </w:p>
    <w:p w:rsidR="00F93509" w:rsidRDefault="00F93509" w:rsidP="00F93509">
      <w:pPr>
        <w:pStyle w:val="Apara"/>
        <w:keepNext/>
      </w:pPr>
      <w:r>
        <w:rPr>
          <w:rFonts w:ascii="Tms Rmn" w:hAnsi="Tms Rmn"/>
        </w:rPr>
        <w:tab/>
        <w:t>(c)</w:t>
      </w:r>
      <w:r>
        <w:rPr>
          <w:rFonts w:ascii="Tms Rmn" w:hAnsi="Tms Rmn"/>
        </w:rPr>
        <w:tab/>
      </w:r>
      <w:r>
        <w:t>the dealing contravenes a condition about the dealing that is stated in the GMO register.</w:t>
      </w:r>
    </w:p>
    <w:p w:rsidR="00F93509" w:rsidRDefault="00F93509" w:rsidP="00F93509">
      <w:pPr>
        <w:pStyle w:val="Penalty"/>
        <w:keepNext/>
      </w:pPr>
      <w:r>
        <w:t>Maximum penalty:  50 penalty units.</w:t>
      </w:r>
    </w:p>
    <w:p w:rsidR="00F93509" w:rsidRDefault="00F93509" w:rsidP="00F93509">
      <w:pPr>
        <w:pStyle w:val="Amain"/>
      </w:pPr>
      <w:r>
        <w:rPr>
          <w:rFonts w:ascii="Tms Rmn" w:hAnsi="Tms Rmn"/>
        </w:rPr>
        <w:tab/>
        <w:t>(2)</w:t>
      </w:r>
      <w:r>
        <w:rPr>
          <w:rFonts w:ascii="Tms Rmn" w:hAnsi="Tms Rmn"/>
        </w:rPr>
        <w:tab/>
      </w:r>
      <w:r>
        <w:t>Strict liability applies to subsection (1) (b) and (c).</w:t>
      </w:r>
    </w:p>
    <w:p w:rsidR="00F93509" w:rsidRDefault="00F93509" w:rsidP="00F93509">
      <w:pPr>
        <w:pStyle w:val="AH5Sec"/>
      </w:pPr>
      <w:bookmarkStart w:id="60" w:name="_Toc526844537"/>
      <w:r w:rsidRPr="00325B6A">
        <w:rPr>
          <w:rStyle w:val="CharSectNo"/>
        </w:rPr>
        <w:t>37</w:t>
      </w:r>
      <w:r>
        <w:tab/>
        <w:t>Offence relating to notifiable low risk dealings</w:t>
      </w:r>
      <w:bookmarkEnd w:id="60"/>
    </w:p>
    <w:p w:rsidR="00F93509" w:rsidRDefault="00F93509" w:rsidP="00F93509">
      <w:pPr>
        <w:pStyle w:val="Amain"/>
      </w:pPr>
      <w:r>
        <w:rPr>
          <w:rFonts w:ascii="Tms Rmn" w:hAnsi="Tms Rmn"/>
        </w:rPr>
        <w:tab/>
        <w:t>(1)</w:t>
      </w:r>
      <w:r>
        <w:rPr>
          <w:rFonts w:ascii="Tms Rmn" w:hAnsi="Tms Rmn"/>
        </w:rPr>
        <w:tab/>
      </w:r>
      <w:r>
        <w:t>A person commits an offence if—</w:t>
      </w:r>
    </w:p>
    <w:p w:rsidR="00F93509" w:rsidRDefault="00F93509" w:rsidP="00F93509">
      <w:pPr>
        <w:pStyle w:val="Apara"/>
      </w:pPr>
      <w:r>
        <w:rPr>
          <w:rFonts w:ascii="Tms Rmn" w:hAnsi="Tms Rmn"/>
        </w:rPr>
        <w:tab/>
        <w:t>(a)</w:t>
      </w:r>
      <w:r>
        <w:rPr>
          <w:rFonts w:ascii="Tms Rmn" w:hAnsi="Tms Rmn"/>
        </w:rPr>
        <w:tab/>
      </w:r>
      <w:r>
        <w:t xml:space="preserve">the person deals with a GMO, knowing that it is a GMO; and </w:t>
      </w:r>
    </w:p>
    <w:p w:rsidR="00F93509" w:rsidRDefault="00F93509" w:rsidP="00F93509">
      <w:pPr>
        <w:pStyle w:val="Apara"/>
      </w:pPr>
      <w:r>
        <w:rPr>
          <w:rFonts w:ascii="Tms Rmn" w:hAnsi="Tms Rmn"/>
        </w:rPr>
        <w:tab/>
        <w:t>(b)</w:t>
      </w:r>
      <w:r>
        <w:rPr>
          <w:rFonts w:ascii="Tms Rmn" w:hAnsi="Tms Rmn"/>
        </w:rPr>
        <w:tab/>
      </w:r>
      <w:r>
        <w:t xml:space="preserve">the dealing is a notifiable low risk dealing; and </w:t>
      </w:r>
    </w:p>
    <w:p w:rsidR="00F93509" w:rsidRDefault="00F93509" w:rsidP="00F93509">
      <w:pPr>
        <w:pStyle w:val="Apara"/>
        <w:keepNext/>
      </w:pPr>
      <w:r>
        <w:rPr>
          <w:rFonts w:ascii="Tms Rmn" w:hAnsi="Tms Rmn"/>
        </w:rPr>
        <w:tab/>
        <w:t>(c)</w:t>
      </w:r>
      <w:r>
        <w:rPr>
          <w:rFonts w:ascii="Tms Rmn" w:hAnsi="Tms Rmn"/>
        </w:rPr>
        <w:tab/>
      </w:r>
      <w:r>
        <w:t>the dealing by the person was not undertaken in accordance with the regulations.</w:t>
      </w:r>
    </w:p>
    <w:p w:rsidR="00F93509" w:rsidRDefault="00F93509" w:rsidP="00F93509">
      <w:pPr>
        <w:pStyle w:val="Penalty"/>
        <w:keepNext/>
      </w:pPr>
      <w:r>
        <w:t>Maximum penalty:  50 penalty units.</w:t>
      </w:r>
    </w:p>
    <w:p w:rsidR="00F93509" w:rsidRDefault="00F93509" w:rsidP="00F93509">
      <w:pPr>
        <w:pStyle w:val="Amain"/>
      </w:pPr>
      <w:r>
        <w:rPr>
          <w:rFonts w:ascii="Tms Rmn" w:hAnsi="Tms Rmn"/>
        </w:rPr>
        <w:tab/>
        <w:t>(2)</w:t>
      </w:r>
      <w:r>
        <w:rPr>
          <w:rFonts w:ascii="Tms Rmn" w:hAnsi="Tms Rmn"/>
        </w:rPr>
        <w:tab/>
      </w:r>
      <w:r>
        <w:t>Strict liability applies to subsection (1) (b) and (c).</w:t>
      </w:r>
    </w:p>
    <w:p w:rsidR="00F93509" w:rsidRDefault="00F93509" w:rsidP="00F93509">
      <w:pPr>
        <w:pStyle w:val="AH5Sec"/>
      </w:pPr>
      <w:bookmarkStart w:id="61" w:name="_Toc526844538"/>
      <w:r w:rsidRPr="00325B6A">
        <w:rPr>
          <w:rStyle w:val="CharSectNo"/>
        </w:rPr>
        <w:t>38</w:t>
      </w:r>
      <w:r>
        <w:tab/>
        <w:t>Aggravated offences—significant damage to health or safety of people or to environment</w:t>
      </w:r>
      <w:bookmarkEnd w:id="61"/>
    </w:p>
    <w:p w:rsidR="00F93509" w:rsidRDefault="00F93509" w:rsidP="00F93509">
      <w:pPr>
        <w:pStyle w:val="Amain"/>
      </w:pPr>
      <w:r>
        <w:rPr>
          <w:rFonts w:ascii="Tms Rmn" w:hAnsi="Tms Rmn"/>
        </w:rPr>
        <w:tab/>
        <w:t>(1)</w:t>
      </w:r>
      <w:r>
        <w:rPr>
          <w:rFonts w:ascii="Tms Rmn" w:hAnsi="Tms Rmn"/>
        </w:rPr>
        <w:tab/>
      </w:r>
      <w:r>
        <w:t xml:space="preserve">An offence is an </w:t>
      </w:r>
      <w:r w:rsidRPr="00903C3C">
        <w:rPr>
          <w:rStyle w:val="charBoldItals"/>
        </w:rPr>
        <w:t>aggravated offence</w:t>
      </w:r>
      <w:r>
        <w:t xml:space="preserve"> if the commission of the offence causes significant damage, or is likely to cause significant damage, to the health and safety of people or to the environment.</w:t>
      </w:r>
    </w:p>
    <w:p w:rsidR="00F93509" w:rsidRDefault="00F93509" w:rsidP="00F93509">
      <w:pPr>
        <w:pStyle w:val="Amain"/>
      </w:pPr>
      <w:r>
        <w:rPr>
          <w:rFonts w:ascii="Tms Rmn" w:hAnsi="Tms Rmn"/>
        </w:rPr>
        <w:tab/>
        <w:t>(2)</w:t>
      </w:r>
      <w:r>
        <w:rPr>
          <w:rFonts w:ascii="Tms Rmn" w:hAnsi="Tms Rmn"/>
        </w:rPr>
        <w:tab/>
      </w:r>
      <w:r>
        <w:t>To prove an aggravated offence, the prosecution must prove that the person who committed the offence—</w:t>
      </w:r>
    </w:p>
    <w:p w:rsidR="00F93509" w:rsidRDefault="00F93509" w:rsidP="00F93509">
      <w:pPr>
        <w:pStyle w:val="Apara"/>
      </w:pPr>
      <w:r>
        <w:rPr>
          <w:rFonts w:ascii="Tms Rmn" w:hAnsi="Tms Rmn"/>
        </w:rPr>
        <w:tab/>
        <w:t>(a)</w:t>
      </w:r>
      <w:r>
        <w:rPr>
          <w:rFonts w:ascii="Tms Rmn" w:hAnsi="Tms Rmn"/>
        </w:rPr>
        <w:tab/>
      </w:r>
      <w:r>
        <w:t>intended his or her conduct to cause significant damage to the health and safety of people or to the environment; or</w:t>
      </w:r>
    </w:p>
    <w:p w:rsidR="00F93509" w:rsidRDefault="00F93509" w:rsidP="00F93509">
      <w:pPr>
        <w:pStyle w:val="Apara"/>
      </w:pPr>
      <w:r>
        <w:rPr>
          <w:rFonts w:ascii="Tms Rmn" w:hAnsi="Tms Rmn"/>
        </w:rPr>
        <w:tab/>
        <w:t>(b)</w:t>
      </w:r>
      <w:r>
        <w:rPr>
          <w:rFonts w:ascii="Tms Rmn" w:hAnsi="Tms Rmn"/>
        </w:rPr>
        <w:tab/>
      </w:r>
      <w:r>
        <w:t>was reckless about whether his or her conduct would cause significant damage to the health and safety of people or to the environment.</w:t>
      </w:r>
    </w:p>
    <w:p w:rsidR="00F93509" w:rsidRDefault="00F93509" w:rsidP="00F93509">
      <w:pPr>
        <w:pStyle w:val="PageBreak"/>
      </w:pPr>
      <w:r>
        <w:br w:type="page"/>
      </w:r>
    </w:p>
    <w:p w:rsidR="00F93509" w:rsidRPr="00325B6A" w:rsidRDefault="00F93509" w:rsidP="00F93509">
      <w:pPr>
        <w:pStyle w:val="AH2Part"/>
      </w:pPr>
      <w:bookmarkStart w:id="62" w:name="_Toc526844539"/>
      <w:r w:rsidRPr="00325B6A">
        <w:rPr>
          <w:rStyle w:val="CharPartNo"/>
        </w:rPr>
        <w:t>Part 5</w:t>
      </w:r>
      <w:r>
        <w:tab/>
      </w:r>
      <w:r w:rsidRPr="00325B6A">
        <w:rPr>
          <w:rStyle w:val="CharPartText"/>
        </w:rPr>
        <w:t>Licensing system</w:t>
      </w:r>
      <w:bookmarkEnd w:id="62"/>
    </w:p>
    <w:p w:rsidR="00F93509" w:rsidRPr="00325B6A" w:rsidRDefault="00F93509" w:rsidP="00F93509">
      <w:pPr>
        <w:pStyle w:val="AH3Div"/>
      </w:pPr>
      <w:bookmarkStart w:id="63" w:name="_Toc526844540"/>
      <w:r w:rsidRPr="00325B6A">
        <w:rPr>
          <w:rStyle w:val="CharDivNo"/>
        </w:rPr>
        <w:t>Division 5.1</w:t>
      </w:r>
      <w:r>
        <w:tab/>
      </w:r>
      <w:r w:rsidRPr="00325B6A">
        <w:rPr>
          <w:rStyle w:val="CharDivText"/>
        </w:rPr>
        <w:t>Simplified outline of pt 5</w:t>
      </w:r>
      <w:bookmarkEnd w:id="63"/>
    </w:p>
    <w:p w:rsidR="00F93509" w:rsidRDefault="00F93509" w:rsidP="00F93509">
      <w:pPr>
        <w:pStyle w:val="AH5Sec"/>
      </w:pPr>
      <w:bookmarkStart w:id="64" w:name="_Toc526844541"/>
      <w:r w:rsidRPr="00325B6A">
        <w:rPr>
          <w:rStyle w:val="CharSectNo"/>
        </w:rPr>
        <w:t>39</w:t>
      </w:r>
      <w:r>
        <w:tab/>
        <w:t>Simplified outline—pt 5</w:t>
      </w:r>
      <w:bookmarkEnd w:id="64"/>
    </w:p>
    <w:p w:rsidR="00F93509" w:rsidRDefault="00F93509" w:rsidP="00F93509">
      <w:pPr>
        <w:pStyle w:val="Amainreturn"/>
      </w:pPr>
      <w:r>
        <w:t>In outline, this part—</w:t>
      </w:r>
    </w:p>
    <w:p w:rsidR="00F93509" w:rsidRDefault="00F93509" w:rsidP="00F93509">
      <w:pPr>
        <w:pStyle w:val="Apara"/>
      </w:pPr>
      <w:r>
        <w:tab/>
        <w:t>(a)</w:t>
      </w:r>
      <w:r>
        <w:rPr>
          <w:rFonts w:ascii="Symbol" w:hAnsi="Symbol"/>
          <w:sz w:val="20"/>
        </w:rPr>
        <w:tab/>
      </w:r>
      <w:r>
        <w:t>provides a licensing system under which a person can apply to the regulator for a licence authorising dealings with GMOs; and</w:t>
      </w:r>
    </w:p>
    <w:p w:rsidR="00F93509" w:rsidRDefault="00F93509" w:rsidP="00F93509">
      <w:pPr>
        <w:pStyle w:val="Apara"/>
        <w:keepNext/>
      </w:pPr>
      <w:r>
        <w:tab/>
        <w:t>(b)</w:t>
      </w:r>
      <w:r>
        <w:tab/>
        <w:t>sets out the processes the regulator must follow for applications involving the following kinds of dealings:</w:t>
      </w:r>
    </w:p>
    <w:p w:rsidR="00F93509" w:rsidRDefault="00F93509" w:rsidP="00F93509">
      <w:pPr>
        <w:pStyle w:val="Asubpara"/>
      </w:pPr>
      <w:r>
        <w:tab/>
        <w:t>(i)</w:t>
      </w:r>
      <w:r>
        <w:tab/>
        <w:t xml:space="preserve">those that involve the intentional release of a GMO into the environment; </w:t>
      </w:r>
    </w:p>
    <w:p w:rsidR="00F93509" w:rsidRDefault="00F93509" w:rsidP="00F93509">
      <w:pPr>
        <w:pStyle w:val="Asubpara"/>
      </w:pPr>
      <w:r>
        <w:tab/>
        <w:t>(ii)</w:t>
      </w:r>
      <w:r>
        <w:tab/>
        <w:t>those that do not involve the intentional release of a GMO into the environment; and</w:t>
      </w:r>
    </w:p>
    <w:p w:rsidR="00F93509" w:rsidRDefault="00F93509" w:rsidP="00F93509">
      <w:pPr>
        <w:pStyle w:val="Apara"/>
      </w:pPr>
      <w:r>
        <w:tab/>
        <w:t>(c)</w:t>
      </w:r>
      <w:r>
        <w:tab/>
        <w:t>provides that a licence can cover dealings by people other than the licence holder and requires the licence holder to tell them of any conditions of the licence that apply to them.</w:t>
      </w:r>
    </w:p>
    <w:p w:rsidR="00F93509" w:rsidRPr="00325B6A" w:rsidRDefault="00F93509" w:rsidP="00F93509">
      <w:pPr>
        <w:pStyle w:val="AH3Div"/>
      </w:pPr>
      <w:bookmarkStart w:id="65" w:name="_Toc526844542"/>
      <w:r w:rsidRPr="00325B6A">
        <w:rPr>
          <w:rStyle w:val="CharDivNo"/>
        </w:rPr>
        <w:t>Division 5.2</w:t>
      </w:r>
      <w:r>
        <w:tab/>
      </w:r>
      <w:r w:rsidRPr="00325B6A">
        <w:rPr>
          <w:rStyle w:val="CharDivText"/>
        </w:rPr>
        <w:t>Licence applications</w:t>
      </w:r>
      <w:bookmarkEnd w:id="65"/>
    </w:p>
    <w:p w:rsidR="00F93509" w:rsidRDefault="00F93509" w:rsidP="00F93509">
      <w:pPr>
        <w:pStyle w:val="AH5Sec"/>
      </w:pPr>
      <w:bookmarkStart w:id="66" w:name="_Toc526844543"/>
      <w:r w:rsidRPr="00325B6A">
        <w:rPr>
          <w:rStyle w:val="CharSectNo"/>
        </w:rPr>
        <w:t>40</w:t>
      </w:r>
      <w:r>
        <w:tab/>
        <w:t>Person may apply for a licence</w:t>
      </w:r>
      <w:bookmarkEnd w:id="66"/>
    </w:p>
    <w:p w:rsidR="00F93509" w:rsidRDefault="00F93509" w:rsidP="00F93509">
      <w:pPr>
        <w:pStyle w:val="Amain"/>
      </w:pPr>
      <w:r>
        <w:rPr>
          <w:rFonts w:ascii="Tms Rmn" w:hAnsi="Tms Rmn"/>
        </w:rPr>
        <w:tab/>
        <w:t>(1)</w:t>
      </w:r>
      <w:r>
        <w:rPr>
          <w:rFonts w:ascii="Tms Rmn" w:hAnsi="Tms Rmn"/>
        </w:rPr>
        <w:tab/>
      </w:r>
      <w:r>
        <w:t>A person may apply to the regulator for a licence authorising stated dealings with 1 or more stated GMOs.</w:t>
      </w:r>
    </w:p>
    <w:p w:rsidR="00F93509" w:rsidRDefault="00F93509" w:rsidP="00F93509">
      <w:pPr>
        <w:pStyle w:val="Amain"/>
      </w:pPr>
      <w:r>
        <w:rPr>
          <w:rFonts w:ascii="Tms Rmn" w:hAnsi="Tms Rmn"/>
        </w:rPr>
        <w:tab/>
        <w:t>(2)</w:t>
      </w:r>
      <w:r>
        <w:rPr>
          <w:rFonts w:ascii="Tms Rmn" w:hAnsi="Tms Rmn"/>
        </w:rPr>
        <w:tab/>
      </w:r>
      <w:r>
        <w:t>The application must be in writing, and must contain—</w:t>
      </w:r>
    </w:p>
    <w:p w:rsidR="00F93509" w:rsidRDefault="00F93509" w:rsidP="00F93509">
      <w:pPr>
        <w:pStyle w:val="Apara"/>
      </w:pPr>
      <w:r>
        <w:rPr>
          <w:rFonts w:ascii="Tms Rmn" w:hAnsi="Tms Rmn"/>
        </w:rPr>
        <w:tab/>
        <w:t>(a)</w:t>
      </w:r>
      <w:r>
        <w:rPr>
          <w:rFonts w:ascii="Tms Rmn" w:hAnsi="Tms Rmn"/>
        </w:rPr>
        <w:tab/>
        <w:t xml:space="preserve">the </w:t>
      </w:r>
      <w:r>
        <w:t>information (if any) prescribed by regulation; and</w:t>
      </w:r>
    </w:p>
    <w:p w:rsidR="00F93509" w:rsidRDefault="00F93509" w:rsidP="00F93509">
      <w:pPr>
        <w:pStyle w:val="Apara"/>
      </w:pPr>
      <w:r>
        <w:rPr>
          <w:rFonts w:ascii="Tms Rmn" w:hAnsi="Tms Rmn"/>
        </w:rPr>
        <w:tab/>
        <w:t>(b)</w:t>
      </w:r>
      <w:r>
        <w:rPr>
          <w:rFonts w:ascii="Tms Rmn" w:hAnsi="Tms Rmn"/>
        </w:rPr>
        <w:tab/>
      </w:r>
      <w:r>
        <w:t>the information specified in writing by the regulator.</w:t>
      </w:r>
    </w:p>
    <w:p w:rsidR="00F93509" w:rsidRDefault="00F93509" w:rsidP="00F93509">
      <w:pPr>
        <w:pStyle w:val="Amain"/>
      </w:pPr>
      <w:r>
        <w:rPr>
          <w:rFonts w:ascii="Tms Rmn" w:hAnsi="Tms Rmn"/>
        </w:rPr>
        <w:tab/>
        <w:t>(3)</w:t>
      </w:r>
      <w:r>
        <w:rPr>
          <w:rFonts w:ascii="Tms Rmn" w:hAnsi="Tms Rmn"/>
        </w:rPr>
        <w:tab/>
      </w:r>
      <w:r>
        <w:t>The application must state whether any of the dealings proposed to be authorised by the licence would involve the intentional release of a GMO into the environment.</w:t>
      </w:r>
    </w:p>
    <w:p w:rsidR="00F93509" w:rsidRDefault="00F93509" w:rsidP="00F93509">
      <w:pPr>
        <w:pStyle w:val="Amain"/>
      </w:pPr>
      <w:r>
        <w:rPr>
          <w:rFonts w:ascii="Tms Rmn" w:hAnsi="Tms Rmn"/>
        </w:rPr>
        <w:tab/>
        <w:t>(4)</w:t>
      </w:r>
      <w:r>
        <w:rPr>
          <w:rFonts w:ascii="Tms Rmn" w:hAnsi="Tms Rmn"/>
        </w:rPr>
        <w:tab/>
      </w:r>
      <w:r>
        <w:t>The dealings for which a person may apply for a licence may be—</w:t>
      </w:r>
    </w:p>
    <w:p w:rsidR="00F93509" w:rsidRDefault="00F93509" w:rsidP="00F93509">
      <w:pPr>
        <w:pStyle w:val="Apara"/>
      </w:pPr>
      <w:r>
        <w:rPr>
          <w:rFonts w:ascii="Tms Rmn" w:hAnsi="Tms Rmn"/>
        </w:rPr>
        <w:tab/>
        <w:t>(a)</w:t>
      </w:r>
      <w:r>
        <w:rPr>
          <w:rFonts w:ascii="Tms Rmn" w:hAnsi="Tms Rmn"/>
        </w:rPr>
        <w:tab/>
      </w:r>
      <w:r>
        <w:t>all dealings with a GMO, or with a stated class of GMOs; or</w:t>
      </w:r>
    </w:p>
    <w:p w:rsidR="00F93509" w:rsidRDefault="00F93509" w:rsidP="00F93509">
      <w:pPr>
        <w:pStyle w:val="Apara"/>
      </w:pPr>
      <w:r>
        <w:rPr>
          <w:rFonts w:ascii="Tms Rmn" w:hAnsi="Tms Rmn"/>
        </w:rPr>
        <w:tab/>
        <w:t>(b)</w:t>
      </w:r>
      <w:r>
        <w:rPr>
          <w:rFonts w:ascii="Tms Rmn" w:hAnsi="Tms Rmn"/>
        </w:rPr>
        <w:tab/>
      </w:r>
      <w:r>
        <w:t>a stated class of dealings with a GMO, or with a stated class of GMOs; or</w:t>
      </w:r>
    </w:p>
    <w:p w:rsidR="00F93509" w:rsidRDefault="00F93509" w:rsidP="00F93509">
      <w:pPr>
        <w:pStyle w:val="Apara"/>
      </w:pPr>
      <w:r>
        <w:rPr>
          <w:rFonts w:ascii="Tms Rmn" w:hAnsi="Tms Rmn"/>
        </w:rPr>
        <w:tab/>
        <w:t>(c)</w:t>
      </w:r>
      <w:r>
        <w:rPr>
          <w:rFonts w:ascii="Tms Rmn" w:hAnsi="Tms Rmn"/>
        </w:rPr>
        <w:tab/>
      </w:r>
      <w:r>
        <w:t>1 or more stated dealings with a GMO, or with a stated class of GMOs.</w:t>
      </w:r>
    </w:p>
    <w:p w:rsidR="00F93509" w:rsidRDefault="00F93509" w:rsidP="00F93509">
      <w:pPr>
        <w:pStyle w:val="Amain"/>
      </w:pPr>
      <w:r>
        <w:rPr>
          <w:rFonts w:ascii="Tms Rmn" w:hAnsi="Tms Rmn"/>
        </w:rPr>
        <w:tab/>
        <w:t>(5)</w:t>
      </w:r>
      <w:r>
        <w:rPr>
          <w:rFonts w:ascii="Tms Rmn" w:hAnsi="Tms Rmn"/>
        </w:rPr>
        <w:tab/>
      </w:r>
      <w:r>
        <w:t>The applicant may apply for a licence authorising the dealings by—</w:t>
      </w:r>
    </w:p>
    <w:p w:rsidR="00F93509" w:rsidRDefault="00F93509" w:rsidP="00F93509">
      <w:pPr>
        <w:pStyle w:val="Apara"/>
      </w:pPr>
      <w:r>
        <w:rPr>
          <w:rFonts w:ascii="Tms Rmn" w:hAnsi="Tms Rmn"/>
        </w:rPr>
        <w:tab/>
        <w:t>(a)</w:t>
      </w:r>
      <w:r>
        <w:rPr>
          <w:rFonts w:ascii="Tms Rmn" w:hAnsi="Tms Rmn"/>
        </w:rPr>
        <w:tab/>
      </w:r>
      <w:r>
        <w:t>a stated person or stated people; or</w:t>
      </w:r>
    </w:p>
    <w:p w:rsidR="00F93509" w:rsidRDefault="00F93509" w:rsidP="00F93509">
      <w:pPr>
        <w:pStyle w:val="Apara"/>
      </w:pPr>
      <w:r>
        <w:rPr>
          <w:rFonts w:ascii="Tms Rmn" w:hAnsi="Tms Rmn"/>
        </w:rPr>
        <w:tab/>
        <w:t>(b)</w:t>
      </w:r>
      <w:r>
        <w:rPr>
          <w:rFonts w:ascii="Tms Rmn" w:hAnsi="Tms Rmn"/>
        </w:rPr>
        <w:tab/>
      </w:r>
      <w:r>
        <w:t>a stated class of people; or</w:t>
      </w:r>
    </w:p>
    <w:p w:rsidR="00F93509" w:rsidRDefault="00F93509" w:rsidP="00F93509">
      <w:pPr>
        <w:pStyle w:val="Apara"/>
      </w:pPr>
      <w:r>
        <w:rPr>
          <w:rFonts w:ascii="Tms Rmn" w:hAnsi="Tms Rmn"/>
        </w:rPr>
        <w:tab/>
        <w:t>(c)</w:t>
      </w:r>
      <w:r>
        <w:rPr>
          <w:rFonts w:ascii="Tms Rmn" w:hAnsi="Tms Rmn"/>
        </w:rPr>
        <w:tab/>
      </w:r>
      <w:r>
        <w:t>all people.</w:t>
      </w:r>
    </w:p>
    <w:p w:rsidR="00F93509" w:rsidRDefault="00F93509" w:rsidP="00F93509">
      <w:pPr>
        <w:pStyle w:val="Amain"/>
      </w:pPr>
      <w:r>
        <w:rPr>
          <w:rFonts w:ascii="Tms Rmn" w:hAnsi="Tms Rmn"/>
        </w:rPr>
        <w:tab/>
        <w:t>(6)</w:t>
      </w:r>
      <w:r>
        <w:rPr>
          <w:rFonts w:ascii="Tms Rmn" w:hAnsi="Tms Rmn"/>
        </w:rPr>
        <w:tab/>
      </w:r>
      <w:r>
        <w:t>The application must be accompanied by the application fee (if any) prescribed by regulation.</w:t>
      </w:r>
    </w:p>
    <w:p w:rsidR="00F93509" w:rsidRDefault="00F93509" w:rsidP="00F93509">
      <w:pPr>
        <w:pStyle w:val="AH5Sec"/>
      </w:pPr>
      <w:bookmarkStart w:id="67" w:name="_Toc526844544"/>
      <w:r w:rsidRPr="00325B6A">
        <w:rPr>
          <w:rStyle w:val="CharSectNo"/>
        </w:rPr>
        <w:t>40A</w:t>
      </w:r>
      <w:r>
        <w:tab/>
        <w:t>Licences relating to inadvertent dealings</w:t>
      </w:r>
      <w:bookmarkEnd w:id="67"/>
    </w:p>
    <w:p w:rsidR="00F93509" w:rsidRDefault="00F93509" w:rsidP="00F93509">
      <w:pPr>
        <w:pStyle w:val="Amain"/>
      </w:pPr>
      <w:r>
        <w:tab/>
        <w:t>(1)</w:t>
      </w:r>
      <w:r>
        <w:tab/>
        <w:t>If the regulator is satisfied that a person has come into possession of a GMO inadvertently the regulator may, with the agreement of the person, treat the person as having made an inadvertent dealings application.</w:t>
      </w:r>
    </w:p>
    <w:p w:rsidR="00F93509" w:rsidRDefault="00F93509" w:rsidP="00F93509">
      <w:pPr>
        <w:pStyle w:val="Amain"/>
      </w:pPr>
      <w:r>
        <w:tab/>
        <w:t>(2)</w:t>
      </w:r>
      <w:r>
        <w:tab/>
        <w:t>To remove any doubt, subsection (1) does not prevent a person from making an application under section 40 in relation to a GMO that has inadvertently come into the person’s possession.</w:t>
      </w:r>
    </w:p>
    <w:p w:rsidR="00F93509" w:rsidRDefault="00F93509" w:rsidP="00F93509">
      <w:pPr>
        <w:pStyle w:val="aNote"/>
      </w:pPr>
      <w:r>
        <w:rPr>
          <w:rStyle w:val="charItals"/>
        </w:rPr>
        <w:t>Note</w:t>
      </w:r>
      <w:r>
        <w:rPr>
          <w:rStyle w:val="charItals"/>
        </w:rPr>
        <w:tab/>
      </w:r>
      <w:r>
        <w:t>Section 46A and s 49 have the effect that the regulator may expedite consideration of an application to dispose of a GMO that has come into a person’s possession inadvertently.  These sections have effect whether the application is made under s 40, or is taken to have been made under this section.</w:t>
      </w:r>
    </w:p>
    <w:p w:rsidR="00F93509" w:rsidRDefault="00F93509" w:rsidP="00F93509">
      <w:pPr>
        <w:pStyle w:val="AH5Sec"/>
      </w:pPr>
      <w:bookmarkStart w:id="68" w:name="_Toc526844545"/>
      <w:r w:rsidRPr="00325B6A">
        <w:rPr>
          <w:rStyle w:val="CharSectNo"/>
        </w:rPr>
        <w:t>41</w:t>
      </w:r>
      <w:r>
        <w:tab/>
        <w:t>Application may be withdrawn</w:t>
      </w:r>
      <w:bookmarkEnd w:id="68"/>
    </w:p>
    <w:p w:rsidR="00F93509" w:rsidRDefault="00F93509" w:rsidP="00F93509">
      <w:pPr>
        <w:pStyle w:val="Amain"/>
      </w:pPr>
      <w:r>
        <w:rPr>
          <w:rFonts w:ascii="Tms Rmn" w:hAnsi="Tms Rmn"/>
        </w:rPr>
        <w:tab/>
        <w:t>(1)</w:t>
      </w:r>
      <w:r>
        <w:rPr>
          <w:rFonts w:ascii="Tms Rmn" w:hAnsi="Tms Rmn"/>
        </w:rPr>
        <w:tab/>
      </w:r>
      <w:r>
        <w:t>The applicant may withdraw the application at any time before the licence is issued.</w:t>
      </w:r>
    </w:p>
    <w:p w:rsidR="00F93509" w:rsidRDefault="00F93509" w:rsidP="00F93509">
      <w:pPr>
        <w:pStyle w:val="Amain"/>
      </w:pPr>
      <w:r>
        <w:rPr>
          <w:rFonts w:ascii="Tms Rmn" w:hAnsi="Tms Rmn"/>
        </w:rPr>
        <w:tab/>
        <w:t>(2)</w:t>
      </w:r>
      <w:r>
        <w:rPr>
          <w:rFonts w:ascii="Tms Rmn" w:hAnsi="Tms Rmn"/>
        </w:rPr>
        <w:tab/>
      </w:r>
      <w:r>
        <w:t>The application fee is not refundable if the applicant withdraws the application.</w:t>
      </w:r>
    </w:p>
    <w:p w:rsidR="00F93509" w:rsidRDefault="00F93509" w:rsidP="00F93509">
      <w:pPr>
        <w:pStyle w:val="AH5Sec"/>
      </w:pPr>
      <w:bookmarkStart w:id="69" w:name="_Toc526844546"/>
      <w:r w:rsidRPr="00325B6A">
        <w:rPr>
          <w:rStyle w:val="CharSectNo"/>
        </w:rPr>
        <w:t>42</w:t>
      </w:r>
      <w:r>
        <w:tab/>
        <w:t>Regulator may require applicant to give further information</w:t>
      </w:r>
      <w:bookmarkEnd w:id="69"/>
    </w:p>
    <w:p w:rsidR="00F93509" w:rsidRDefault="00F93509" w:rsidP="00F93509">
      <w:pPr>
        <w:pStyle w:val="Amain"/>
      </w:pPr>
      <w:r>
        <w:rPr>
          <w:rFonts w:ascii="Tms Rmn" w:hAnsi="Tms Rmn"/>
        </w:rPr>
        <w:tab/>
        <w:t>(1)</w:t>
      </w:r>
      <w:r>
        <w:rPr>
          <w:rFonts w:ascii="Tms Rmn" w:hAnsi="Tms Rmn"/>
        </w:rPr>
        <w:tab/>
      </w:r>
      <w:r>
        <w:t>The regulator may, by written notice, require the applicant to give the regulator any further information about the application the regulator requires.</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main"/>
      </w:pPr>
      <w:r>
        <w:tab/>
        <w:t>(3)</w:t>
      </w:r>
      <w:r>
        <w:tab/>
        <w:t>The regulator may require information to be given under this section at any time before the regulator decides the application, whether before or after the regulator has begun to consider the application.</w:t>
      </w:r>
    </w:p>
    <w:p w:rsidR="00F93509" w:rsidRDefault="00F93509" w:rsidP="00F93509">
      <w:pPr>
        <w:pStyle w:val="AH5Sec"/>
      </w:pPr>
      <w:bookmarkStart w:id="70" w:name="_Toc526844547"/>
      <w:r w:rsidRPr="00325B6A">
        <w:rPr>
          <w:rStyle w:val="CharSectNo"/>
        </w:rPr>
        <w:t>43</w:t>
      </w:r>
      <w:r>
        <w:tab/>
        <w:t>Regulator must consider applications except in certain circumstances</w:t>
      </w:r>
      <w:bookmarkEnd w:id="70"/>
    </w:p>
    <w:p w:rsidR="00F93509" w:rsidRDefault="00F93509" w:rsidP="00F93509">
      <w:pPr>
        <w:pStyle w:val="Amain"/>
      </w:pPr>
      <w:r>
        <w:rPr>
          <w:rFonts w:ascii="Tms Rmn" w:hAnsi="Tms Rmn"/>
        </w:rPr>
        <w:tab/>
        <w:t>(1)</w:t>
      </w:r>
      <w:r>
        <w:rPr>
          <w:rFonts w:ascii="Tms Rmn" w:hAnsi="Tms Rmn"/>
        </w:rPr>
        <w:tab/>
      </w:r>
      <w:r>
        <w:t>The regulator must consider the application in accordance with this part.</w:t>
      </w:r>
    </w:p>
    <w:p w:rsidR="00F93509" w:rsidRDefault="00F93509" w:rsidP="00F93509">
      <w:pPr>
        <w:pStyle w:val="Amain"/>
      </w:pPr>
      <w:r>
        <w:rPr>
          <w:rFonts w:ascii="Tms Rmn" w:hAnsi="Tms Rmn"/>
        </w:rPr>
        <w:tab/>
        <w:t>(2)</w:t>
      </w:r>
      <w:r>
        <w:rPr>
          <w:rFonts w:ascii="Tms Rmn" w:hAnsi="Tms Rmn"/>
        </w:rPr>
        <w:tab/>
      </w:r>
      <w:r>
        <w:t>However, the regulator is not required to consider the application, or may cease considering the application, if—</w:t>
      </w:r>
    </w:p>
    <w:p w:rsidR="00F93509" w:rsidRDefault="00F93509" w:rsidP="00F93509">
      <w:pPr>
        <w:pStyle w:val="Apara"/>
      </w:pPr>
      <w:r>
        <w:rPr>
          <w:rFonts w:ascii="Tms Rmn" w:hAnsi="Tms Rmn"/>
        </w:rPr>
        <w:tab/>
        <w:t>(a)</w:t>
      </w:r>
      <w:r>
        <w:rPr>
          <w:rFonts w:ascii="Tms Rmn" w:hAnsi="Tms Rmn"/>
        </w:rPr>
        <w:tab/>
      </w:r>
      <w:r>
        <w:t>the application does not contain the information specified by the regulator or prescribed by regulation; or</w:t>
      </w:r>
    </w:p>
    <w:p w:rsidR="00F93509" w:rsidRDefault="00F93509" w:rsidP="00F93509">
      <w:pPr>
        <w:pStyle w:val="Apara"/>
      </w:pPr>
      <w:r>
        <w:rPr>
          <w:rFonts w:ascii="Tms Rmn" w:hAnsi="Tms Rmn"/>
        </w:rPr>
        <w:tab/>
        <w:t>(b)</w:t>
      </w:r>
      <w:r>
        <w:rPr>
          <w:rFonts w:ascii="Tms Rmn" w:hAnsi="Tms Rmn"/>
        </w:rPr>
        <w:tab/>
      </w:r>
      <w:r>
        <w:t>the application does not satisfy section 40 (3); or</w:t>
      </w:r>
    </w:p>
    <w:p w:rsidR="00F93509" w:rsidRDefault="00F93509" w:rsidP="00F93509">
      <w:pPr>
        <w:pStyle w:val="Apara"/>
      </w:pPr>
      <w:r>
        <w:rPr>
          <w:rFonts w:ascii="Tms Rmn" w:hAnsi="Tms Rmn"/>
        </w:rPr>
        <w:tab/>
        <w:t>(c)</w:t>
      </w:r>
      <w:r>
        <w:rPr>
          <w:rFonts w:ascii="Tms Rmn" w:hAnsi="Tms Rmn"/>
        </w:rPr>
        <w:tab/>
      </w:r>
      <w:r>
        <w:t>the application is not accompanied by the application fee (if any) prescribed by regulation; or</w:t>
      </w:r>
    </w:p>
    <w:p w:rsidR="00F93509" w:rsidRDefault="00F93509" w:rsidP="00F93509">
      <w:pPr>
        <w:pStyle w:val="Apara"/>
      </w:pPr>
      <w:r>
        <w:rPr>
          <w:rFonts w:ascii="Tms Rmn" w:hAnsi="Tms Rmn"/>
        </w:rPr>
        <w:tab/>
        <w:t>(d)</w:t>
      </w:r>
      <w:r>
        <w:rPr>
          <w:rFonts w:ascii="Tms Rmn" w:hAnsi="Tms Rmn"/>
        </w:rPr>
        <w:tab/>
      </w:r>
      <w:r>
        <w:t>the applicant did not provide further information required by the regulator by notice under section 42 within the period stated in the notice; or</w:t>
      </w:r>
    </w:p>
    <w:p w:rsidR="00F93509" w:rsidRDefault="00F93509" w:rsidP="00F93509">
      <w:pPr>
        <w:pStyle w:val="Apara"/>
      </w:pPr>
      <w:r>
        <w:rPr>
          <w:rFonts w:ascii="Tms Rmn" w:hAnsi="Tms Rmn"/>
        </w:rPr>
        <w:tab/>
        <w:t>(e)</w:t>
      </w:r>
      <w:r>
        <w:rPr>
          <w:rFonts w:ascii="Tms Rmn" w:hAnsi="Tms Rmn"/>
        </w:rPr>
        <w:tab/>
      </w:r>
      <w:r>
        <w:t>the regulator is satisfied that to issue the licence would be inconsistent with a policy principle in force under section 21; and</w:t>
      </w:r>
    </w:p>
    <w:p w:rsidR="00F93509" w:rsidRDefault="00F93509" w:rsidP="00F93509">
      <w:pPr>
        <w:pStyle w:val="Apara"/>
      </w:pPr>
      <w:r>
        <w:tab/>
        <w:t>(f)</w:t>
      </w:r>
      <w:r>
        <w:tab/>
        <w:t>the regulator is satisfied (having regard to the matters mentioned in section 58) that the applicant is not a suitable person to hold a licence.</w:t>
      </w:r>
    </w:p>
    <w:p w:rsidR="00F93509" w:rsidRDefault="00F93509" w:rsidP="00F93509">
      <w:pPr>
        <w:pStyle w:val="Amain"/>
      </w:pPr>
      <w:r>
        <w:rPr>
          <w:rFonts w:ascii="Tms Rmn" w:hAnsi="Tms Rmn"/>
        </w:rPr>
        <w:tab/>
        <w:t>(3)</w:t>
      </w:r>
      <w:r>
        <w:rPr>
          <w:rFonts w:ascii="Tms Rmn" w:hAnsi="Tms Rmn"/>
        </w:rPr>
        <w:tab/>
      </w:r>
      <w:r>
        <w:t>The regulator must issue the licence, or refuse to issue the licence, within the period (if any) prescribed by regulation.</w:t>
      </w:r>
    </w:p>
    <w:p w:rsidR="00F93509" w:rsidRDefault="00F93509" w:rsidP="00F93509">
      <w:pPr>
        <w:pStyle w:val="AH5Sec"/>
      </w:pPr>
      <w:bookmarkStart w:id="71" w:name="_Toc526844548"/>
      <w:r w:rsidRPr="00325B6A">
        <w:rPr>
          <w:rStyle w:val="CharSectNo"/>
        </w:rPr>
        <w:t>44</w:t>
      </w:r>
      <w:r>
        <w:tab/>
        <w:t>Regulator may consult with applicant</w:t>
      </w:r>
      <w:bookmarkEnd w:id="71"/>
    </w:p>
    <w:p w:rsidR="00F93509" w:rsidRDefault="00F93509" w:rsidP="00F93509">
      <w:pPr>
        <w:pStyle w:val="Amainreturn"/>
      </w:pPr>
      <w:r>
        <w:t>Before considering the application, the regulator may consult the applicant, or another regulatory agency, on any aspect of the application.</w:t>
      </w:r>
    </w:p>
    <w:p w:rsidR="00F93509" w:rsidRDefault="00F93509" w:rsidP="00F93509">
      <w:pPr>
        <w:pStyle w:val="AH5Sec"/>
      </w:pPr>
      <w:bookmarkStart w:id="72" w:name="_Toc526844549"/>
      <w:r w:rsidRPr="00325B6A">
        <w:rPr>
          <w:rStyle w:val="CharSectNo"/>
        </w:rPr>
        <w:t>45</w:t>
      </w:r>
      <w:r>
        <w:tab/>
        <w:t>Regulator must not use certain information in considering licence application</w:t>
      </w:r>
      <w:bookmarkEnd w:id="72"/>
    </w:p>
    <w:p w:rsidR="00F93509" w:rsidRDefault="00F93509" w:rsidP="00F93509">
      <w:pPr>
        <w:pStyle w:val="Amainreturn"/>
      </w:pPr>
      <w:r>
        <w:t>If—</w:t>
      </w:r>
    </w:p>
    <w:p w:rsidR="00F93509" w:rsidRDefault="00F93509" w:rsidP="00F93509">
      <w:pPr>
        <w:pStyle w:val="Apara"/>
      </w:pPr>
      <w:r>
        <w:rPr>
          <w:rFonts w:ascii="Tms Rmn" w:hAnsi="Tms Rmn"/>
        </w:rPr>
        <w:tab/>
        <w:t>(a)</w:t>
      </w:r>
      <w:r>
        <w:rPr>
          <w:rFonts w:ascii="Tms Rmn" w:hAnsi="Tms Rmn"/>
        </w:rPr>
        <w:tab/>
      </w:r>
      <w:r>
        <w:t xml:space="preserve">a person (the </w:t>
      </w:r>
      <w:r w:rsidRPr="00903C3C">
        <w:rPr>
          <w:rStyle w:val="charBoldItals"/>
        </w:rPr>
        <w:t>first person</w:t>
      </w:r>
      <w:r>
        <w:t xml:space="preserve">) applies for a GMO licence; and </w:t>
      </w:r>
    </w:p>
    <w:p w:rsidR="00F93509" w:rsidRDefault="00F93509" w:rsidP="00F93509">
      <w:pPr>
        <w:pStyle w:val="Apara"/>
      </w:pPr>
      <w:r>
        <w:rPr>
          <w:rFonts w:ascii="Tms Rmn" w:hAnsi="Tms Rmn"/>
        </w:rPr>
        <w:tab/>
        <w:t>(b)</w:t>
      </w:r>
      <w:r>
        <w:rPr>
          <w:rFonts w:ascii="Tms Rmn" w:hAnsi="Tms Rmn"/>
        </w:rPr>
        <w:tab/>
      </w:r>
      <w:r>
        <w:t xml:space="preserve">the first person gives information to the regulator for the regulator’s consideration of the application; and </w:t>
      </w:r>
    </w:p>
    <w:p w:rsidR="00F93509" w:rsidRDefault="00F93509" w:rsidP="00F93509">
      <w:pPr>
        <w:pStyle w:val="Apara"/>
      </w:pPr>
      <w:r>
        <w:rPr>
          <w:rFonts w:ascii="Tms Rmn" w:hAnsi="Tms Rmn"/>
        </w:rPr>
        <w:tab/>
        <w:t>(c)</w:t>
      </w:r>
      <w:r>
        <w:rPr>
          <w:rFonts w:ascii="Tms Rmn" w:hAnsi="Tms Rmn"/>
        </w:rPr>
        <w:tab/>
      </w:r>
      <w:r>
        <w:t>the information is confidential commercial information;</w:t>
      </w:r>
    </w:p>
    <w:p w:rsidR="00F93509" w:rsidRDefault="00F93509" w:rsidP="00F93509">
      <w:pPr>
        <w:pStyle w:val="Amainreturn"/>
      </w:pPr>
      <w:r>
        <w:t>the regulator must not take that information into account in considering an application by someone else for a GMO licence, unless the first person has given written consent for the information to be so taken into account.</w:t>
      </w:r>
    </w:p>
    <w:p w:rsidR="00F93509" w:rsidRPr="00325B6A" w:rsidRDefault="00F93509" w:rsidP="00F93509">
      <w:pPr>
        <w:pStyle w:val="AH3Div"/>
      </w:pPr>
      <w:bookmarkStart w:id="73" w:name="_Toc526844550"/>
      <w:r w:rsidRPr="00325B6A">
        <w:rPr>
          <w:rStyle w:val="CharDivNo"/>
        </w:rPr>
        <w:t>Division 5.3</w:t>
      </w:r>
      <w:r>
        <w:tab/>
      </w:r>
      <w:r w:rsidRPr="00325B6A">
        <w:rPr>
          <w:rStyle w:val="CharDivText"/>
        </w:rPr>
        <w:t>Initial consideration of licences for dealings not involving intentional release of GMO into environment</w:t>
      </w:r>
      <w:bookmarkEnd w:id="73"/>
    </w:p>
    <w:p w:rsidR="00F93509" w:rsidRDefault="00F93509" w:rsidP="00F93509">
      <w:pPr>
        <w:pStyle w:val="AH5Sec"/>
      </w:pPr>
      <w:bookmarkStart w:id="74" w:name="_Toc526844551"/>
      <w:r w:rsidRPr="00325B6A">
        <w:rPr>
          <w:rStyle w:val="CharSectNo"/>
        </w:rPr>
        <w:t>46</w:t>
      </w:r>
      <w:r>
        <w:tab/>
        <w:t>Applications to which div 5.3 applies</w:t>
      </w:r>
      <w:bookmarkEnd w:id="74"/>
    </w:p>
    <w:p w:rsidR="00F93509" w:rsidRDefault="00F93509" w:rsidP="00F93509">
      <w:pPr>
        <w:pStyle w:val="Amainreturn"/>
      </w:pPr>
      <w:r>
        <w:t>This division applies to an application for a GMO licence if the regulator is satisfied that none of the dealings proposed to be authorised by the licence would involve the intentional release of a GMO into the environment.</w:t>
      </w:r>
    </w:p>
    <w:p w:rsidR="00F93509" w:rsidRDefault="00F93509" w:rsidP="00F93509">
      <w:pPr>
        <w:pStyle w:val="AH5Sec"/>
      </w:pPr>
      <w:bookmarkStart w:id="75" w:name="_Toc526844552"/>
      <w:r w:rsidRPr="00325B6A">
        <w:rPr>
          <w:rStyle w:val="CharSectNo"/>
        </w:rPr>
        <w:t>46A</w:t>
      </w:r>
      <w:r>
        <w:tab/>
        <w:t>Division does not apply to an application relating to inadvertent dealings</w:t>
      </w:r>
      <w:bookmarkEnd w:id="75"/>
    </w:p>
    <w:p w:rsidR="00F93509" w:rsidRDefault="00F93509" w:rsidP="00F93509">
      <w:pPr>
        <w:pStyle w:val="Amainreturn"/>
        <w:keepNext/>
      </w:pPr>
      <w:r>
        <w:t>Despite section 46, this division does not apply to an application for a GMO licence if the regulator is satisfied that—</w:t>
      </w:r>
    </w:p>
    <w:p w:rsidR="00B90C08" w:rsidRPr="00E2623C" w:rsidRDefault="00B90C08" w:rsidP="00B90C08">
      <w:pPr>
        <w:pStyle w:val="Apara"/>
      </w:pPr>
      <w:r w:rsidRPr="00E2623C">
        <w:tab/>
        <w:t>(a)</w:t>
      </w:r>
      <w:r w:rsidRPr="00E2623C">
        <w:tab/>
        <w:t>the dealings proposed to be authorised by the licence are limited to 1 or more of the following for purposes relating to disposing of a GMO:</w:t>
      </w:r>
    </w:p>
    <w:p w:rsidR="00B90C08" w:rsidRPr="00E2623C" w:rsidRDefault="00B90C08" w:rsidP="00B90C08">
      <w:pPr>
        <w:pStyle w:val="Asubpara"/>
      </w:pPr>
      <w:r w:rsidRPr="00E2623C">
        <w:tab/>
        <w:t>(i)</w:t>
      </w:r>
      <w:r w:rsidRPr="00E2623C">
        <w:tab/>
        <w:t>conducting experiments with the GMO;</w:t>
      </w:r>
    </w:p>
    <w:p w:rsidR="00B90C08" w:rsidRPr="00E2623C" w:rsidRDefault="00B90C08" w:rsidP="00B90C08">
      <w:pPr>
        <w:pStyle w:val="Asubpara"/>
      </w:pPr>
      <w:r w:rsidRPr="00E2623C">
        <w:tab/>
        <w:t>(ii)</w:t>
      </w:r>
      <w:r w:rsidRPr="00E2623C">
        <w:tab/>
        <w:t>propagating the GMO;</w:t>
      </w:r>
    </w:p>
    <w:p w:rsidR="00B90C08" w:rsidRPr="00E2623C" w:rsidRDefault="00B90C08" w:rsidP="00B90C08">
      <w:pPr>
        <w:pStyle w:val="Asubpara"/>
      </w:pPr>
      <w:r w:rsidRPr="00E2623C">
        <w:tab/>
        <w:t>(iii)</w:t>
      </w:r>
      <w:r w:rsidRPr="00E2623C">
        <w:tab/>
        <w:t>growing, raising or culturing the GMO;</w:t>
      </w:r>
    </w:p>
    <w:p w:rsidR="00B90C08" w:rsidRPr="00E2623C" w:rsidRDefault="00B90C08" w:rsidP="00B90C08">
      <w:pPr>
        <w:pStyle w:val="Asubpara"/>
      </w:pPr>
      <w:r w:rsidRPr="00E2623C">
        <w:tab/>
        <w:t>(iv)</w:t>
      </w:r>
      <w:r w:rsidRPr="00E2623C">
        <w:tab/>
        <w:t>transporting the GMO;</w:t>
      </w:r>
    </w:p>
    <w:p w:rsidR="00B90C08" w:rsidRPr="00E2623C" w:rsidRDefault="00B90C08" w:rsidP="00B90C08">
      <w:pPr>
        <w:pStyle w:val="Asubpara"/>
      </w:pPr>
      <w:r w:rsidRPr="00E2623C">
        <w:tab/>
        <w:t>(v)</w:t>
      </w:r>
      <w:r w:rsidRPr="00E2623C">
        <w:tab/>
        <w:t>any other dealings to be undertaken for the purposes of, or for purposes relating to, disposing of the GMO; and</w:t>
      </w:r>
    </w:p>
    <w:p w:rsidR="00F93509" w:rsidRDefault="00F93509" w:rsidP="00F93509">
      <w:pPr>
        <w:pStyle w:val="Apara"/>
      </w:pPr>
      <w:r>
        <w:tab/>
        <w:t>(b)</w:t>
      </w:r>
      <w:r>
        <w:tab/>
        <w:t>the applicant for the licence came into possession of the GMO inadvertently.</w:t>
      </w:r>
    </w:p>
    <w:p w:rsidR="00F93509" w:rsidRDefault="00F93509" w:rsidP="00F93509">
      <w:pPr>
        <w:pStyle w:val="AH5Sec"/>
      </w:pPr>
      <w:bookmarkStart w:id="76" w:name="_Toc526844553"/>
      <w:r w:rsidRPr="00325B6A">
        <w:rPr>
          <w:rStyle w:val="CharSectNo"/>
        </w:rPr>
        <w:t>47</w:t>
      </w:r>
      <w:r>
        <w:tab/>
        <w:t>What regulator must do in relation to application</w:t>
      </w:r>
      <w:bookmarkEnd w:id="76"/>
    </w:p>
    <w:p w:rsidR="00F93509" w:rsidRDefault="00F93509" w:rsidP="00F93509">
      <w:pPr>
        <w:pStyle w:val="Amain"/>
      </w:pPr>
      <w:r>
        <w:rPr>
          <w:rFonts w:ascii="Tms Rmn" w:hAnsi="Tms Rmn"/>
        </w:rPr>
        <w:tab/>
        <w:t>(1)</w:t>
      </w:r>
      <w:r>
        <w:rPr>
          <w:rFonts w:ascii="Tms Rmn" w:hAnsi="Tms Rmn"/>
        </w:rPr>
        <w:tab/>
      </w:r>
      <w:r>
        <w:t xml:space="preserve">Before issuing the licence, the regulator must prepare a risk assessment and a risk management plan in relation to the dealings proposed to be authorised by the licence (the </w:t>
      </w:r>
      <w:r w:rsidRPr="00903C3C">
        <w:rPr>
          <w:rStyle w:val="charBoldItals"/>
        </w:rPr>
        <w:t>proposed dealings</w:t>
      </w:r>
      <w:r>
        <w:t>).</w:t>
      </w:r>
    </w:p>
    <w:p w:rsidR="00F93509" w:rsidRDefault="00F93509" w:rsidP="00F93509">
      <w:pPr>
        <w:pStyle w:val="Amain"/>
      </w:pPr>
      <w:r>
        <w:rPr>
          <w:rFonts w:ascii="Tms Rmn" w:hAnsi="Tms Rmn"/>
        </w:rPr>
        <w:tab/>
        <w:t>(2)</w:t>
      </w:r>
      <w:r>
        <w:rPr>
          <w:rFonts w:ascii="Tms Rmn" w:hAnsi="Tms Rmn"/>
        </w:rPr>
        <w:tab/>
      </w:r>
      <w:r>
        <w:t>In preparing the risk assessment, the regulator must take into account the risks posed by the proposed dealings, including any risks to the health and safety of people and any risks to the environment.</w:t>
      </w:r>
    </w:p>
    <w:p w:rsidR="00F93509" w:rsidRDefault="00F93509" w:rsidP="00F93509">
      <w:pPr>
        <w:pStyle w:val="Amain"/>
      </w:pPr>
      <w:r>
        <w:rPr>
          <w:rFonts w:ascii="Tms Rmn" w:hAnsi="Tms Rmn"/>
        </w:rPr>
        <w:tab/>
        <w:t>(3)</w:t>
      </w:r>
      <w:r>
        <w:rPr>
          <w:rFonts w:ascii="Tms Rmn" w:hAnsi="Tms Rmn"/>
        </w:rPr>
        <w:tab/>
      </w:r>
      <w:r>
        <w:t>In preparing the risk management plan, the regulator must take into account the ways of managing any risks posed by the proposed dealings that protect—</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keepNext/>
      </w:pPr>
      <w:r>
        <w:rPr>
          <w:rFonts w:ascii="Tms Rmn" w:hAnsi="Tms Rmn"/>
        </w:rPr>
        <w:tab/>
        <w:t>(4)</w:t>
      </w:r>
      <w:r>
        <w:rPr>
          <w:rFonts w:ascii="Tms Rmn" w:hAnsi="Tms Rmn"/>
        </w:rPr>
        <w:tab/>
      </w:r>
      <w:r>
        <w:t>The regulator may consult any of the following on any aspect of the application:</w:t>
      </w:r>
    </w:p>
    <w:p w:rsidR="00F93509" w:rsidRDefault="00F93509" w:rsidP="00F93509">
      <w:pPr>
        <w:pStyle w:val="Apara"/>
      </w:pPr>
      <w:r>
        <w:rPr>
          <w:rFonts w:ascii="Tms Rmn" w:hAnsi="Tms Rmn"/>
        </w:rPr>
        <w:tab/>
        <w:t>(a)</w:t>
      </w:r>
      <w:r>
        <w:rPr>
          <w:rFonts w:ascii="Tms Rmn" w:hAnsi="Tms Rmn"/>
        </w:rPr>
        <w:tab/>
      </w:r>
      <w:r>
        <w:t>the States;</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w:t>
      </w:r>
    </w:p>
    <w:p w:rsidR="00F93509" w:rsidRDefault="00F93509" w:rsidP="00F93509">
      <w:pPr>
        <w:pStyle w:val="Apara"/>
      </w:pPr>
      <w:r>
        <w:rPr>
          <w:rFonts w:ascii="Tms Rmn" w:hAnsi="Tms Rmn"/>
        </w:rPr>
        <w:tab/>
        <w:t>(c)</w:t>
      </w:r>
      <w:r>
        <w:rPr>
          <w:rFonts w:ascii="Tms Rmn" w:hAnsi="Tms Rmn"/>
        </w:rPr>
        <w:tab/>
      </w:r>
      <w:r>
        <w:t xml:space="preserve">relevant Commonwealth authorities or agencies; </w:t>
      </w:r>
    </w:p>
    <w:p w:rsidR="00F93509" w:rsidRDefault="00F93509" w:rsidP="00F93509">
      <w:pPr>
        <w:pStyle w:val="Apara"/>
      </w:pPr>
      <w:r>
        <w:rPr>
          <w:rFonts w:ascii="Tms Rmn" w:hAnsi="Tms Rmn"/>
        </w:rPr>
        <w:tab/>
        <w:t>(d)</w:t>
      </w:r>
      <w:r>
        <w:rPr>
          <w:rFonts w:ascii="Tms Rmn" w:hAnsi="Tms Rmn"/>
        </w:rPr>
        <w:tab/>
      </w:r>
      <w:r>
        <w:t xml:space="preserve">any local council the regulator considers appropriate; </w:t>
      </w:r>
    </w:p>
    <w:p w:rsidR="00F93509" w:rsidRDefault="00F93509" w:rsidP="00F93509">
      <w:pPr>
        <w:pStyle w:val="Apara"/>
      </w:pPr>
      <w:r>
        <w:rPr>
          <w:rFonts w:ascii="Tms Rmn" w:hAnsi="Tms Rmn"/>
        </w:rPr>
        <w:tab/>
        <w:t>(e)</w:t>
      </w:r>
      <w:r>
        <w:rPr>
          <w:rFonts w:ascii="Tms Rmn" w:hAnsi="Tms Rmn"/>
        </w:rPr>
        <w:tab/>
      </w:r>
      <w:r>
        <w:t>anyone else the regulator considers appropriate.</w:t>
      </w:r>
    </w:p>
    <w:p w:rsidR="00F93509" w:rsidRPr="00325B6A" w:rsidRDefault="00F93509" w:rsidP="00F93509">
      <w:pPr>
        <w:pStyle w:val="AH3Div"/>
      </w:pPr>
      <w:bookmarkStart w:id="77" w:name="_Toc526844554"/>
      <w:r w:rsidRPr="00325B6A">
        <w:rPr>
          <w:rStyle w:val="CharDivNo"/>
        </w:rPr>
        <w:t>Division 5.4</w:t>
      </w:r>
      <w:r>
        <w:tab/>
      </w:r>
      <w:r w:rsidRPr="00325B6A">
        <w:rPr>
          <w:rStyle w:val="CharDivText"/>
        </w:rPr>
        <w:t>Initial consideration of licences for dealings involving intentional release of GMO into environment</w:t>
      </w:r>
      <w:bookmarkEnd w:id="77"/>
    </w:p>
    <w:p w:rsidR="00F93509" w:rsidRDefault="00F93509" w:rsidP="00F93509">
      <w:pPr>
        <w:pStyle w:val="AH5Sec"/>
      </w:pPr>
      <w:bookmarkStart w:id="78" w:name="_Toc526844555"/>
      <w:r w:rsidRPr="00325B6A">
        <w:rPr>
          <w:rStyle w:val="CharSectNo"/>
        </w:rPr>
        <w:t>48</w:t>
      </w:r>
      <w:r>
        <w:tab/>
        <w:t>Applications to which div 5.4 applies</w:t>
      </w:r>
      <w:bookmarkEnd w:id="78"/>
    </w:p>
    <w:p w:rsidR="00F93509" w:rsidRDefault="00F93509" w:rsidP="00F93509">
      <w:pPr>
        <w:pStyle w:val="Amainreturn"/>
      </w:pPr>
      <w:r>
        <w:t>This division applies to an application for a GMO licence if the regulator is satisfied that at least 1 of the dealings proposed to be authorised by the licence would involve the intentional release of a GMO into the environment.</w:t>
      </w:r>
    </w:p>
    <w:p w:rsidR="00F93509" w:rsidRDefault="00F93509" w:rsidP="00F93509">
      <w:pPr>
        <w:pStyle w:val="AH5Sec"/>
      </w:pPr>
      <w:bookmarkStart w:id="79" w:name="_Toc526844556"/>
      <w:r w:rsidRPr="00325B6A">
        <w:rPr>
          <w:rStyle w:val="CharSectNo"/>
        </w:rPr>
        <w:t>49</w:t>
      </w:r>
      <w:r>
        <w:tab/>
        <w:t>Division does not apply to an application relating to inadvertent dealings</w:t>
      </w:r>
      <w:bookmarkEnd w:id="79"/>
    </w:p>
    <w:p w:rsidR="00F93509" w:rsidRDefault="00F93509" w:rsidP="00F93509">
      <w:pPr>
        <w:pStyle w:val="Amainreturn"/>
      </w:pPr>
      <w:r>
        <w:t>Despite section 48, this division does not apply to an application for a GMO licence if the regulator is satisfied that—</w:t>
      </w:r>
    </w:p>
    <w:p w:rsidR="00E62E81" w:rsidRPr="00E2623C" w:rsidRDefault="00E62E81" w:rsidP="00E62E81">
      <w:pPr>
        <w:pStyle w:val="Apara"/>
      </w:pPr>
      <w:r w:rsidRPr="00E2623C">
        <w:tab/>
        <w:t>(a)</w:t>
      </w:r>
      <w:r w:rsidRPr="00E2623C">
        <w:tab/>
        <w:t>the dealings proposed to be authorised by the licence are limited to 1 or more of the following for purposes relating to disposing of a GMO:</w:t>
      </w:r>
    </w:p>
    <w:p w:rsidR="00E62E81" w:rsidRPr="00E2623C" w:rsidRDefault="00E62E81" w:rsidP="00E62E81">
      <w:pPr>
        <w:pStyle w:val="Asubpara"/>
      </w:pPr>
      <w:r w:rsidRPr="00E2623C">
        <w:tab/>
        <w:t>(i)</w:t>
      </w:r>
      <w:r w:rsidRPr="00E2623C">
        <w:tab/>
        <w:t>conducting experiments with the GMO;</w:t>
      </w:r>
    </w:p>
    <w:p w:rsidR="00E62E81" w:rsidRPr="00E2623C" w:rsidRDefault="00E62E81" w:rsidP="00E62E81">
      <w:pPr>
        <w:pStyle w:val="Asubpara"/>
      </w:pPr>
      <w:r w:rsidRPr="00E2623C">
        <w:tab/>
        <w:t>(ii)</w:t>
      </w:r>
      <w:r w:rsidRPr="00E2623C">
        <w:tab/>
        <w:t>propagating the GMO;</w:t>
      </w:r>
    </w:p>
    <w:p w:rsidR="00E62E81" w:rsidRPr="00E2623C" w:rsidRDefault="00E62E81" w:rsidP="00E62E81">
      <w:pPr>
        <w:pStyle w:val="Asubpara"/>
      </w:pPr>
      <w:r w:rsidRPr="00E2623C">
        <w:tab/>
        <w:t>(iii)</w:t>
      </w:r>
      <w:r w:rsidRPr="00E2623C">
        <w:tab/>
        <w:t>growing, raising or culturing the GMO;</w:t>
      </w:r>
    </w:p>
    <w:p w:rsidR="00E62E81" w:rsidRPr="00E2623C" w:rsidRDefault="00E62E81" w:rsidP="00E62E81">
      <w:pPr>
        <w:pStyle w:val="Asubpara"/>
      </w:pPr>
      <w:r w:rsidRPr="00E2623C">
        <w:tab/>
        <w:t>(iv)</w:t>
      </w:r>
      <w:r w:rsidRPr="00E2623C">
        <w:tab/>
        <w:t>transporting the GMO;</w:t>
      </w:r>
    </w:p>
    <w:p w:rsidR="00E62E81" w:rsidRPr="00E2623C" w:rsidRDefault="00E62E81" w:rsidP="00E62E81">
      <w:pPr>
        <w:pStyle w:val="Asubpara"/>
      </w:pPr>
      <w:r w:rsidRPr="00E2623C">
        <w:tab/>
        <w:t>(v)</w:t>
      </w:r>
      <w:r w:rsidRPr="00E2623C">
        <w:tab/>
        <w:t>any other dealings to be undertaken for the purposes of, or for purposes relating to, disposing of the GMO; and</w:t>
      </w:r>
    </w:p>
    <w:p w:rsidR="00F93509" w:rsidRDefault="00F93509" w:rsidP="00F93509">
      <w:pPr>
        <w:pStyle w:val="Apara"/>
      </w:pPr>
      <w:r>
        <w:tab/>
        <w:t>(b)</w:t>
      </w:r>
      <w:r>
        <w:tab/>
        <w:t>the applicant for the licence came into possession of the GMO inadvertently.</w:t>
      </w:r>
    </w:p>
    <w:p w:rsidR="00F93509" w:rsidRDefault="00F93509" w:rsidP="00F93509">
      <w:pPr>
        <w:pStyle w:val="AH5Sec"/>
      </w:pPr>
      <w:bookmarkStart w:id="80" w:name="_Toc526844557"/>
      <w:r w:rsidRPr="00325B6A">
        <w:rPr>
          <w:rStyle w:val="CharSectNo"/>
        </w:rPr>
        <w:t>50</w:t>
      </w:r>
      <w:r>
        <w:tab/>
        <w:t>Regulator must prepare risk assessment and risk management plan</w:t>
      </w:r>
      <w:bookmarkEnd w:id="80"/>
    </w:p>
    <w:p w:rsidR="00F93509" w:rsidRDefault="00F93509" w:rsidP="00F93509">
      <w:pPr>
        <w:pStyle w:val="Amain"/>
      </w:pPr>
      <w:r>
        <w:rPr>
          <w:rFonts w:ascii="Tms Rmn" w:hAnsi="Tms Rmn"/>
        </w:rPr>
        <w:tab/>
        <w:t>(1)</w:t>
      </w:r>
      <w:r>
        <w:rPr>
          <w:rFonts w:ascii="Tms Rmn" w:hAnsi="Tms Rmn"/>
        </w:rPr>
        <w:tab/>
      </w:r>
      <w:r>
        <w:t>Before issuing the licence, the regulator must prepare a risk assessment and a risk management plan in relation to the dealings proposed to be authorised by the licence.</w:t>
      </w:r>
    </w:p>
    <w:p w:rsidR="00F93509" w:rsidRDefault="00F93509" w:rsidP="00F93509">
      <w:pPr>
        <w:pStyle w:val="Amain"/>
      </w:pPr>
      <w:r>
        <w:rPr>
          <w:rFonts w:ascii="Tms Rmn" w:hAnsi="Tms Rmn"/>
        </w:rPr>
        <w:tab/>
        <w:t>(3)</w:t>
      </w:r>
      <w:r>
        <w:rPr>
          <w:rFonts w:ascii="Tms Rmn" w:hAnsi="Tms Rmn"/>
        </w:rPr>
        <w:tab/>
      </w:r>
      <w:r>
        <w:t>Unless section 50A applies in relation to the application for the licence, the regulator must seek advice on matters relevant to the preparation of the risk assessment and the risk management plan from—</w:t>
      </w:r>
    </w:p>
    <w:p w:rsidR="00F93509" w:rsidRDefault="00F93509" w:rsidP="00F93509">
      <w:pPr>
        <w:pStyle w:val="Apara"/>
      </w:pPr>
      <w:r>
        <w:rPr>
          <w:rFonts w:ascii="Tms Rmn" w:hAnsi="Tms Rmn"/>
        </w:rPr>
        <w:tab/>
        <w:t>(a)</w:t>
      </w:r>
      <w:r>
        <w:rPr>
          <w:rFonts w:ascii="Tms Rmn" w:hAnsi="Tms Rmn"/>
        </w:rPr>
        <w:tab/>
      </w:r>
      <w:r>
        <w:t>the States; and</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 and</w:t>
      </w:r>
    </w:p>
    <w:p w:rsidR="00F93509" w:rsidRDefault="00F93509" w:rsidP="00F93509">
      <w:pPr>
        <w:pStyle w:val="Apara"/>
      </w:pPr>
      <w:r>
        <w:rPr>
          <w:rFonts w:ascii="Tms Rmn" w:hAnsi="Tms Rmn"/>
        </w:rPr>
        <w:tab/>
        <w:t>(d)</w:t>
      </w:r>
      <w:r>
        <w:rPr>
          <w:rFonts w:ascii="Tms Rmn" w:hAnsi="Tms Rmn"/>
        </w:rPr>
        <w:tab/>
      </w:r>
      <w:r>
        <w:t>the Commonwealth Environment Minister; and</w:t>
      </w:r>
    </w:p>
    <w:p w:rsidR="00F93509" w:rsidRDefault="00F93509" w:rsidP="00F93509">
      <w:pPr>
        <w:pStyle w:val="Apara"/>
      </w:pPr>
      <w:r>
        <w:rPr>
          <w:rFonts w:ascii="Tms Rmn" w:hAnsi="Tms Rmn"/>
        </w:rPr>
        <w:tab/>
        <w:t>(e)</w:t>
      </w:r>
      <w:r>
        <w:rPr>
          <w:rFonts w:ascii="Tms Rmn" w:hAnsi="Tms Rmn"/>
        </w:rPr>
        <w:tab/>
      </w:r>
      <w:r>
        <w:t>any local council that the regulator considers appropriate.</w:t>
      </w:r>
    </w:p>
    <w:p w:rsidR="00F93509" w:rsidRDefault="00F93509" w:rsidP="00F93509">
      <w:pPr>
        <w:pStyle w:val="AH5Sec"/>
      </w:pPr>
      <w:bookmarkStart w:id="81" w:name="_Toc526844558"/>
      <w:r w:rsidRPr="00325B6A">
        <w:rPr>
          <w:rStyle w:val="CharSectNo"/>
        </w:rPr>
        <w:t>50A</w:t>
      </w:r>
      <w:r>
        <w:tab/>
        <w:t>Limited and controlled release applications</w:t>
      </w:r>
      <w:bookmarkEnd w:id="81"/>
    </w:p>
    <w:p w:rsidR="00F93509" w:rsidRDefault="00F93509" w:rsidP="00F93509">
      <w:pPr>
        <w:pStyle w:val="Amain"/>
      </w:pPr>
      <w:r>
        <w:tab/>
        <w:t>(1)</w:t>
      </w:r>
      <w:r>
        <w:tab/>
        <w:t>This section applies to an application for a licence if the regulator is satisfied that—</w:t>
      </w:r>
    </w:p>
    <w:p w:rsidR="00F93509" w:rsidRDefault="00F93509" w:rsidP="00F93509">
      <w:pPr>
        <w:pStyle w:val="Apara"/>
      </w:pPr>
      <w:r>
        <w:tab/>
        <w:t>(a)</w:t>
      </w:r>
      <w:r>
        <w:tab/>
        <w:t>the principal purpose of the application is to enable the licence holder, and people covered by the licence, to conduct experiments; and</w:t>
      </w:r>
    </w:p>
    <w:p w:rsidR="00F93509" w:rsidRDefault="00F93509" w:rsidP="00F93509">
      <w:pPr>
        <w:pStyle w:val="Apara"/>
      </w:pPr>
      <w:r>
        <w:tab/>
        <w:t>(b)</w:t>
      </w:r>
      <w:r>
        <w:tab/>
        <w:t>the application proposes in relation to any GMO for which dealings are proposed to be authorised—</w:t>
      </w:r>
    </w:p>
    <w:p w:rsidR="00F93509" w:rsidRDefault="00F93509" w:rsidP="00F93509">
      <w:pPr>
        <w:pStyle w:val="Asubpara"/>
      </w:pPr>
      <w:r>
        <w:tab/>
        <w:t>(i)</w:t>
      </w:r>
      <w:r>
        <w:tab/>
        <w:t>controls to restrict the dissemination or persistence of the GMO and its genetic material in the environment; and</w:t>
      </w:r>
    </w:p>
    <w:p w:rsidR="00F93509" w:rsidRDefault="00F93509" w:rsidP="00F93509">
      <w:pPr>
        <w:pStyle w:val="Asubpara"/>
      </w:pPr>
      <w:r>
        <w:tab/>
        <w:t>(ii)</w:t>
      </w:r>
      <w:r>
        <w:tab/>
        <w:t>limits on the proposed release of the GMO; and</w:t>
      </w:r>
    </w:p>
    <w:p w:rsidR="00F93509" w:rsidRDefault="00F93509" w:rsidP="00F93509">
      <w:pPr>
        <w:pStyle w:val="Apara"/>
      </w:pPr>
      <w:r>
        <w:tab/>
        <w:t>(c)</w:t>
      </w:r>
      <w:r>
        <w:tab/>
        <w:t>the regulator is satisfied that the controls and limits are of such a kind that it is appropriate for the regulator not to seek the advice mentioned in section 50 (3).</w:t>
      </w:r>
    </w:p>
    <w:p w:rsidR="00F93509" w:rsidRDefault="00F93509" w:rsidP="00F93509">
      <w:pPr>
        <w:pStyle w:val="Amain"/>
      </w:pPr>
      <w:r>
        <w:tab/>
        <w:t>(2)</w:t>
      </w:r>
      <w:r>
        <w:tab/>
        <w:t>In deciding whether the principal purpose of an application is to enable the licence holder, and people covered by the licence, to conduct experiments, the regulator—</w:t>
      </w:r>
    </w:p>
    <w:p w:rsidR="00F93509" w:rsidRDefault="00F93509" w:rsidP="00F93509">
      <w:pPr>
        <w:pStyle w:val="Apara"/>
      </w:pPr>
      <w:r>
        <w:tab/>
        <w:t>(a)</w:t>
      </w:r>
      <w:r>
        <w:tab/>
        <w:t>must have regard to whether the applicant proposes that any or all of the following be authorised by, and done under, the licence:</w:t>
      </w:r>
    </w:p>
    <w:p w:rsidR="00F93509" w:rsidRDefault="00F93509" w:rsidP="00F93509">
      <w:pPr>
        <w:pStyle w:val="Asubpara"/>
      </w:pPr>
      <w:r>
        <w:tab/>
        <w:t>(i)</w:t>
      </w:r>
      <w:r>
        <w:tab/>
        <w:t>testing hypotheses;</w:t>
      </w:r>
    </w:p>
    <w:p w:rsidR="00F93509" w:rsidRDefault="00F93509" w:rsidP="00F93509">
      <w:pPr>
        <w:pStyle w:val="Asubpara"/>
      </w:pPr>
      <w:r>
        <w:tab/>
        <w:t>(ii)</w:t>
      </w:r>
      <w:r>
        <w:tab/>
        <w:t>gaining scientific or technical knowledge;</w:t>
      </w:r>
    </w:p>
    <w:p w:rsidR="00F93509" w:rsidRDefault="00F93509" w:rsidP="00F93509">
      <w:pPr>
        <w:pStyle w:val="Asubpara"/>
      </w:pPr>
      <w:r>
        <w:tab/>
        <w:t>(iii)</w:t>
      </w:r>
      <w:r>
        <w:tab/>
        <w:t>gaining data for regulatory purposes, or for product development or marketing; and</w:t>
      </w:r>
    </w:p>
    <w:p w:rsidR="00F93509" w:rsidRDefault="00F93509" w:rsidP="00F93509">
      <w:pPr>
        <w:pStyle w:val="Apara"/>
      </w:pPr>
      <w:r>
        <w:tab/>
        <w:t>(b)</w:t>
      </w:r>
      <w:r>
        <w:tab/>
        <w:t>may have regard to anything else the regulator considers to be relevant.</w:t>
      </w:r>
    </w:p>
    <w:p w:rsidR="00F93509" w:rsidRDefault="00F93509" w:rsidP="00F93509">
      <w:pPr>
        <w:pStyle w:val="Amain"/>
      </w:pPr>
      <w:r>
        <w:tab/>
        <w:t>(3)</w:t>
      </w:r>
      <w:r>
        <w:tab/>
        <w:t>In this section:</w:t>
      </w:r>
    </w:p>
    <w:p w:rsidR="00F93509" w:rsidRDefault="00F93509" w:rsidP="00F93509">
      <w:pPr>
        <w:pStyle w:val="aDef"/>
      </w:pPr>
      <w:r>
        <w:rPr>
          <w:rStyle w:val="charBoldItals"/>
        </w:rPr>
        <w:t>controls</w:t>
      </w:r>
      <w:r>
        <w:t>, in relation to restricting the dissemination or persistence of a GMO and its genetic material in the environment, include the following:</w:t>
      </w:r>
    </w:p>
    <w:p w:rsidR="00F93509" w:rsidRDefault="00F93509" w:rsidP="00F93509">
      <w:pPr>
        <w:pStyle w:val="aDefpara"/>
      </w:pPr>
      <w:r>
        <w:tab/>
        <w:t>(a)</w:t>
      </w:r>
      <w:r>
        <w:tab/>
        <w:t>stated methods for disposal of the GMO or its genetic material;</w:t>
      </w:r>
    </w:p>
    <w:p w:rsidR="00F93509" w:rsidRDefault="00F93509" w:rsidP="00F93509">
      <w:pPr>
        <w:pStyle w:val="aDefpara"/>
      </w:pPr>
      <w:r>
        <w:tab/>
        <w:t>(b)</w:t>
      </w:r>
      <w:r>
        <w:tab/>
        <w:t>data collection requirements, including studies to be conducted about the GMO or its genetic material;</w:t>
      </w:r>
    </w:p>
    <w:p w:rsidR="00F93509" w:rsidRDefault="00F93509" w:rsidP="00F93509">
      <w:pPr>
        <w:pStyle w:val="aDefpara"/>
      </w:pPr>
      <w:r>
        <w:tab/>
        <w:t>(c)</w:t>
      </w:r>
      <w:r>
        <w:tab/>
        <w:t>a restricted geographic area in which the proposed dealings with the GMO or its genetic material may occur;</w:t>
      </w:r>
    </w:p>
    <w:p w:rsidR="00F93509" w:rsidRDefault="00F93509" w:rsidP="00F93509">
      <w:pPr>
        <w:pStyle w:val="aDefpara"/>
      </w:pPr>
      <w:r>
        <w:tab/>
        <w:t>(d)</w:t>
      </w:r>
      <w:r>
        <w:tab/>
        <w:t>compliance, in relation to dealings with the GMO or its genetic material, with—</w:t>
      </w:r>
    </w:p>
    <w:p w:rsidR="00F93509" w:rsidRDefault="00F93509" w:rsidP="00F93509">
      <w:pPr>
        <w:pStyle w:val="aDefsubpara"/>
      </w:pPr>
      <w:r>
        <w:tab/>
        <w:t>(i)</w:t>
      </w:r>
      <w:r>
        <w:tab/>
        <w:t>a code of practice issued under section 24; or</w:t>
      </w:r>
    </w:p>
    <w:p w:rsidR="00F93509" w:rsidRDefault="00F93509" w:rsidP="00F93509">
      <w:pPr>
        <w:pStyle w:val="aDefsubpara"/>
      </w:pPr>
      <w:r>
        <w:tab/>
        <w:t>(ii)</w:t>
      </w:r>
      <w:r>
        <w:tab/>
        <w:t>a technical or procedural guideline issued under section 27.</w:t>
      </w:r>
    </w:p>
    <w:p w:rsidR="00F93509" w:rsidRDefault="00F93509" w:rsidP="00F93509">
      <w:pPr>
        <w:pStyle w:val="aDef"/>
        <w:keepNext/>
      </w:pPr>
      <w:r>
        <w:rPr>
          <w:rStyle w:val="charBoldItals"/>
        </w:rPr>
        <w:t>limits</w:t>
      </w:r>
      <w:r>
        <w:t>, in relation to the release of a GMO that is proposed to be authorised by a licence, includes limits on any of the following:</w:t>
      </w:r>
    </w:p>
    <w:p w:rsidR="00F93509" w:rsidRDefault="00F93509" w:rsidP="00F93509">
      <w:pPr>
        <w:pStyle w:val="aDefpara"/>
      </w:pPr>
      <w:r>
        <w:tab/>
        <w:t>(a)</w:t>
      </w:r>
      <w:r>
        <w:tab/>
        <w:t>the scope of the dealings with the GMO;</w:t>
      </w:r>
    </w:p>
    <w:p w:rsidR="00F93509" w:rsidRDefault="00F93509" w:rsidP="00F93509">
      <w:pPr>
        <w:pStyle w:val="aDefpara"/>
      </w:pPr>
      <w:r>
        <w:tab/>
        <w:t>(b)</w:t>
      </w:r>
      <w:r>
        <w:tab/>
        <w:t>the scale of the dealings with the GMO;</w:t>
      </w:r>
    </w:p>
    <w:p w:rsidR="00F93509" w:rsidRDefault="00F93509" w:rsidP="00F93509">
      <w:pPr>
        <w:pStyle w:val="aDefpara"/>
      </w:pPr>
      <w:r>
        <w:tab/>
        <w:t>(c)</w:t>
      </w:r>
      <w:r>
        <w:tab/>
        <w:t>the locations of the dealings with the GMO;</w:t>
      </w:r>
    </w:p>
    <w:p w:rsidR="00F93509" w:rsidRDefault="00F93509" w:rsidP="00F93509">
      <w:pPr>
        <w:pStyle w:val="aDefpara"/>
      </w:pPr>
      <w:r>
        <w:tab/>
        <w:t>(d)</w:t>
      </w:r>
      <w:r>
        <w:tab/>
        <w:t>the duration of the dealings with the GMO;</w:t>
      </w:r>
    </w:p>
    <w:p w:rsidR="00F93509" w:rsidRDefault="00F93509" w:rsidP="00F93509">
      <w:pPr>
        <w:pStyle w:val="aDefpara"/>
      </w:pPr>
      <w:r>
        <w:tab/>
        <w:t>(e)</w:t>
      </w:r>
      <w:r>
        <w:tab/>
        <w:t>the people who are to be permitted to conduct of the dealings with the GMO.</w:t>
      </w:r>
    </w:p>
    <w:p w:rsidR="00F93509" w:rsidRDefault="00F93509" w:rsidP="00F93509">
      <w:pPr>
        <w:pStyle w:val="aNote"/>
      </w:pPr>
      <w:r>
        <w:rPr>
          <w:rStyle w:val="charItals"/>
        </w:rPr>
        <w:t>Note</w:t>
      </w:r>
      <w:r>
        <w:rPr>
          <w:rStyle w:val="charItals"/>
        </w:rPr>
        <w:tab/>
      </w:r>
      <w:r>
        <w:t>This section differs from the</w:t>
      </w:r>
      <w:r w:rsidR="00D97422">
        <w:t xml:space="preserve"> </w:t>
      </w:r>
      <w:hyperlink r:id="rId90" w:tooltip="Gene Technology Act 2000" w:history="1">
        <w:r w:rsidR="00D97422" w:rsidRPr="00D97422">
          <w:rPr>
            <w:rStyle w:val="charCitHyperlinkAbbrev"/>
          </w:rPr>
          <w:t>Commonwealth Act</w:t>
        </w:r>
      </w:hyperlink>
      <w:r w:rsidR="00D97422">
        <w:t xml:space="preserve">, </w:t>
      </w:r>
      <w:r>
        <w:t>s 50A.</w:t>
      </w:r>
    </w:p>
    <w:p w:rsidR="00F93509" w:rsidRDefault="00F93509" w:rsidP="00F93509">
      <w:pPr>
        <w:pStyle w:val="AH5Sec"/>
        <w:keepLines/>
      </w:pPr>
      <w:bookmarkStart w:id="82" w:name="_Toc526844559"/>
      <w:r w:rsidRPr="00325B6A">
        <w:rPr>
          <w:rStyle w:val="CharSectNo"/>
        </w:rPr>
        <w:t>51</w:t>
      </w:r>
      <w:r>
        <w:tab/>
        <w:t>Matters regulator must take into account in preparing risk assessment and risk management plan</w:t>
      </w:r>
      <w:bookmarkEnd w:id="82"/>
    </w:p>
    <w:p w:rsidR="00F93509" w:rsidRDefault="00F93509" w:rsidP="00F93509">
      <w:pPr>
        <w:pStyle w:val="Amain"/>
      </w:pPr>
      <w:r>
        <w:rPr>
          <w:rFonts w:ascii="Tms Rmn" w:hAnsi="Tms Rmn"/>
        </w:rPr>
        <w:tab/>
        <w:t>(1)</w:t>
      </w:r>
      <w:r>
        <w:rPr>
          <w:rFonts w:ascii="Tms Rmn" w:hAnsi="Tms Rmn"/>
        </w:rPr>
        <w:tab/>
      </w:r>
      <w:r>
        <w:t xml:space="preserve">In preparing the risk assessment in relation to the dealings proposed to be authorised by the licence (the </w:t>
      </w:r>
      <w:r w:rsidRPr="00903C3C">
        <w:rPr>
          <w:rStyle w:val="charBoldItals"/>
        </w:rPr>
        <w:t>proposed dealings</w:t>
      </w:r>
      <w:r>
        <w:t>), the regulator must take into account the following:</w:t>
      </w:r>
    </w:p>
    <w:p w:rsidR="00F93509" w:rsidRDefault="00F93509" w:rsidP="00F93509">
      <w:pPr>
        <w:pStyle w:val="Apara"/>
        <w:keepLines/>
      </w:pPr>
      <w:r>
        <w:rPr>
          <w:rFonts w:ascii="Tms Rmn" w:hAnsi="Tms Rmn"/>
        </w:rPr>
        <w:tab/>
        <w:t>(a)</w:t>
      </w:r>
      <w:r>
        <w:rPr>
          <w:rFonts w:ascii="Tms Rmn" w:hAnsi="Tms Rmn"/>
        </w:rPr>
        <w:tab/>
      </w:r>
      <w:r>
        <w:t>the risks posed by the proposed dealings, including any risks to the health and safety of people or risks to the environment, having regard to the matters prescribed by regulation;</w:t>
      </w:r>
    </w:p>
    <w:p w:rsidR="00F93509" w:rsidRDefault="00F93509" w:rsidP="00F93509">
      <w:pPr>
        <w:pStyle w:val="Apara"/>
        <w:keepNext/>
      </w:pPr>
      <w:r>
        <w:rPr>
          <w:rFonts w:ascii="Tms Rmn" w:hAnsi="Tms Rmn"/>
        </w:rPr>
        <w:tab/>
        <w:t>(c)</w:t>
      </w:r>
      <w:r>
        <w:rPr>
          <w:rFonts w:ascii="Tms Rmn" w:hAnsi="Tms Rmn"/>
        </w:rPr>
        <w:tab/>
      </w:r>
      <w:r>
        <w:t>any advice about the risk assessment given by the following in response to a request under section 50 (3):</w:t>
      </w:r>
    </w:p>
    <w:p w:rsidR="00F93509" w:rsidRDefault="00F93509" w:rsidP="00F93509">
      <w:pPr>
        <w:pStyle w:val="Asubpara"/>
      </w:pPr>
      <w:r>
        <w:tab/>
        <w:t>(i)</w:t>
      </w:r>
      <w:r>
        <w:tab/>
        <w:t>a State;</w:t>
      </w:r>
    </w:p>
    <w:p w:rsidR="00F93509" w:rsidRDefault="00F93509" w:rsidP="00F93509">
      <w:pPr>
        <w:pStyle w:val="Asubpara"/>
      </w:pPr>
      <w:r>
        <w:tab/>
        <w:t>(ii)</w:t>
      </w:r>
      <w:r>
        <w:tab/>
        <w:t>the gene technology technical advisory committee;</w:t>
      </w:r>
    </w:p>
    <w:p w:rsidR="00F93509" w:rsidRDefault="00F93509" w:rsidP="00F93509">
      <w:pPr>
        <w:pStyle w:val="Asubpara"/>
      </w:pPr>
      <w:r>
        <w:tab/>
        <w:t>(iii)</w:t>
      </w:r>
      <w:r>
        <w:tab/>
        <w:t>a Commonwealth authority or agency;</w:t>
      </w:r>
    </w:p>
    <w:p w:rsidR="00F93509" w:rsidRDefault="00F93509" w:rsidP="00F93509">
      <w:pPr>
        <w:pStyle w:val="Asubpara"/>
      </w:pPr>
      <w:r>
        <w:tab/>
        <w:t>(iv)</w:t>
      </w:r>
      <w:r>
        <w:tab/>
        <w:t>the Commonwealth Environment Minister;</w:t>
      </w:r>
    </w:p>
    <w:p w:rsidR="00F93509" w:rsidRDefault="00F93509" w:rsidP="00F93509">
      <w:pPr>
        <w:pStyle w:val="Asubpara"/>
      </w:pPr>
      <w:r>
        <w:tab/>
        <w:t>(v)</w:t>
      </w:r>
      <w:r>
        <w:tab/>
        <w:t>a local council;</w:t>
      </w:r>
    </w:p>
    <w:p w:rsidR="00F93509" w:rsidRDefault="00F93509" w:rsidP="00F93509">
      <w:pPr>
        <w:pStyle w:val="Apara"/>
      </w:pPr>
      <w:r>
        <w:rPr>
          <w:rFonts w:ascii="Tms Rmn" w:hAnsi="Tms Rmn"/>
        </w:rPr>
        <w:tab/>
        <w:t>(d)</w:t>
      </w:r>
      <w:r>
        <w:rPr>
          <w:rFonts w:ascii="Tms Rmn" w:hAnsi="Tms Rmn"/>
        </w:rPr>
        <w:tab/>
      </w:r>
      <w:r>
        <w:t>anything else prescribed by regulation for this paragraph.</w:t>
      </w:r>
    </w:p>
    <w:p w:rsidR="00F93509" w:rsidRDefault="00F93509" w:rsidP="00F93509">
      <w:pPr>
        <w:pStyle w:val="Amain"/>
        <w:keepNext/>
      </w:pPr>
      <w:r>
        <w:rPr>
          <w:rFonts w:ascii="Tms Rmn" w:hAnsi="Tms Rmn"/>
        </w:rPr>
        <w:tab/>
        <w:t>(2)</w:t>
      </w:r>
      <w:r>
        <w:rPr>
          <w:rFonts w:ascii="Tms Rmn" w:hAnsi="Tms Rmn"/>
        </w:rPr>
        <w:tab/>
      </w:r>
      <w:r>
        <w:t>In preparing the risk management plan, the regulator must take into account the following:</w:t>
      </w:r>
    </w:p>
    <w:p w:rsidR="00F93509" w:rsidRDefault="00F93509" w:rsidP="00F93509">
      <w:pPr>
        <w:pStyle w:val="Apara"/>
      </w:pPr>
      <w:r>
        <w:rPr>
          <w:rFonts w:ascii="Tms Rmn" w:hAnsi="Tms Rmn"/>
        </w:rPr>
        <w:tab/>
        <w:t>(a)</w:t>
      </w:r>
      <w:r>
        <w:rPr>
          <w:rFonts w:ascii="Tms Rmn" w:hAnsi="Tms Rmn"/>
        </w:rPr>
        <w:tab/>
      </w:r>
      <w:r>
        <w:t>the ways of managing any risks posed by the proposed dealings that protect—</w:t>
      </w:r>
    </w:p>
    <w:p w:rsidR="00F93509" w:rsidRDefault="00F93509" w:rsidP="00F93509">
      <w:pPr>
        <w:pStyle w:val="Asubpara"/>
      </w:pPr>
      <w:r>
        <w:rPr>
          <w:rFonts w:ascii="Tms Rmn" w:hAnsi="Tms Rmn"/>
        </w:rPr>
        <w:tab/>
        <w:t>(i)</w:t>
      </w:r>
      <w:r>
        <w:rPr>
          <w:rFonts w:ascii="Tms Rmn" w:hAnsi="Tms Rmn"/>
        </w:rPr>
        <w:tab/>
      </w:r>
      <w:r>
        <w:t xml:space="preserve">the health and safety of people; and </w:t>
      </w:r>
    </w:p>
    <w:p w:rsidR="00F93509" w:rsidRDefault="00F93509" w:rsidP="00F93509">
      <w:pPr>
        <w:pStyle w:val="Asubpara"/>
      </w:pPr>
      <w:r>
        <w:rPr>
          <w:rFonts w:ascii="Tms Rmn" w:hAnsi="Tms Rmn"/>
        </w:rPr>
        <w:tab/>
        <w:t>(ii)</w:t>
      </w:r>
      <w:r>
        <w:rPr>
          <w:rFonts w:ascii="Tms Rmn" w:hAnsi="Tms Rmn"/>
        </w:rPr>
        <w:tab/>
      </w:r>
      <w:r>
        <w:t>the environment;</w:t>
      </w:r>
    </w:p>
    <w:p w:rsidR="00F93509" w:rsidRDefault="00F93509" w:rsidP="00F93509">
      <w:pPr>
        <w:pStyle w:val="Apara"/>
        <w:keepNext/>
      </w:pPr>
      <w:r>
        <w:rPr>
          <w:rFonts w:ascii="Tms Rmn" w:hAnsi="Tms Rmn"/>
        </w:rPr>
        <w:tab/>
        <w:t>(c)</w:t>
      </w:r>
      <w:r>
        <w:rPr>
          <w:rFonts w:ascii="Tms Rmn" w:hAnsi="Tms Rmn"/>
        </w:rPr>
        <w:tab/>
      </w:r>
      <w:r>
        <w:t>any advice about the risk management plan given by the following in response to a request under section 50 (3):</w:t>
      </w:r>
    </w:p>
    <w:p w:rsidR="00F93509" w:rsidRDefault="00F93509" w:rsidP="00F93509">
      <w:pPr>
        <w:pStyle w:val="Asubpara"/>
      </w:pPr>
      <w:r>
        <w:tab/>
        <w:t>(i)</w:t>
      </w:r>
      <w:r>
        <w:tab/>
        <w:t>a State;</w:t>
      </w:r>
    </w:p>
    <w:p w:rsidR="00F93509" w:rsidRDefault="00F93509" w:rsidP="00F93509">
      <w:pPr>
        <w:pStyle w:val="Asubpara"/>
      </w:pPr>
      <w:r>
        <w:tab/>
        <w:t>(ii)</w:t>
      </w:r>
      <w:r>
        <w:tab/>
        <w:t>the gene technology technical advisory committee;</w:t>
      </w:r>
    </w:p>
    <w:p w:rsidR="00F93509" w:rsidRDefault="00F93509" w:rsidP="00F93509">
      <w:pPr>
        <w:pStyle w:val="Asubpara"/>
      </w:pPr>
      <w:r>
        <w:tab/>
        <w:t>(iii)</w:t>
      </w:r>
      <w:r>
        <w:tab/>
        <w:t>a Commonwealth authority or agency;</w:t>
      </w:r>
    </w:p>
    <w:p w:rsidR="00F93509" w:rsidRDefault="00F93509" w:rsidP="00F93509">
      <w:pPr>
        <w:pStyle w:val="Asubpara"/>
      </w:pPr>
      <w:r>
        <w:tab/>
        <w:t>(iv)</w:t>
      </w:r>
      <w:r>
        <w:tab/>
        <w:t>the Commonwealth Environment Minister;</w:t>
      </w:r>
    </w:p>
    <w:p w:rsidR="00F93509" w:rsidRDefault="00F93509" w:rsidP="00F93509">
      <w:pPr>
        <w:pStyle w:val="Asubpara"/>
      </w:pPr>
      <w:r>
        <w:tab/>
        <w:t>(v)</w:t>
      </w:r>
      <w:r>
        <w:tab/>
        <w:t>a local council;</w:t>
      </w:r>
    </w:p>
    <w:p w:rsidR="00F93509" w:rsidRDefault="00F93509" w:rsidP="00F93509">
      <w:pPr>
        <w:pStyle w:val="Apara"/>
      </w:pPr>
      <w:r>
        <w:rPr>
          <w:rFonts w:ascii="Tms Rmn" w:hAnsi="Tms Rmn"/>
        </w:rPr>
        <w:tab/>
        <w:t>(d)</w:t>
      </w:r>
      <w:r>
        <w:rPr>
          <w:rFonts w:ascii="Tms Rmn" w:hAnsi="Tms Rmn"/>
        </w:rPr>
        <w:tab/>
      </w:r>
      <w:r>
        <w:t>anything else prescribed by regulation for this paragraph.</w:t>
      </w:r>
    </w:p>
    <w:p w:rsidR="00F93509" w:rsidRDefault="00F93509" w:rsidP="00F93509">
      <w:pPr>
        <w:pStyle w:val="Amain"/>
      </w:pPr>
      <w:r>
        <w:rPr>
          <w:rFonts w:ascii="Tms Rmn" w:hAnsi="Tms Rmn"/>
        </w:rPr>
        <w:tab/>
        <w:t>(3)</w:t>
      </w:r>
      <w:r>
        <w:rPr>
          <w:rFonts w:ascii="Tms Rmn" w:hAnsi="Tms Rmn"/>
        </w:rPr>
        <w:tab/>
      </w:r>
      <w:r>
        <w:t>To remove any doubt, in taking into account the ways of managing risks mentioned in subsection (2) (a), the regulator—</w:t>
      </w:r>
    </w:p>
    <w:p w:rsidR="00F93509" w:rsidRDefault="00F93509" w:rsidP="00F93509">
      <w:pPr>
        <w:pStyle w:val="Apara"/>
      </w:pPr>
      <w:r>
        <w:rPr>
          <w:rFonts w:ascii="Tms Rmn" w:hAnsi="Tms Rmn"/>
        </w:rPr>
        <w:tab/>
        <w:t>(a)</w:t>
      </w:r>
      <w:r>
        <w:rPr>
          <w:rFonts w:ascii="Tms Rmn" w:hAnsi="Tms Rmn"/>
        </w:rPr>
        <w:tab/>
      </w:r>
      <w:r>
        <w:t>is not limited to considering advice mentioned in subsection (2) (c); and</w:t>
      </w:r>
    </w:p>
    <w:p w:rsidR="00F93509" w:rsidRDefault="00F93509" w:rsidP="00F93509">
      <w:pPr>
        <w:pStyle w:val="Apara"/>
      </w:pPr>
      <w:r>
        <w:rPr>
          <w:rFonts w:ascii="Tms Rmn" w:hAnsi="Tms Rmn"/>
        </w:rPr>
        <w:tab/>
        <w:t>(b)</w:t>
      </w:r>
      <w:r>
        <w:rPr>
          <w:rFonts w:ascii="Tms Rmn" w:hAnsi="Tms Rmn"/>
        </w:rPr>
        <w:tab/>
      </w:r>
      <w:r>
        <w:t>subject to section 45, may take into account other information, including, for example, relevant independent research.</w:t>
      </w:r>
    </w:p>
    <w:p w:rsidR="00F93509" w:rsidRDefault="00F93509" w:rsidP="00F93509">
      <w:pPr>
        <w:pStyle w:val="AH5Sec"/>
      </w:pPr>
      <w:bookmarkStart w:id="83" w:name="_Toc526844560"/>
      <w:r w:rsidRPr="00325B6A">
        <w:rPr>
          <w:rStyle w:val="CharSectNo"/>
        </w:rPr>
        <w:t>52</w:t>
      </w:r>
      <w:r>
        <w:tab/>
        <w:t>Public notification of risk assessment and risk management plan</w:t>
      </w:r>
      <w:bookmarkEnd w:id="83"/>
    </w:p>
    <w:p w:rsidR="00F93509" w:rsidRDefault="00F93509" w:rsidP="00F93509">
      <w:pPr>
        <w:pStyle w:val="Amain"/>
      </w:pPr>
      <w:r>
        <w:rPr>
          <w:rFonts w:ascii="Tms Rmn" w:hAnsi="Tms Rmn"/>
        </w:rPr>
        <w:tab/>
        <w:t>(1)</w:t>
      </w:r>
      <w:r>
        <w:rPr>
          <w:rFonts w:ascii="Tms Rmn" w:hAnsi="Tms Rmn"/>
        </w:rPr>
        <w:tab/>
      </w:r>
      <w:r>
        <w:t>After taking the steps mentioned in section 50 and section 51, the regulator must prepare a written notice in accordance with subsection (2).</w:t>
      </w:r>
    </w:p>
    <w:p w:rsidR="00F93509" w:rsidRDefault="00F93509" w:rsidP="00F93509">
      <w:pPr>
        <w:pStyle w:val="Amain"/>
      </w:pPr>
      <w:r>
        <w:rPr>
          <w:rFonts w:ascii="Tms Rmn" w:hAnsi="Tms Rmn"/>
        </w:rPr>
        <w:tab/>
        <w:t>(2)</w:t>
      </w:r>
      <w:r>
        <w:rPr>
          <w:rFonts w:ascii="Tms Rmn" w:hAnsi="Tms Rmn"/>
        </w:rPr>
        <w:tab/>
      </w:r>
      <w:r>
        <w:t>The notice must—</w:t>
      </w:r>
    </w:p>
    <w:p w:rsidR="00F93509" w:rsidRDefault="00F93509" w:rsidP="00F93509">
      <w:pPr>
        <w:pStyle w:val="Apara"/>
      </w:pPr>
      <w:r>
        <w:rPr>
          <w:rFonts w:ascii="Tms Rmn" w:hAnsi="Tms Rmn"/>
        </w:rPr>
        <w:tab/>
        <w:t>(a)</w:t>
      </w:r>
      <w:r>
        <w:rPr>
          <w:rFonts w:ascii="Tms Rmn" w:hAnsi="Tms Rmn"/>
        </w:rPr>
        <w:tab/>
      </w:r>
      <w:r>
        <w:t>state that a risk assessment and a risk management plan have been prepared for dealings proposed to be authorised by the licence; and</w:t>
      </w:r>
    </w:p>
    <w:p w:rsidR="00F93509" w:rsidRDefault="00F93509" w:rsidP="00F93509">
      <w:pPr>
        <w:pStyle w:val="Apara"/>
      </w:pPr>
      <w:r>
        <w:rPr>
          <w:rFonts w:ascii="Tms Rmn" w:hAnsi="Tms Rmn"/>
        </w:rPr>
        <w:tab/>
        <w:t>(b)</w:t>
      </w:r>
      <w:r>
        <w:rPr>
          <w:rFonts w:ascii="Tms Rmn" w:hAnsi="Tms Rmn"/>
        </w:rPr>
        <w:tab/>
      </w:r>
      <w:r>
        <w:t>state that a person may ask for a copy of information about the risk assessment and the risk management plan under section 54; and</w:t>
      </w:r>
    </w:p>
    <w:p w:rsidR="00F93509" w:rsidRDefault="00F93509" w:rsidP="00F93509">
      <w:pPr>
        <w:pStyle w:val="Apara"/>
      </w:pPr>
      <w:r>
        <w:tab/>
        <w:t>(ba)</w:t>
      </w:r>
      <w:r>
        <w:tab/>
        <w:t>if the regulator is satisfied that 1 or more dealings proposed to be authorised by the licence may pose a significant risk to the health and safety of people or to the environment—state that the regulator is so satisfied; and</w:t>
      </w:r>
    </w:p>
    <w:p w:rsidR="00F93509" w:rsidRDefault="00F93509" w:rsidP="00F93509">
      <w:pPr>
        <w:pStyle w:val="Apara"/>
      </w:pPr>
      <w:r>
        <w:rPr>
          <w:rFonts w:ascii="Tms Rmn" w:hAnsi="Tms Rmn"/>
        </w:rPr>
        <w:tab/>
        <w:t>(c)</w:t>
      </w:r>
      <w:r>
        <w:rPr>
          <w:rFonts w:ascii="Tms Rmn" w:hAnsi="Tms Rmn"/>
        </w:rPr>
        <w:tab/>
      </w:r>
      <w:r>
        <w:t>invite written submissions about the risk assessment and the risk management plan; and</w:t>
      </w:r>
    </w:p>
    <w:p w:rsidR="00F93509" w:rsidRDefault="00F93509" w:rsidP="00F93509">
      <w:pPr>
        <w:pStyle w:val="Apara"/>
      </w:pPr>
      <w:r>
        <w:rPr>
          <w:rFonts w:ascii="Tms Rmn" w:hAnsi="Tms Rmn"/>
        </w:rPr>
        <w:tab/>
        <w:t>(d)</w:t>
      </w:r>
      <w:r>
        <w:rPr>
          <w:rFonts w:ascii="Tms Rmn" w:hAnsi="Tms Rmn"/>
        </w:rPr>
        <w:tab/>
      </w:r>
      <w:r>
        <w:t>state the closing date for submissions, which must not be earlier than—</w:t>
      </w:r>
    </w:p>
    <w:p w:rsidR="00F93509" w:rsidRDefault="00F93509" w:rsidP="00F93509">
      <w:pPr>
        <w:pStyle w:val="Asubpara"/>
      </w:pPr>
      <w:r>
        <w:tab/>
        <w:t>(i)</w:t>
      </w:r>
      <w:r>
        <w:tab/>
        <w:t>if the notice states that the regulator is satisfied that the dealings proposed to be authorised by the licence may pose a significant risk to the health and safety of people or to the environment—50 days after the date on which the notice was published; or</w:t>
      </w:r>
    </w:p>
    <w:p w:rsidR="00F93509" w:rsidRDefault="00F93509" w:rsidP="00F93509">
      <w:pPr>
        <w:pStyle w:val="Asubpara"/>
      </w:pPr>
      <w:r>
        <w:tab/>
        <w:t>(ii)</w:t>
      </w:r>
      <w:r>
        <w:tab/>
        <w:t>in any other case—30 days after the date on which the notice was published.</w:t>
      </w:r>
    </w:p>
    <w:p w:rsidR="00F93509" w:rsidRDefault="00F93509" w:rsidP="00F93509">
      <w:pPr>
        <w:pStyle w:val="Amain"/>
        <w:keepNext/>
      </w:pPr>
      <w:r>
        <w:rPr>
          <w:rFonts w:ascii="Tms Rmn" w:hAnsi="Tms Rmn"/>
        </w:rPr>
        <w:tab/>
        <w:t>(3)</w:t>
      </w:r>
      <w:r>
        <w:rPr>
          <w:rFonts w:ascii="Tms Rmn" w:hAnsi="Tms Rmn"/>
        </w:rPr>
        <w:tab/>
      </w:r>
      <w:r>
        <w:t>The notice is a notifiable instrument.</w:t>
      </w:r>
    </w:p>
    <w:p w:rsidR="00F93509" w:rsidRDefault="00F93509" w:rsidP="00F93509">
      <w:pPr>
        <w:pStyle w:val="aNote"/>
      </w:pPr>
      <w:r w:rsidRPr="00903C3C">
        <w:rPr>
          <w:rStyle w:val="charItals"/>
        </w:rPr>
        <w:t>Note</w:t>
      </w:r>
      <w:r w:rsidRPr="00903C3C">
        <w:rPr>
          <w:rStyle w:val="charItals"/>
        </w:rPr>
        <w:tab/>
      </w:r>
      <w:r>
        <w:t xml:space="preserve">A notifiable instrument must be notified under the </w:t>
      </w:r>
      <w:hyperlink r:id="rId91" w:tooltip="A2001-14" w:history="1">
        <w:r w:rsidRPr="00903C3C">
          <w:rPr>
            <w:rStyle w:val="charCitHyperlinkAbbrev"/>
          </w:rPr>
          <w:t>Legislation Act</w:t>
        </w:r>
      </w:hyperlink>
      <w:r>
        <w:t>.</w:t>
      </w:r>
    </w:p>
    <w:p w:rsidR="00F93509" w:rsidRPr="0092630A" w:rsidRDefault="00F93509" w:rsidP="00F93509">
      <w:pPr>
        <w:pStyle w:val="Amain"/>
        <w:rPr>
          <w:lang w:eastAsia="en-AU"/>
        </w:rPr>
      </w:pPr>
      <w:r w:rsidRPr="0092630A">
        <w:rPr>
          <w:lang w:eastAsia="en-AU"/>
        </w:rPr>
        <w:tab/>
        <w:t>(4)</w:t>
      </w:r>
      <w:r w:rsidRPr="0092630A">
        <w:rPr>
          <w:lang w:eastAsia="en-AU"/>
        </w:rPr>
        <w:tab/>
        <w:t>The regulator must give additional public notice of the notice.</w:t>
      </w:r>
    </w:p>
    <w:p w:rsidR="00F93509" w:rsidRPr="0092630A" w:rsidRDefault="00F93509" w:rsidP="00F93509">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2"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F93509" w:rsidRDefault="00F93509" w:rsidP="00F93509">
      <w:pPr>
        <w:pStyle w:val="Amain"/>
      </w:pPr>
      <w:r>
        <w:rPr>
          <w:rFonts w:ascii="Tms Rmn" w:hAnsi="Tms Rmn"/>
        </w:rPr>
        <w:tab/>
        <w:t>(5)</w:t>
      </w:r>
      <w:r>
        <w:rPr>
          <w:rFonts w:ascii="Tms Rmn" w:hAnsi="Tms Rmn"/>
        </w:rPr>
        <w:tab/>
      </w:r>
      <w:r>
        <w:t>The regulator must also seek advice on the risk assessment and the risk management plan from—</w:t>
      </w:r>
    </w:p>
    <w:p w:rsidR="00F93509" w:rsidRDefault="00F93509" w:rsidP="00F93509">
      <w:pPr>
        <w:pStyle w:val="Apara"/>
      </w:pPr>
      <w:r>
        <w:rPr>
          <w:rFonts w:ascii="Tms Rmn" w:hAnsi="Tms Rmn"/>
        </w:rPr>
        <w:tab/>
        <w:t>(a)</w:t>
      </w:r>
      <w:r>
        <w:rPr>
          <w:rFonts w:ascii="Tms Rmn" w:hAnsi="Tms Rmn"/>
        </w:rPr>
        <w:tab/>
      </w:r>
      <w:r>
        <w:t xml:space="preserve">the States; and </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 and</w:t>
      </w:r>
    </w:p>
    <w:p w:rsidR="00F93509" w:rsidRDefault="00F93509" w:rsidP="00F93509">
      <w:pPr>
        <w:pStyle w:val="Apara"/>
      </w:pPr>
      <w:r>
        <w:rPr>
          <w:rFonts w:ascii="Tms Rmn" w:hAnsi="Tms Rmn"/>
        </w:rPr>
        <w:tab/>
        <w:t>(d)</w:t>
      </w:r>
      <w:r>
        <w:rPr>
          <w:rFonts w:ascii="Tms Rmn" w:hAnsi="Tms Rmn"/>
        </w:rPr>
        <w:tab/>
      </w:r>
      <w:r>
        <w:t>the Commonwealth Environment Minister; and</w:t>
      </w:r>
    </w:p>
    <w:p w:rsidR="00F93509" w:rsidRDefault="00F93509" w:rsidP="00F93509">
      <w:pPr>
        <w:pStyle w:val="Apara"/>
        <w:keepNext/>
      </w:pPr>
      <w:r>
        <w:rPr>
          <w:rFonts w:ascii="Tms Rmn" w:hAnsi="Tms Rmn"/>
        </w:rPr>
        <w:tab/>
        <w:t>(e)</w:t>
      </w:r>
      <w:r>
        <w:rPr>
          <w:rFonts w:ascii="Tms Rmn" w:hAnsi="Tms Rmn"/>
        </w:rPr>
        <w:tab/>
      </w:r>
      <w:r>
        <w:t>any local council that the regulator considers appropriate.</w:t>
      </w:r>
    </w:p>
    <w:p w:rsidR="00F93509" w:rsidRDefault="00F93509" w:rsidP="00F93509">
      <w:pPr>
        <w:pStyle w:val="aNote"/>
      </w:pPr>
      <w:r>
        <w:rPr>
          <w:rStyle w:val="charItals"/>
        </w:rPr>
        <w:t>Note</w:t>
      </w:r>
      <w:r>
        <w:tab/>
        <w:t>This section differs from the</w:t>
      </w:r>
      <w:r w:rsidR="00D97422">
        <w:t xml:space="preserve"> </w:t>
      </w:r>
      <w:hyperlink r:id="rId93" w:tooltip="Gene Technology Act 2000" w:history="1">
        <w:r w:rsidR="00D97422" w:rsidRPr="00D97422">
          <w:rPr>
            <w:rStyle w:val="charCitHyperlinkAbbrev"/>
          </w:rPr>
          <w:t>Commonwealth Act</w:t>
        </w:r>
      </w:hyperlink>
      <w:r w:rsidR="00D97422">
        <w:t xml:space="preserve">, </w:t>
      </w:r>
      <w:r>
        <w:t>s 52.</w:t>
      </w:r>
    </w:p>
    <w:p w:rsidR="00F93509" w:rsidRDefault="00F93509" w:rsidP="00CE2EDA">
      <w:pPr>
        <w:pStyle w:val="AH5Sec"/>
        <w:keepLines/>
      </w:pPr>
      <w:bookmarkStart w:id="84" w:name="_Toc526844561"/>
      <w:r w:rsidRPr="00325B6A">
        <w:rPr>
          <w:rStyle w:val="CharSectNo"/>
        </w:rPr>
        <w:t>53</w:t>
      </w:r>
      <w:r>
        <w:tab/>
        <w:t>Regulator may take other actions</w:t>
      </w:r>
      <w:bookmarkEnd w:id="84"/>
    </w:p>
    <w:p w:rsidR="00F93509" w:rsidRDefault="00F93509" w:rsidP="00CE2EDA">
      <w:pPr>
        <w:pStyle w:val="Amain"/>
        <w:keepLines/>
      </w:pPr>
      <w:r>
        <w:rPr>
          <w:rFonts w:ascii="Tms Rmn" w:hAnsi="Tms Rmn"/>
        </w:rPr>
        <w:tab/>
        <w:t>(1)</w:t>
      </w:r>
      <w:r>
        <w:rPr>
          <w:rFonts w:ascii="Tms Rmn" w:hAnsi="Tms Rmn"/>
        </w:rPr>
        <w:tab/>
      </w:r>
      <w:r>
        <w:t>In addition to satisfying the requirements of this division, the regulator may take any other action the regulator considers appropriate for deciding the application, including holding a public hearing.</w:t>
      </w:r>
    </w:p>
    <w:p w:rsidR="00F93509" w:rsidRDefault="00F93509" w:rsidP="00F93509">
      <w:pPr>
        <w:pStyle w:val="Amain"/>
        <w:keepLines/>
      </w:pPr>
      <w:r>
        <w:rPr>
          <w:rFonts w:ascii="Tms Rmn" w:hAnsi="Tms Rmn"/>
        </w:rPr>
        <w:tab/>
        <w:t>(2)</w:t>
      </w:r>
      <w:r>
        <w:rPr>
          <w:rFonts w:ascii="Tms Rmn" w:hAnsi="Tms Rmn"/>
        </w:rPr>
        <w:tab/>
      </w:r>
      <w:r>
        <w:t>If the regulator holds a public hearing, the regulator may, having regard to the requirements of this Act about confidential commercial information, direct that any part of the hearing be held in private, and may decide who can attend.</w:t>
      </w:r>
    </w:p>
    <w:p w:rsidR="00F93509" w:rsidRDefault="00F93509" w:rsidP="00F93509">
      <w:pPr>
        <w:pStyle w:val="Amain"/>
      </w:pPr>
      <w:r>
        <w:rPr>
          <w:rFonts w:ascii="Tms Rmn" w:hAnsi="Tms Rmn"/>
        </w:rPr>
        <w:tab/>
        <w:t>(3)</w:t>
      </w:r>
      <w:r>
        <w:rPr>
          <w:rFonts w:ascii="Tms Rmn" w:hAnsi="Tms Rmn"/>
        </w:rPr>
        <w:tab/>
      </w:r>
      <w:r>
        <w:t>The regulator may give directions prohibiting or restricting the publication of evidence given, or material contained in documents produced, at a public hearing.</w:t>
      </w:r>
    </w:p>
    <w:p w:rsidR="00F93509" w:rsidRDefault="00F93509" w:rsidP="00F93509">
      <w:pPr>
        <w:pStyle w:val="Amain"/>
        <w:keepNext/>
      </w:pPr>
      <w:r>
        <w:rPr>
          <w:rFonts w:ascii="Tms Rmn" w:hAnsi="Tms Rmn"/>
        </w:rPr>
        <w:tab/>
        <w:t>(4)</w:t>
      </w:r>
      <w:r>
        <w:rPr>
          <w:rFonts w:ascii="Tms Rmn" w:hAnsi="Tms Rmn"/>
        </w:rPr>
        <w:tab/>
      </w:r>
      <w:r>
        <w:t>A person must not contravene a direction under subsection (3).</w:t>
      </w:r>
    </w:p>
    <w:p w:rsidR="00F93509" w:rsidRDefault="00F93509" w:rsidP="00F93509">
      <w:pPr>
        <w:pStyle w:val="Penalty"/>
        <w:keepNext/>
      </w:pPr>
      <w:r>
        <w:t>Maximum penalty:  30 penalty units.</w:t>
      </w:r>
    </w:p>
    <w:p w:rsidR="00F93509" w:rsidRDefault="00F93509" w:rsidP="00F93509">
      <w:pPr>
        <w:pStyle w:val="Amain"/>
      </w:pPr>
      <w:r>
        <w:tab/>
        <w:t>(5)</w:t>
      </w:r>
      <w:r>
        <w:tab/>
        <w:t>An offence against subsection (4) is a strict liability offence.</w:t>
      </w:r>
    </w:p>
    <w:p w:rsidR="00F93509" w:rsidRDefault="00F93509" w:rsidP="00F93509">
      <w:pPr>
        <w:pStyle w:val="aNote"/>
      </w:pPr>
      <w:r w:rsidRPr="00903C3C">
        <w:rPr>
          <w:rStyle w:val="charItals"/>
        </w:rPr>
        <w:t>Note</w:t>
      </w:r>
      <w:r>
        <w:tab/>
        <w:t xml:space="preserve">For strict liability offences, see the </w:t>
      </w:r>
      <w:hyperlink r:id="rId94" w:tooltip="A2002-51" w:history="1">
        <w:r w:rsidRPr="00903C3C">
          <w:rPr>
            <w:rStyle w:val="charCitHyperlinkAbbrev"/>
          </w:rPr>
          <w:t>Criminal Code</w:t>
        </w:r>
      </w:hyperlink>
      <w:r>
        <w:t>, s 23.</w:t>
      </w:r>
    </w:p>
    <w:p w:rsidR="00F93509" w:rsidRDefault="00F93509" w:rsidP="00F93509">
      <w:pPr>
        <w:pStyle w:val="AH5Sec"/>
      </w:pPr>
      <w:bookmarkStart w:id="85" w:name="_Toc526844562"/>
      <w:r w:rsidRPr="00325B6A">
        <w:rPr>
          <w:rStyle w:val="CharSectNo"/>
        </w:rPr>
        <w:t>54</w:t>
      </w:r>
      <w:r>
        <w:tab/>
        <w:t>Person may request copies of certain documents</w:t>
      </w:r>
      <w:bookmarkEnd w:id="85"/>
    </w:p>
    <w:p w:rsidR="00F93509" w:rsidRDefault="00F93509" w:rsidP="00F93509">
      <w:pPr>
        <w:pStyle w:val="Amain"/>
        <w:keepNext/>
      </w:pPr>
      <w:r>
        <w:rPr>
          <w:rFonts w:ascii="Tms Rmn" w:hAnsi="Tms Rmn"/>
        </w:rPr>
        <w:tab/>
        <w:t>(1)</w:t>
      </w:r>
      <w:r>
        <w:rPr>
          <w:rFonts w:ascii="Tms Rmn" w:hAnsi="Tms Rmn"/>
        </w:rPr>
        <w:tab/>
      </w:r>
      <w:r>
        <w:t>A person may ask the regulator for a copy of the following documents:</w:t>
      </w:r>
    </w:p>
    <w:p w:rsidR="00F93509" w:rsidRDefault="00F93509" w:rsidP="00F93509">
      <w:pPr>
        <w:pStyle w:val="Apara"/>
      </w:pPr>
      <w:r>
        <w:rPr>
          <w:rFonts w:ascii="Tms Rmn" w:hAnsi="Tms Rmn"/>
        </w:rPr>
        <w:tab/>
        <w:t>(a)</w:t>
      </w:r>
      <w:r>
        <w:rPr>
          <w:rFonts w:ascii="Tms Rmn" w:hAnsi="Tms Rmn"/>
        </w:rPr>
        <w:tab/>
      </w:r>
      <w:r>
        <w:t>an application to which this division applies;</w:t>
      </w:r>
    </w:p>
    <w:p w:rsidR="00F93509" w:rsidRDefault="00F93509" w:rsidP="00F93509">
      <w:pPr>
        <w:pStyle w:val="Apara"/>
      </w:pPr>
      <w:r>
        <w:rPr>
          <w:rFonts w:ascii="Tms Rmn" w:hAnsi="Tms Rmn"/>
        </w:rPr>
        <w:tab/>
        <w:t>(b)</w:t>
      </w:r>
      <w:r>
        <w:rPr>
          <w:rFonts w:ascii="Tms Rmn" w:hAnsi="Tms Rmn"/>
        </w:rPr>
        <w:tab/>
      </w:r>
      <w:r>
        <w:t>a risk assessment or a risk management plan prepared under section 50.</w:t>
      </w:r>
    </w:p>
    <w:p w:rsidR="00F93509" w:rsidRDefault="00F93509" w:rsidP="00F93509">
      <w:pPr>
        <w:pStyle w:val="Amain"/>
      </w:pPr>
      <w:r>
        <w:rPr>
          <w:rFonts w:ascii="Tms Rmn" w:hAnsi="Tms Rmn"/>
        </w:rPr>
        <w:tab/>
        <w:t>(2)</w:t>
      </w:r>
      <w:r>
        <w:rPr>
          <w:rFonts w:ascii="Tms Rmn" w:hAnsi="Tms Rmn"/>
        </w:rPr>
        <w:tab/>
      </w:r>
      <w:r>
        <w:t>If a person makes a request under subsection (1), the regulator must give the person a copy of the documents, other than—</w:t>
      </w:r>
    </w:p>
    <w:p w:rsidR="00F93509" w:rsidRDefault="00F93509" w:rsidP="00F93509">
      <w:pPr>
        <w:pStyle w:val="Apara"/>
      </w:pPr>
      <w:r>
        <w:rPr>
          <w:rFonts w:ascii="Tms Rmn" w:hAnsi="Tms Rmn"/>
        </w:rPr>
        <w:tab/>
        <w:t>(a)</w:t>
      </w:r>
      <w:r>
        <w:rPr>
          <w:rFonts w:ascii="Tms Rmn" w:hAnsi="Tms Rmn"/>
        </w:rPr>
        <w:tab/>
      </w:r>
      <w:r>
        <w:t xml:space="preserve">any confidential commercial information contained in the documents; and </w:t>
      </w:r>
    </w:p>
    <w:p w:rsidR="00F93509" w:rsidRDefault="00F93509" w:rsidP="00F93509">
      <w:pPr>
        <w:pStyle w:val="Apara"/>
        <w:keepNext/>
      </w:pPr>
      <w:r>
        <w:rPr>
          <w:rFonts w:ascii="Tms Rmn" w:hAnsi="Tms Rmn"/>
        </w:rPr>
        <w:tab/>
        <w:t>(b)</w:t>
      </w:r>
      <w:r>
        <w:rPr>
          <w:rFonts w:ascii="Tms Rmn" w:hAnsi="Tms Rmn"/>
        </w:rPr>
        <w:tab/>
      </w:r>
      <w:r>
        <w:t>any information contained in the documents about relevant convictions of the applicant for the licence.</w:t>
      </w:r>
    </w:p>
    <w:p w:rsidR="00F93509" w:rsidRDefault="00F93509" w:rsidP="00F93509">
      <w:pPr>
        <w:pStyle w:val="aNote"/>
      </w:pPr>
      <w:r>
        <w:rPr>
          <w:rStyle w:val="charItals"/>
        </w:rPr>
        <w:t>Note</w:t>
      </w:r>
      <w:r>
        <w:tab/>
        <w:t>For information to be confidential commercial information, it must be covered by a declaration under s 185.</w:t>
      </w:r>
    </w:p>
    <w:p w:rsidR="00F93509" w:rsidRDefault="00F93509" w:rsidP="00F93509">
      <w:pPr>
        <w:pStyle w:val="Amain"/>
        <w:keepNext/>
      </w:pPr>
      <w:r>
        <w:tab/>
        <w:t>(3)</w:t>
      </w:r>
      <w:r>
        <w:tab/>
        <w:t>In this section:</w:t>
      </w:r>
    </w:p>
    <w:p w:rsidR="00F93509" w:rsidRPr="00903C3C" w:rsidRDefault="00F93509" w:rsidP="00F93509">
      <w:pPr>
        <w:pStyle w:val="aDef"/>
      </w:pPr>
      <w:r>
        <w:rPr>
          <w:rStyle w:val="charBoldItals"/>
        </w:rPr>
        <w:t>relevant conviction</w:t>
      </w:r>
      <w:r w:rsidRPr="00903C3C">
        <w:t>—see section 58 (4).</w:t>
      </w:r>
    </w:p>
    <w:p w:rsidR="00F93509" w:rsidRPr="00325B6A" w:rsidRDefault="00F93509" w:rsidP="00F93509">
      <w:pPr>
        <w:pStyle w:val="AH3Div"/>
      </w:pPr>
      <w:bookmarkStart w:id="86" w:name="_Toc526844563"/>
      <w:r w:rsidRPr="00325B6A">
        <w:rPr>
          <w:rStyle w:val="CharDivNo"/>
        </w:rPr>
        <w:t>Division 5.5</w:t>
      </w:r>
      <w:r>
        <w:tab/>
      </w:r>
      <w:r w:rsidRPr="00325B6A">
        <w:rPr>
          <w:rStyle w:val="CharDivText"/>
        </w:rPr>
        <w:t>Decision on licence application</w:t>
      </w:r>
      <w:bookmarkEnd w:id="86"/>
    </w:p>
    <w:p w:rsidR="00F93509" w:rsidRDefault="00F93509" w:rsidP="00F93509">
      <w:pPr>
        <w:pStyle w:val="AH5Sec"/>
      </w:pPr>
      <w:bookmarkStart w:id="87" w:name="_Toc526844564"/>
      <w:r w:rsidRPr="00325B6A">
        <w:rPr>
          <w:rStyle w:val="CharSectNo"/>
        </w:rPr>
        <w:t>55</w:t>
      </w:r>
      <w:r>
        <w:tab/>
        <w:t>Regulator must make a decision on licence and licence conditions</w:t>
      </w:r>
      <w:bookmarkEnd w:id="87"/>
    </w:p>
    <w:p w:rsidR="00F93509" w:rsidRDefault="00F93509" w:rsidP="00F93509">
      <w:pPr>
        <w:pStyle w:val="Amainreturn"/>
      </w:pPr>
      <w:r>
        <w:t>After taking any steps required by division 5.3 or division 5.4 for an application for a GMO licence, the regulator—</w:t>
      </w:r>
    </w:p>
    <w:p w:rsidR="00F93509" w:rsidRDefault="00F93509" w:rsidP="00F93509">
      <w:pPr>
        <w:pStyle w:val="Apara"/>
      </w:pPr>
      <w:r>
        <w:rPr>
          <w:rFonts w:ascii="Tms Rmn" w:hAnsi="Tms Rmn"/>
        </w:rPr>
        <w:tab/>
        <w:t>(a)</w:t>
      </w:r>
      <w:r>
        <w:rPr>
          <w:rFonts w:ascii="Tms Rmn" w:hAnsi="Tms Rmn"/>
        </w:rPr>
        <w:tab/>
      </w:r>
      <w:r>
        <w:t xml:space="preserve">must decide whether to issue or refuse to issue the licence; and </w:t>
      </w:r>
    </w:p>
    <w:p w:rsidR="00F93509" w:rsidRDefault="00F93509" w:rsidP="00F93509">
      <w:pPr>
        <w:pStyle w:val="Apara"/>
      </w:pPr>
      <w:r>
        <w:rPr>
          <w:rFonts w:ascii="Tms Rmn" w:hAnsi="Tms Rmn"/>
        </w:rPr>
        <w:tab/>
        <w:t>(b)</w:t>
      </w:r>
      <w:r>
        <w:rPr>
          <w:rFonts w:ascii="Tms Rmn" w:hAnsi="Tms Rmn"/>
        </w:rPr>
        <w:tab/>
      </w:r>
      <w:r>
        <w:t>if the regulator decides to issue the licence—may impose conditions on it.</w:t>
      </w:r>
    </w:p>
    <w:p w:rsidR="00F93509" w:rsidRDefault="00F93509" w:rsidP="00F93509">
      <w:pPr>
        <w:pStyle w:val="AH5Sec"/>
      </w:pPr>
      <w:bookmarkStart w:id="88" w:name="_Toc526844565"/>
      <w:r w:rsidRPr="00325B6A">
        <w:rPr>
          <w:rStyle w:val="CharSectNo"/>
        </w:rPr>
        <w:t>56</w:t>
      </w:r>
      <w:r>
        <w:tab/>
        <w:t>Regulator must not issue the licence unless satisfied as to risk management</w:t>
      </w:r>
      <w:bookmarkEnd w:id="88"/>
    </w:p>
    <w:p w:rsidR="00F93509" w:rsidRDefault="00F93509" w:rsidP="00F93509">
      <w:pPr>
        <w:pStyle w:val="Amain"/>
      </w:pPr>
      <w:r>
        <w:rPr>
          <w:rFonts w:ascii="Tms Rmn" w:hAnsi="Tms Rmn"/>
        </w:rPr>
        <w:tab/>
        <w:t>(1)</w:t>
      </w:r>
      <w:r>
        <w:rPr>
          <w:rFonts w:ascii="Tms Rmn" w:hAnsi="Tms Rmn"/>
        </w:rPr>
        <w:tab/>
      </w:r>
      <w:r>
        <w:t>The regulator must not issue the licence unless the regulator is satisfied that any risks posed by the dealings proposed to be authorised by the licence are able to be managed in a way that protects—</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keepNext/>
      </w:pPr>
      <w:r>
        <w:rPr>
          <w:rFonts w:ascii="Tms Rmn" w:hAnsi="Tms Rmn"/>
        </w:rPr>
        <w:tab/>
        <w:t>(2)</w:t>
      </w:r>
      <w:r>
        <w:rPr>
          <w:rFonts w:ascii="Tms Rmn" w:hAnsi="Tms Rmn"/>
        </w:rPr>
        <w:tab/>
      </w:r>
      <w:r>
        <w:t>For subsection (1), the regulator must have regard to the following:</w:t>
      </w:r>
    </w:p>
    <w:p w:rsidR="00F93509" w:rsidRDefault="00F93509" w:rsidP="00F93509">
      <w:pPr>
        <w:pStyle w:val="Apara"/>
      </w:pPr>
      <w:r>
        <w:tab/>
        <w:t>(a)</w:t>
      </w:r>
      <w:r>
        <w:tab/>
        <w:t>the risk assessment prepared under section 47 or section 50 in relation to the dealings;</w:t>
      </w:r>
    </w:p>
    <w:p w:rsidR="00F93509" w:rsidRDefault="00F93509" w:rsidP="00F93509">
      <w:pPr>
        <w:pStyle w:val="Apara"/>
      </w:pPr>
      <w:r>
        <w:tab/>
        <w:t>(b)</w:t>
      </w:r>
      <w:r>
        <w:tab/>
        <w:t>the risk management plan prepared under section 47 or section 50 in relation to the dealings;</w:t>
      </w:r>
    </w:p>
    <w:p w:rsidR="00F93509" w:rsidRDefault="00F93509" w:rsidP="00F93509">
      <w:pPr>
        <w:pStyle w:val="Apara"/>
      </w:pPr>
      <w:r>
        <w:rPr>
          <w:rFonts w:ascii="Tms Rmn" w:hAnsi="Tms Rmn"/>
        </w:rPr>
        <w:tab/>
        <w:t>(c)</w:t>
      </w:r>
      <w:r>
        <w:rPr>
          <w:rFonts w:ascii="Tms Rmn" w:hAnsi="Tms Rmn"/>
        </w:rPr>
        <w:tab/>
      </w:r>
      <w:r>
        <w:t>any submissions received under section 52 about the licence;</w:t>
      </w:r>
    </w:p>
    <w:p w:rsidR="00F93509" w:rsidRDefault="00F93509" w:rsidP="00F93509">
      <w:pPr>
        <w:pStyle w:val="Apara"/>
      </w:pPr>
      <w:r>
        <w:rPr>
          <w:rFonts w:ascii="Tms Rmn" w:hAnsi="Tms Rmn"/>
        </w:rPr>
        <w:tab/>
        <w:t>(d)</w:t>
      </w:r>
      <w:r>
        <w:rPr>
          <w:rFonts w:ascii="Tms Rmn" w:hAnsi="Tms Rmn"/>
        </w:rPr>
        <w:tab/>
      </w:r>
      <w:r>
        <w:t>any policy guidelines in force under section 23 about—</w:t>
      </w:r>
    </w:p>
    <w:p w:rsidR="00F93509" w:rsidRDefault="00F93509" w:rsidP="00F93509">
      <w:pPr>
        <w:pStyle w:val="Asubpara"/>
      </w:pPr>
      <w:r>
        <w:rPr>
          <w:rFonts w:ascii="Tms Rmn" w:hAnsi="Tms Rmn"/>
        </w:rPr>
        <w:tab/>
        <w:t>(i)</w:t>
      </w:r>
      <w:r>
        <w:rPr>
          <w:rFonts w:ascii="Tms Rmn" w:hAnsi="Tms Rmn"/>
        </w:rPr>
        <w:tab/>
      </w:r>
      <w:r>
        <w:t>risks that may be posed by the dealings; or</w:t>
      </w:r>
    </w:p>
    <w:p w:rsidR="00F93509" w:rsidRDefault="00F93509" w:rsidP="00F93509">
      <w:pPr>
        <w:pStyle w:val="Asubpara"/>
        <w:keepNext/>
      </w:pPr>
      <w:r>
        <w:rPr>
          <w:rFonts w:ascii="Tms Rmn" w:hAnsi="Tms Rmn"/>
        </w:rPr>
        <w:tab/>
        <w:t>(ii)</w:t>
      </w:r>
      <w:r>
        <w:rPr>
          <w:rFonts w:ascii="Tms Rmn" w:hAnsi="Tms Rmn"/>
        </w:rPr>
        <w:tab/>
      </w:r>
      <w:r>
        <w:t>ways of managing the risks that protect the health and safety of people and protect the environment.</w:t>
      </w:r>
    </w:p>
    <w:p w:rsidR="00F93509" w:rsidRDefault="00F93509" w:rsidP="00F93509">
      <w:pPr>
        <w:pStyle w:val="aNote"/>
      </w:pPr>
      <w:r>
        <w:rPr>
          <w:rStyle w:val="charItals"/>
        </w:rPr>
        <w:t>Note</w:t>
      </w:r>
      <w:r>
        <w:rPr>
          <w:rStyle w:val="charItals"/>
        </w:rPr>
        <w:tab/>
      </w:r>
      <w:r>
        <w:t>Subsections (2) (a) to (c) do not apply to an inadvertent dealings application.</w:t>
      </w:r>
    </w:p>
    <w:p w:rsidR="00F93509" w:rsidRDefault="00F93509" w:rsidP="00F93509">
      <w:pPr>
        <w:pStyle w:val="AH5Sec"/>
      </w:pPr>
      <w:bookmarkStart w:id="89" w:name="_Toc526844566"/>
      <w:r w:rsidRPr="00325B6A">
        <w:rPr>
          <w:rStyle w:val="CharSectNo"/>
        </w:rPr>
        <w:t>57</w:t>
      </w:r>
      <w:r>
        <w:tab/>
        <w:t>Other circumstances in which regulator must not issue the licence</w:t>
      </w:r>
      <w:bookmarkEnd w:id="89"/>
    </w:p>
    <w:p w:rsidR="00F93509" w:rsidRDefault="00F93509" w:rsidP="00F93509">
      <w:pPr>
        <w:pStyle w:val="Amain"/>
      </w:pPr>
      <w:r>
        <w:rPr>
          <w:rFonts w:ascii="Tms Rmn" w:hAnsi="Tms Rmn"/>
        </w:rPr>
        <w:tab/>
        <w:t>(1)</w:t>
      </w:r>
      <w:r>
        <w:rPr>
          <w:rFonts w:ascii="Tms Rmn" w:hAnsi="Tms Rmn"/>
        </w:rPr>
        <w:tab/>
      </w:r>
      <w:r>
        <w:t>The regulator must not issue the licence if the regulator is satisfied that issuing the licence would be inconsistent with a policy principle in force under section 21.</w:t>
      </w:r>
    </w:p>
    <w:p w:rsidR="00F93509" w:rsidRDefault="00F93509" w:rsidP="00F93509">
      <w:pPr>
        <w:pStyle w:val="Amain"/>
      </w:pPr>
      <w:r>
        <w:rPr>
          <w:rFonts w:ascii="Tms Rmn" w:hAnsi="Tms Rmn"/>
        </w:rPr>
        <w:tab/>
        <w:t>(2)</w:t>
      </w:r>
      <w:r>
        <w:rPr>
          <w:rFonts w:ascii="Tms Rmn" w:hAnsi="Tms Rmn"/>
        </w:rPr>
        <w:tab/>
      </w:r>
      <w:r>
        <w:t>The regulator must not issue the licence unless the regulator is satisfied that the applicant is a suitable person to hold the licence.</w:t>
      </w:r>
    </w:p>
    <w:p w:rsidR="00F93509" w:rsidRDefault="00F93509" w:rsidP="00F93509">
      <w:pPr>
        <w:pStyle w:val="Amain"/>
      </w:pPr>
      <w:r>
        <w:tab/>
        <w:t>(3)</w:t>
      </w:r>
      <w:r>
        <w:tab/>
        <w:t>Subsection (2) does not apply to an inadvertent dealings application.</w:t>
      </w:r>
    </w:p>
    <w:p w:rsidR="00F93509" w:rsidRDefault="00F93509" w:rsidP="00F93509">
      <w:pPr>
        <w:pStyle w:val="AH5Sec"/>
      </w:pPr>
      <w:bookmarkStart w:id="90" w:name="_Toc526844567"/>
      <w:r w:rsidRPr="00325B6A">
        <w:rPr>
          <w:rStyle w:val="CharSectNo"/>
        </w:rPr>
        <w:t>58</w:t>
      </w:r>
      <w:r>
        <w:tab/>
        <w:t>Matters to be taken into account in deciding whether person is suitable to hold licence</w:t>
      </w:r>
      <w:bookmarkEnd w:id="90"/>
    </w:p>
    <w:p w:rsidR="00F93509" w:rsidRDefault="00F93509" w:rsidP="00F93509">
      <w:pPr>
        <w:pStyle w:val="Amain"/>
      </w:pPr>
      <w:r>
        <w:rPr>
          <w:rFonts w:ascii="Tms Rmn" w:hAnsi="Tms Rmn"/>
        </w:rPr>
        <w:tab/>
        <w:t>(1)</w:t>
      </w:r>
      <w:r>
        <w:rPr>
          <w:rFonts w:ascii="Tms Rmn" w:hAnsi="Tms Rmn"/>
        </w:rPr>
        <w:tab/>
      </w:r>
      <w:r>
        <w:t>Without limiting the matters to which the regulator may have regard in deciding whether an individual is a suitable person to hold a licence, the regulator must have regard to—</w:t>
      </w:r>
    </w:p>
    <w:p w:rsidR="00F93509" w:rsidRDefault="00F93509" w:rsidP="00F93509">
      <w:pPr>
        <w:pStyle w:val="Apara"/>
      </w:pPr>
      <w:r>
        <w:rPr>
          <w:rFonts w:ascii="Tms Rmn" w:hAnsi="Tms Rmn"/>
        </w:rPr>
        <w:tab/>
        <w:t>(a)</w:t>
      </w:r>
      <w:r>
        <w:rPr>
          <w:rFonts w:ascii="Tms Rmn" w:hAnsi="Tms Rmn"/>
        </w:rPr>
        <w:tab/>
      </w:r>
      <w:r>
        <w:t xml:space="preserve">any relevant conviction of the individual; and </w:t>
      </w:r>
    </w:p>
    <w:p w:rsidR="00F93509" w:rsidRDefault="00F93509" w:rsidP="00F93509">
      <w:pPr>
        <w:pStyle w:val="Apara"/>
      </w:pPr>
      <w:r>
        <w:rPr>
          <w:rFonts w:ascii="Tms Rmn" w:hAnsi="Tms Rmn"/>
        </w:rPr>
        <w:tab/>
        <w:t>(b)</w:t>
      </w:r>
      <w:r>
        <w:rPr>
          <w:rFonts w:ascii="Tms Rmn" w:hAnsi="Tms Rmn"/>
        </w:rPr>
        <w:tab/>
      </w:r>
      <w:r>
        <w:t xml:space="preserve">any revocation or suspension of a licence or permit (however described) held by the individual under a law of the Territory, the Commonwealth, a State or a foreign country about the health and safety of people or the environment; and </w:t>
      </w:r>
    </w:p>
    <w:p w:rsidR="00F93509" w:rsidRDefault="00F93509" w:rsidP="00F93509">
      <w:pPr>
        <w:pStyle w:val="Apara"/>
      </w:pPr>
      <w:r>
        <w:rPr>
          <w:rFonts w:ascii="Tms Rmn" w:hAnsi="Tms Rmn"/>
        </w:rPr>
        <w:tab/>
        <w:t>(c)</w:t>
      </w:r>
      <w:r>
        <w:rPr>
          <w:rFonts w:ascii="Tms Rmn" w:hAnsi="Tms Rmn"/>
        </w:rPr>
        <w:tab/>
      </w:r>
      <w:r>
        <w:t>the capacity of the individual to meet the conditions of the licence.</w:t>
      </w:r>
    </w:p>
    <w:p w:rsidR="00F93509" w:rsidRDefault="00F93509" w:rsidP="00F93509">
      <w:pPr>
        <w:pStyle w:val="Amain"/>
      </w:pPr>
      <w:r>
        <w:rPr>
          <w:rFonts w:ascii="Tms Rmn" w:hAnsi="Tms Rmn"/>
        </w:rPr>
        <w:tab/>
        <w:t>(2)</w:t>
      </w:r>
      <w:r>
        <w:rPr>
          <w:rFonts w:ascii="Tms Rmn" w:hAnsi="Tms Rmn"/>
        </w:rPr>
        <w:tab/>
      </w:r>
      <w:r>
        <w:t>Without limiting the matters to which the regulator may have regard in deciding whether a corporation is a suitable person to hold a licence, the regulator must have regard to—</w:t>
      </w:r>
    </w:p>
    <w:p w:rsidR="00F93509" w:rsidRDefault="00F93509" w:rsidP="00F93509">
      <w:pPr>
        <w:pStyle w:val="Apara"/>
      </w:pPr>
      <w:r>
        <w:rPr>
          <w:rFonts w:ascii="Tms Rmn" w:hAnsi="Tms Rmn"/>
        </w:rPr>
        <w:tab/>
        <w:t>(a)</w:t>
      </w:r>
      <w:r>
        <w:rPr>
          <w:rFonts w:ascii="Tms Rmn" w:hAnsi="Tms Rmn"/>
        </w:rPr>
        <w:tab/>
      </w:r>
      <w:r>
        <w:t xml:space="preserve">any relevant conviction of the corporation; and </w:t>
      </w:r>
    </w:p>
    <w:p w:rsidR="00F93509" w:rsidRDefault="00F93509" w:rsidP="00F93509">
      <w:pPr>
        <w:pStyle w:val="Apara"/>
      </w:pPr>
      <w:r>
        <w:rPr>
          <w:rFonts w:ascii="Tms Rmn" w:hAnsi="Tms Rmn"/>
        </w:rPr>
        <w:tab/>
        <w:t>(b)</w:t>
      </w:r>
      <w:r>
        <w:rPr>
          <w:rFonts w:ascii="Tms Rmn" w:hAnsi="Tms Rmn"/>
        </w:rPr>
        <w:tab/>
      </w:r>
      <w:r>
        <w:t>if there is a relevant conviction of the corporation—</w:t>
      </w:r>
    </w:p>
    <w:p w:rsidR="00F93509" w:rsidRDefault="00F93509" w:rsidP="00F93509">
      <w:pPr>
        <w:pStyle w:val="Asubpara"/>
      </w:pPr>
      <w:r>
        <w:rPr>
          <w:rFonts w:ascii="Tms Rmn" w:hAnsi="Tms Rmn"/>
        </w:rPr>
        <w:tab/>
        <w:t>(i)</w:t>
      </w:r>
      <w:r>
        <w:rPr>
          <w:rFonts w:ascii="Tms Rmn" w:hAnsi="Tms Rmn"/>
        </w:rPr>
        <w:tab/>
      </w:r>
      <w:r>
        <w:t xml:space="preserve">whether the offence concerned was committed when anyone who is presently a director of the corporation was a director; and </w:t>
      </w:r>
    </w:p>
    <w:p w:rsidR="00F93509" w:rsidRDefault="00F93509" w:rsidP="00F93509">
      <w:pPr>
        <w:pStyle w:val="Asubpara"/>
        <w:keepLines/>
      </w:pPr>
      <w:r>
        <w:rPr>
          <w:rFonts w:ascii="Tms Rmn" w:hAnsi="Tms Rmn"/>
        </w:rPr>
        <w:tab/>
        <w:t>(ii)</w:t>
      </w:r>
      <w:r>
        <w:rPr>
          <w:rFonts w:ascii="Tms Rmn" w:hAnsi="Tms Rmn"/>
        </w:rPr>
        <w:tab/>
      </w:r>
      <w:r>
        <w:t xml:space="preserve">whether that offence was committed when any officer or shareholder of the corporation who is presently in a position to influence the management of the corporation was an officer or shareholder of the corporation; and </w:t>
      </w:r>
    </w:p>
    <w:p w:rsidR="00F93509" w:rsidRDefault="00F93509" w:rsidP="00F93509">
      <w:pPr>
        <w:pStyle w:val="Apara"/>
      </w:pPr>
      <w:r>
        <w:rPr>
          <w:rFonts w:ascii="Tms Rmn" w:hAnsi="Tms Rmn"/>
        </w:rPr>
        <w:tab/>
        <w:t>(c)</w:t>
      </w:r>
      <w:r>
        <w:rPr>
          <w:rFonts w:ascii="Tms Rmn" w:hAnsi="Tms Rmn"/>
        </w:rPr>
        <w:tab/>
      </w:r>
      <w:r>
        <w:t xml:space="preserve">any revocation or suspension of a licence or permit (however described) held by the corporation under a law of the Territory, the Commonwealth, a State or a foreign country about the health and safety of people or the environment; and </w:t>
      </w:r>
    </w:p>
    <w:p w:rsidR="00F93509" w:rsidRDefault="00F93509" w:rsidP="00F93509">
      <w:pPr>
        <w:pStyle w:val="Apara"/>
      </w:pPr>
      <w:r>
        <w:rPr>
          <w:rFonts w:ascii="Tms Rmn" w:hAnsi="Tms Rmn"/>
        </w:rPr>
        <w:tab/>
        <w:t>(d)</w:t>
      </w:r>
      <w:r>
        <w:rPr>
          <w:rFonts w:ascii="Tms Rmn" w:hAnsi="Tms Rmn"/>
        </w:rPr>
        <w:tab/>
      </w:r>
      <w:r>
        <w:t>the capacity of the corporation to meet the conditions of the licence.</w:t>
      </w:r>
    </w:p>
    <w:p w:rsidR="00F93509" w:rsidRDefault="00F93509" w:rsidP="00F93509">
      <w:pPr>
        <w:pStyle w:val="Amain"/>
      </w:pPr>
      <w:r>
        <w:tab/>
        <w:t>(3)</w:t>
      </w:r>
      <w:r>
        <w:tab/>
        <w:t xml:space="preserve">This section does not affect the </w:t>
      </w:r>
      <w:hyperlink r:id="rId95" w:tooltip="A2000-48" w:history="1">
        <w:r w:rsidRPr="00903C3C">
          <w:rPr>
            <w:rStyle w:val="charCitHyperlinkItal"/>
          </w:rPr>
          <w:t>Spent Convictions Act 2000</w:t>
        </w:r>
      </w:hyperlink>
      <w:r>
        <w:t>.</w:t>
      </w:r>
    </w:p>
    <w:p w:rsidR="00F93509" w:rsidRDefault="00F93509" w:rsidP="00F93509">
      <w:pPr>
        <w:pStyle w:val="Amain"/>
        <w:keepNext/>
      </w:pPr>
      <w:r>
        <w:tab/>
        <w:t>(4)</w:t>
      </w:r>
      <w:r>
        <w:tab/>
        <w:t>In this section:</w:t>
      </w:r>
    </w:p>
    <w:p w:rsidR="00F93509" w:rsidRDefault="00F93509" w:rsidP="00F93509">
      <w:pPr>
        <w:pStyle w:val="aDef"/>
        <w:keepNext/>
      </w:pPr>
      <w:r>
        <w:rPr>
          <w:rStyle w:val="charBoldItals"/>
        </w:rPr>
        <w:t>relevant conviction</w:t>
      </w:r>
      <w:r w:rsidRPr="00903C3C">
        <w:t>, for an applicant for a licence,</w:t>
      </w:r>
      <w:r>
        <w:t xml:space="preserve"> means a conviction for an offence against a law of the Territory, the Commonwealth, a State or a foreign country, about the health and safety of people or the environment, if—</w:t>
      </w:r>
    </w:p>
    <w:p w:rsidR="00F93509" w:rsidRDefault="00F93509" w:rsidP="00F93509">
      <w:pPr>
        <w:pStyle w:val="aDefpara"/>
      </w:pPr>
      <w:r>
        <w:rPr>
          <w:rFonts w:ascii="Tms Rmn" w:hAnsi="Tms Rmn"/>
        </w:rPr>
        <w:tab/>
        <w:t>(a)</w:t>
      </w:r>
      <w:r>
        <w:rPr>
          <w:rFonts w:ascii="Tms Rmn" w:hAnsi="Tms Rmn"/>
        </w:rPr>
        <w:tab/>
      </w:r>
      <w:r>
        <w:t xml:space="preserve">the offence was committed within 10 years immediately before the making of the application for the licence; and </w:t>
      </w:r>
    </w:p>
    <w:p w:rsidR="00F93509" w:rsidRDefault="00F93509" w:rsidP="00F93509">
      <w:pPr>
        <w:pStyle w:val="aDefpara"/>
        <w:keepNext/>
      </w:pPr>
      <w:r>
        <w:rPr>
          <w:rFonts w:ascii="Tms Rmn" w:hAnsi="Tms Rmn"/>
        </w:rPr>
        <w:tab/>
        <w:t>(b)</w:t>
      </w:r>
      <w:r>
        <w:rPr>
          <w:rFonts w:ascii="Tms Rmn" w:hAnsi="Tms Rmn"/>
        </w:rPr>
        <w:tab/>
      </w:r>
      <w:r>
        <w:t>the offence was punishable by a fine of $5 000 or more, or by imprisonment for 1 year or more.</w:t>
      </w:r>
    </w:p>
    <w:p w:rsidR="00F93509" w:rsidRDefault="00F93509" w:rsidP="00F93509">
      <w:pPr>
        <w:pStyle w:val="aNote"/>
      </w:pPr>
      <w:r>
        <w:rPr>
          <w:rStyle w:val="charItals"/>
        </w:rPr>
        <w:t>Note</w:t>
      </w:r>
      <w:r>
        <w:tab/>
        <w:t>This section differs from the</w:t>
      </w:r>
      <w:r w:rsidR="00D97422">
        <w:t xml:space="preserve"> </w:t>
      </w:r>
      <w:hyperlink r:id="rId96" w:tooltip="Gene Technology Act 2000" w:history="1">
        <w:r w:rsidR="00D97422" w:rsidRPr="00D97422">
          <w:rPr>
            <w:rStyle w:val="charCitHyperlinkAbbrev"/>
          </w:rPr>
          <w:t>Commonwealth Act</w:t>
        </w:r>
      </w:hyperlink>
      <w:r w:rsidR="00D97422">
        <w:t xml:space="preserve">, </w:t>
      </w:r>
      <w:r>
        <w:t>s 58.</w:t>
      </w:r>
    </w:p>
    <w:p w:rsidR="00F93509" w:rsidRDefault="00F93509" w:rsidP="00F93509">
      <w:pPr>
        <w:pStyle w:val="AH5Sec"/>
      </w:pPr>
      <w:bookmarkStart w:id="91" w:name="_Toc526844568"/>
      <w:r w:rsidRPr="00325B6A">
        <w:rPr>
          <w:rStyle w:val="CharSectNo"/>
        </w:rPr>
        <w:t>59</w:t>
      </w:r>
      <w:r>
        <w:tab/>
        <w:t>Notification of licence decision</w:t>
      </w:r>
      <w:bookmarkEnd w:id="91"/>
    </w:p>
    <w:p w:rsidR="00F93509" w:rsidRDefault="00F93509" w:rsidP="00F93509">
      <w:pPr>
        <w:pStyle w:val="Amainreturn"/>
      </w:pPr>
      <w:r>
        <w:t>The regulator must notify the applicant in writing of the regulator’s decision, including any conditions imposed by the regulator.</w:t>
      </w:r>
    </w:p>
    <w:p w:rsidR="00F93509" w:rsidRDefault="00F93509" w:rsidP="00F93509">
      <w:pPr>
        <w:pStyle w:val="AH5Sec"/>
      </w:pPr>
      <w:bookmarkStart w:id="92" w:name="_Toc526844569"/>
      <w:r w:rsidRPr="00325B6A">
        <w:rPr>
          <w:rStyle w:val="CharSectNo"/>
        </w:rPr>
        <w:t>60</w:t>
      </w:r>
      <w:r>
        <w:tab/>
        <w:t>Period of licence</w:t>
      </w:r>
      <w:bookmarkEnd w:id="92"/>
    </w:p>
    <w:p w:rsidR="00F93509" w:rsidRDefault="00F93509" w:rsidP="00F93509">
      <w:pPr>
        <w:pStyle w:val="Amain"/>
      </w:pPr>
      <w:r>
        <w:rPr>
          <w:rFonts w:ascii="Tms Rmn" w:hAnsi="Tms Rmn"/>
        </w:rPr>
        <w:tab/>
        <w:t>(1)</w:t>
      </w:r>
      <w:r>
        <w:rPr>
          <w:rFonts w:ascii="Tms Rmn" w:hAnsi="Tms Rmn"/>
        </w:rPr>
        <w:tab/>
      </w:r>
      <w:r>
        <w:t>A licence continues in force—</w:t>
      </w:r>
    </w:p>
    <w:p w:rsidR="00F93509" w:rsidRDefault="00F93509" w:rsidP="00F93509">
      <w:pPr>
        <w:pStyle w:val="Apara"/>
      </w:pPr>
      <w:r>
        <w:rPr>
          <w:rFonts w:ascii="Tms Rmn" w:hAnsi="Tms Rmn"/>
        </w:rPr>
        <w:tab/>
        <w:t>(a)</w:t>
      </w:r>
      <w:r>
        <w:rPr>
          <w:rFonts w:ascii="Tms Rmn" w:hAnsi="Tms Rmn"/>
        </w:rPr>
        <w:tab/>
      </w:r>
      <w:r>
        <w:t>if the licence is expressed to be in force for a particular period—until the end of the period; or</w:t>
      </w:r>
    </w:p>
    <w:p w:rsidR="00F93509" w:rsidRDefault="00F93509" w:rsidP="00F93509">
      <w:pPr>
        <w:pStyle w:val="Apara"/>
      </w:pPr>
      <w:r>
        <w:rPr>
          <w:rFonts w:ascii="Tms Rmn" w:hAnsi="Tms Rmn"/>
        </w:rPr>
        <w:tab/>
        <w:t>(b)</w:t>
      </w:r>
      <w:r>
        <w:rPr>
          <w:rFonts w:ascii="Tms Rmn" w:hAnsi="Tms Rmn"/>
        </w:rPr>
        <w:tab/>
      </w:r>
      <w:r>
        <w:t>otherwise—until it is cancelled or surrendered.</w:t>
      </w:r>
    </w:p>
    <w:p w:rsidR="00F93509" w:rsidRDefault="00F93509" w:rsidP="00F93509">
      <w:pPr>
        <w:pStyle w:val="Amain"/>
      </w:pPr>
      <w:r>
        <w:rPr>
          <w:rFonts w:ascii="Tms Rmn" w:hAnsi="Tms Rmn"/>
        </w:rPr>
        <w:tab/>
        <w:t>(2)</w:t>
      </w:r>
      <w:r>
        <w:rPr>
          <w:rFonts w:ascii="Tms Rmn" w:hAnsi="Tms Rmn"/>
        </w:rPr>
        <w:tab/>
      </w:r>
      <w:r>
        <w:t>A licence is not in force during a period of suspension.</w:t>
      </w:r>
    </w:p>
    <w:p w:rsidR="00F93509" w:rsidRDefault="00F93509" w:rsidP="00F93509">
      <w:pPr>
        <w:pStyle w:val="Amain"/>
      </w:pPr>
      <w:r>
        <w:tab/>
        <w:t>(3)</w:t>
      </w:r>
      <w:r>
        <w:tab/>
        <w:t>A licence issued as a result of an inadvertent dealings application must not be expressed to be in force for a period of longer than 12 months.</w:t>
      </w:r>
    </w:p>
    <w:p w:rsidR="00F93509" w:rsidRPr="00325B6A" w:rsidRDefault="00F93509" w:rsidP="00F93509">
      <w:pPr>
        <w:pStyle w:val="AH3Div"/>
      </w:pPr>
      <w:bookmarkStart w:id="93" w:name="_Toc526844570"/>
      <w:r w:rsidRPr="00325B6A">
        <w:rPr>
          <w:rStyle w:val="CharDivNo"/>
        </w:rPr>
        <w:t>Division 5.6</w:t>
      </w:r>
      <w:r>
        <w:tab/>
      </w:r>
      <w:r w:rsidRPr="00325B6A">
        <w:rPr>
          <w:rStyle w:val="CharDivText"/>
        </w:rPr>
        <w:t>Conditions of licences</w:t>
      </w:r>
      <w:bookmarkEnd w:id="93"/>
    </w:p>
    <w:p w:rsidR="00F93509" w:rsidRDefault="00F93509" w:rsidP="00F93509">
      <w:pPr>
        <w:pStyle w:val="AH5Sec"/>
      </w:pPr>
      <w:bookmarkStart w:id="94" w:name="_Toc526844571"/>
      <w:r w:rsidRPr="00325B6A">
        <w:rPr>
          <w:rStyle w:val="CharSectNo"/>
        </w:rPr>
        <w:t>61</w:t>
      </w:r>
      <w:r>
        <w:tab/>
        <w:t>Licence is subject to conditions</w:t>
      </w:r>
      <w:bookmarkEnd w:id="94"/>
    </w:p>
    <w:p w:rsidR="00F93509" w:rsidRDefault="00F93509" w:rsidP="00F93509">
      <w:pPr>
        <w:pStyle w:val="Amainreturn"/>
        <w:keepNext/>
      </w:pPr>
      <w:r>
        <w:t>A GMO licence is subject to the following conditions:</w:t>
      </w:r>
    </w:p>
    <w:p w:rsidR="00F93509" w:rsidRDefault="00F93509" w:rsidP="00F93509">
      <w:pPr>
        <w:pStyle w:val="Apara"/>
      </w:pPr>
      <w:r>
        <w:rPr>
          <w:rFonts w:ascii="Tms Rmn" w:hAnsi="Tms Rmn"/>
        </w:rPr>
        <w:tab/>
        <w:t>(a)</w:t>
      </w:r>
      <w:r>
        <w:rPr>
          <w:rFonts w:ascii="Tms Rmn" w:hAnsi="Tms Rmn"/>
        </w:rPr>
        <w:tab/>
      </w:r>
      <w:r>
        <w:t>the conditions stated in section 63, section 64 and section 65;</w:t>
      </w:r>
    </w:p>
    <w:p w:rsidR="00F93509" w:rsidRDefault="00F93509" w:rsidP="00F93509">
      <w:pPr>
        <w:pStyle w:val="Apara"/>
      </w:pPr>
      <w:r>
        <w:rPr>
          <w:rFonts w:ascii="Tms Rmn" w:hAnsi="Tms Rmn"/>
        </w:rPr>
        <w:tab/>
        <w:t>(b)</w:t>
      </w:r>
      <w:r>
        <w:rPr>
          <w:rFonts w:ascii="Tms Rmn" w:hAnsi="Tms Rmn"/>
        </w:rPr>
        <w:tab/>
      </w:r>
      <w:r>
        <w:t>any conditions prescribed by regulation;</w:t>
      </w:r>
    </w:p>
    <w:p w:rsidR="00F93509" w:rsidRDefault="00F93509" w:rsidP="00F93509">
      <w:pPr>
        <w:pStyle w:val="Apara"/>
      </w:pPr>
      <w:r>
        <w:rPr>
          <w:rFonts w:ascii="Tms Rmn" w:hAnsi="Tms Rmn"/>
        </w:rPr>
        <w:tab/>
        <w:t>(c)</w:t>
      </w:r>
      <w:r>
        <w:rPr>
          <w:rFonts w:ascii="Tms Rmn" w:hAnsi="Tms Rmn"/>
        </w:rPr>
        <w:tab/>
      </w:r>
      <w:r>
        <w:t>any conditions imposed by the regulator when issuing the licence;</w:t>
      </w:r>
    </w:p>
    <w:p w:rsidR="00F93509" w:rsidRDefault="00F93509" w:rsidP="00F93509">
      <w:pPr>
        <w:pStyle w:val="Apara"/>
      </w:pPr>
      <w:r>
        <w:rPr>
          <w:rFonts w:ascii="Tms Rmn" w:hAnsi="Tms Rmn"/>
        </w:rPr>
        <w:tab/>
        <w:t>(d)</w:t>
      </w:r>
      <w:r>
        <w:rPr>
          <w:rFonts w:ascii="Tms Rmn" w:hAnsi="Tms Rmn"/>
        </w:rPr>
        <w:tab/>
      </w:r>
      <w:r>
        <w:t>any conditions imposed by the regulator under section 71 after the licence is issued.</w:t>
      </w:r>
    </w:p>
    <w:p w:rsidR="00F93509" w:rsidRDefault="00F93509" w:rsidP="00F93509">
      <w:pPr>
        <w:pStyle w:val="AH5Sec"/>
      </w:pPr>
      <w:bookmarkStart w:id="95" w:name="_Toc526844572"/>
      <w:r w:rsidRPr="00325B6A">
        <w:rPr>
          <w:rStyle w:val="CharSectNo"/>
        </w:rPr>
        <w:t>62</w:t>
      </w:r>
      <w:r>
        <w:tab/>
        <w:t>Conditions that may be prescribed or imposed</w:t>
      </w:r>
      <w:bookmarkEnd w:id="95"/>
    </w:p>
    <w:p w:rsidR="00F93509" w:rsidRDefault="00F93509" w:rsidP="00F93509">
      <w:pPr>
        <w:pStyle w:val="Amain"/>
      </w:pPr>
      <w:r>
        <w:rPr>
          <w:rFonts w:ascii="Tms Rmn" w:hAnsi="Tms Rmn"/>
        </w:rPr>
        <w:tab/>
        <w:t>(1)</w:t>
      </w:r>
      <w:r>
        <w:rPr>
          <w:rFonts w:ascii="Tms Rmn" w:hAnsi="Tms Rmn"/>
        </w:rPr>
        <w:tab/>
      </w:r>
      <w:r>
        <w:t>Licence conditions may include conditions that impose obligations about GM products derived from a GMO for which particular dealings are licensed.</w:t>
      </w:r>
    </w:p>
    <w:p w:rsidR="00F93509" w:rsidRDefault="00F93509" w:rsidP="00F93509">
      <w:pPr>
        <w:pStyle w:val="Amain"/>
        <w:keepNext/>
      </w:pPr>
      <w:r>
        <w:rPr>
          <w:rFonts w:ascii="Tms Rmn" w:hAnsi="Tms Rmn"/>
        </w:rPr>
        <w:tab/>
        <w:t>(2)</w:t>
      </w:r>
      <w:r>
        <w:rPr>
          <w:rFonts w:ascii="Tms Rmn" w:hAnsi="Tms Rmn"/>
        </w:rPr>
        <w:tab/>
      </w:r>
      <w:r>
        <w:t>Licence conditions may relate to, for example, the following:</w:t>
      </w:r>
    </w:p>
    <w:p w:rsidR="00F93509" w:rsidRDefault="00F93509" w:rsidP="00F93509">
      <w:pPr>
        <w:pStyle w:val="Apara"/>
      </w:pPr>
      <w:r>
        <w:rPr>
          <w:rFonts w:ascii="Tms Rmn" w:hAnsi="Tms Rmn"/>
        </w:rPr>
        <w:tab/>
        <w:t>(a)</w:t>
      </w:r>
      <w:r>
        <w:rPr>
          <w:rFonts w:ascii="Tms Rmn" w:hAnsi="Tms Rmn"/>
        </w:rPr>
        <w:tab/>
      </w:r>
      <w:r>
        <w:t>the scope of the dealings authorised by the licence;</w:t>
      </w:r>
    </w:p>
    <w:p w:rsidR="00F93509" w:rsidRDefault="00F93509" w:rsidP="00F93509">
      <w:pPr>
        <w:pStyle w:val="Apara"/>
      </w:pPr>
      <w:r>
        <w:rPr>
          <w:rFonts w:ascii="Tms Rmn" w:hAnsi="Tms Rmn"/>
        </w:rPr>
        <w:tab/>
        <w:t>(b)</w:t>
      </w:r>
      <w:r>
        <w:rPr>
          <w:rFonts w:ascii="Tms Rmn" w:hAnsi="Tms Rmn"/>
        </w:rPr>
        <w:tab/>
      </w:r>
      <w:r>
        <w:t>the purposes for which the dealings may be undertaken;</w:t>
      </w:r>
    </w:p>
    <w:p w:rsidR="00F93509" w:rsidRDefault="00F93509" w:rsidP="00F93509">
      <w:pPr>
        <w:pStyle w:val="Apara"/>
      </w:pPr>
      <w:r>
        <w:rPr>
          <w:rFonts w:ascii="Tms Rmn" w:hAnsi="Tms Rmn"/>
        </w:rPr>
        <w:tab/>
        <w:t>(c)</w:t>
      </w:r>
      <w:r>
        <w:rPr>
          <w:rFonts w:ascii="Tms Rmn" w:hAnsi="Tms Rmn"/>
        </w:rPr>
        <w:tab/>
      </w:r>
      <w:r>
        <w:t>variations to the scope or purposes of the dealings;</w:t>
      </w:r>
    </w:p>
    <w:p w:rsidR="00F93509" w:rsidRDefault="00F93509" w:rsidP="00F93509">
      <w:pPr>
        <w:pStyle w:val="Apara"/>
      </w:pPr>
      <w:r>
        <w:rPr>
          <w:rFonts w:ascii="Tms Rmn" w:hAnsi="Tms Rmn"/>
        </w:rPr>
        <w:tab/>
        <w:t>(d)</w:t>
      </w:r>
      <w:r>
        <w:rPr>
          <w:rFonts w:ascii="Tms Rmn" w:hAnsi="Tms Rmn"/>
        </w:rPr>
        <w:tab/>
      </w:r>
      <w:r>
        <w:t>documentation and record-keeping requirements;</w:t>
      </w:r>
    </w:p>
    <w:p w:rsidR="00F93509" w:rsidRDefault="00F93509" w:rsidP="00F93509">
      <w:pPr>
        <w:pStyle w:val="Apara"/>
      </w:pPr>
      <w:r>
        <w:rPr>
          <w:rFonts w:ascii="Tms Rmn" w:hAnsi="Tms Rmn"/>
        </w:rPr>
        <w:tab/>
        <w:t>(e)</w:t>
      </w:r>
      <w:r>
        <w:rPr>
          <w:rFonts w:ascii="Tms Rmn" w:hAnsi="Tms Rmn"/>
        </w:rPr>
        <w:tab/>
      </w:r>
      <w:r>
        <w:t>the required level of containment for the dealings, including requirements about the certification of facilities to stated containment levels;</w:t>
      </w:r>
    </w:p>
    <w:p w:rsidR="00F93509" w:rsidRDefault="00F93509" w:rsidP="00F93509">
      <w:pPr>
        <w:pStyle w:val="Apara"/>
      </w:pPr>
      <w:r>
        <w:rPr>
          <w:rFonts w:ascii="Tms Rmn" w:hAnsi="Tms Rmn"/>
        </w:rPr>
        <w:tab/>
        <w:t>(f)</w:t>
      </w:r>
      <w:r>
        <w:rPr>
          <w:rFonts w:ascii="Tms Rmn" w:hAnsi="Tms Rmn"/>
        </w:rPr>
        <w:tab/>
      </w:r>
      <w:r>
        <w:t>waste disposal requirements;</w:t>
      </w:r>
    </w:p>
    <w:p w:rsidR="00F93509" w:rsidRDefault="00F93509" w:rsidP="00F93509">
      <w:pPr>
        <w:pStyle w:val="Apara"/>
      </w:pPr>
      <w:r>
        <w:rPr>
          <w:rFonts w:ascii="Tms Rmn" w:hAnsi="Tms Rmn"/>
        </w:rPr>
        <w:tab/>
        <w:t>(g)</w:t>
      </w:r>
      <w:r>
        <w:rPr>
          <w:rFonts w:ascii="Tms Rmn" w:hAnsi="Tms Rmn"/>
        </w:rPr>
        <w:tab/>
      </w:r>
      <w:r>
        <w:t>measures to manage risks posed to the health and safety of people or to the environment;</w:t>
      </w:r>
    </w:p>
    <w:p w:rsidR="00F93509" w:rsidRDefault="00F93509" w:rsidP="00F93509">
      <w:pPr>
        <w:pStyle w:val="Apara"/>
      </w:pPr>
      <w:r>
        <w:rPr>
          <w:rFonts w:ascii="Tms Rmn" w:hAnsi="Tms Rmn"/>
        </w:rPr>
        <w:tab/>
        <w:t>(h)</w:t>
      </w:r>
      <w:r>
        <w:rPr>
          <w:rFonts w:ascii="Tms Rmn" w:hAnsi="Tms Rmn"/>
        </w:rPr>
        <w:tab/>
      </w:r>
      <w:r>
        <w:t>data collection, including studies to be conducted;</w:t>
      </w:r>
    </w:p>
    <w:p w:rsidR="00F93509" w:rsidRDefault="00F93509" w:rsidP="00F93509">
      <w:pPr>
        <w:pStyle w:val="Apara"/>
      </w:pPr>
      <w:r>
        <w:rPr>
          <w:rFonts w:ascii="Tms Rmn" w:hAnsi="Tms Rmn"/>
        </w:rPr>
        <w:tab/>
        <w:t>(i)</w:t>
      </w:r>
      <w:r>
        <w:rPr>
          <w:rFonts w:ascii="Tms Rmn" w:hAnsi="Tms Rmn"/>
        </w:rPr>
        <w:tab/>
      </w:r>
      <w:r>
        <w:t>auditing and reporting;</w:t>
      </w:r>
    </w:p>
    <w:p w:rsidR="00F93509" w:rsidRDefault="00F93509" w:rsidP="00F93509">
      <w:pPr>
        <w:pStyle w:val="Apara"/>
      </w:pPr>
      <w:r>
        <w:rPr>
          <w:rFonts w:ascii="Tms Rmn" w:hAnsi="Tms Rmn"/>
        </w:rPr>
        <w:tab/>
        <w:t>(j)</w:t>
      </w:r>
      <w:r>
        <w:rPr>
          <w:rFonts w:ascii="Tms Rmn" w:hAnsi="Tms Rmn"/>
        </w:rPr>
        <w:tab/>
      </w:r>
      <w:r>
        <w:t>actions to be taken if a GMO is released from a contained environment;</w:t>
      </w:r>
    </w:p>
    <w:p w:rsidR="00F93509" w:rsidRDefault="00F93509" w:rsidP="00F93509">
      <w:pPr>
        <w:pStyle w:val="Apara"/>
      </w:pPr>
      <w:r>
        <w:rPr>
          <w:rFonts w:ascii="Tms Rmn" w:hAnsi="Tms Rmn"/>
        </w:rPr>
        <w:tab/>
        <w:t>(k)</w:t>
      </w:r>
      <w:r>
        <w:rPr>
          <w:rFonts w:ascii="Tms Rmn" w:hAnsi="Tms Rmn"/>
        </w:rPr>
        <w:tab/>
      </w:r>
      <w:r>
        <w:t>the geographic area where the dealings authorised by the licence may happen;</w:t>
      </w:r>
    </w:p>
    <w:p w:rsidR="00F93509" w:rsidRDefault="00F93509" w:rsidP="00F93509">
      <w:pPr>
        <w:pStyle w:val="Apara"/>
      </w:pPr>
      <w:r>
        <w:rPr>
          <w:rFonts w:ascii="Tms Rmn" w:hAnsi="Tms Rmn"/>
        </w:rPr>
        <w:tab/>
        <w:t>(l)</w:t>
      </w:r>
      <w:r>
        <w:rPr>
          <w:rFonts w:ascii="Tms Rmn" w:hAnsi="Tms Rmn"/>
        </w:rPr>
        <w:tab/>
      </w:r>
      <w:r>
        <w:t>requiring compliance with a code of practice issued under section 24, or a technical or procedural guideline issued under section 27;</w:t>
      </w:r>
    </w:p>
    <w:p w:rsidR="00F93509" w:rsidRDefault="00F93509" w:rsidP="00F93509">
      <w:pPr>
        <w:pStyle w:val="Apara"/>
      </w:pPr>
      <w:r>
        <w:rPr>
          <w:rFonts w:ascii="Tms Rmn" w:hAnsi="Tms Rmn"/>
        </w:rPr>
        <w:tab/>
        <w:t>(m)</w:t>
      </w:r>
      <w:r>
        <w:rPr>
          <w:rFonts w:ascii="Tms Rmn" w:hAnsi="Tms Rmn"/>
        </w:rPr>
        <w:tab/>
      </w:r>
      <w:r>
        <w:t>supervision by, and monitoring by, institutional biosafety committees;</w:t>
      </w:r>
    </w:p>
    <w:p w:rsidR="00F93509" w:rsidRDefault="00F93509" w:rsidP="00F93509">
      <w:pPr>
        <w:pStyle w:val="Apara"/>
      </w:pPr>
      <w:r>
        <w:rPr>
          <w:rFonts w:ascii="Tms Rmn" w:hAnsi="Tms Rmn"/>
        </w:rPr>
        <w:tab/>
        <w:t>(n)</w:t>
      </w:r>
      <w:r>
        <w:rPr>
          <w:rFonts w:ascii="Tms Rmn" w:hAnsi="Tms Rmn"/>
        </w:rPr>
        <w:tab/>
      </w:r>
      <w:r>
        <w:t>contingency planning for unintended effects of the dealings authorised by the licence;</w:t>
      </w:r>
    </w:p>
    <w:p w:rsidR="00F93509" w:rsidRDefault="00F93509" w:rsidP="00F93509">
      <w:pPr>
        <w:pStyle w:val="Apara"/>
      </w:pPr>
      <w:r>
        <w:rPr>
          <w:rFonts w:ascii="Tms Rmn" w:hAnsi="Tms Rmn"/>
        </w:rPr>
        <w:tab/>
        <w:t>(o)</w:t>
      </w:r>
      <w:r>
        <w:rPr>
          <w:rFonts w:ascii="Tms Rmn" w:hAnsi="Tms Rmn"/>
        </w:rPr>
        <w:tab/>
      </w:r>
      <w:r>
        <w:t>limiting the dissemination or persistence of the GMO or its genetic material in the environment.</w:t>
      </w:r>
    </w:p>
    <w:p w:rsidR="00F93509" w:rsidRDefault="00F93509" w:rsidP="00F93509">
      <w:pPr>
        <w:pStyle w:val="Amain"/>
      </w:pPr>
      <w:r>
        <w:rPr>
          <w:rFonts w:ascii="Tms Rmn" w:hAnsi="Tms Rmn"/>
        </w:rPr>
        <w:tab/>
        <w:t>(3)</w:t>
      </w:r>
      <w:r>
        <w:rPr>
          <w:rFonts w:ascii="Tms Rmn" w:hAnsi="Tms Rmn"/>
        </w:rPr>
        <w:tab/>
      </w:r>
      <w:r>
        <w:t>Licence conditions may also include conditions requiring the licence holder to be adequately insured against any loss, damage or injury that may be caused to human health, property or the environment by the dealings authorised by the licence.</w:t>
      </w:r>
    </w:p>
    <w:p w:rsidR="00F93509" w:rsidRDefault="00F93509" w:rsidP="00F93509">
      <w:pPr>
        <w:pStyle w:val="AH5Sec"/>
      </w:pPr>
      <w:bookmarkStart w:id="96" w:name="_Toc526844573"/>
      <w:r w:rsidRPr="00325B6A">
        <w:rPr>
          <w:rStyle w:val="CharSectNo"/>
        </w:rPr>
        <w:t>63</w:t>
      </w:r>
      <w:r>
        <w:tab/>
        <w:t>Condition about telling people of obligations</w:t>
      </w:r>
      <w:bookmarkEnd w:id="96"/>
    </w:p>
    <w:p w:rsidR="00F93509" w:rsidRDefault="00F93509" w:rsidP="00F93509">
      <w:pPr>
        <w:pStyle w:val="Amain"/>
        <w:keepNext/>
      </w:pPr>
      <w:r>
        <w:rPr>
          <w:rFonts w:ascii="Tms Rmn" w:hAnsi="Tms Rmn"/>
        </w:rPr>
        <w:tab/>
        <w:t>(1)</w:t>
      </w:r>
      <w:r>
        <w:rPr>
          <w:rFonts w:ascii="Tms Rmn" w:hAnsi="Tms Rmn"/>
        </w:rPr>
        <w:tab/>
      </w:r>
      <w:r>
        <w:t>It is a condition of a licence that the licence holder tell anyone covered by the licence, to whom a particular condition of the licence applies, of the following:</w:t>
      </w:r>
    </w:p>
    <w:p w:rsidR="00F93509" w:rsidRDefault="00F93509" w:rsidP="00F93509">
      <w:pPr>
        <w:pStyle w:val="Apara"/>
      </w:pPr>
      <w:r>
        <w:rPr>
          <w:rFonts w:ascii="Tms Rmn" w:hAnsi="Tms Rmn"/>
        </w:rPr>
        <w:tab/>
        <w:t>(a)</w:t>
      </w:r>
      <w:r>
        <w:rPr>
          <w:rFonts w:ascii="Tms Rmn" w:hAnsi="Tms Rmn"/>
        </w:rPr>
        <w:tab/>
      </w:r>
      <w:r>
        <w:t>the particular condition, including any variations of it;</w:t>
      </w:r>
    </w:p>
    <w:p w:rsidR="00F93509" w:rsidRDefault="00F93509" w:rsidP="00F93509">
      <w:pPr>
        <w:pStyle w:val="Apara"/>
      </w:pPr>
      <w:r>
        <w:rPr>
          <w:rFonts w:ascii="Tms Rmn" w:hAnsi="Tms Rmn"/>
        </w:rPr>
        <w:tab/>
        <w:t>(b)</w:t>
      </w:r>
      <w:r>
        <w:rPr>
          <w:rFonts w:ascii="Tms Rmn" w:hAnsi="Tms Rmn"/>
        </w:rPr>
        <w:tab/>
      </w:r>
      <w:r>
        <w:t>the cancellation or suspension of the licence;</w:t>
      </w:r>
    </w:p>
    <w:p w:rsidR="00F93509" w:rsidRDefault="00F93509" w:rsidP="00F93509">
      <w:pPr>
        <w:pStyle w:val="Apara"/>
      </w:pPr>
      <w:r>
        <w:rPr>
          <w:rFonts w:ascii="Tms Rmn" w:hAnsi="Tms Rmn"/>
        </w:rPr>
        <w:tab/>
        <w:t>(c)</w:t>
      </w:r>
      <w:r>
        <w:rPr>
          <w:rFonts w:ascii="Tms Rmn" w:hAnsi="Tms Rmn"/>
        </w:rPr>
        <w:tab/>
      </w:r>
      <w:r>
        <w:t>the surrender of the licence.</w:t>
      </w:r>
    </w:p>
    <w:p w:rsidR="00F93509" w:rsidRDefault="00F93509" w:rsidP="00F93509">
      <w:pPr>
        <w:pStyle w:val="Amain"/>
      </w:pPr>
      <w:r>
        <w:rPr>
          <w:rFonts w:ascii="Tms Rmn" w:hAnsi="Tms Rmn"/>
        </w:rPr>
        <w:tab/>
        <w:t>(2)</w:t>
      </w:r>
      <w:r>
        <w:rPr>
          <w:rFonts w:ascii="Tms Rmn" w:hAnsi="Tms Rmn"/>
        </w:rPr>
        <w:tab/>
      </w:r>
      <w:r>
        <w:t>Requirements about how information is given under subsection (1) may be—</w:t>
      </w:r>
    </w:p>
    <w:p w:rsidR="00F93509" w:rsidRDefault="00F93509" w:rsidP="00F93509">
      <w:pPr>
        <w:pStyle w:val="Apara"/>
      </w:pPr>
      <w:r>
        <w:rPr>
          <w:rFonts w:ascii="Tms Rmn" w:hAnsi="Tms Rmn"/>
        </w:rPr>
        <w:tab/>
        <w:t>(a)</w:t>
      </w:r>
      <w:r>
        <w:rPr>
          <w:rFonts w:ascii="Tms Rmn" w:hAnsi="Tms Rmn"/>
        </w:rPr>
        <w:tab/>
      </w:r>
      <w:r>
        <w:t>prescribed by regulation; or</w:t>
      </w:r>
    </w:p>
    <w:p w:rsidR="00F93509" w:rsidRDefault="00F93509" w:rsidP="00F93509">
      <w:pPr>
        <w:pStyle w:val="Apara"/>
      </w:pPr>
      <w:r>
        <w:rPr>
          <w:rFonts w:ascii="Tms Rmn" w:hAnsi="Tms Rmn"/>
        </w:rPr>
        <w:tab/>
        <w:t>(b)</w:t>
      </w:r>
      <w:r>
        <w:rPr>
          <w:rFonts w:ascii="Tms Rmn" w:hAnsi="Tms Rmn"/>
        </w:rPr>
        <w:tab/>
      </w:r>
      <w:r>
        <w:t>specified by the regulator.</w:t>
      </w:r>
    </w:p>
    <w:p w:rsidR="00F93509" w:rsidRDefault="00F93509" w:rsidP="00F93509">
      <w:pPr>
        <w:pStyle w:val="Amain"/>
      </w:pPr>
      <w:r>
        <w:rPr>
          <w:rFonts w:ascii="Tms Rmn" w:hAnsi="Tms Rmn"/>
        </w:rPr>
        <w:tab/>
        <w:t>(3)</w:t>
      </w:r>
      <w:r>
        <w:rPr>
          <w:rFonts w:ascii="Tms Rmn" w:hAnsi="Tms Rmn"/>
        </w:rPr>
        <w:tab/>
      </w:r>
      <w:r>
        <w:t>The requirements may include, for example, measures about labelling, packaging, conducting training and giving information.</w:t>
      </w:r>
    </w:p>
    <w:p w:rsidR="00F93509" w:rsidRDefault="00F93509" w:rsidP="00F93509">
      <w:pPr>
        <w:pStyle w:val="Amain"/>
      </w:pPr>
      <w:r>
        <w:rPr>
          <w:rFonts w:ascii="Tms Rmn" w:hAnsi="Tms Rmn"/>
        </w:rPr>
        <w:tab/>
        <w:t>(4)</w:t>
      </w:r>
      <w:r>
        <w:rPr>
          <w:rFonts w:ascii="Tms Rmn" w:hAnsi="Tms Rmn"/>
        </w:rPr>
        <w:tab/>
      </w:r>
      <w:r>
        <w:t>If requirements are prescribed or specified, it is a condition of a licence that the licence holder comply with the requirements.</w:t>
      </w:r>
    </w:p>
    <w:p w:rsidR="00F93509" w:rsidRDefault="00F93509" w:rsidP="00F93509">
      <w:pPr>
        <w:pStyle w:val="AH5Sec"/>
      </w:pPr>
      <w:bookmarkStart w:id="97" w:name="_Toc526844574"/>
      <w:r w:rsidRPr="00325B6A">
        <w:rPr>
          <w:rStyle w:val="CharSectNo"/>
        </w:rPr>
        <w:t>64</w:t>
      </w:r>
      <w:r>
        <w:tab/>
        <w:t>Condition about monitoring and audits</w:t>
      </w:r>
      <w:bookmarkEnd w:id="97"/>
    </w:p>
    <w:p w:rsidR="00F93509" w:rsidRDefault="00F93509" w:rsidP="00F93509">
      <w:pPr>
        <w:pStyle w:val="Amain"/>
        <w:keepNext/>
      </w:pPr>
      <w:r>
        <w:rPr>
          <w:rFonts w:ascii="Tms Rmn" w:hAnsi="Tms Rmn"/>
        </w:rPr>
        <w:tab/>
        <w:t>(1)</w:t>
      </w:r>
      <w:r>
        <w:rPr>
          <w:rFonts w:ascii="Tms Rmn" w:hAnsi="Tms Rmn"/>
        </w:rPr>
        <w:tab/>
      </w:r>
      <w:r>
        <w:t>It is a condition of a licence that if—</w:t>
      </w:r>
    </w:p>
    <w:p w:rsidR="00F93509" w:rsidRDefault="00F93509" w:rsidP="00F93509">
      <w:pPr>
        <w:pStyle w:val="Apara"/>
      </w:pPr>
      <w:r>
        <w:rPr>
          <w:rFonts w:ascii="Tms Rmn" w:hAnsi="Tms Rmn"/>
        </w:rPr>
        <w:tab/>
        <w:t>(a)</w:t>
      </w:r>
      <w:r>
        <w:rPr>
          <w:rFonts w:ascii="Tms Rmn" w:hAnsi="Tms Rmn"/>
        </w:rPr>
        <w:tab/>
      </w:r>
      <w:r>
        <w:t>a person is authorised by the licence to deal with a GMO; and</w:t>
      </w:r>
    </w:p>
    <w:p w:rsidR="00F93509" w:rsidRDefault="00F93509" w:rsidP="00F93509">
      <w:pPr>
        <w:pStyle w:val="Apara"/>
      </w:pPr>
      <w:r>
        <w:rPr>
          <w:rFonts w:ascii="Tms Rmn" w:hAnsi="Tms Rmn"/>
        </w:rPr>
        <w:tab/>
        <w:t>(b)</w:t>
      </w:r>
      <w:r>
        <w:rPr>
          <w:rFonts w:ascii="Tms Rmn" w:hAnsi="Tms Rmn"/>
        </w:rPr>
        <w:tab/>
      </w:r>
      <w:r>
        <w:t>a particular condition of the licence applies to the dealing by the person—</w:t>
      </w:r>
    </w:p>
    <w:p w:rsidR="00F93509" w:rsidRDefault="00F93509" w:rsidP="00F93509">
      <w:pPr>
        <w:pStyle w:val="Amainreturn"/>
      </w:pPr>
      <w:r>
        <w:t>the person must allow the regulator, or a person authorised by the regulator, to enter premises where the dealing is being undertaken, for auditing or monitoring the dealing.</w:t>
      </w:r>
    </w:p>
    <w:p w:rsidR="00F93509" w:rsidRDefault="00F93509" w:rsidP="00F93509">
      <w:pPr>
        <w:pStyle w:val="Amain"/>
      </w:pPr>
      <w:r>
        <w:rPr>
          <w:rFonts w:ascii="Tms Rmn" w:hAnsi="Tms Rmn"/>
        </w:rPr>
        <w:tab/>
        <w:t>(2)</w:t>
      </w:r>
      <w:r>
        <w:rPr>
          <w:rFonts w:ascii="Tms Rmn" w:hAnsi="Tms Rmn"/>
        </w:rPr>
        <w:tab/>
      </w:r>
      <w:r>
        <w:t>Subsection (1) does not limit the conditions that may be imposed by the regulator or prescribed by regulation.</w:t>
      </w:r>
    </w:p>
    <w:p w:rsidR="00F93509" w:rsidRDefault="00F93509" w:rsidP="00F93509">
      <w:pPr>
        <w:pStyle w:val="AH5Sec"/>
      </w:pPr>
      <w:bookmarkStart w:id="98" w:name="_Toc526844575"/>
      <w:r w:rsidRPr="00325B6A">
        <w:rPr>
          <w:rStyle w:val="CharSectNo"/>
        </w:rPr>
        <w:t>65</w:t>
      </w:r>
      <w:r>
        <w:tab/>
        <w:t>Condition about additional information to be given to regulator</w:t>
      </w:r>
      <w:bookmarkEnd w:id="98"/>
    </w:p>
    <w:p w:rsidR="00F93509" w:rsidRDefault="00F93509" w:rsidP="00F93509">
      <w:pPr>
        <w:pStyle w:val="Amain"/>
      </w:pPr>
      <w:r>
        <w:rPr>
          <w:rFonts w:ascii="Tms Rmn" w:hAnsi="Tms Rmn"/>
        </w:rPr>
        <w:tab/>
        <w:t>(1)</w:t>
      </w:r>
      <w:r>
        <w:rPr>
          <w:rFonts w:ascii="Tms Rmn" w:hAnsi="Tms Rmn"/>
        </w:rPr>
        <w:tab/>
      </w:r>
      <w:r>
        <w:t>It is a condition of a licence that the licence holder tell the regulator if the licence holder becomes aware of—</w:t>
      </w:r>
    </w:p>
    <w:p w:rsidR="00F93509" w:rsidRDefault="00F93509" w:rsidP="00F93509">
      <w:pPr>
        <w:pStyle w:val="Apara"/>
      </w:pPr>
      <w:r>
        <w:rPr>
          <w:rFonts w:ascii="Tms Rmn" w:hAnsi="Tms Rmn"/>
        </w:rPr>
        <w:tab/>
        <w:t>(a)</w:t>
      </w:r>
      <w:r>
        <w:rPr>
          <w:rFonts w:ascii="Tms Rmn" w:hAnsi="Tms Rmn"/>
        </w:rPr>
        <w:tab/>
      </w:r>
      <w:r>
        <w:t>additional information about any risks to the health and safety of people, or to the environment, associated with the dealings authorised by the licence; or</w:t>
      </w:r>
    </w:p>
    <w:p w:rsidR="00F93509" w:rsidRDefault="00F93509" w:rsidP="00F93509">
      <w:pPr>
        <w:pStyle w:val="Apara"/>
      </w:pPr>
      <w:r>
        <w:rPr>
          <w:rFonts w:ascii="Tms Rmn" w:hAnsi="Tms Rmn"/>
        </w:rPr>
        <w:tab/>
        <w:t>(b)</w:t>
      </w:r>
      <w:r>
        <w:rPr>
          <w:rFonts w:ascii="Tms Rmn" w:hAnsi="Tms Rmn"/>
        </w:rPr>
        <w:tab/>
      </w:r>
      <w:r>
        <w:t>any contraventions of the licence by a person covered by the licence; or</w:t>
      </w:r>
    </w:p>
    <w:p w:rsidR="00F93509" w:rsidRDefault="00F93509" w:rsidP="00F93509">
      <w:pPr>
        <w:pStyle w:val="Apara"/>
      </w:pPr>
      <w:r>
        <w:rPr>
          <w:rFonts w:ascii="Tms Rmn" w:hAnsi="Tms Rmn"/>
        </w:rPr>
        <w:tab/>
        <w:t>(c)</w:t>
      </w:r>
      <w:r>
        <w:rPr>
          <w:rFonts w:ascii="Tms Rmn" w:hAnsi="Tms Rmn"/>
        </w:rPr>
        <w:tab/>
      </w:r>
      <w:r>
        <w:t>any unintended effects of the dealings authorised by the licence.</w:t>
      </w:r>
    </w:p>
    <w:p w:rsidR="00F93509" w:rsidRDefault="00F93509" w:rsidP="00F93509">
      <w:pPr>
        <w:pStyle w:val="Amain"/>
        <w:keepNext/>
      </w:pPr>
      <w:r>
        <w:rPr>
          <w:rFonts w:ascii="Tms Rmn" w:hAnsi="Tms Rmn"/>
        </w:rPr>
        <w:tab/>
        <w:t>(2)</w:t>
      </w:r>
      <w:r>
        <w:rPr>
          <w:rFonts w:ascii="Tms Rmn" w:hAnsi="Tms Rmn"/>
        </w:rPr>
        <w:tab/>
      </w:r>
      <w:r>
        <w:t>For subsection (1)—</w:t>
      </w:r>
    </w:p>
    <w:p w:rsidR="00F93509" w:rsidRDefault="00F93509" w:rsidP="00F93509">
      <w:pPr>
        <w:pStyle w:val="Apara"/>
      </w:pPr>
      <w:r>
        <w:rPr>
          <w:rFonts w:ascii="Tms Rmn" w:hAnsi="Tms Rmn"/>
        </w:rPr>
        <w:tab/>
        <w:t>(a)</w:t>
      </w:r>
      <w:r>
        <w:rPr>
          <w:rFonts w:ascii="Tms Rmn" w:hAnsi="Tms Rmn"/>
        </w:rPr>
        <w:tab/>
      </w:r>
      <w:r>
        <w:t xml:space="preserve">the licence holder is taken to have become aware of additional information of a kind mentioned in subsection (1) if the licence holder was reckless about whether the information existed; and </w:t>
      </w:r>
    </w:p>
    <w:p w:rsidR="00F93509" w:rsidRDefault="00F93509" w:rsidP="00F93509">
      <w:pPr>
        <w:pStyle w:val="Apara"/>
        <w:keepLines/>
      </w:pPr>
      <w:r>
        <w:rPr>
          <w:rFonts w:ascii="Tms Rmn" w:hAnsi="Tms Rmn"/>
        </w:rPr>
        <w:tab/>
        <w:t>(b)</w:t>
      </w:r>
      <w:r>
        <w:rPr>
          <w:rFonts w:ascii="Tms Rmn" w:hAnsi="Tms Rmn"/>
        </w:rPr>
        <w:tab/>
      </w:r>
      <w:r>
        <w:t>the licence holder is taken to have become aware of contraventions, or unintended effects, of a kind mentioned in subsection (1) if the licence holder was reckless about whether the contraventions had happened, or the unintended effects existed.</w:t>
      </w:r>
    </w:p>
    <w:p w:rsidR="00F93509" w:rsidRDefault="00F93509" w:rsidP="00F93509">
      <w:pPr>
        <w:pStyle w:val="AH5Sec"/>
      </w:pPr>
      <w:bookmarkStart w:id="99" w:name="_Toc526844576"/>
      <w:r w:rsidRPr="00325B6A">
        <w:rPr>
          <w:rStyle w:val="CharSectNo"/>
        </w:rPr>
        <w:t>66</w:t>
      </w:r>
      <w:r>
        <w:tab/>
        <w:t>Person may give information to regulator</w:t>
      </w:r>
      <w:bookmarkEnd w:id="99"/>
    </w:p>
    <w:p w:rsidR="00F93509" w:rsidRDefault="00F93509" w:rsidP="00F93509">
      <w:pPr>
        <w:pStyle w:val="Amainreturn"/>
        <w:keepNext/>
      </w:pPr>
      <w:r>
        <w:t>A person covered by a licence may tell the regulator if the person becomes aware of any of the following:</w:t>
      </w:r>
    </w:p>
    <w:p w:rsidR="00F93509" w:rsidRDefault="00F93509" w:rsidP="00F93509">
      <w:pPr>
        <w:pStyle w:val="Apara"/>
      </w:pPr>
      <w:r>
        <w:rPr>
          <w:rFonts w:ascii="Tms Rmn" w:hAnsi="Tms Rmn"/>
        </w:rPr>
        <w:tab/>
        <w:t>(a)</w:t>
      </w:r>
      <w:r>
        <w:rPr>
          <w:rFonts w:ascii="Tms Rmn" w:hAnsi="Tms Rmn"/>
        </w:rPr>
        <w:tab/>
      </w:r>
      <w:r>
        <w:t xml:space="preserve">additional information about any risks to the health and safety of people, or to the environment, associated with the dealings authorised by the licence; </w:t>
      </w:r>
    </w:p>
    <w:p w:rsidR="00F93509" w:rsidRDefault="00F93509" w:rsidP="00F93509">
      <w:pPr>
        <w:pStyle w:val="Apara"/>
      </w:pPr>
      <w:r>
        <w:rPr>
          <w:rFonts w:ascii="Tms Rmn" w:hAnsi="Tms Rmn"/>
        </w:rPr>
        <w:tab/>
        <w:t>(b)</w:t>
      </w:r>
      <w:r>
        <w:rPr>
          <w:rFonts w:ascii="Tms Rmn" w:hAnsi="Tms Rmn"/>
        </w:rPr>
        <w:tab/>
      </w:r>
      <w:r>
        <w:t xml:space="preserve">any contraventions of the licence by a person covered by the licence; </w:t>
      </w:r>
    </w:p>
    <w:p w:rsidR="00F93509" w:rsidRDefault="00F93509" w:rsidP="00F93509">
      <w:pPr>
        <w:pStyle w:val="Apara"/>
      </w:pPr>
      <w:r>
        <w:rPr>
          <w:rFonts w:ascii="Tms Rmn" w:hAnsi="Tms Rmn"/>
        </w:rPr>
        <w:tab/>
        <w:t>(c)</w:t>
      </w:r>
      <w:r>
        <w:rPr>
          <w:rFonts w:ascii="Tms Rmn" w:hAnsi="Tms Rmn"/>
        </w:rPr>
        <w:tab/>
      </w:r>
      <w:r>
        <w:t>any unintended effects of the dealings authorised by the licence.</w:t>
      </w:r>
    </w:p>
    <w:p w:rsidR="00F93509" w:rsidRDefault="00F93509" w:rsidP="00F93509">
      <w:pPr>
        <w:pStyle w:val="AH5Sec"/>
      </w:pPr>
      <w:bookmarkStart w:id="100" w:name="_Toc526844577"/>
      <w:r w:rsidRPr="00325B6A">
        <w:rPr>
          <w:rStyle w:val="CharSectNo"/>
        </w:rPr>
        <w:t>67</w:t>
      </w:r>
      <w:r>
        <w:tab/>
        <w:t>Protection of persons who give information</w:t>
      </w:r>
      <w:bookmarkEnd w:id="100"/>
    </w:p>
    <w:p w:rsidR="00F93509" w:rsidRDefault="00F93509" w:rsidP="00F93509">
      <w:pPr>
        <w:pStyle w:val="Amainreturn"/>
      </w:pPr>
      <w:r>
        <w:t>A person does not incur any civil liability for loss, damage or injury of any kind suffered by someone else because the first person gave information to the regulator under section 65, section 66 or the</w:t>
      </w:r>
      <w:r w:rsidR="00D97422">
        <w:t xml:space="preserve"> </w:t>
      </w:r>
      <w:hyperlink r:id="rId97" w:tooltip="Gene Technology Act 2000" w:history="1">
        <w:r w:rsidR="00D97422" w:rsidRPr="00D97422">
          <w:rPr>
            <w:rStyle w:val="charCitHyperlinkAbbrev"/>
          </w:rPr>
          <w:t>Commonwealth Act</w:t>
        </w:r>
      </w:hyperlink>
      <w:r w:rsidR="00D97422">
        <w:t xml:space="preserve">, </w:t>
      </w:r>
      <w:r>
        <w:t>section 72D (2) (h).</w:t>
      </w:r>
    </w:p>
    <w:p w:rsidR="00F93509" w:rsidRPr="00325B6A" w:rsidRDefault="00F93509" w:rsidP="00F93509">
      <w:pPr>
        <w:pStyle w:val="AH3Div"/>
      </w:pPr>
      <w:bookmarkStart w:id="101" w:name="_Toc526844578"/>
      <w:r w:rsidRPr="00325B6A">
        <w:rPr>
          <w:rStyle w:val="CharDivNo"/>
        </w:rPr>
        <w:t>Division 5.7</w:t>
      </w:r>
      <w:r>
        <w:tab/>
      </w:r>
      <w:r w:rsidRPr="00325B6A">
        <w:rPr>
          <w:rStyle w:val="CharDivText"/>
        </w:rPr>
        <w:t>Suspension, cancellation and variation of licences</w:t>
      </w:r>
      <w:bookmarkEnd w:id="101"/>
    </w:p>
    <w:p w:rsidR="00F93509" w:rsidRDefault="00F93509" w:rsidP="00F93509">
      <w:pPr>
        <w:pStyle w:val="AH5Sec"/>
      </w:pPr>
      <w:bookmarkStart w:id="102" w:name="_Toc526844579"/>
      <w:r w:rsidRPr="00325B6A">
        <w:rPr>
          <w:rStyle w:val="CharSectNo"/>
        </w:rPr>
        <w:t>68</w:t>
      </w:r>
      <w:r>
        <w:tab/>
        <w:t>Suspension and cancellation of licence</w:t>
      </w:r>
      <w:bookmarkEnd w:id="102"/>
    </w:p>
    <w:p w:rsidR="00F93509" w:rsidRDefault="00F93509" w:rsidP="00F93509">
      <w:pPr>
        <w:pStyle w:val="Amainreturn"/>
      </w:pPr>
      <w:r>
        <w:t>The regulator may, by written notice given to the holder of a GMO licence, suspend or cancel the licence if—</w:t>
      </w:r>
    </w:p>
    <w:p w:rsidR="00F93509" w:rsidRDefault="00F93509" w:rsidP="00F93509">
      <w:pPr>
        <w:pStyle w:val="Apara"/>
      </w:pPr>
      <w:r>
        <w:rPr>
          <w:rFonts w:ascii="Tms Rmn" w:hAnsi="Tms Rmn"/>
        </w:rPr>
        <w:tab/>
        <w:t>(a)</w:t>
      </w:r>
      <w:r>
        <w:rPr>
          <w:rFonts w:ascii="Tms Rmn" w:hAnsi="Tms Rmn"/>
        </w:rPr>
        <w:tab/>
      </w:r>
      <w:r>
        <w:t>the regulator believes on reasonable grounds that a condition of the licence has been breached, whether by the licence holder or a person covered by the licence; or</w:t>
      </w:r>
    </w:p>
    <w:p w:rsidR="00F93509" w:rsidRDefault="00F93509" w:rsidP="00F93509">
      <w:pPr>
        <w:pStyle w:val="Apara"/>
      </w:pPr>
      <w:r>
        <w:rPr>
          <w:rFonts w:ascii="Tms Rmn" w:hAnsi="Tms Rmn"/>
        </w:rPr>
        <w:tab/>
        <w:t>(b)</w:t>
      </w:r>
      <w:r>
        <w:rPr>
          <w:rFonts w:ascii="Tms Rmn" w:hAnsi="Tms Rmn"/>
        </w:rPr>
        <w:tab/>
      </w:r>
      <w:r>
        <w:t>the regulator believes on reasonable grounds that the licence holder, or a person covered by the licence, has committed an offence against this Act; or</w:t>
      </w:r>
    </w:p>
    <w:p w:rsidR="00F93509" w:rsidRDefault="00F93509" w:rsidP="00F93509">
      <w:pPr>
        <w:pStyle w:val="Apara"/>
      </w:pPr>
      <w:r>
        <w:rPr>
          <w:rFonts w:ascii="Tms Rmn" w:hAnsi="Tms Rmn"/>
        </w:rPr>
        <w:tab/>
        <w:t>(c)</w:t>
      </w:r>
      <w:r>
        <w:rPr>
          <w:rFonts w:ascii="Tms Rmn" w:hAnsi="Tms Rmn"/>
        </w:rPr>
        <w:tab/>
      </w:r>
      <w:r>
        <w:t>any annual charge payable for the licence remains unpaid after the due date; or</w:t>
      </w:r>
    </w:p>
    <w:p w:rsidR="00F93509" w:rsidRDefault="00F93509" w:rsidP="00F93509">
      <w:pPr>
        <w:pStyle w:val="Apara"/>
      </w:pPr>
      <w:r>
        <w:rPr>
          <w:rFonts w:ascii="Tms Rmn" w:hAnsi="Tms Rmn"/>
        </w:rPr>
        <w:tab/>
        <w:t>(d)</w:t>
      </w:r>
      <w:r>
        <w:rPr>
          <w:rFonts w:ascii="Tms Rmn" w:hAnsi="Tms Rmn"/>
        </w:rPr>
        <w:tab/>
      </w:r>
      <w:r>
        <w:t>the licence was obtained improperly; or</w:t>
      </w:r>
    </w:p>
    <w:p w:rsidR="00F93509" w:rsidRDefault="00F93509" w:rsidP="00F93509">
      <w:pPr>
        <w:pStyle w:val="Apara"/>
      </w:pPr>
      <w:r>
        <w:rPr>
          <w:rFonts w:ascii="Tms Rmn" w:hAnsi="Tms Rmn"/>
        </w:rPr>
        <w:tab/>
        <w:t>(e)</w:t>
      </w:r>
      <w:r>
        <w:rPr>
          <w:rFonts w:ascii="Tms Rmn" w:hAnsi="Tms Rmn"/>
        </w:rPr>
        <w:tab/>
      </w:r>
      <w:r>
        <w:t>the regulator becomes aware of risks associated with the continuation of the dealings authorised by the licence, and is satisfied that the licence holder has not proposed, or is not in a position to implement, adequate measures to deal with the risks; or</w:t>
      </w:r>
    </w:p>
    <w:p w:rsidR="00F93509" w:rsidRDefault="00F93509" w:rsidP="00F93509">
      <w:pPr>
        <w:pStyle w:val="Apara"/>
      </w:pPr>
      <w:r>
        <w:rPr>
          <w:rFonts w:ascii="Tms Rmn" w:hAnsi="Tms Rmn"/>
        </w:rPr>
        <w:tab/>
        <w:t>(f)</w:t>
      </w:r>
      <w:r>
        <w:rPr>
          <w:rFonts w:ascii="Tms Rmn" w:hAnsi="Tms Rmn"/>
        </w:rPr>
        <w:tab/>
      </w:r>
      <w:r>
        <w:t>the regulator is satisfied that the licence holder is no longer a suitable person to hold the licence.</w:t>
      </w:r>
    </w:p>
    <w:p w:rsidR="00F93509" w:rsidRDefault="00F93509" w:rsidP="00F93509">
      <w:pPr>
        <w:pStyle w:val="AH5Sec"/>
      </w:pPr>
      <w:bookmarkStart w:id="103" w:name="_Toc526844580"/>
      <w:r w:rsidRPr="00325B6A">
        <w:rPr>
          <w:rStyle w:val="CharSectNo"/>
        </w:rPr>
        <w:t>69</w:t>
      </w:r>
      <w:r>
        <w:tab/>
        <w:t>Surrender of licence</w:t>
      </w:r>
      <w:bookmarkEnd w:id="103"/>
    </w:p>
    <w:p w:rsidR="00F93509" w:rsidRDefault="00F93509" w:rsidP="00F93509">
      <w:pPr>
        <w:pStyle w:val="Amainreturn"/>
      </w:pPr>
      <w:r>
        <w:t>A licence holder may surrender the licence with the regulator’s consent.</w:t>
      </w:r>
    </w:p>
    <w:p w:rsidR="00F93509" w:rsidRDefault="00F93509" w:rsidP="00F93509">
      <w:pPr>
        <w:pStyle w:val="AH5Sec"/>
      </w:pPr>
      <w:bookmarkStart w:id="104" w:name="_Toc526844581"/>
      <w:r w:rsidRPr="00325B6A">
        <w:rPr>
          <w:rStyle w:val="CharSectNo"/>
        </w:rPr>
        <w:t>70</w:t>
      </w:r>
      <w:r>
        <w:tab/>
        <w:t>Transfer of licences</w:t>
      </w:r>
      <w:bookmarkEnd w:id="104"/>
    </w:p>
    <w:p w:rsidR="00F93509" w:rsidRDefault="00F93509" w:rsidP="00F93509">
      <w:pPr>
        <w:pStyle w:val="Amain"/>
      </w:pPr>
      <w:r>
        <w:rPr>
          <w:rFonts w:ascii="Tms Rmn" w:hAnsi="Tms Rmn"/>
        </w:rPr>
        <w:tab/>
        <w:t>(1)</w:t>
      </w:r>
      <w:r>
        <w:rPr>
          <w:rFonts w:ascii="Tms Rmn" w:hAnsi="Tms Rmn"/>
        </w:rPr>
        <w:tab/>
      </w:r>
      <w:r>
        <w:t xml:space="preserve">The licence holder and someone else (the </w:t>
      </w:r>
      <w:r w:rsidRPr="00903C3C">
        <w:rPr>
          <w:rStyle w:val="charBoldItals"/>
        </w:rPr>
        <w:t>transferee</w:t>
      </w:r>
      <w:r>
        <w:t>) may jointly apply to the regulator for the licence to be transferred from the licence holder to the transferee.</w:t>
      </w:r>
    </w:p>
    <w:p w:rsidR="00F93509" w:rsidRDefault="00F93509" w:rsidP="00F93509">
      <w:pPr>
        <w:pStyle w:val="Amain"/>
      </w:pPr>
      <w:r>
        <w:rPr>
          <w:rFonts w:ascii="Tms Rmn" w:hAnsi="Tms Rmn"/>
        </w:rPr>
        <w:tab/>
        <w:t>(2)</w:t>
      </w:r>
      <w:r>
        <w:rPr>
          <w:rFonts w:ascii="Tms Rmn" w:hAnsi="Tms Rmn"/>
        </w:rPr>
        <w:tab/>
      </w:r>
      <w:r>
        <w:t>The application must be in writing, and must contain—</w:t>
      </w:r>
    </w:p>
    <w:p w:rsidR="00F93509" w:rsidRDefault="00F93509" w:rsidP="00F93509">
      <w:pPr>
        <w:pStyle w:val="Apara"/>
      </w:pPr>
      <w:r>
        <w:rPr>
          <w:rFonts w:ascii="Tms Rmn" w:hAnsi="Tms Rmn"/>
        </w:rPr>
        <w:tab/>
        <w:t>(a)</w:t>
      </w:r>
      <w:r>
        <w:rPr>
          <w:rFonts w:ascii="Tms Rmn" w:hAnsi="Tms Rmn"/>
        </w:rPr>
        <w:tab/>
      </w:r>
      <w:r>
        <w:t>the information (if any) prescribed by regulation; and</w:t>
      </w:r>
    </w:p>
    <w:p w:rsidR="00F93509" w:rsidRDefault="00F93509" w:rsidP="00F93509">
      <w:pPr>
        <w:pStyle w:val="Apara"/>
      </w:pPr>
      <w:r>
        <w:rPr>
          <w:rFonts w:ascii="Tms Rmn" w:hAnsi="Tms Rmn"/>
        </w:rPr>
        <w:tab/>
        <w:t>(b)</w:t>
      </w:r>
      <w:r>
        <w:rPr>
          <w:rFonts w:ascii="Tms Rmn" w:hAnsi="Tms Rmn"/>
        </w:rPr>
        <w:tab/>
      </w:r>
      <w:r>
        <w:t>the information specified in writing by the regulator.</w:t>
      </w:r>
    </w:p>
    <w:p w:rsidR="00F93509" w:rsidRDefault="00F93509" w:rsidP="00F93509">
      <w:pPr>
        <w:pStyle w:val="Amain"/>
      </w:pPr>
      <w:r>
        <w:rPr>
          <w:rFonts w:ascii="Tms Rmn" w:hAnsi="Tms Rmn"/>
        </w:rPr>
        <w:tab/>
        <w:t>(3)</w:t>
      </w:r>
      <w:r>
        <w:rPr>
          <w:rFonts w:ascii="Tms Rmn" w:hAnsi="Tms Rmn"/>
        </w:rPr>
        <w:tab/>
      </w:r>
      <w:r>
        <w:t>The regulator must not transfer the licence unless the regulator is satisfied that, if the licence is transferred, any risks posed by the dealings authorised by the licence will continue to be able to be managed in a way that protects—</w:t>
      </w:r>
    </w:p>
    <w:p w:rsidR="00F93509" w:rsidRDefault="00F93509" w:rsidP="00F93509">
      <w:pPr>
        <w:pStyle w:val="Apara"/>
        <w:keepNext/>
      </w:pPr>
      <w:r>
        <w:rPr>
          <w:rFonts w:ascii="Tms Rmn" w:hAnsi="Tms Rmn"/>
        </w:rPr>
        <w:tab/>
        <w:t>(a)</w:t>
      </w:r>
      <w:r>
        <w:rPr>
          <w:rFonts w:ascii="Tms Rmn" w:hAnsi="Tms Rmn"/>
        </w:rPr>
        <w:tab/>
      </w:r>
      <w:r>
        <w:t>the health and safety of people; and</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pPr>
      <w:r>
        <w:rPr>
          <w:rFonts w:ascii="Tms Rmn" w:hAnsi="Tms Rmn"/>
        </w:rPr>
        <w:tab/>
        <w:t>(4)</w:t>
      </w:r>
      <w:r>
        <w:rPr>
          <w:rFonts w:ascii="Tms Rmn" w:hAnsi="Tms Rmn"/>
        </w:rPr>
        <w:tab/>
      </w:r>
      <w:r>
        <w:t>The regulator must not transfer the licence unless the regulator is satisfied that the transferee is a suitable person to hold the licence.</w:t>
      </w:r>
    </w:p>
    <w:p w:rsidR="00F93509" w:rsidRDefault="00F93509" w:rsidP="00F93509">
      <w:pPr>
        <w:pStyle w:val="Amain"/>
      </w:pPr>
      <w:r>
        <w:rPr>
          <w:rFonts w:ascii="Tms Rmn" w:hAnsi="Tms Rmn"/>
        </w:rPr>
        <w:tab/>
        <w:t>(5)</w:t>
      </w:r>
      <w:r>
        <w:rPr>
          <w:rFonts w:ascii="Tms Rmn" w:hAnsi="Tms Rmn"/>
        </w:rPr>
        <w:tab/>
      </w:r>
      <w:r>
        <w:t>The regulator must give written notice of his or her decision on the application to the licence holder and the transferee.</w:t>
      </w:r>
    </w:p>
    <w:p w:rsidR="00F93509" w:rsidRDefault="00F93509" w:rsidP="00F93509">
      <w:pPr>
        <w:pStyle w:val="Amain"/>
      </w:pPr>
      <w:r>
        <w:rPr>
          <w:rFonts w:ascii="Tms Rmn" w:hAnsi="Tms Rmn"/>
        </w:rPr>
        <w:tab/>
        <w:t>(6)</w:t>
      </w:r>
      <w:r>
        <w:rPr>
          <w:rFonts w:ascii="Tms Rmn" w:hAnsi="Tms Rmn"/>
        </w:rPr>
        <w:tab/>
      </w:r>
      <w:r>
        <w:t>If the regulator decides to transfer the licence—</w:t>
      </w:r>
    </w:p>
    <w:p w:rsidR="00F93509" w:rsidRDefault="00F93509" w:rsidP="00F93509">
      <w:pPr>
        <w:pStyle w:val="Apara"/>
      </w:pPr>
      <w:r>
        <w:rPr>
          <w:rFonts w:ascii="Tms Rmn" w:hAnsi="Tms Rmn"/>
        </w:rPr>
        <w:tab/>
        <w:t>(a)</w:t>
      </w:r>
      <w:r>
        <w:rPr>
          <w:rFonts w:ascii="Tms Rmn" w:hAnsi="Tms Rmn"/>
        </w:rPr>
        <w:tab/>
      </w:r>
      <w:r>
        <w:t xml:space="preserve">the transfer takes effect on the date stated in the notice; and </w:t>
      </w:r>
    </w:p>
    <w:p w:rsidR="00F93509" w:rsidRDefault="00F93509" w:rsidP="00F93509">
      <w:pPr>
        <w:pStyle w:val="Apara"/>
      </w:pPr>
      <w:r>
        <w:rPr>
          <w:rFonts w:ascii="Tms Rmn" w:hAnsi="Tms Rmn"/>
        </w:rPr>
        <w:tab/>
        <w:t>(b)</w:t>
      </w:r>
      <w:r>
        <w:rPr>
          <w:rFonts w:ascii="Tms Rmn" w:hAnsi="Tms Rmn"/>
        </w:rPr>
        <w:tab/>
      </w:r>
      <w:r>
        <w:t xml:space="preserve">the licence continues in force as mentioned in section 60; and </w:t>
      </w:r>
    </w:p>
    <w:p w:rsidR="00F93509" w:rsidRDefault="00F93509" w:rsidP="00F93509">
      <w:pPr>
        <w:pStyle w:val="Apara"/>
      </w:pPr>
      <w:r>
        <w:rPr>
          <w:rFonts w:ascii="Tms Rmn" w:hAnsi="Tms Rmn"/>
        </w:rPr>
        <w:tab/>
        <w:t>(c)</w:t>
      </w:r>
      <w:r>
        <w:rPr>
          <w:rFonts w:ascii="Tms Rmn" w:hAnsi="Tms Rmn"/>
        </w:rPr>
        <w:tab/>
      </w:r>
      <w:r>
        <w:t>the licence is subject to the same conditions as the conditions in force immediately before the transfer.</w:t>
      </w:r>
    </w:p>
    <w:p w:rsidR="00F93509" w:rsidRDefault="00F93509" w:rsidP="00F93509">
      <w:pPr>
        <w:pStyle w:val="AH5Sec"/>
      </w:pPr>
      <w:bookmarkStart w:id="105" w:name="_Toc526844582"/>
      <w:r w:rsidRPr="00325B6A">
        <w:rPr>
          <w:rStyle w:val="CharSectNo"/>
        </w:rPr>
        <w:t>71</w:t>
      </w:r>
      <w:r>
        <w:tab/>
        <w:t>Variation of licence</w:t>
      </w:r>
      <w:bookmarkEnd w:id="105"/>
    </w:p>
    <w:p w:rsidR="00F93509" w:rsidRDefault="00F93509" w:rsidP="00F93509">
      <w:pPr>
        <w:pStyle w:val="Amain"/>
      </w:pPr>
      <w:r>
        <w:tab/>
        <w:t>(1)</w:t>
      </w:r>
      <w:r>
        <w:tab/>
        <w:t>The regulator may vary a licence, by written notice given to the licence holder—</w:t>
      </w:r>
    </w:p>
    <w:p w:rsidR="00F93509" w:rsidRDefault="00F93509" w:rsidP="00F93509">
      <w:pPr>
        <w:pStyle w:val="Apara"/>
      </w:pPr>
      <w:r>
        <w:tab/>
        <w:t>(a)</w:t>
      </w:r>
      <w:r>
        <w:tab/>
        <w:t>at any time, on the regulator’s own initiative; or</w:t>
      </w:r>
    </w:p>
    <w:p w:rsidR="00F93509" w:rsidRDefault="00F93509" w:rsidP="00F93509">
      <w:pPr>
        <w:pStyle w:val="Apara"/>
      </w:pPr>
      <w:r>
        <w:tab/>
        <w:t>(b)</w:t>
      </w:r>
      <w:r>
        <w:tab/>
        <w:t>on application by the licence holder.</w:t>
      </w:r>
    </w:p>
    <w:p w:rsidR="00F93509" w:rsidRDefault="00F93509" w:rsidP="00F93509">
      <w:pPr>
        <w:pStyle w:val="Amain"/>
      </w:pPr>
      <w:r>
        <w:tab/>
        <w:t>(1A)</w:t>
      </w:r>
      <w:r>
        <w:tab/>
        <w:t>An application for a variation must be in writing, and must contain—</w:t>
      </w:r>
    </w:p>
    <w:p w:rsidR="00F93509" w:rsidRDefault="00F93509" w:rsidP="00F93509">
      <w:pPr>
        <w:pStyle w:val="Apara"/>
      </w:pPr>
      <w:r>
        <w:tab/>
        <w:t>(a)</w:t>
      </w:r>
      <w:r>
        <w:tab/>
        <w:t>any information prescribed by regulation; and</w:t>
      </w:r>
    </w:p>
    <w:p w:rsidR="00F93509" w:rsidRDefault="00F93509" w:rsidP="00F93509">
      <w:pPr>
        <w:pStyle w:val="Apara"/>
      </w:pPr>
      <w:r>
        <w:tab/>
        <w:t>(b)</w:t>
      </w:r>
      <w:r>
        <w:tab/>
        <w:t>any information specified in writing by the regulator.</w:t>
      </w:r>
    </w:p>
    <w:p w:rsidR="00F93509" w:rsidRDefault="00F93509" w:rsidP="00F93509">
      <w:pPr>
        <w:pStyle w:val="Amain"/>
        <w:keepNext/>
      </w:pPr>
      <w:r>
        <w:rPr>
          <w:rFonts w:ascii="Tms Rmn" w:hAnsi="Tms Rmn"/>
        </w:rPr>
        <w:tab/>
        <w:t>(2)</w:t>
      </w:r>
      <w:r>
        <w:rPr>
          <w:rFonts w:ascii="Tms Rmn" w:hAnsi="Tms Rmn"/>
        </w:rPr>
        <w:tab/>
      </w:r>
      <w:r>
        <w:t>The regulator must not vary a licence to authorise dealings involving the intentional release of a GMO into the environment if the application for the licence was originally considered under division 5.3.</w:t>
      </w:r>
    </w:p>
    <w:p w:rsidR="00F93509" w:rsidRDefault="00F93509" w:rsidP="00F93509">
      <w:pPr>
        <w:pStyle w:val="aNote"/>
      </w:pPr>
      <w:r>
        <w:rPr>
          <w:rStyle w:val="charItals"/>
        </w:rPr>
        <w:t>Note</w:t>
      </w:r>
      <w:r>
        <w:tab/>
        <w:t>Applications may only be considered under div 5.3 if none of the dealings proposed to be authorised by the licence would involve the intentional release of a GMO into the environment.</w:t>
      </w:r>
    </w:p>
    <w:p w:rsidR="00F93509" w:rsidRDefault="00F93509" w:rsidP="00F93509">
      <w:pPr>
        <w:pStyle w:val="Amain"/>
      </w:pPr>
      <w:r>
        <w:tab/>
        <w:t>(2A)</w:t>
      </w:r>
      <w:r>
        <w:tab/>
        <w:t>The regulator must not vary a licence if the original application for the licence was an application to which section 50A applied, unless—</w:t>
      </w:r>
    </w:p>
    <w:p w:rsidR="00F93509" w:rsidRDefault="00F93509" w:rsidP="00F93509">
      <w:pPr>
        <w:pStyle w:val="Apara"/>
      </w:pPr>
      <w:r>
        <w:tab/>
        <w:t>(a)</w:t>
      </w:r>
      <w:r>
        <w:tab/>
        <w:t>the regulator is satisfied that the principal purpose of the licence as proposed to be varied is to enable the licence holder, and people covered by the licence, to conduct experiments; and</w:t>
      </w:r>
    </w:p>
    <w:p w:rsidR="00F93509" w:rsidRDefault="00F93509" w:rsidP="00F93509">
      <w:pPr>
        <w:pStyle w:val="Apara"/>
      </w:pPr>
      <w:r>
        <w:tab/>
        <w:t>(b)</w:t>
      </w:r>
      <w:r>
        <w:tab/>
        <w:t>the application for variation proposes, in relation to any GMO for which dealings are proposed to be authorised as a result of the variation—</w:t>
      </w:r>
    </w:p>
    <w:p w:rsidR="00F93509" w:rsidRDefault="00F93509" w:rsidP="00F93509">
      <w:pPr>
        <w:pStyle w:val="Asubpara"/>
      </w:pPr>
      <w:r>
        <w:tab/>
        <w:t>(i)</w:t>
      </w:r>
      <w:r>
        <w:tab/>
        <w:t>controls to restrict the dissemination or persistence of the GMO and its genetic material in the environment; and</w:t>
      </w:r>
    </w:p>
    <w:p w:rsidR="00F93509" w:rsidRDefault="00F93509" w:rsidP="00F93509">
      <w:pPr>
        <w:pStyle w:val="Asubpara"/>
      </w:pPr>
      <w:r>
        <w:tab/>
        <w:t>(ii)</w:t>
      </w:r>
      <w:r>
        <w:tab/>
        <w:t>limits on the proposed release of the GMO; and</w:t>
      </w:r>
    </w:p>
    <w:p w:rsidR="00F93509" w:rsidRDefault="00F93509" w:rsidP="00F93509">
      <w:pPr>
        <w:pStyle w:val="Apara"/>
      </w:pPr>
      <w:r>
        <w:tab/>
        <w:t>(c)</w:t>
      </w:r>
      <w:r>
        <w:tab/>
        <w:t>the regulator is satisfied that the controls and limits are of such a kind that it is appropriate for the regulator not to seek the advice mentioned in section 50 (3).</w:t>
      </w:r>
    </w:p>
    <w:p w:rsidR="00F93509" w:rsidRDefault="00F93509" w:rsidP="00F93509">
      <w:pPr>
        <w:pStyle w:val="aNote"/>
      </w:pPr>
      <w:r>
        <w:rPr>
          <w:rStyle w:val="charItals"/>
        </w:rPr>
        <w:t>Note</w:t>
      </w:r>
      <w:r>
        <w:rPr>
          <w:rStyle w:val="charItals"/>
        </w:rPr>
        <w:tab/>
      </w:r>
      <w:r>
        <w:t>Section 50A applies to an application that proposes controls and limits on the dissemination, persistence and release of the GMO concerned and is for the purpose of conducting experiments.</w:t>
      </w:r>
    </w:p>
    <w:p w:rsidR="002C7537" w:rsidRPr="00E2623C" w:rsidRDefault="002C7537" w:rsidP="002C7537">
      <w:pPr>
        <w:pStyle w:val="Amain"/>
      </w:pPr>
      <w:r w:rsidRPr="00E2623C">
        <w:tab/>
        <w:t>(2B)</w:t>
      </w:r>
      <w:r w:rsidRPr="00E2623C">
        <w:tab/>
        <w:t>If an application has been made for variation of a licence, the regulator must not vary the licence unless the regulator is satisfied that the risks posed by the dealings proposed to be authorised by the licence as varied are covered by—</w:t>
      </w:r>
    </w:p>
    <w:p w:rsidR="002C7537" w:rsidRPr="00E2623C" w:rsidRDefault="002C7537" w:rsidP="002C7537">
      <w:pPr>
        <w:pStyle w:val="Apara"/>
      </w:pPr>
      <w:r w:rsidRPr="00E2623C">
        <w:tab/>
        <w:t>(a)</w:t>
      </w:r>
      <w:r w:rsidRPr="00E2623C">
        <w:tab/>
        <w:t>the risk assessment and the risk management plan in relation to the original application for the licence; or</w:t>
      </w:r>
    </w:p>
    <w:p w:rsidR="002C7537" w:rsidRPr="00E2623C" w:rsidRDefault="002C7537" w:rsidP="002C7537">
      <w:pPr>
        <w:pStyle w:val="Apara"/>
      </w:pPr>
      <w:r w:rsidRPr="00E2623C">
        <w:tab/>
        <w:t>(b)</w:t>
      </w:r>
      <w:r w:rsidRPr="00E2623C">
        <w:tab/>
        <w:t>the risk assessment and the risk management plan in relation to an application for another licence, but only if that other licence was issued.</w:t>
      </w:r>
    </w:p>
    <w:p w:rsidR="00F93509" w:rsidRDefault="00F93509" w:rsidP="00F93509">
      <w:pPr>
        <w:pStyle w:val="Amain"/>
      </w:pPr>
      <w:r>
        <w:rPr>
          <w:rFonts w:ascii="Tms Rmn" w:hAnsi="Tms Rmn"/>
        </w:rPr>
        <w:tab/>
        <w:t>(3)</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licence conditions or additional licence conditions; or</w:t>
      </w:r>
    </w:p>
    <w:p w:rsidR="00F93509" w:rsidRDefault="00F93509" w:rsidP="00F93509">
      <w:pPr>
        <w:pStyle w:val="Apara"/>
      </w:pPr>
      <w:r>
        <w:rPr>
          <w:rFonts w:ascii="Tms Rmn" w:hAnsi="Tms Rmn"/>
        </w:rPr>
        <w:tab/>
        <w:t>(b)</w:t>
      </w:r>
      <w:r>
        <w:rPr>
          <w:rFonts w:ascii="Tms Rmn" w:hAnsi="Tms Rmn"/>
        </w:rPr>
        <w:tab/>
      </w:r>
      <w:r>
        <w:t>remove or vary licence conditions that were imposed by the regulator; or</w:t>
      </w:r>
    </w:p>
    <w:p w:rsidR="00F93509" w:rsidRDefault="00F93509" w:rsidP="00F93509">
      <w:pPr>
        <w:pStyle w:val="Apara"/>
      </w:pPr>
      <w:r>
        <w:rPr>
          <w:rFonts w:ascii="Tms Rmn" w:hAnsi="Tms Rmn"/>
        </w:rPr>
        <w:tab/>
        <w:t>(c)</w:t>
      </w:r>
      <w:r>
        <w:rPr>
          <w:rFonts w:ascii="Tms Rmn" w:hAnsi="Tms Rmn"/>
        </w:rPr>
        <w:tab/>
      </w:r>
      <w:r>
        <w:t>extend or reduce the authority granted by the licence.</w:t>
      </w:r>
    </w:p>
    <w:p w:rsidR="00F93509" w:rsidRDefault="00F93509" w:rsidP="00F93509">
      <w:pPr>
        <w:pStyle w:val="Amain"/>
        <w:keepNext/>
      </w:pPr>
      <w:r>
        <w:rPr>
          <w:rFonts w:ascii="Tms Rmn" w:hAnsi="Tms Rmn"/>
        </w:rPr>
        <w:tab/>
        <w:t>(4)</w:t>
      </w:r>
      <w:r>
        <w:rPr>
          <w:rFonts w:ascii="Tms Rmn" w:hAnsi="Tms Rmn"/>
        </w:rPr>
        <w:tab/>
      </w:r>
      <w:r>
        <w:t>The regulator must not vary a licence unless the regulator is satisfied that any risks posed by the dealings proposed to be authorised by the licence as varied are able to be managed in a way that protects—</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pPr>
      <w:r>
        <w:tab/>
        <w:t>(5)</w:t>
      </w:r>
      <w:r>
        <w:tab/>
        <w:t>The regulator must not vary a licence unless any local council that the regulator considers appropriate has been consulted about the proposed variation.</w:t>
      </w:r>
    </w:p>
    <w:p w:rsidR="00F93509" w:rsidRDefault="00F93509" w:rsidP="00F93509">
      <w:pPr>
        <w:pStyle w:val="Amain"/>
      </w:pPr>
      <w:r>
        <w:tab/>
        <w:t>(6)</w:t>
      </w:r>
      <w:r>
        <w:tab/>
        <w:t>The regulator must not vary a licence in the circumstances (if any) prescribed by regulation.</w:t>
      </w:r>
    </w:p>
    <w:p w:rsidR="00F93509" w:rsidRDefault="00F93509" w:rsidP="00F93509">
      <w:pPr>
        <w:pStyle w:val="Amain"/>
      </w:pPr>
      <w:r>
        <w:tab/>
        <w:t>(7)</w:t>
      </w:r>
      <w:r>
        <w:tab/>
        <w:t>If an application has been made for variation of a licence, the regulator must vary the licence or refuse to vary the licence, within the period (if any) prescribed by regulation.</w:t>
      </w:r>
    </w:p>
    <w:p w:rsidR="00F93509" w:rsidRDefault="00F93509" w:rsidP="00F93509">
      <w:pPr>
        <w:pStyle w:val="Amain"/>
      </w:pPr>
      <w:r>
        <w:tab/>
        <w:t>(8)</w:t>
      </w:r>
      <w:r>
        <w:tab/>
        <w:t>In this section:</w:t>
      </w:r>
    </w:p>
    <w:p w:rsidR="00F93509" w:rsidRDefault="00F93509" w:rsidP="00F93509">
      <w:pPr>
        <w:pStyle w:val="aDef"/>
      </w:pPr>
      <w:r>
        <w:rPr>
          <w:rStyle w:val="charBoldItals"/>
        </w:rPr>
        <w:t>controls</w:t>
      </w:r>
      <w:r>
        <w:t>—see section 50A (3).</w:t>
      </w:r>
    </w:p>
    <w:p w:rsidR="00F93509" w:rsidRDefault="00F93509" w:rsidP="00F93509">
      <w:pPr>
        <w:pStyle w:val="aDef"/>
      </w:pPr>
      <w:r>
        <w:rPr>
          <w:rStyle w:val="charBoldItals"/>
        </w:rPr>
        <w:t>limits</w:t>
      </w:r>
      <w:r>
        <w:t>—see section 50A (3).</w:t>
      </w:r>
    </w:p>
    <w:p w:rsidR="00F93509" w:rsidRDefault="00F93509" w:rsidP="00F93509">
      <w:pPr>
        <w:pStyle w:val="AH5Sec"/>
      </w:pPr>
      <w:bookmarkStart w:id="106" w:name="_Toc526844583"/>
      <w:r w:rsidRPr="00325B6A">
        <w:rPr>
          <w:rStyle w:val="CharSectNo"/>
        </w:rPr>
        <w:t>72</w:t>
      </w:r>
      <w:r>
        <w:tab/>
        <w:t>Regulator to notify of proposed suspension, cancellation or variation</w:t>
      </w:r>
      <w:bookmarkEnd w:id="106"/>
    </w:p>
    <w:p w:rsidR="00F93509" w:rsidRDefault="00F93509" w:rsidP="00F93509">
      <w:pPr>
        <w:pStyle w:val="Amain"/>
      </w:pPr>
      <w:r>
        <w:rPr>
          <w:rFonts w:ascii="Tms Rmn" w:hAnsi="Tms Rmn"/>
        </w:rPr>
        <w:tab/>
        <w:t>(1)</w:t>
      </w:r>
      <w:r>
        <w:rPr>
          <w:rFonts w:ascii="Tms Rmn" w:hAnsi="Tms Rmn"/>
        </w:rPr>
        <w:tab/>
      </w:r>
      <w:r>
        <w:t>Before suspending, cancelling or varying a licence under this division, the regulator must give written notice of the proposed suspension, cancellation or variation to the licence holder.</w:t>
      </w:r>
    </w:p>
    <w:p w:rsidR="00F93509" w:rsidRDefault="00F93509" w:rsidP="00F93509">
      <w:pPr>
        <w:pStyle w:val="Amain"/>
        <w:keepNext/>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must state that the regulator proposes to suspend, cancel or vary the licence; and</w:t>
      </w:r>
    </w:p>
    <w:p w:rsidR="00F93509" w:rsidRDefault="00F93509" w:rsidP="00F93509">
      <w:pPr>
        <w:pStyle w:val="Apara"/>
      </w:pPr>
      <w:r>
        <w:rPr>
          <w:rFonts w:ascii="Tms Rmn" w:hAnsi="Tms Rmn"/>
        </w:rPr>
        <w:tab/>
        <w:t>(b)</w:t>
      </w:r>
      <w:r>
        <w:rPr>
          <w:rFonts w:ascii="Tms Rmn" w:hAnsi="Tms Rmn"/>
        </w:rPr>
        <w:tab/>
      </w:r>
      <w:r>
        <w:t>may require the licence holder to give to the regulator any information of a kind stated in the notice that is relevant to the proposed suspension, cancellation or variation; and</w:t>
      </w:r>
    </w:p>
    <w:p w:rsidR="00F93509" w:rsidRDefault="00F93509" w:rsidP="00F93509">
      <w:pPr>
        <w:pStyle w:val="Apara"/>
      </w:pPr>
      <w:r>
        <w:rPr>
          <w:rFonts w:ascii="Tms Rmn" w:hAnsi="Tms Rmn"/>
        </w:rPr>
        <w:tab/>
        <w:t>(c)</w:t>
      </w:r>
      <w:r>
        <w:rPr>
          <w:rFonts w:ascii="Tms Rmn" w:hAnsi="Tms Rmn"/>
        </w:rPr>
        <w:tab/>
      </w:r>
      <w:r>
        <w:t>may invite the licence holder to make a written submission to the regulator about the proposed suspension, cancellation or variation.</w:t>
      </w:r>
    </w:p>
    <w:p w:rsidR="00F93509" w:rsidRDefault="00F93509" w:rsidP="00F93509">
      <w:pPr>
        <w:pStyle w:val="Amain"/>
        <w:keepNext/>
      </w:pPr>
      <w:r>
        <w:rPr>
          <w:rFonts w:ascii="Tms Rmn" w:hAnsi="Tms Rmn"/>
        </w:rPr>
        <w:tab/>
        <w:t>(3)</w:t>
      </w:r>
      <w:r>
        <w:rPr>
          <w:rFonts w:ascii="Tms Rmn" w:hAnsi="Tms Rmn"/>
        </w:rPr>
        <w:tab/>
      </w:r>
      <w:r>
        <w:t>The notice must state a period within which the licence holder—</w:t>
      </w:r>
    </w:p>
    <w:p w:rsidR="00F93509" w:rsidRDefault="00F93509" w:rsidP="00F93509">
      <w:pPr>
        <w:pStyle w:val="Apara"/>
        <w:keepNext/>
      </w:pPr>
      <w:r>
        <w:rPr>
          <w:rFonts w:ascii="Tms Rmn" w:hAnsi="Tms Rmn"/>
        </w:rPr>
        <w:tab/>
        <w:t>(a)</w:t>
      </w:r>
      <w:r>
        <w:rPr>
          <w:rFonts w:ascii="Tms Rmn" w:hAnsi="Tms Rmn"/>
        </w:rPr>
        <w:tab/>
      </w:r>
      <w:r>
        <w:t>must give the information mentioned in subsection (2) (b); and</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tab/>
        <w:t>(5)</w:t>
      </w:r>
      <w:r>
        <w:rPr>
          <w:rFonts w:ascii="Tms Rmn" w:hAnsi="Tms Rmn"/>
        </w:rPr>
        <w:tab/>
      </w:r>
      <w:r>
        <w:t>In considering whether to suspend, cancel or vary a licence, the regulator must have regard to any submission made under subsection (2) (c).</w:t>
      </w:r>
    </w:p>
    <w:p w:rsidR="00F93509" w:rsidRDefault="00F93509" w:rsidP="00F93509">
      <w:pPr>
        <w:pStyle w:val="Amain"/>
      </w:pPr>
      <w:r>
        <w:rPr>
          <w:rFonts w:ascii="Tms Rmn" w:hAnsi="Tms Rmn"/>
        </w:rPr>
        <w:tab/>
        <w:t>(6)</w:t>
      </w:r>
      <w:r>
        <w:rPr>
          <w:rFonts w:ascii="Tms Rmn" w:hAnsi="Tms Rmn"/>
        </w:rPr>
        <w:tab/>
      </w:r>
      <w:r>
        <w:t>This section does not apply to a suspension, cancellation or variation requested by the licence holder.</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 licence if the regulator considers that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 licence if the regulator is satisfied that the variation is of minor significance or complexity.</w:t>
      </w:r>
    </w:p>
    <w:p w:rsidR="00F93509" w:rsidRPr="00325B6A" w:rsidRDefault="00F93509" w:rsidP="00F93509">
      <w:pPr>
        <w:pStyle w:val="AH3Div"/>
      </w:pPr>
      <w:bookmarkStart w:id="107" w:name="_Toc526844584"/>
      <w:r w:rsidRPr="00325B6A">
        <w:rPr>
          <w:rStyle w:val="CharDivNo"/>
        </w:rPr>
        <w:t>Division 5.8</w:t>
      </w:r>
      <w:r>
        <w:tab/>
      </w:r>
      <w:r w:rsidRPr="00325B6A">
        <w:rPr>
          <w:rStyle w:val="CharDivText"/>
        </w:rPr>
        <w:t>Annual charge</w:t>
      </w:r>
      <w:bookmarkEnd w:id="107"/>
    </w:p>
    <w:p w:rsidR="00F93509" w:rsidRDefault="00F93509" w:rsidP="00F93509">
      <w:pPr>
        <w:pStyle w:val="AH5Sec"/>
      </w:pPr>
      <w:bookmarkStart w:id="108" w:name="_Toc526844585"/>
      <w:r w:rsidRPr="00325B6A">
        <w:rPr>
          <w:rStyle w:val="CharSectNo"/>
        </w:rPr>
        <w:t>72AA</w:t>
      </w:r>
      <w:r>
        <w:tab/>
        <w:t>GMO licence—annual charge</w:t>
      </w:r>
      <w:bookmarkEnd w:id="108"/>
    </w:p>
    <w:p w:rsidR="00F93509" w:rsidRDefault="00F93509" w:rsidP="00F93509">
      <w:pPr>
        <w:pStyle w:val="Amain"/>
      </w:pPr>
      <w:r>
        <w:rPr>
          <w:rFonts w:ascii="Tms Rmn" w:hAnsi="Tms Rmn"/>
        </w:rPr>
        <w:tab/>
        <w:t>(1)</w:t>
      </w:r>
      <w:r>
        <w:rPr>
          <w:rFonts w:ascii="Tms Rmn" w:hAnsi="Tms Rmn"/>
        </w:rPr>
        <w:tab/>
      </w:r>
      <w:r>
        <w:t>A person who is the holder of a GMO licence at any time during a financial year is liable to pay a charge for the licence for the year.</w:t>
      </w:r>
    </w:p>
    <w:p w:rsidR="00F93509" w:rsidRDefault="00F93509" w:rsidP="00F93509">
      <w:pPr>
        <w:pStyle w:val="Amain"/>
      </w:pPr>
      <w:r>
        <w:rPr>
          <w:rFonts w:ascii="Tms Rmn" w:hAnsi="Tms Rmn"/>
        </w:rPr>
        <w:tab/>
        <w:t>(2)</w:t>
      </w:r>
      <w:r>
        <w:rPr>
          <w:rFonts w:ascii="Tms Rmn" w:hAnsi="Tms Rmn"/>
        </w:rPr>
        <w:tab/>
      </w:r>
      <w:r>
        <w:t>The amount of the charge for a financial year is the amount prescribed by regulation.</w:t>
      </w:r>
    </w:p>
    <w:p w:rsidR="00F93509" w:rsidRDefault="00F93509" w:rsidP="00F93509">
      <w:pPr>
        <w:pStyle w:val="Amain"/>
        <w:keepNext/>
      </w:pPr>
      <w:r>
        <w:rPr>
          <w:rFonts w:ascii="Tms Rmn" w:hAnsi="Tms Rmn"/>
        </w:rPr>
        <w:tab/>
        <w:t>(3)</w:t>
      </w:r>
      <w:r>
        <w:rPr>
          <w:rFonts w:ascii="Tms Rmn" w:hAnsi="Tms Rmn"/>
        </w:rPr>
        <w:tab/>
      </w:r>
      <w:r>
        <w:t>The amount prescribed may be in the nature of a tax and not be related to the cost of providing any service.</w:t>
      </w:r>
    </w:p>
    <w:p w:rsidR="00F93509" w:rsidRDefault="00F93509" w:rsidP="00F93509">
      <w:pPr>
        <w:pStyle w:val="aNote"/>
      </w:pPr>
      <w:r>
        <w:rPr>
          <w:rStyle w:val="charItals"/>
        </w:rPr>
        <w:t>Note</w:t>
      </w:r>
      <w:r>
        <w:tab/>
        <w:t>This section does not appear in the</w:t>
      </w:r>
      <w:r w:rsidR="002A3EB2">
        <w:t xml:space="preserve"> </w:t>
      </w:r>
      <w:hyperlink r:id="rId98" w:tooltip="Gene Technology Act 2000" w:history="1">
        <w:r w:rsidR="002A3EB2" w:rsidRPr="002A3EB2">
          <w:rPr>
            <w:rStyle w:val="charCitHyperlinkAbbrev"/>
          </w:rPr>
          <w:t>Commonwealth Act</w:t>
        </w:r>
      </w:hyperlink>
      <w:r w:rsidR="002A3EB2">
        <w:t xml:space="preserve">. </w:t>
      </w:r>
      <w:r>
        <w:t xml:space="preserve"> Provision is included, however, in the </w:t>
      </w:r>
      <w:hyperlink r:id="rId99" w:tooltip="Act 2000 No 171 (Cwlth)" w:history="1">
        <w:r w:rsidRPr="007E0696">
          <w:rPr>
            <w:rStyle w:val="charCitHyperlinkItal"/>
          </w:rPr>
          <w:t>Gene Technology (Licence Charges) Act 2000</w:t>
        </w:r>
      </w:hyperlink>
      <w:r>
        <w:t xml:space="preserve"> (Cwlth) for the imposition of an annual charge for a GMO licence.</w:t>
      </w:r>
    </w:p>
    <w:p w:rsidR="00F93509" w:rsidRDefault="00F93509" w:rsidP="00F93509">
      <w:pPr>
        <w:pStyle w:val="PageBreak"/>
      </w:pPr>
      <w:r>
        <w:br w:type="page"/>
      </w:r>
    </w:p>
    <w:p w:rsidR="00F93509" w:rsidRPr="00325B6A" w:rsidRDefault="00F93509" w:rsidP="00F93509">
      <w:pPr>
        <w:pStyle w:val="AH2Part"/>
      </w:pPr>
      <w:bookmarkStart w:id="109" w:name="_Toc526844586"/>
      <w:r w:rsidRPr="00325B6A">
        <w:rPr>
          <w:rStyle w:val="CharPartNo"/>
        </w:rPr>
        <w:t>Part 5A</w:t>
      </w:r>
      <w:r>
        <w:tab/>
      </w:r>
      <w:r w:rsidRPr="00325B6A">
        <w:rPr>
          <w:rStyle w:val="CharPartText"/>
        </w:rPr>
        <w:t>Emergency dealing determinations</w:t>
      </w:r>
      <w:bookmarkEnd w:id="109"/>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Note"/>
        <w:keepNext/>
        <w:rPr>
          <w:rStyle w:val="charItals"/>
        </w:rPr>
      </w:pPr>
      <w:r>
        <w:rPr>
          <w:rStyle w:val="charItals"/>
        </w:rPr>
        <w:t>Note to pt 5A</w:t>
      </w:r>
    </w:p>
    <w:p w:rsidR="00F93509" w:rsidRDefault="00F93509" w:rsidP="00F93509">
      <w:pPr>
        <w:pStyle w:val="aNote"/>
      </w:pPr>
      <w:r>
        <w:t>This part differs from the</w:t>
      </w:r>
      <w:r w:rsidR="002A3EB2">
        <w:t xml:space="preserve"> </w:t>
      </w:r>
      <w:hyperlink r:id="rId100" w:tooltip="Gene Technology Act 2000" w:history="1">
        <w:r w:rsidR="002A3EB2" w:rsidRPr="002A3EB2">
          <w:rPr>
            <w:rStyle w:val="charCitHyperlinkAbbrev"/>
          </w:rPr>
          <w:t>Commonwealth Act</w:t>
        </w:r>
      </w:hyperlink>
      <w:r w:rsidR="002A3EB2">
        <w:t xml:space="preserve">, </w:t>
      </w:r>
      <w:r>
        <w:t>pt 5A.</w:t>
      </w:r>
    </w:p>
    <w:p w:rsidR="00F93509" w:rsidRDefault="00F93509" w:rsidP="00F93509">
      <w:pPr>
        <w:pStyle w:val="AH5Sec"/>
      </w:pPr>
      <w:bookmarkStart w:id="110" w:name="_Toc526844587"/>
      <w:r w:rsidRPr="00325B6A">
        <w:rPr>
          <w:rStyle w:val="CharSectNo"/>
        </w:rPr>
        <w:t>72A</w:t>
      </w:r>
      <w:r>
        <w:tab/>
        <w:t>Application of Commonwealth emergency dealing determinations</w:t>
      </w:r>
      <w:bookmarkEnd w:id="110"/>
    </w:p>
    <w:p w:rsidR="00F93509" w:rsidRDefault="00F93509" w:rsidP="00F93509">
      <w:pPr>
        <w:pStyle w:val="Amainreturn"/>
        <w:keepNext/>
      </w:pPr>
      <w:r>
        <w:t>An emergency dealing determination in force under the</w:t>
      </w:r>
      <w:r w:rsidR="002A3EB2">
        <w:t xml:space="preserve"> </w:t>
      </w:r>
      <w:hyperlink r:id="rId101" w:tooltip="Gene Technology Act 2000" w:history="1">
        <w:r w:rsidR="002A3EB2" w:rsidRPr="002A3EB2">
          <w:rPr>
            <w:rStyle w:val="charCitHyperlinkAbbrev"/>
          </w:rPr>
          <w:t>Commonwealth Act</w:t>
        </w:r>
      </w:hyperlink>
      <w:r w:rsidR="002A3EB2">
        <w:t xml:space="preserve">, </w:t>
      </w:r>
      <w:r>
        <w:t>section 72B applies, as far as applicable, as a law of the Territory.</w:t>
      </w:r>
    </w:p>
    <w:p w:rsidR="00F93509" w:rsidRDefault="00F93509" w:rsidP="00F93509">
      <w:pPr>
        <w:pStyle w:val="aNote"/>
      </w:pPr>
      <w:r>
        <w:rPr>
          <w:rStyle w:val="charItals"/>
        </w:rPr>
        <w:t>Note</w:t>
      </w:r>
      <w:r>
        <w:rPr>
          <w:rStyle w:val="charItals"/>
        </w:rPr>
        <w:tab/>
      </w:r>
      <w:r>
        <w:t>This section differs from the</w:t>
      </w:r>
      <w:r w:rsidR="002A3EB2">
        <w:t xml:space="preserve"> </w:t>
      </w:r>
      <w:hyperlink r:id="rId102" w:tooltip="Gene Technology Act 2000" w:history="1">
        <w:r w:rsidR="002A3EB2" w:rsidRPr="002A3EB2">
          <w:rPr>
            <w:rStyle w:val="charCitHyperlinkAbbrev"/>
          </w:rPr>
          <w:t>Commonwealth Act</w:t>
        </w:r>
      </w:hyperlink>
      <w:r w:rsidR="002A3EB2">
        <w:t xml:space="preserve">, </w:t>
      </w:r>
      <w:r>
        <w:t>s 72A.</w:t>
      </w:r>
    </w:p>
    <w:p w:rsidR="00F93509" w:rsidRDefault="00F93509" w:rsidP="00F93509">
      <w:pPr>
        <w:pStyle w:val="AH5Sec"/>
      </w:pPr>
      <w:bookmarkStart w:id="111" w:name="_Toc526844588"/>
      <w:r w:rsidRPr="00325B6A">
        <w:rPr>
          <w:rStyle w:val="CharSectNo"/>
        </w:rPr>
        <w:t>72B</w:t>
      </w:r>
      <w:r>
        <w:tab/>
        <w:t>Minister may make emergency dealing determination</w:t>
      </w:r>
      <w:bookmarkEnd w:id="111"/>
    </w:p>
    <w:p w:rsidR="00F93509" w:rsidRDefault="00F93509" w:rsidP="00F93509">
      <w:pPr>
        <w:pStyle w:val="aNote"/>
      </w:pPr>
      <w:r>
        <w:rPr>
          <w:rStyle w:val="charItals"/>
        </w:rPr>
        <w:t>Note</w:t>
      </w:r>
      <w:r>
        <w:rPr>
          <w:rStyle w:val="charItals"/>
        </w:rPr>
        <w:tab/>
      </w:r>
      <w:r>
        <w:t>The</w:t>
      </w:r>
      <w:r w:rsidR="002A3EB2">
        <w:t xml:space="preserve"> </w:t>
      </w:r>
      <w:hyperlink r:id="rId103" w:tooltip="Gene Technology Act 2000" w:history="1">
        <w:r w:rsidR="002A3EB2" w:rsidRPr="002A3EB2">
          <w:rPr>
            <w:rStyle w:val="charCitHyperlinkAbbrev"/>
          </w:rPr>
          <w:t>Commonwealth Act</w:t>
        </w:r>
      </w:hyperlink>
      <w:r w:rsidR="002A3EB2">
        <w:t xml:space="preserve">, </w:t>
      </w:r>
      <w:r>
        <w:t>s 72B permits the Commonwealth Minister to make emergency dealing determinations with a GMO for the purposes of the</w:t>
      </w:r>
      <w:r w:rsidR="002A3EB2">
        <w:t xml:space="preserve"> </w:t>
      </w:r>
      <w:hyperlink r:id="rId104" w:tooltip="Gene Technology Act 2000" w:history="1">
        <w:r w:rsidR="002A3EB2" w:rsidRPr="002A3EB2">
          <w:rPr>
            <w:rStyle w:val="charCitHyperlinkAbbrev"/>
          </w:rPr>
          <w:t>Commonwealth Act</w:t>
        </w:r>
      </w:hyperlink>
      <w:r w:rsidR="002A3EB2">
        <w:t xml:space="preserve">, </w:t>
      </w:r>
      <w:r>
        <w:t>part 5A.</w:t>
      </w:r>
    </w:p>
    <w:p w:rsidR="00F93509" w:rsidRDefault="00F93509" w:rsidP="00F93509">
      <w:pPr>
        <w:pStyle w:val="AH5Sec"/>
      </w:pPr>
      <w:bookmarkStart w:id="112" w:name="_Toc526844589"/>
      <w:r w:rsidRPr="00325B6A">
        <w:rPr>
          <w:rStyle w:val="CharSectNo"/>
        </w:rPr>
        <w:t>72C</w:t>
      </w:r>
      <w:r>
        <w:tab/>
        <w:t>Period of effect of emergency dealing determination</w:t>
      </w:r>
      <w:bookmarkEnd w:id="112"/>
    </w:p>
    <w:p w:rsidR="00F93509" w:rsidRDefault="00F93509" w:rsidP="00F93509">
      <w:pPr>
        <w:pStyle w:val="aNote"/>
      </w:pPr>
      <w:r>
        <w:rPr>
          <w:rStyle w:val="charItals"/>
        </w:rPr>
        <w:t>Note</w:t>
      </w:r>
      <w:r>
        <w:rPr>
          <w:rStyle w:val="charItals"/>
        </w:rPr>
        <w:tab/>
      </w:r>
      <w:r>
        <w:t>The</w:t>
      </w:r>
      <w:r w:rsidR="002A3EB2">
        <w:t xml:space="preserve"> </w:t>
      </w:r>
      <w:hyperlink r:id="rId105" w:tooltip="Gene Technology Act 2000" w:history="1">
        <w:r w:rsidR="002A3EB2" w:rsidRPr="002A3EB2">
          <w:rPr>
            <w:rStyle w:val="charCitHyperlinkAbbrev"/>
          </w:rPr>
          <w:t>Commonwealth Act</w:t>
        </w:r>
      </w:hyperlink>
      <w:r w:rsidR="002A3EB2">
        <w:t xml:space="preserve">, </w:t>
      </w:r>
      <w:r>
        <w:t>s 72C provides for when an emergency dealing determination takes effect, when it ceases to have effect and how the period of effect may be extended by the Commonwealth Minister responsible for emergency dealing determinations.</w:t>
      </w:r>
    </w:p>
    <w:p w:rsidR="00F93509" w:rsidRDefault="00F93509" w:rsidP="00F93509">
      <w:pPr>
        <w:pStyle w:val="AH5Sec"/>
      </w:pPr>
      <w:bookmarkStart w:id="113" w:name="_Toc526844590"/>
      <w:r w:rsidRPr="00325B6A">
        <w:rPr>
          <w:rStyle w:val="CharSectNo"/>
        </w:rPr>
        <w:t>72D</w:t>
      </w:r>
      <w:r>
        <w:tab/>
        <w:t>Emergency dealing determination authorises dealings, subject to conditions</w:t>
      </w:r>
      <w:bookmarkEnd w:id="113"/>
    </w:p>
    <w:p w:rsidR="00F93509" w:rsidRDefault="00F93509" w:rsidP="00F93509">
      <w:pPr>
        <w:pStyle w:val="aNote"/>
      </w:pPr>
      <w:r>
        <w:rPr>
          <w:rStyle w:val="charItals"/>
        </w:rPr>
        <w:t>Note</w:t>
      </w:r>
      <w:r>
        <w:rPr>
          <w:rStyle w:val="charItals"/>
        </w:rPr>
        <w:tab/>
      </w:r>
      <w:r>
        <w:t>The</w:t>
      </w:r>
      <w:r w:rsidR="00A023DA">
        <w:t xml:space="preserve"> </w:t>
      </w:r>
      <w:hyperlink r:id="rId106" w:tooltip="Gene Technology Act 2000" w:history="1">
        <w:r w:rsidR="00A023DA" w:rsidRPr="00A023DA">
          <w:rPr>
            <w:rStyle w:val="charCitHyperlinkAbbrev"/>
          </w:rPr>
          <w:t>Commonwealth Act</w:t>
        </w:r>
      </w:hyperlink>
      <w:r w:rsidR="00A023DA">
        <w:t xml:space="preserve">, </w:t>
      </w:r>
      <w:r>
        <w:t>s 72D authorises dealings with a GMO subject to conditions, including those referred to in s 72D (2).</w:t>
      </w:r>
    </w:p>
    <w:p w:rsidR="00F93509" w:rsidRDefault="00F93509" w:rsidP="00F93509">
      <w:pPr>
        <w:pStyle w:val="AH5Sec"/>
      </w:pPr>
      <w:bookmarkStart w:id="114" w:name="_Toc526844591"/>
      <w:r w:rsidRPr="00325B6A">
        <w:rPr>
          <w:rStyle w:val="CharSectNo"/>
        </w:rPr>
        <w:t>72E</w:t>
      </w:r>
      <w:r>
        <w:tab/>
        <w:t>Variation, suspension and revocation of emergency dealing determination</w:t>
      </w:r>
      <w:bookmarkEnd w:id="114"/>
    </w:p>
    <w:p w:rsidR="00F93509" w:rsidRDefault="00F93509" w:rsidP="00F93509">
      <w:pPr>
        <w:pStyle w:val="aNote"/>
        <w:keepLines/>
      </w:pPr>
      <w:r>
        <w:rPr>
          <w:rStyle w:val="charItals"/>
        </w:rPr>
        <w:t xml:space="preserve">Note </w:t>
      </w:r>
      <w:r>
        <w:rPr>
          <w:rStyle w:val="charItals"/>
        </w:rPr>
        <w:tab/>
      </w:r>
      <w:r>
        <w:t>Under the</w:t>
      </w:r>
      <w:r w:rsidR="00A023DA">
        <w:t xml:space="preserve"> </w:t>
      </w:r>
      <w:hyperlink r:id="rId107" w:tooltip="Gene Technology Act 2000" w:history="1">
        <w:r w:rsidR="00A023DA" w:rsidRPr="00A023DA">
          <w:rPr>
            <w:rStyle w:val="charCitHyperlinkAbbrev"/>
          </w:rPr>
          <w:t>Commonwealth Act</w:t>
        </w:r>
      </w:hyperlink>
      <w:r w:rsidR="00A023DA">
        <w:t xml:space="preserve">, </w:t>
      </w:r>
      <w:r>
        <w:t xml:space="preserve">s 72E, the Commonwealth Minister responsible for emergency dealing determinations may suspend an emergency dealing determination, revoke an emergency dealing determination or vary the conditions to which an emergency dealing determination is subject. </w:t>
      </w:r>
    </w:p>
    <w:p w:rsidR="00F93509" w:rsidRDefault="00F93509" w:rsidP="00F93509">
      <w:pPr>
        <w:pStyle w:val="PageBreak"/>
      </w:pPr>
      <w:r>
        <w:br w:type="page"/>
      </w:r>
    </w:p>
    <w:p w:rsidR="00F93509" w:rsidRPr="00325B6A" w:rsidRDefault="00F93509" w:rsidP="00F93509">
      <w:pPr>
        <w:pStyle w:val="AH2Part"/>
      </w:pPr>
      <w:bookmarkStart w:id="115" w:name="_Toc526844592"/>
      <w:r w:rsidRPr="00325B6A">
        <w:rPr>
          <w:rStyle w:val="CharPartNo"/>
        </w:rPr>
        <w:t>Part 6</w:t>
      </w:r>
      <w:r>
        <w:tab/>
      </w:r>
      <w:r w:rsidRPr="00325B6A">
        <w:rPr>
          <w:rStyle w:val="CharPartText"/>
        </w:rPr>
        <w:t>Regulation of notifiable low risk dealings on GMO register</w:t>
      </w:r>
      <w:bookmarkEnd w:id="115"/>
    </w:p>
    <w:p w:rsidR="00F93509" w:rsidRPr="00325B6A" w:rsidRDefault="00F93509" w:rsidP="00F93509">
      <w:pPr>
        <w:pStyle w:val="AH3Div"/>
      </w:pPr>
      <w:bookmarkStart w:id="116" w:name="_Toc526844593"/>
      <w:r w:rsidRPr="00325B6A">
        <w:rPr>
          <w:rStyle w:val="CharDivNo"/>
        </w:rPr>
        <w:t>Division 6.1</w:t>
      </w:r>
      <w:r>
        <w:tab/>
      </w:r>
      <w:r w:rsidRPr="00325B6A">
        <w:rPr>
          <w:rStyle w:val="CharDivText"/>
        </w:rPr>
        <w:t>Simplified outline of pt 6</w:t>
      </w:r>
      <w:bookmarkEnd w:id="116"/>
    </w:p>
    <w:p w:rsidR="00F93509" w:rsidRDefault="00F93509" w:rsidP="00F93509">
      <w:pPr>
        <w:pStyle w:val="AH5Sec"/>
      </w:pPr>
      <w:bookmarkStart w:id="117" w:name="_Toc526844594"/>
      <w:r w:rsidRPr="00325B6A">
        <w:rPr>
          <w:rStyle w:val="CharSectNo"/>
        </w:rPr>
        <w:t>73</w:t>
      </w:r>
      <w:r>
        <w:tab/>
        <w:t>Simplified outline—pt 6</w:t>
      </w:r>
      <w:bookmarkEnd w:id="117"/>
    </w:p>
    <w:p w:rsidR="00F93509" w:rsidRDefault="00F93509" w:rsidP="00F93509">
      <w:pPr>
        <w:pStyle w:val="Amainreturn"/>
      </w:pPr>
      <w:r>
        <w:t>In outline, this part—</w:t>
      </w:r>
    </w:p>
    <w:p w:rsidR="00F93509" w:rsidRDefault="00F93509" w:rsidP="00F93509">
      <w:pPr>
        <w:pStyle w:val="Apara"/>
      </w:pPr>
      <w:r>
        <w:tab/>
        <w:t>(a)</w:t>
      </w:r>
      <w:r>
        <w:tab/>
        <w:t>establishes a mechanism for the regulations to regulate certain dealings with GMOs (</w:t>
      </w:r>
      <w:r w:rsidRPr="00903C3C">
        <w:rPr>
          <w:rStyle w:val="charBoldItals"/>
        </w:rPr>
        <w:t>notifiable low risk dealings</w:t>
      </w:r>
      <w:r>
        <w:t>) that do not involve the intentional release of GMOs into the environment (see division 6.2); and</w:t>
      </w:r>
    </w:p>
    <w:p w:rsidR="00F93509" w:rsidRDefault="00F93509" w:rsidP="00F93509">
      <w:pPr>
        <w:pStyle w:val="Apara"/>
      </w:pPr>
      <w:r>
        <w:tab/>
        <w:t>(b)</w:t>
      </w:r>
      <w:r>
        <w:tab/>
        <w:t>provides that a regulation may, among other things, require that the regulator be notified of the dealings; and</w:t>
      </w:r>
    </w:p>
    <w:p w:rsidR="00F93509" w:rsidRDefault="00F93509" w:rsidP="00F93509">
      <w:pPr>
        <w:pStyle w:val="Apara"/>
      </w:pPr>
      <w:r>
        <w:tab/>
        <w:t>(c)</w:t>
      </w:r>
      <w:r>
        <w:tab/>
        <w:t>enables the regulator to determine that certain dealings previously authorised by a licence be included on the GMO register; and</w:t>
      </w:r>
    </w:p>
    <w:p w:rsidR="00F93509" w:rsidRDefault="00F93509" w:rsidP="00F93509">
      <w:pPr>
        <w:pStyle w:val="Apara"/>
      </w:pPr>
      <w:r>
        <w:tab/>
        <w:t>(d)</w:t>
      </w:r>
      <w:r>
        <w:tab/>
        <w:t>ensures that, if a dealing is included on the GMO register, anyone may undertake the dealing, subject to stated conditions.</w:t>
      </w:r>
    </w:p>
    <w:p w:rsidR="00F93509" w:rsidRPr="00325B6A" w:rsidRDefault="00F93509" w:rsidP="00F93509">
      <w:pPr>
        <w:pStyle w:val="AH3Div"/>
      </w:pPr>
      <w:bookmarkStart w:id="118" w:name="_Toc526844595"/>
      <w:r w:rsidRPr="00325B6A">
        <w:rPr>
          <w:rStyle w:val="CharDivNo"/>
        </w:rPr>
        <w:t>Division 6.2</w:t>
      </w:r>
      <w:r>
        <w:tab/>
      </w:r>
      <w:r w:rsidRPr="00325B6A">
        <w:rPr>
          <w:rStyle w:val="CharDivText"/>
        </w:rPr>
        <w:t>Notifiable low risk dealings</w:t>
      </w:r>
      <w:bookmarkEnd w:id="118"/>
    </w:p>
    <w:p w:rsidR="00F93509" w:rsidRDefault="00F93509" w:rsidP="00F93509">
      <w:pPr>
        <w:pStyle w:val="AH5Sec"/>
      </w:pPr>
      <w:bookmarkStart w:id="119" w:name="_Toc526844596"/>
      <w:r w:rsidRPr="00325B6A">
        <w:rPr>
          <w:rStyle w:val="CharSectNo"/>
        </w:rPr>
        <w:t>74</w:t>
      </w:r>
      <w:r>
        <w:tab/>
        <w:t>Notifiable low risk dealings</w:t>
      </w:r>
      <w:bookmarkEnd w:id="119"/>
    </w:p>
    <w:p w:rsidR="00F93509" w:rsidRDefault="00F93509" w:rsidP="00F93509">
      <w:pPr>
        <w:pStyle w:val="Amain"/>
      </w:pPr>
      <w:r>
        <w:rPr>
          <w:rFonts w:ascii="Tms Rmn" w:hAnsi="Tms Rmn"/>
        </w:rPr>
        <w:tab/>
        <w:t>(1)</w:t>
      </w:r>
      <w:r>
        <w:rPr>
          <w:rFonts w:ascii="Tms Rmn" w:hAnsi="Tms Rmn"/>
        </w:rPr>
        <w:tab/>
      </w:r>
      <w:r>
        <w:t>A regulation may declare a dealing with a GMO to be a notifiable low risk dealing for this Act.</w:t>
      </w:r>
    </w:p>
    <w:p w:rsidR="00F93509" w:rsidRDefault="00F93509" w:rsidP="00F93509">
      <w:pPr>
        <w:pStyle w:val="Amain"/>
      </w:pPr>
      <w:r>
        <w:rPr>
          <w:rFonts w:ascii="Tms Rmn" w:hAnsi="Tms Rmn"/>
        </w:rPr>
        <w:tab/>
        <w:t>(2)</w:t>
      </w:r>
      <w:r>
        <w:rPr>
          <w:rFonts w:ascii="Tms Rmn" w:hAnsi="Tms Rmn"/>
        </w:rPr>
        <w:tab/>
      </w:r>
      <w:r>
        <w:t>Before the Executive makes a regulation declaring a dealing with a GMO to be a notifiable low risk dealing, the regulator must be satisfied that the dealing would not involve the intentional release of a GMO into the environment.</w:t>
      </w:r>
    </w:p>
    <w:p w:rsidR="002C7537" w:rsidRPr="00E2623C" w:rsidRDefault="002C7537" w:rsidP="00CE2EDA">
      <w:pPr>
        <w:pStyle w:val="Amain"/>
        <w:keepNext/>
      </w:pPr>
      <w:r w:rsidRPr="00E2623C">
        <w:tab/>
        <w:t>(3)</w:t>
      </w:r>
      <w:r w:rsidRPr="00E2623C">
        <w:tab/>
        <w:t>Also, before the Executive makes a regulation declaring a dealing with a GMO to be a notifiable low risk dealing, the regulator must consider—</w:t>
      </w:r>
    </w:p>
    <w:p w:rsidR="002C7537" w:rsidRPr="00E2623C" w:rsidRDefault="002C7537" w:rsidP="002C7537">
      <w:pPr>
        <w:pStyle w:val="Apara"/>
      </w:pPr>
      <w:r w:rsidRPr="00E2623C">
        <w:tab/>
        <w:t>(a)</w:t>
      </w:r>
      <w:r w:rsidRPr="00E2623C">
        <w:tab/>
        <w:t>whether the dealing with the GMO would involve any risk to the health and safety of people, or to the environment, taking into account—</w:t>
      </w:r>
    </w:p>
    <w:p w:rsidR="002C7537" w:rsidRPr="00E2623C" w:rsidRDefault="002C7537" w:rsidP="002C7537">
      <w:pPr>
        <w:pStyle w:val="Asubpara"/>
      </w:pPr>
      <w:r w:rsidRPr="00E2623C">
        <w:tab/>
        <w:t>(i)</w:t>
      </w:r>
      <w:r w:rsidRPr="00E2623C">
        <w:tab/>
        <w:t>the properties of the GMO as a pathogen or pest; and</w:t>
      </w:r>
    </w:p>
    <w:p w:rsidR="002C7537" w:rsidRPr="00E2623C" w:rsidRDefault="002C7537" w:rsidP="002C7537">
      <w:pPr>
        <w:pStyle w:val="Asubpara"/>
      </w:pPr>
      <w:r w:rsidRPr="00E2623C">
        <w:tab/>
        <w:t>(ii)</w:t>
      </w:r>
      <w:r w:rsidRPr="00E2623C">
        <w:tab/>
        <w:t>the toxicity of any proteins produced by the GMO; and</w:t>
      </w:r>
    </w:p>
    <w:p w:rsidR="002C7537" w:rsidRPr="00E2623C" w:rsidRDefault="002C7537" w:rsidP="002C7537">
      <w:pPr>
        <w:pStyle w:val="Apara"/>
      </w:pPr>
      <w:r w:rsidRPr="00E2623C">
        <w:tab/>
        <w:t>(b)</w:t>
      </w:r>
      <w:r w:rsidRPr="00E2623C">
        <w:tab/>
        <w:t>if there is such a risk—whether 1 or more of the requirements prescribed by regulation for section 75 (2) would be sufficient to manage the risk; and</w:t>
      </w:r>
    </w:p>
    <w:p w:rsidR="002C7537" w:rsidRPr="00E2623C" w:rsidRDefault="002C7537" w:rsidP="002C7537">
      <w:pPr>
        <w:pStyle w:val="Apara"/>
      </w:pPr>
      <w:r w:rsidRPr="00E2623C">
        <w:tab/>
        <w:t>(c)</w:t>
      </w:r>
      <w:r w:rsidRPr="00E2623C">
        <w:tab/>
        <w:t>any other matter the regulator considers appropriate.</w:t>
      </w:r>
    </w:p>
    <w:p w:rsidR="00F93509" w:rsidRPr="00903C3C" w:rsidRDefault="00F93509" w:rsidP="00F93509">
      <w:pPr>
        <w:pStyle w:val="aNote"/>
        <w:keepNext/>
      </w:pPr>
      <w:r>
        <w:rPr>
          <w:rStyle w:val="charItals"/>
        </w:rPr>
        <w:t>Note 1</w:t>
      </w:r>
      <w:r>
        <w:rPr>
          <w:rStyle w:val="charItals"/>
        </w:rPr>
        <w:tab/>
      </w:r>
      <w:r w:rsidRPr="00903C3C">
        <w:t>For provisions corresponding to the</w:t>
      </w:r>
      <w:r w:rsidR="00A023DA">
        <w:t xml:space="preserve"> </w:t>
      </w:r>
      <w:hyperlink r:id="rId108" w:tooltip="Gene Technology Act 2000" w:history="1">
        <w:r w:rsidR="00A023DA" w:rsidRPr="00A023DA">
          <w:rPr>
            <w:rStyle w:val="charCitHyperlinkAbbrev"/>
          </w:rPr>
          <w:t>Commonwealth Act</w:t>
        </w:r>
      </w:hyperlink>
      <w:r w:rsidR="00A023DA">
        <w:t xml:space="preserve">, </w:t>
      </w:r>
      <w:r w:rsidRPr="00903C3C">
        <w:t xml:space="preserve">s 74 (4), see the </w:t>
      </w:r>
      <w:hyperlink r:id="rId109" w:tooltip="A2001-14" w:history="1">
        <w:r w:rsidRPr="00903C3C">
          <w:rPr>
            <w:rStyle w:val="charCitHyperlinkAbbrev"/>
          </w:rPr>
          <w:t>Legislation Act</w:t>
        </w:r>
      </w:hyperlink>
      <w:r w:rsidRPr="00903C3C">
        <w:t>, s 48.</w:t>
      </w:r>
    </w:p>
    <w:p w:rsidR="00F93509" w:rsidRPr="00903C3C" w:rsidRDefault="00F93509" w:rsidP="00F93509">
      <w:pPr>
        <w:pStyle w:val="aNote"/>
      </w:pPr>
      <w:r>
        <w:rPr>
          <w:rStyle w:val="charItals"/>
        </w:rPr>
        <w:t>Note 2</w:t>
      </w:r>
      <w:r>
        <w:rPr>
          <w:rStyle w:val="charItals"/>
        </w:rPr>
        <w:tab/>
      </w:r>
      <w:r w:rsidRPr="00903C3C">
        <w:t>This section differs from the</w:t>
      </w:r>
      <w:r w:rsidR="00A023DA">
        <w:t xml:space="preserve"> </w:t>
      </w:r>
      <w:hyperlink r:id="rId110" w:tooltip="Gene Technology Act 2000" w:history="1">
        <w:r w:rsidR="00A023DA" w:rsidRPr="00A023DA">
          <w:rPr>
            <w:rStyle w:val="charCitHyperlinkAbbrev"/>
          </w:rPr>
          <w:t>Commonwealth Act</w:t>
        </w:r>
      </w:hyperlink>
      <w:r w:rsidR="00A023DA">
        <w:t xml:space="preserve">, </w:t>
      </w:r>
      <w:r w:rsidRPr="00903C3C">
        <w:t>s 74.</w:t>
      </w:r>
    </w:p>
    <w:p w:rsidR="00F93509" w:rsidRDefault="00F93509" w:rsidP="00F93509">
      <w:pPr>
        <w:pStyle w:val="AH5Sec"/>
      </w:pPr>
      <w:bookmarkStart w:id="120" w:name="_Toc526844597"/>
      <w:r w:rsidRPr="00325B6A">
        <w:rPr>
          <w:rStyle w:val="CharSectNo"/>
        </w:rPr>
        <w:t>75</w:t>
      </w:r>
      <w:r>
        <w:tab/>
        <w:t>Regulation of notifiable low risk dealings</w:t>
      </w:r>
      <w:bookmarkEnd w:id="120"/>
    </w:p>
    <w:p w:rsidR="00F93509" w:rsidRDefault="00F93509" w:rsidP="00F93509">
      <w:pPr>
        <w:pStyle w:val="Amain"/>
      </w:pPr>
      <w:r>
        <w:rPr>
          <w:rFonts w:ascii="Tms Rmn" w:hAnsi="Tms Rmn"/>
        </w:rPr>
        <w:tab/>
        <w:t>(1)</w:t>
      </w:r>
      <w:r>
        <w:rPr>
          <w:rFonts w:ascii="Tms Rmn" w:hAnsi="Tms Rmn"/>
        </w:rPr>
        <w:tab/>
      </w:r>
      <w:r>
        <w:t>A regulation may regulate a notifiable low risk dealing for the purpose of protecting the health and safety of people or the environment.</w:t>
      </w:r>
    </w:p>
    <w:p w:rsidR="00F93509" w:rsidRDefault="00F93509" w:rsidP="00F93509">
      <w:pPr>
        <w:pStyle w:val="Amain"/>
        <w:keepNext/>
      </w:pPr>
      <w:r>
        <w:rPr>
          <w:rFonts w:ascii="Tms Rmn" w:hAnsi="Tms Rmn"/>
        </w:rPr>
        <w:tab/>
        <w:t>(2)</w:t>
      </w:r>
      <w:r>
        <w:rPr>
          <w:rFonts w:ascii="Tms Rmn" w:hAnsi="Tms Rmn"/>
        </w:rPr>
        <w:tab/>
      </w:r>
      <w:r>
        <w:t>A regulation may prescribe different requirements to be complied with in different situations or by different people, including requirements in relation to the following:</w:t>
      </w:r>
    </w:p>
    <w:p w:rsidR="00F93509" w:rsidRDefault="00F93509" w:rsidP="00F93509">
      <w:pPr>
        <w:pStyle w:val="Apara"/>
      </w:pPr>
      <w:r>
        <w:rPr>
          <w:rFonts w:ascii="Tms Rmn" w:hAnsi="Tms Rmn"/>
        </w:rPr>
        <w:tab/>
        <w:t>(a)</w:t>
      </w:r>
      <w:r>
        <w:rPr>
          <w:rFonts w:ascii="Tms Rmn" w:hAnsi="Tms Rmn"/>
        </w:rPr>
        <w:tab/>
      </w:r>
      <w:r>
        <w:t>the people who may undertake notifiable low risk dealings;</w:t>
      </w:r>
    </w:p>
    <w:p w:rsidR="00F93509" w:rsidRDefault="00F93509" w:rsidP="00F93509">
      <w:pPr>
        <w:pStyle w:val="Apara"/>
      </w:pPr>
      <w:r>
        <w:rPr>
          <w:rFonts w:ascii="Tms Rmn" w:hAnsi="Tms Rmn"/>
        </w:rPr>
        <w:tab/>
        <w:t>(b)</w:t>
      </w:r>
      <w:r>
        <w:rPr>
          <w:rFonts w:ascii="Tms Rmn" w:hAnsi="Tms Rmn"/>
        </w:rPr>
        <w:tab/>
      </w:r>
      <w:r>
        <w:t>notifying the regulator of notifiable low risk dealings;</w:t>
      </w:r>
    </w:p>
    <w:p w:rsidR="00F93509" w:rsidRDefault="00F93509" w:rsidP="00F93509">
      <w:pPr>
        <w:pStyle w:val="Apara"/>
      </w:pPr>
      <w:r>
        <w:rPr>
          <w:rFonts w:ascii="Tms Rmn" w:hAnsi="Tms Rmn"/>
        </w:rPr>
        <w:tab/>
        <w:t>(c)</w:t>
      </w:r>
      <w:r>
        <w:rPr>
          <w:rFonts w:ascii="Tms Rmn" w:hAnsi="Tms Rmn"/>
        </w:rPr>
        <w:tab/>
      </w:r>
      <w:r>
        <w:t>supervision by institutional biosafety committees of notifiable low risk dealings;</w:t>
      </w:r>
    </w:p>
    <w:p w:rsidR="00F93509" w:rsidRDefault="00F93509" w:rsidP="00F93509">
      <w:pPr>
        <w:pStyle w:val="Apara"/>
      </w:pPr>
      <w:r>
        <w:rPr>
          <w:rFonts w:ascii="Tms Rmn" w:hAnsi="Tms Rmn"/>
        </w:rPr>
        <w:tab/>
        <w:t>(d)</w:t>
      </w:r>
      <w:r>
        <w:rPr>
          <w:rFonts w:ascii="Tms Rmn" w:hAnsi="Tms Rmn"/>
        </w:rPr>
        <w:tab/>
      </w:r>
      <w:r>
        <w:t>the containment level of facilities in which notifiable low risk dealings may be undertaken.</w:t>
      </w:r>
    </w:p>
    <w:p w:rsidR="00F93509" w:rsidRDefault="00F93509" w:rsidP="00F93509">
      <w:pPr>
        <w:pStyle w:val="Amain"/>
      </w:pPr>
      <w:r>
        <w:tab/>
        <w:t>(3)</w:t>
      </w:r>
      <w:r>
        <w:tab/>
        <w:t xml:space="preserve">Subsection (2) does not limit the </w:t>
      </w:r>
      <w:hyperlink r:id="rId111" w:tooltip="A2001-14" w:history="1">
        <w:r w:rsidRPr="00903C3C">
          <w:rPr>
            <w:rStyle w:val="charCitHyperlinkAbbrev"/>
          </w:rPr>
          <w:t>Legislation Act</w:t>
        </w:r>
      </w:hyperlink>
      <w:r>
        <w:t>, section 48 (Power to make instrument includes power to make different provision for different categories etc).</w:t>
      </w:r>
    </w:p>
    <w:p w:rsidR="00F93509" w:rsidRPr="00325B6A" w:rsidRDefault="00F93509" w:rsidP="00F93509">
      <w:pPr>
        <w:pStyle w:val="AH3Div"/>
      </w:pPr>
      <w:bookmarkStart w:id="121" w:name="_Toc526844598"/>
      <w:r w:rsidRPr="00325B6A">
        <w:rPr>
          <w:rStyle w:val="CharDivNo"/>
        </w:rPr>
        <w:t>Division 6.3</w:t>
      </w:r>
      <w:r>
        <w:tab/>
      </w:r>
      <w:r w:rsidRPr="00325B6A">
        <w:rPr>
          <w:rStyle w:val="CharDivText"/>
        </w:rPr>
        <w:t>GMO register</w:t>
      </w:r>
      <w:bookmarkEnd w:id="121"/>
    </w:p>
    <w:p w:rsidR="00F93509" w:rsidRDefault="00F93509" w:rsidP="00F93509">
      <w:pPr>
        <w:pStyle w:val="AH5Sec"/>
      </w:pPr>
      <w:bookmarkStart w:id="122" w:name="_Toc526844599"/>
      <w:r w:rsidRPr="00325B6A">
        <w:rPr>
          <w:rStyle w:val="CharSectNo"/>
        </w:rPr>
        <w:t>76</w:t>
      </w:r>
      <w:r>
        <w:tab/>
        <w:t>GMO register</w:t>
      </w:r>
      <w:bookmarkEnd w:id="122"/>
    </w:p>
    <w:p w:rsidR="00F93509" w:rsidRDefault="00F93509" w:rsidP="00F93509">
      <w:pPr>
        <w:pStyle w:val="aNote"/>
      </w:pPr>
      <w:r>
        <w:rPr>
          <w:rStyle w:val="charItals"/>
        </w:rPr>
        <w:t>Note</w:t>
      </w:r>
      <w:r>
        <w:tab/>
        <w:t>The</w:t>
      </w:r>
      <w:r w:rsidR="00A023DA">
        <w:t xml:space="preserve"> </w:t>
      </w:r>
      <w:hyperlink r:id="rId112" w:tooltip="Gene Technology Act 2000" w:history="1">
        <w:r w:rsidR="00A023DA" w:rsidRPr="00A023DA">
          <w:rPr>
            <w:rStyle w:val="charCitHyperlinkAbbrev"/>
          </w:rPr>
          <w:t>Commonwealth Act</w:t>
        </w:r>
      </w:hyperlink>
      <w:r w:rsidR="00A023DA">
        <w:t xml:space="preserve">, </w:t>
      </w:r>
      <w:r>
        <w:t>s 76 provides for the establishment and maintenance of the GMO register.</w:t>
      </w:r>
    </w:p>
    <w:p w:rsidR="00F93509" w:rsidRDefault="00F93509" w:rsidP="00F93509">
      <w:pPr>
        <w:pStyle w:val="AH5Sec"/>
      </w:pPr>
      <w:bookmarkStart w:id="123" w:name="_Toc526844600"/>
      <w:r w:rsidRPr="00325B6A">
        <w:rPr>
          <w:rStyle w:val="CharSectNo"/>
        </w:rPr>
        <w:t>77</w:t>
      </w:r>
      <w:r>
        <w:tab/>
        <w:t>Contents of register</w:t>
      </w:r>
      <w:bookmarkEnd w:id="123"/>
    </w:p>
    <w:p w:rsidR="00F93509" w:rsidRDefault="00F93509" w:rsidP="00F93509">
      <w:pPr>
        <w:pStyle w:val="Amainreturn"/>
      </w:pPr>
      <w:r>
        <w:t>If the regulator determines under section 78 that a dealing with a GMO is to be included on the GMO register, the regulator must state in the GMO register—</w:t>
      </w:r>
    </w:p>
    <w:p w:rsidR="00F93509" w:rsidRDefault="00F93509" w:rsidP="00F93509">
      <w:pPr>
        <w:pStyle w:val="Apara"/>
      </w:pPr>
      <w:r>
        <w:rPr>
          <w:rFonts w:ascii="Tms Rmn" w:hAnsi="Tms Rmn"/>
        </w:rPr>
        <w:tab/>
        <w:t>(a)</w:t>
      </w:r>
      <w:r>
        <w:rPr>
          <w:rFonts w:ascii="Tms Rmn" w:hAnsi="Tms Rmn"/>
        </w:rPr>
        <w:tab/>
      </w:r>
      <w:r>
        <w:t>a description of the dealing; and</w:t>
      </w:r>
    </w:p>
    <w:p w:rsidR="00F93509" w:rsidRDefault="00F93509" w:rsidP="00F93509">
      <w:pPr>
        <w:pStyle w:val="Apara"/>
      </w:pPr>
      <w:r>
        <w:rPr>
          <w:rFonts w:ascii="Tms Rmn" w:hAnsi="Tms Rmn"/>
        </w:rPr>
        <w:tab/>
        <w:t>(b)</w:t>
      </w:r>
      <w:r>
        <w:rPr>
          <w:rFonts w:ascii="Tms Rmn" w:hAnsi="Tms Rmn"/>
        </w:rPr>
        <w:tab/>
      </w:r>
      <w:r>
        <w:t>any condition to which the dealing is subject.</w:t>
      </w:r>
    </w:p>
    <w:p w:rsidR="00F93509" w:rsidRDefault="00F93509" w:rsidP="00F93509">
      <w:pPr>
        <w:pStyle w:val="AH5Sec"/>
      </w:pPr>
      <w:bookmarkStart w:id="124" w:name="_Toc526844601"/>
      <w:r w:rsidRPr="00325B6A">
        <w:rPr>
          <w:rStyle w:val="CharSectNo"/>
        </w:rPr>
        <w:t>78</w:t>
      </w:r>
      <w:r>
        <w:tab/>
        <w:t>Regulator may include dealings with GMOs on GMO register</w:t>
      </w:r>
      <w:bookmarkEnd w:id="124"/>
    </w:p>
    <w:p w:rsidR="00F93509" w:rsidRDefault="00F93509" w:rsidP="00F93509">
      <w:pPr>
        <w:pStyle w:val="Amain"/>
      </w:pPr>
      <w:r>
        <w:rPr>
          <w:rFonts w:ascii="Tms Rmn" w:hAnsi="Tms Rmn"/>
        </w:rPr>
        <w:tab/>
        <w:t>(1)</w:t>
      </w:r>
      <w:r>
        <w:rPr>
          <w:rFonts w:ascii="Tms Rmn" w:hAnsi="Tms Rmn"/>
        </w:rPr>
        <w:tab/>
      </w:r>
      <w:r>
        <w:t>The regulator may, in writing, determine that a dealing with a GMO is to be included on the GMO register if the regulator is satisfied that—</w:t>
      </w:r>
    </w:p>
    <w:p w:rsidR="00F93509" w:rsidRDefault="00F93509" w:rsidP="00F93509">
      <w:pPr>
        <w:pStyle w:val="Apara"/>
      </w:pPr>
      <w:r>
        <w:rPr>
          <w:rFonts w:ascii="Tms Rmn" w:hAnsi="Tms Rmn"/>
        </w:rPr>
        <w:tab/>
        <w:t>(a)</w:t>
      </w:r>
      <w:r>
        <w:rPr>
          <w:rFonts w:ascii="Tms Rmn" w:hAnsi="Tms Rmn"/>
        </w:rPr>
        <w:tab/>
      </w:r>
      <w:r>
        <w:t>the dealing is, or has been, authorised by a GMO licence; or</w:t>
      </w:r>
    </w:p>
    <w:p w:rsidR="00F93509" w:rsidRDefault="00F93509" w:rsidP="00F93509">
      <w:pPr>
        <w:pStyle w:val="Apara"/>
      </w:pPr>
      <w:r>
        <w:rPr>
          <w:rFonts w:ascii="Tms Rmn" w:hAnsi="Tms Rmn"/>
        </w:rPr>
        <w:tab/>
        <w:t>(b)</w:t>
      </w:r>
      <w:r>
        <w:rPr>
          <w:rFonts w:ascii="Tms Rmn" w:hAnsi="Tms Rmn"/>
        </w:rPr>
        <w:tab/>
      </w:r>
      <w:r>
        <w:t>the GMO—</w:t>
      </w:r>
    </w:p>
    <w:p w:rsidR="00F93509" w:rsidRDefault="00F93509" w:rsidP="00F93509">
      <w:pPr>
        <w:pStyle w:val="Asubpara"/>
      </w:pPr>
      <w:r>
        <w:rPr>
          <w:rFonts w:ascii="Tms Rmn" w:hAnsi="Tms Rmn"/>
        </w:rPr>
        <w:tab/>
        <w:t>(i)</w:t>
      </w:r>
      <w:r>
        <w:rPr>
          <w:rFonts w:ascii="Tms Rmn" w:hAnsi="Tms Rmn"/>
        </w:rPr>
        <w:tab/>
      </w:r>
      <w:r>
        <w:t>is a GM product; and</w:t>
      </w:r>
    </w:p>
    <w:p w:rsidR="00F93509" w:rsidRDefault="00F93509" w:rsidP="00F93509">
      <w:pPr>
        <w:pStyle w:val="Asubpara"/>
      </w:pPr>
      <w:r>
        <w:rPr>
          <w:rFonts w:ascii="Tms Rmn" w:hAnsi="Tms Rmn"/>
        </w:rPr>
        <w:tab/>
        <w:t>(ii)</w:t>
      </w:r>
      <w:r>
        <w:rPr>
          <w:rFonts w:ascii="Tms Rmn" w:hAnsi="Tms Rmn"/>
        </w:rPr>
        <w:tab/>
      </w:r>
      <w:r>
        <w:t xml:space="preserve">is a GMO only because of a regulation made under the definition of </w:t>
      </w:r>
      <w:r w:rsidRPr="00903C3C">
        <w:rPr>
          <w:rStyle w:val="charBoldItals"/>
        </w:rPr>
        <w:t>genetically modified organism</w:t>
      </w:r>
      <w:r>
        <w:t>, paragraph (c).</w:t>
      </w:r>
    </w:p>
    <w:p w:rsidR="00F93509" w:rsidRDefault="00F93509" w:rsidP="00F93509">
      <w:pPr>
        <w:pStyle w:val="Amain"/>
        <w:keepNext/>
      </w:pPr>
      <w:r>
        <w:rPr>
          <w:rFonts w:ascii="Tms Rmn" w:hAnsi="Tms Rmn"/>
        </w:rPr>
        <w:tab/>
        <w:t>(2)</w:t>
      </w:r>
      <w:r>
        <w:rPr>
          <w:rFonts w:ascii="Tms Rmn" w:hAnsi="Tms Rmn"/>
        </w:rPr>
        <w:tab/>
      </w:r>
      <w:r>
        <w:t>A determination under subsection (1) may be made—</w:t>
      </w:r>
    </w:p>
    <w:p w:rsidR="00F93509" w:rsidRDefault="00F93509" w:rsidP="00F93509">
      <w:pPr>
        <w:pStyle w:val="Apara"/>
      </w:pPr>
      <w:r>
        <w:rPr>
          <w:rFonts w:ascii="Tms Rmn" w:hAnsi="Tms Rmn"/>
        </w:rPr>
        <w:tab/>
        <w:t>(a)</w:t>
      </w:r>
      <w:r>
        <w:rPr>
          <w:rFonts w:ascii="Tms Rmn" w:hAnsi="Tms Rmn"/>
        </w:rPr>
        <w:tab/>
      </w:r>
      <w:r>
        <w:t xml:space="preserve">on application by the holder of a licence authorising the dealing; or </w:t>
      </w:r>
    </w:p>
    <w:p w:rsidR="00F93509" w:rsidRDefault="00F93509" w:rsidP="00F93509">
      <w:pPr>
        <w:pStyle w:val="Apara"/>
      </w:pPr>
      <w:r>
        <w:rPr>
          <w:rFonts w:ascii="Tms Rmn" w:hAnsi="Tms Rmn"/>
        </w:rPr>
        <w:tab/>
        <w:t>(b)</w:t>
      </w:r>
      <w:r>
        <w:rPr>
          <w:rFonts w:ascii="Tms Rmn" w:hAnsi="Tms Rmn"/>
        </w:rPr>
        <w:tab/>
      </w:r>
      <w:r>
        <w:t>on the regulator’s own initiative.</w:t>
      </w:r>
    </w:p>
    <w:p w:rsidR="00F93509" w:rsidRDefault="00F93509" w:rsidP="00F93509">
      <w:pPr>
        <w:pStyle w:val="Amain"/>
      </w:pPr>
      <w:r>
        <w:rPr>
          <w:rFonts w:ascii="Tms Rmn" w:hAnsi="Tms Rmn"/>
        </w:rPr>
        <w:tab/>
        <w:t>(3)</w:t>
      </w:r>
      <w:r>
        <w:rPr>
          <w:rFonts w:ascii="Tms Rmn" w:hAnsi="Tms Rmn"/>
        </w:rPr>
        <w:tab/>
      </w:r>
      <w:r>
        <w:t>A determination under subsection (1) commences on the day stated in the determination.</w:t>
      </w:r>
    </w:p>
    <w:p w:rsidR="00F93509" w:rsidRDefault="00F93509" w:rsidP="00F93509">
      <w:pPr>
        <w:pStyle w:val="AH5Sec"/>
      </w:pPr>
      <w:bookmarkStart w:id="125" w:name="_Toc526844602"/>
      <w:r w:rsidRPr="00325B6A">
        <w:rPr>
          <w:rStyle w:val="CharSectNo"/>
        </w:rPr>
        <w:t>79</w:t>
      </w:r>
      <w:r>
        <w:tab/>
        <w:t>Regulator not to make determination unless risks can be managed</w:t>
      </w:r>
      <w:bookmarkEnd w:id="125"/>
    </w:p>
    <w:p w:rsidR="00F93509" w:rsidRDefault="00F93509" w:rsidP="00F93509">
      <w:pPr>
        <w:pStyle w:val="Amain"/>
      </w:pPr>
      <w:r>
        <w:rPr>
          <w:rFonts w:ascii="Tms Rmn" w:hAnsi="Tms Rmn"/>
        </w:rPr>
        <w:tab/>
        <w:t>(1)</w:t>
      </w:r>
      <w:r>
        <w:rPr>
          <w:rFonts w:ascii="Tms Rmn" w:hAnsi="Tms Rmn"/>
        </w:rPr>
        <w:tab/>
      </w:r>
      <w:r>
        <w:t>The regulator must not make a determination under section 78 (1) about a dealing with a GMO unless the regulator is satisfied that—</w:t>
      </w:r>
    </w:p>
    <w:p w:rsidR="00F93509" w:rsidRDefault="00F93509" w:rsidP="00F93509">
      <w:pPr>
        <w:pStyle w:val="Apara"/>
      </w:pPr>
      <w:r>
        <w:rPr>
          <w:rFonts w:ascii="Tms Rmn" w:hAnsi="Tms Rmn"/>
        </w:rPr>
        <w:tab/>
        <w:t>(a)</w:t>
      </w:r>
      <w:r>
        <w:rPr>
          <w:rFonts w:ascii="Tms Rmn" w:hAnsi="Tms Rmn"/>
        </w:rPr>
        <w:tab/>
      </w:r>
      <w:r>
        <w:t xml:space="preserve">any risks posed by the dealing are minimal; and </w:t>
      </w:r>
    </w:p>
    <w:p w:rsidR="00F93509" w:rsidRDefault="00F93509" w:rsidP="00F93509">
      <w:pPr>
        <w:pStyle w:val="Apara"/>
      </w:pPr>
      <w:r>
        <w:rPr>
          <w:rFonts w:ascii="Tms Rmn" w:hAnsi="Tms Rmn"/>
        </w:rPr>
        <w:tab/>
        <w:t>(b)</w:t>
      </w:r>
      <w:r>
        <w:rPr>
          <w:rFonts w:ascii="Tms Rmn" w:hAnsi="Tms Rmn"/>
        </w:rPr>
        <w:tab/>
      </w:r>
      <w:r>
        <w:t>it is not necessary for people undertaking the dealing to hold, or be covered by, a GMO licence to protect the health and safety of people or to protect the environment.</w:t>
      </w:r>
    </w:p>
    <w:p w:rsidR="00F93509" w:rsidRDefault="00F93509" w:rsidP="00F93509">
      <w:pPr>
        <w:pStyle w:val="Amain"/>
        <w:keepNext/>
      </w:pPr>
      <w:r>
        <w:rPr>
          <w:rFonts w:ascii="Tms Rmn" w:hAnsi="Tms Rmn"/>
        </w:rPr>
        <w:tab/>
        <w:t>(2)</w:t>
      </w:r>
      <w:r>
        <w:rPr>
          <w:rFonts w:ascii="Tms Rmn" w:hAnsi="Tms Rmn"/>
        </w:rPr>
        <w:tab/>
      </w:r>
      <w:r>
        <w:t>For subsection (1), the regulator must have regard to the following:</w:t>
      </w:r>
    </w:p>
    <w:p w:rsidR="00F93509" w:rsidRDefault="00F93509" w:rsidP="00F93509">
      <w:pPr>
        <w:pStyle w:val="Apara"/>
      </w:pPr>
      <w:r>
        <w:rPr>
          <w:rFonts w:ascii="Tms Rmn" w:hAnsi="Tms Rmn"/>
        </w:rPr>
        <w:tab/>
        <w:t>(a)</w:t>
      </w:r>
      <w:r>
        <w:rPr>
          <w:rFonts w:ascii="Tms Rmn" w:hAnsi="Tms Rmn"/>
        </w:rPr>
        <w:tab/>
      </w:r>
      <w:r>
        <w:t>any data available to the regulator about adverse effects posed by the dealing;</w:t>
      </w:r>
    </w:p>
    <w:p w:rsidR="00F93509" w:rsidRDefault="00F93509" w:rsidP="00F93509">
      <w:pPr>
        <w:pStyle w:val="Apara"/>
      </w:pPr>
      <w:r>
        <w:rPr>
          <w:rFonts w:ascii="Tms Rmn" w:hAnsi="Tms Rmn"/>
        </w:rPr>
        <w:tab/>
        <w:t>(b)</w:t>
      </w:r>
      <w:r>
        <w:rPr>
          <w:rFonts w:ascii="Tms Rmn" w:hAnsi="Tms Rmn"/>
        </w:rPr>
        <w:tab/>
      </w:r>
      <w:r>
        <w:t>any other information about risks associated with the dealing of which the regulator is aware, including information given to the regulator by a licence holder under section 65 or by someone else under section 66;</w:t>
      </w:r>
    </w:p>
    <w:p w:rsidR="00F93509" w:rsidRDefault="00F93509" w:rsidP="00F93509">
      <w:pPr>
        <w:pStyle w:val="Apara"/>
      </w:pPr>
      <w:r>
        <w:rPr>
          <w:rFonts w:ascii="Tms Rmn" w:hAnsi="Tms Rmn"/>
        </w:rPr>
        <w:tab/>
        <w:t>(c)</w:t>
      </w:r>
      <w:r>
        <w:rPr>
          <w:rFonts w:ascii="Tms Rmn" w:hAnsi="Tms Rmn"/>
        </w:rPr>
        <w:tab/>
      </w:r>
      <w:r>
        <w:t>whether there is a need for the dealing to be subject to conditions;</w:t>
      </w:r>
    </w:p>
    <w:p w:rsidR="00F93509" w:rsidRDefault="00F93509" w:rsidP="00F93509">
      <w:pPr>
        <w:pStyle w:val="Apara"/>
      </w:pPr>
      <w:r>
        <w:rPr>
          <w:rFonts w:ascii="Tms Rmn" w:hAnsi="Tms Rmn"/>
        </w:rPr>
        <w:tab/>
        <w:t>(d)</w:t>
      </w:r>
      <w:r>
        <w:rPr>
          <w:rFonts w:ascii="Tms Rmn" w:hAnsi="Tms Rmn"/>
        </w:rPr>
        <w:tab/>
      </w:r>
      <w:r>
        <w:t>any other information about whether the dealing should be authorised by a GMO licence.</w:t>
      </w:r>
    </w:p>
    <w:p w:rsidR="00F93509" w:rsidRDefault="00F93509" w:rsidP="00F93509">
      <w:pPr>
        <w:pStyle w:val="Amain"/>
      </w:pPr>
      <w:r>
        <w:rPr>
          <w:rFonts w:ascii="Tms Rmn" w:hAnsi="Tms Rmn"/>
        </w:rPr>
        <w:tab/>
        <w:t>(3)</w:t>
      </w:r>
      <w:r>
        <w:rPr>
          <w:rFonts w:ascii="Tms Rmn" w:hAnsi="Tms Rmn"/>
        </w:rPr>
        <w:tab/>
      </w:r>
      <w:r>
        <w:t>The regulator may have regard to any other matters the regulator considers relevant.</w:t>
      </w:r>
    </w:p>
    <w:p w:rsidR="00F93509" w:rsidRDefault="00F93509" w:rsidP="00F93509">
      <w:pPr>
        <w:pStyle w:val="AH5Sec"/>
      </w:pPr>
      <w:bookmarkStart w:id="126" w:name="_Toc526844603"/>
      <w:r w:rsidRPr="00325B6A">
        <w:rPr>
          <w:rStyle w:val="CharSectNo"/>
        </w:rPr>
        <w:t>80</w:t>
      </w:r>
      <w:r>
        <w:tab/>
        <w:t>Variation of GMO register</w:t>
      </w:r>
      <w:bookmarkEnd w:id="126"/>
    </w:p>
    <w:p w:rsidR="00F93509" w:rsidRDefault="00F93509" w:rsidP="00F93509">
      <w:pPr>
        <w:pStyle w:val="Amain"/>
      </w:pPr>
      <w:r>
        <w:rPr>
          <w:rFonts w:ascii="Tms Rmn" w:hAnsi="Tms Rmn"/>
        </w:rPr>
        <w:tab/>
        <w:t>(1)</w:t>
      </w:r>
      <w:r>
        <w:rPr>
          <w:rFonts w:ascii="Tms Rmn" w:hAnsi="Tms Rmn"/>
        </w:rPr>
        <w:tab/>
      </w:r>
      <w:r>
        <w:t>The regulator may vary the GMO register by written determination.</w:t>
      </w:r>
    </w:p>
    <w:p w:rsidR="00F93509" w:rsidRDefault="00F93509" w:rsidP="00F93509">
      <w:pPr>
        <w:pStyle w:val="Amain"/>
      </w:pPr>
      <w:r>
        <w:rPr>
          <w:rFonts w:ascii="Tms Rmn" w:hAnsi="Tms Rmn"/>
        </w:rPr>
        <w:tab/>
        <w:t>(2)</w:t>
      </w:r>
      <w:r>
        <w:rPr>
          <w:rFonts w:ascii="Tms Rmn" w:hAnsi="Tms Rmn"/>
        </w:rPr>
        <w:tab/>
      </w:r>
      <w:r>
        <w:t>A variation may—</w:t>
      </w:r>
    </w:p>
    <w:p w:rsidR="00F93509" w:rsidRDefault="00F93509" w:rsidP="00F93509">
      <w:pPr>
        <w:pStyle w:val="Apara"/>
      </w:pPr>
      <w:r>
        <w:rPr>
          <w:rFonts w:ascii="Tms Rmn" w:hAnsi="Tms Rmn"/>
        </w:rPr>
        <w:tab/>
        <w:t>(a)</w:t>
      </w:r>
      <w:r>
        <w:rPr>
          <w:rFonts w:ascii="Tms Rmn" w:hAnsi="Tms Rmn"/>
        </w:rPr>
        <w:tab/>
      </w:r>
      <w:r>
        <w:t>remove a dealing from the GMO register; or</w:t>
      </w:r>
    </w:p>
    <w:p w:rsidR="00F93509" w:rsidRDefault="00F93509" w:rsidP="00F93509">
      <w:pPr>
        <w:pStyle w:val="Apara"/>
      </w:pPr>
      <w:r>
        <w:rPr>
          <w:rFonts w:ascii="Tms Rmn" w:hAnsi="Tms Rmn"/>
        </w:rPr>
        <w:tab/>
        <w:t>(b)</w:t>
      </w:r>
      <w:r>
        <w:rPr>
          <w:rFonts w:ascii="Tms Rmn" w:hAnsi="Tms Rmn"/>
        </w:rPr>
        <w:tab/>
      </w:r>
      <w:r>
        <w:t>revoke or vary conditions to which a dealing on the GMO register is subject; or</w:t>
      </w:r>
    </w:p>
    <w:p w:rsidR="00F93509" w:rsidRDefault="00F93509" w:rsidP="00F93509">
      <w:pPr>
        <w:pStyle w:val="Apara"/>
        <w:keepNext/>
      </w:pPr>
      <w:r>
        <w:rPr>
          <w:rFonts w:ascii="Tms Rmn" w:hAnsi="Tms Rmn"/>
        </w:rPr>
        <w:tab/>
        <w:t>(c)</w:t>
      </w:r>
      <w:r>
        <w:rPr>
          <w:rFonts w:ascii="Tms Rmn" w:hAnsi="Tms Rmn"/>
        </w:rPr>
        <w:tab/>
      </w:r>
      <w:r>
        <w:t>impose additional conditions to which a dealing on the GMO register is subject.</w:t>
      </w:r>
    </w:p>
    <w:p w:rsidR="00F93509" w:rsidRDefault="00F93509" w:rsidP="00F93509">
      <w:pPr>
        <w:pStyle w:val="aNote"/>
      </w:pPr>
      <w:r>
        <w:rPr>
          <w:rStyle w:val="charItals"/>
        </w:rPr>
        <w:t>Note</w:t>
      </w:r>
      <w:r>
        <w:tab/>
        <w:t>The</w:t>
      </w:r>
      <w:r w:rsidR="00A023DA">
        <w:t xml:space="preserve"> </w:t>
      </w:r>
      <w:hyperlink r:id="rId113" w:tooltip="Gene Technology Act 2000" w:history="1">
        <w:r w:rsidR="00A023DA" w:rsidRPr="00A023DA">
          <w:rPr>
            <w:rStyle w:val="charCitHyperlinkAbbrev"/>
          </w:rPr>
          <w:t>Commonwealth Act</w:t>
        </w:r>
      </w:hyperlink>
      <w:r w:rsidR="00A023DA">
        <w:t xml:space="preserve">, </w:t>
      </w:r>
      <w:r>
        <w:t>s 80 (3) provides for determinations to be disallowable instruments.</w:t>
      </w:r>
    </w:p>
    <w:p w:rsidR="00F93509" w:rsidRDefault="00F93509" w:rsidP="00F93509">
      <w:pPr>
        <w:pStyle w:val="AH5Sec"/>
      </w:pPr>
      <w:bookmarkStart w:id="127" w:name="_Toc526844604"/>
      <w:r w:rsidRPr="00325B6A">
        <w:rPr>
          <w:rStyle w:val="CharSectNo"/>
        </w:rPr>
        <w:t>81</w:t>
      </w:r>
      <w:r>
        <w:tab/>
        <w:t>Inspection of register</w:t>
      </w:r>
      <w:bookmarkEnd w:id="127"/>
    </w:p>
    <w:p w:rsidR="00F93509" w:rsidRDefault="00F93509" w:rsidP="00F93509">
      <w:pPr>
        <w:pStyle w:val="aNote"/>
      </w:pPr>
      <w:r>
        <w:rPr>
          <w:rStyle w:val="charItals"/>
        </w:rPr>
        <w:t>Note</w:t>
      </w:r>
      <w:r>
        <w:tab/>
        <w:t>The</w:t>
      </w:r>
      <w:r w:rsidR="00A023DA">
        <w:t xml:space="preserve"> </w:t>
      </w:r>
      <w:hyperlink r:id="rId114" w:tooltip="Gene Technology Act 2000" w:history="1">
        <w:r w:rsidR="00A023DA" w:rsidRPr="00A023DA">
          <w:rPr>
            <w:rStyle w:val="charCitHyperlinkAbbrev"/>
          </w:rPr>
          <w:t>Commonwealth Act</w:t>
        </w:r>
      </w:hyperlink>
      <w:r w:rsidR="00A023DA">
        <w:t xml:space="preserve">, </w:t>
      </w:r>
      <w:r>
        <w:t>s 81 requires the regulator to permit any person to inspect the GMO register.</w:t>
      </w:r>
    </w:p>
    <w:p w:rsidR="00F93509" w:rsidRDefault="00F93509" w:rsidP="00F93509">
      <w:pPr>
        <w:pStyle w:val="PageBreak"/>
      </w:pPr>
      <w:r>
        <w:br w:type="page"/>
      </w:r>
    </w:p>
    <w:p w:rsidR="00F93509" w:rsidRPr="00325B6A" w:rsidRDefault="00F93509" w:rsidP="00F93509">
      <w:pPr>
        <w:pStyle w:val="AH2Part"/>
      </w:pPr>
      <w:bookmarkStart w:id="128" w:name="_Toc526844605"/>
      <w:r w:rsidRPr="00325B6A">
        <w:rPr>
          <w:rStyle w:val="CharPartNo"/>
        </w:rPr>
        <w:t>Part 7</w:t>
      </w:r>
      <w:r>
        <w:tab/>
      </w:r>
      <w:r w:rsidRPr="00325B6A">
        <w:rPr>
          <w:rStyle w:val="CharPartText"/>
        </w:rPr>
        <w:t>Certification and accreditation</w:t>
      </w:r>
      <w:bookmarkEnd w:id="128"/>
    </w:p>
    <w:p w:rsidR="00F93509" w:rsidRPr="00325B6A" w:rsidRDefault="00F93509" w:rsidP="00F93509">
      <w:pPr>
        <w:pStyle w:val="AH3Div"/>
      </w:pPr>
      <w:bookmarkStart w:id="129" w:name="_Toc526844606"/>
      <w:r w:rsidRPr="00325B6A">
        <w:rPr>
          <w:rStyle w:val="CharDivNo"/>
        </w:rPr>
        <w:t>Division 7.1</w:t>
      </w:r>
      <w:r>
        <w:tab/>
      </w:r>
      <w:r w:rsidRPr="00325B6A">
        <w:rPr>
          <w:rStyle w:val="CharDivText"/>
        </w:rPr>
        <w:t>Simplified outline of pt 7</w:t>
      </w:r>
      <w:bookmarkEnd w:id="129"/>
    </w:p>
    <w:p w:rsidR="00F93509" w:rsidRDefault="00F93509" w:rsidP="00F93509">
      <w:pPr>
        <w:pStyle w:val="AH5Sec"/>
      </w:pPr>
      <w:bookmarkStart w:id="130" w:name="_Toc526844607"/>
      <w:r w:rsidRPr="00325B6A">
        <w:rPr>
          <w:rStyle w:val="CharSectNo"/>
        </w:rPr>
        <w:t>82</w:t>
      </w:r>
      <w:r>
        <w:tab/>
        <w:t>Simplified outline—pt 7</w:t>
      </w:r>
      <w:bookmarkEnd w:id="130"/>
    </w:p>
    <w:p w:rsidR="00F93509" w:rsidRDefault="00F93509" w:rsidP="00F93509">
      <w:pPr>
        <w:pStyle w:val="Amain"/>
      </w:pPr>
      <w:r>
        <w:tab/>
        <w:t>(1)</w:t>
      </w:r>
      <w:r>
        <w:tab/>
        <w:t xml:space="preserve">In outline, this part establishes a system under which the regulator may certify facilities to stated containment levels in accordance with guidelines issued by the regulator. </w:t>
      </w:r>
    </w:p>
    <w:p w:rsidR="00F93509" w:rsidRDefault="00F93509" w:rsidP="00F93509">
      <w:pPr>
        <w:pStyle w:val="Amain"/>
      </w:pPr>
      <w:r>
        <w:tab/>
        <w:t>(2)</w:t>
      </w:r>
      <w:r>
        <w:tab/>
        <w:t>Licence conditions, or conditions to which an emergency dealing determination is subject, may require that facilities be certified to stated containment levels (see division 7.2).</w:t>
      </w:r>
    </w:p>
    <w:p w:rsidR="00F93509" w:rsidRDefault="00F93509" w:rsidP="00F93509">
      <w:pPr>
        <w:pStyle w:val="Amain"/>
      </w:pPr>
      <w:r>
        <w:tab/>
        <w:t>(3)</w:t>
      </w:r>
      <w:r>
        <w:tab/>
        <w:t>Also, this part enables the regulator to accredit organisations in accordance with accreditation guidelines issued by the regulator.</w:t>
      </w:r>
    </w:p>
    <w:p w:rsidR="00F93509" w:rsidRDefault="00F93509" w:rsidP="00F93509">
      <w:pPr>
        <w:pStyle w:val="Amain"/>
      </w:pPr>
      <w:r>
        <w:tab/>
        <w:t>(4)</w:t>
      </w:r>
      <w:r>
        <w:tab/>
        <w:t>Licence conditions, or conditions to which an emergency dealing determination is subject, may state that dealings must be supervised by an institutional biosafety committee established by an accredited organisation (see division 7.3).</w:t>
      </w:r>
    </w:p>
    <w:p w:rsidR="00F93509" w:rsidRPr="00325B6A" w:rsidRDefault="00F93509" w:rsidP="00F93509">
      <w:pPr>
        <w:pStyle w:val="AH3Div"/>
      </w:pPr>
      <w:bookmarkStart w:id="131" w:name="_Toc526844608"/>
      <w:r w:rsidRPr="00325B6A">
        <w:rPr>
          <w:rStyle w:val="CharDivNo"/>
        </w:rPr>
        <w:t>Division 7.2</w:t>
      </w:r>
      <w:r>
        <w:tab/>
      </w:r>
      <w:r w:rsidRPr="00325B6A">
        <w:rPr>
          <w:rStyle w:val="CharDivText"/>
        </w:rPr>
        <w:t>Certification</w:t>
      </w:r>
      <w:bookmarkEnd w:id="131"/>
    </w:p>
    <w:p w:rsidR="00F93509" w:rsidRDefault="00F93509" w:rsidP="00F93509">
      <w:pPr>
        <w:pStyle w:val="AH5Sec"/>
      </w:pPr>
      <w:bookmarkStart w:id="132" w:name="_Toc526844609"/>
      <w:r w:rsidRPr="00325B6A">
        <w:rPr>
          <w:rStyle w:val="CharSectNo"/>
        </w:rPr>
        <w:t>83</w:t>
      </w:r>
      <w:r>
        <w:tab/>
        <w:t>Application for certification</w:t>
      </w:r>
      <w:bookmarkEnd w:id="132"/>
    </w:p>
    <w:p w:rsidR="00F93509" w:rsidRDefault="00F93509" w:rsidP="00F93509">
      <w:pPr>
        <w:pStyle w:val="Amain"/>
      </w:pPr>
      <w:r>
        <w:rPr>
          <w:rFonts w:ascii="Tms Rmn" w:hAnsi="Tms Rmn"/>
        </w:rPr>
        <w:tab/>
        <w:t>(1)</w:t>
      </w:r>
      <w:r>
        <w:rPr>
          <w:rFonts w:ascii="Tms Rmn" w:hAnsi="Tms Rmn"/>
        </w:rPr>
        <w:tab/>
      </w:r>
      <w:r>
        <w:t>A person may apply to the regulator for certification of a facility to a particular containment level.</w:t>
      </w:r>
    </w:p>
    <w:p w:rsidR="00F93509" w:rsidRDefault="00F93509" w:rsidP="00F93509">
      <w:pPr>
        <w:pStyle w:val="Amain"/>
        <w:keepNext/>
      </w:pPr>
      <w:r>
        <w:rPr>
          <w:rFonts w:ascii="Tms Rmn" w:hAnsi="Tms Rmn"/>
        </w:rPr>
        <w:tab/>
        <w:t>(2)</w:t>
      </w:r>
      <w:r>
        <w:rPr>
          <w:rFonts w:ascii="Tms Rmn" w:hAnsi="Tms Rmn"/>
        </w:rPr>
        <w:tab/>
      </w:r>
      <w:r>
        <w:t>The application must be in writing, and must contain the information the regulator requires.</w:t>
      </w:r>
    </w:p>
    <w:p w:rsidR="00F93509" w:rsidRDefault="00F93509" w:rsidP="00F93509">
      <w:pPr>
        <w:pStyle w:val="aNote"/>
      </w:pPr>
      <w:r>
        <w:rPr>
          <w:rStyle w:val="charItals"/>
        </w:rPr>
        <w:t>Note</w:t>
      </w:r>
      <w:r>
        <w:tab/>
        <w:t>The conditions of a licence, or conditions to which an emergency dealing determination is subject, may require that a facility be certified under this division.</w:t>
      </w:r>
    </w:p>
    <w:p w:rsidR="00F93509" w:rsidRDefault="00F93509" w:rsidP="00F93509">
      <w:pPr>
        <w:pStyle w:val="Amain"/>
      </w:pPr>
      <w:r>
        <w:rPr>
          <w:rFonts w:ascii="Tms Rmn" w:hAnsi="Tms Rmn"/>
        </w:rPr>
        <w:tab/>
        <w:t>(3)</w:t>
      </w:r>
      <w:r>
        <w:rPr>
          <w:rFonts w:ascii="Tms Rmn" w:hAnsi="Tms Rmn"/>
        </w:rPr>
        <w:tab/>
      </w:r>
      <w:r>
        <w:t>The application must be accompanied by the application fee (if any) prescribed by regulation.</w:t>
      </w:r>
    </w:p>
    <w:p w:rsidR="00F93509" w:rsidRDefault="00F93509" w:rsidP="00F93509">
      <w:pPr>
        <w:pStyle w:val="AH5Sec"/>
      </w:pPr>
      <w:bookmarkStart w:id="133" w:name="_Toc526844610"/>
      <w:r w:rsidRPr="00325B6A">
        <w:rPr>
          <w:rStyle w:val="CharSectNo"/>
        </w:rPr>
        <w:t>84</w:t>
      </w:r>
      <w:r>
        <w:tab/>
        <w:t>When regulator may certify facility</w:t>
      </w:r>
      <w:bookmarkEnd w:id="133"/>
    </w:p>
    <w:p w:rsidR="00F93509" w:rsidRDefault="00F93509" w:rsidP="00F93509">
      <w:pPr>
        <w:pStyle w:val="Amainreturn"/>
      </w:pPr>
      <w:r>
        <w:t>The regulator may, in writing, certify the facility to a stated containment level if the facility meets the containment requirements provided in guidelines issued by the regulator under section 90.</w:t>
      </w:r>
    </w:p>
    <w:p w:rsidR="00F93509" w:rsidRDefault="00F93509" w:rsidP="00F93509">
      <w:pPr>
        <w:pStyle w:val="AH5Sec"/>
      </w:pPr>
      <w:bookmarkStart w:id="134" w:name="_Toc526844611"/>
      <w:r w:rsidRPr="00325B6A">
        <w:rPr>
          <w:rStyle w:val="CharSectNo"/>
        </w:rPr>
        <w:t>85</w:t>
      </w:r>
      <w:r>
        <w:tab/>
        <w:t>Regulator may require applicant to give further information</w:t>
      </w:r>
      <w:bookmarkEnd w:id="134"/>
    </w:p>
    <w:p w:rsidR="00F93509" w:rsidRDefault="00F93509" w:rsidP="00F93509">
      <w:pPr>
        <w:pStyle w:val="Amain"/>
      </w:pPr>
      <w:r>
        <w:rPr>
          <w:rFonts w:ascii="Tms Rmn" w:hAnsi="Tms Rmn"/>
        </w:rPr>
        <w:tab/>
        <w:t>(1)</w:t>
      </w:r>
      <w:r>
        <w:rPr>
          <w:rFonts w:ascii="Tms Rmn" w:hAnsi="Tms Rmn"/>
        </w:rPr>
        <w:tab/>
      </w:r>
      <w:r>
        <w:t>The regulator may, by written notice, require an applicant for certification of a facility to give the regulator further information about the application.</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H5Sec"/>
      </w:pPr>
      <w:bookmarkStart w:id="135" w:name="_Toc526844612"/>
      <w:r w:rsidRPr="00325B6A">
        <w:rPr>
          <w:rStyle w:val="CharSectNo"/>
        </w:rPr>
        <w:t>86</w:t>
      </w:r>
      <w:r>
        <w:tab/>
        <w:t>Conditions of certification</w:t>
      </w:r>
      <w:bookmarkEnd w:id="135"/>
    </w:p>
    <w:p w:rsidR="00F93509" w:rsidRDefault="00F93509" w:rsidP="00F93509">
      <w:pPr>
        <w:pStyle w:val="Amainreturn"/>
        <w:keepNext/>
      </w:pPr>
      <w:r>
        <w:t>The certification of a facility is subject to the following conditions:</w:t>
      </w:r>
    </w:p>
    <w:p w:rsidR="00F93509" w:rsidRDefault="00F93509" w:rsidP="00F93509">
      <w:pPr>
        <w:pStyle w:val="Apara"/>
      </w:pPr>
      <w:r>
        <w:rPr>
          <w:rFonts w:ascii="Tms Rmn" w:hAnsi="Tms Rmn"/>
        </w:rPr>
        <w:tab/>
        <w:t>(a)</w:t>
      </w:r>
      <w:r>
        <w:rPr>
          <w:rFonts w:ascii="Tms Rmn" w:hAnsi="Tms Rmn"/>
        </w:rPr>
        <w:tab/>
      </w:r>
      <w:r>
        <w:t>any conditions imposed by the regulator at the time of certification;</w:t>
      </w:r>
    </w:p>
    <w:p w:rsidR="00F93509" w:rsidRDefault="00F93509" w:rsidP="00F93509">
      <w:pPr>
        <w:pStyle w:val="Apara"/>
      </w:pPr>
      <w:r>
        <w:rPr>
          <w:rFonts w:ascii="Tms Rmn" w:hAnsi="Tms Rmn"/>
        </w:rPr>
        <w:tab/>
        <w:t>(b)</w:t>
      </w:r>
      <w:r>
        <w:rPr>
          <w:rFonts w:ascii="Tms Rmn" w:hAnsi="Tms Rmn"/>
        </w:rPr>
        <w:tab/>
      </w:r>
      <w:r>
        <w:t>any conditions imposed by the regulator under section 87 after certification;</w:t>
      </w:r>
    </w:p>
    <w:p w:rsidR="00F93509" w:rsidRDefault="00F93509" w:rsidP="00F93509">
      <w:pPr>
        <w:pStyle w:val="Apara"/>
      </w:pPr>
      <w:r>
        <w:rPr>
          <w:rFonts w:ascii="Tms Rmn" w:hAnsi="Tms Rmn"/>
        </w:rPr>
        <w:tab/>
        <w:t>(c)</w:t>
      </w:r>
      <w:r>
        <w:rPr>
          <w:rFonts w:ascii="Tms Rmn" w:hAnsi="Tms Rmn"/>
        </w:rPr>
        <w:tab/>
      </w:r>
      <w:r>
        <w:t>any conditions prescribed by regulation.</w:t>
      </w:r>
    </w:p>
    <w:p w:rsidR="00F93509" w:rsidRDefault="00F93509" w:rsidP="00F93509">
      <w:pPr>
        <w:pStyle w:val="AH5Sec"/>
      </w:pPr>
      <w:bookmarkStart w:id="136" w:name="_Toc526844613"/>
      <w:r w:rsidRPr="00325B6A">
        <w:rPr>
          <w:rStyle w:val="CharSectNo"/>
        </w:rPr>
        <w:t>87</w:t>
      </w:r>
      <w:r>
        <w:tab/>
        <w:t>Variation of certification</w:t>
      </w:r>
      <w:bookmarkEnd w:id="136"/>
    </w:p>
    <w:p w:rsidR="00F93509" w:rsidRDefault="00F93509" w:rsidP="00F93509">
      <w:pPr>
        <w:pStyle w:val="Amain"/>
      </w:pPr>
      <w:r>
        <w:rPr>
          <w:rFonts w:ascii="Tms Rmn" w:hAnsi="Tms Rmn"/>
        </w:rPr>
        <w:tab/>
        <w:t>(1)</w:t>
      </w:r>
      <w:r>
        <w:rPr>
          <w:rFonts w:ascii="Tms Rmn" w:hAnsi="Tms Rmn"/>
        </w:rPr>
        <w:tab/>
      </w:r>
      <w:r>
        <w:t>The regulator may, at any time, by written notice given to the holder of the certification, vary the certification of a facility.</w:t>
      </w:r>
    </w:p>
    <w:p w:rsidR="00F93509" w:rsidRDefault="00F93509" w:rsidP="00F93509">
      <w:pPr>
        <w:pStyle w:val="Amain"/>
      </w:pPr>
      <w:r>
        <w:rPr>
          <w:rFonts w:ascii="Tms Rmn" w:hAnsi="Tms Rmn"/>
        </w:rPr>
        <w:tab/>
        <w:t>(2)</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additional conditions; or</w:t>
      </w:r>
    </w:p>
    <w:p w:rsidR="00F93509" w:rsidRDefault="00F93509" w:rsidP="00F93509">
      <w:pPr>
        <w:pStyle w:val="Apara"/>
      </w:pPr>
      <w:r>
        <w:rPr>
          <w:rFonts w:ascii="Tms Rmn" w:hAnsi="Tms Rmn"/>
        </w:rPr>
        <w:tab/>
        <w:t>(b)</w:t>
      </w:r>
      <w:r>
        <w:rPr>
          <w:rFonts w:ascii="Tms Rmn" w:hAnsi="Tms Rmn"/>
        </w:rPr>
        <w:tab/>
      </w:r>
      <w:r>
        <w:t>remove or vary conditions imposed by the regulator.</w:t>
      </w:r>
    </w:p>
    <w:p w:rsidR="00F93509" w:rsidRDefault="00F93509" w:rsidP="00F93509">
      <w:pPr>
        <w:pStyle w:val="AH5Sec"/>
      </w:pPr>
      <w:bookmarkStart w:id="137" w:name="_Toc526844614"/>
      <w:r w:rsidRPr="00325B6A">
        <w:rPr>
          <w:rStyle w:val="CharSectNo"/>
        </w:rPr>
        <w:t>88</w:t>
      </w:r>
      <w:r>
        <w:tab/>
        <w:t>Suspension or cancellation of certification</w:t>
      </w:r>
      <w:bookmarkEnd w:id="137"/>
    </w:p>
    <w:p w:rsidR="00F93509" w:rsidRDefault="00F93509" w:rsidP="00F93509">
      <w:pPr>
        <w:pStyle w:val="Amainreturn"/>
      </w:pPr>
      <w:r>
        <w:t>The regulator may, by written notice, suspend or cancel the certification of a facility if the regulator believes on reasonable grounds that a condition of the certification has been breached.</w:t>
      </w:r>
    </w:p>
    <w:p w:rsidR="00F93509" w:rsidRDefault="00F93509" w:rsidP="00F93509">
      <w:pPr>
        <w:pStyle w:val="AH5Sec"/>
      </w:pPr>
      <w:bookmarkStart w:id="138" w:name="_Toc526844615"/>
      <w:r w:rsidRPr="00325B6A">
        <w:rPr>
          <w:rStyle w:val="CharSectNo"/>
        </w:rPr>
        <w:t>89</w:t>
      </w:r>
      <w:r>
        <w:tab/>
        <w:t>Regulator to notify of proposed suspension, cancellation or variation</w:t>
      </w:r>
      <w:bookmarkEnd w:id="138"/>
    </w:p>
    <w:p w:rsidR="00F93509" w:rsidRDefault="00F93509" w:rsidP="00F93509">
      <w:pPr>
        <w:pStyle w:val="Amain"/>
      </w:pPr>
      <w:r>
        <w:rPr>
          <w:rFonts w:ascii="Tms Rmn" w:hAnsi="Tms Rmn"/>
        </w:rPr>
        <w:tab/>
        <w:t>(1)</w:t>
      </w:r>
      <w:r>
        <w:rPr>
          <w:rFonts w:ascii="Tms Rmn" w:hAnsi="Tms Rmn"/>
        </w:rPr>
        <w:tab/>
      </w:r>
      <w:r>
        <w:t>Before suspending, cancelling or varying a certification under this division, the regulator must give written notice of the proposed suspension, cancellation or variation to the holder of the certification.</w:t>
      </w:r>
    </w:p>
    <w:p w:rsidR="00F93509" w:rsidRDefault="00F93509" w:rsidP="00F93509">
      <w:pPr>
        <w:pStyle w:val="Amain"/>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 xml:space="preserve">must state that the regulator proposes to suspend, cancel or vary the certification; and </w:t>
      </w:r>
    </w:p>
    <w:p w:rsidR="00F93509" w:rsidRDefault="00F93509" w:rsidP="00F93509">
      <w:pPr>
        <w:pStyle w:val="Apara"/>
      </w:pPr>
      <w:r>
        <w:rPr>
          <w:rFonts w:ascii="Tms Rmn" w:hAnsi="Tms Rmn"/>
        </w:rPr>
        <w:tab/>
        <w:t>(b)</w:t>
      </w:r>
      <w:r>
        <w:rPr>
          <w:rFonts w:ascii="Tms Rmn" w:hAnsi="Tms Rmn"/>
        </w:rPr>
        <w:tab/>
      </w:r>
      <w:r>
        <w:t xml:space="preserve">may require the holder of the certification to give to the regulator any information of a kind stated in the notice that is relevant to the proposed suspension, cancellation or variation; and </w:t>
      </w:r>
    </w:p>
    <w:p w:rsidR="00F93509" w:rsidRDefault="00F93509" w:rsidP="00F93509">
      <w:pPr>
        <w:pStyle w:val="Apara"/>
      </w:pPr>
      <w:r>
        <w:rPr>
          <w:rFonts w:ascii="Tms Rmn" w:hAnsi="Tms Rmn"/>
        </w:rPr>
        <w:tab/>
        <w:t>(c)</w:t>
      </w:r>
      <w:r>
        <w:rPr>
          <w:rFonts w:ascii="Tms Rmn" w:hAnsi="Tms Rmn"/>
        </w:rPr>
        <w:tab/>
      </w:r>
      <w:r>
        <w:t>may invite the holder to make a written submission to the regulator about the proposed suspension, cancellation or variation.</w:t>
      </w:r>
    </w:p>
    <w:p w:rsidR="00F93509" w:rsidRDefault="00F93509" w:rsidP="00F93509">
      <w:pPr>
        <w:pStyle w:val="Amain"/>
      </w:pPr>
      <w:r>
        <w:rPr>
          <w:rFonts w:ascii="Tms Rmn" w:hAnsi="Tms Rmn"/>
        </w:rPr>
        <w:tab/>
        <w:t>(3)</w:t>
      </w:r>
      <w:r>
        <w:rPr>
          <w:rFonts w:ascii="Tms Rmn" w:hAnsi="Tms Rmn"/>
        </w:rPr>
        <w:tab/>
      </w:r>
      <w:r>
        <w:t>The notice must state a period within which the holder of the certification—</w:t>
      </w:r>
    </w:p>
    <w:p w:rsidR="00F93509" w:rsidRDefault="00F93509" w:rsidP="00F93509">
      <w:pPr>
        <w:pStyle w:val="Apara"/>
      </w:pPr>
      <w:r>
        <w:rPr>
          <w:rFonts w:ascii="Tms Rmn" w:hAnsi="Tms Rmn"/>
        </w:rPr>
        <w:tab/>
        <w:t>(a)</w:t>
      </w:r>
      <w:r>
        <w:rPr>
          <w:rFonts w:ascii="Tms Rmn" w:hAnsi="Tms Rmn"/>
        </w:rPr>
        <w:tab/>
      </w:r>
      <w:r>
        <w:t xml:space="preserve">must give the information mentioned in subsection (2) (b); and </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tab/>
        <w:t>(5)</w:t>
      </w:r>
      <w:r>
        <w:rPr>
          <w:rFonts w:ascii="Tms Rmn" w:hAnsi="Tms Rmn"/>
        </w:rPr>
        <w:tab/>
      </w:r>
      <w:r>
        <w:t>In considering whether to suspend, cancel or vary a certification, the regulator must have regard to any submission made under subsection (2) (c).</w:t>
      </w:r>
    </w:p>
    <w:p w:rsidR="00F93509" w:rsidRDefault="00F93509" w:rsidP="00F93509">
      <w:pPr>
        <w:pStyle w:val="Amain"/>
      </w:pPr>
      <w:r>
        <w:rPr>
          <w:rFonts w:ascii="Tms Rmn" w:hAnsi="Tms Rmn"/>
        </w:rPr>
        <w:tab/>
        <w:t>(6)</w:t>
      </w:r>
      <w:r>
        <w:rPr>
          <w:rFonts w:ascii="Tms Rmn" w:hAnsi="Tms Rmn"/>
        </w:rPr>
        <w:tab/>
      </w:r>
      <w:r>
        <w:t>This section does not apply to a suspension, cancellation or variation requested by the holder of the certification.</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 certification if the regulator considers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 licence if the regulator is satisfied that the variation is of minor significance or complexity.</w:t>
      </w:r>
    </w:p>
    <w:p w:rsidR="00F93509" w:rsidRDefault="00F93509" w:rsidP="00F93509">
      <w:pPr>
        <w:pStyle w:val="AH5Sec"/>
      </w:pPr>
      <w:bookmarkStart w:id="139" w:name="_Toc526844616"/>
      <w:r w:rsidRPr="00325B6A">
        <w:rPr>
          <w:rStyle w:val="CharSectNo"/>
        </w:rPr>
        <w:t>89A</w:t>
      </w:r>
      <w:r>
        <w:tab/>
        <w:t>Transfer of certification</w:t>
      </w:r>
      <w:bookmarkEnd w:id="139"/>
    </w:p>
    <w:p w:rsidR="00F93509" w:rsidRDefault="00F93509" w:rsidP="00F93509">
      <w:pPr>
        <w:pStyle w:val="Amain"/>
      </w:pPr>
      <w:r>
        <w:tab/>
        <w:t>(1)</w:t>
      </w:r>
      <w:r>
        <w:tab/>
        <w:t xml:space="preserve">The holder of a certification and another person (the </w:t>
      </w:r>
      <w:r>
        <w:rPr>
          <w:rStyle w:val="charBoldItals"/>
        </w:rPr>
        <w:t>transferee</w:t>
      </w:r>
      <w:r>
        <w:t>) may jointly apply to the regulator for the certification to be transferred from the holder of the certification to the transferee.</w:t>
      </w:r>
    </w:p>
    <w:p w:rsidR="00F93509" w:rsidRDefault="00F93509" w:rsidP="00F93509">
      <w:pPr>
        <w:pStyle w:val="Amain"/>
      </w:pPr>
      <w:r>
        <w:tab/>
        <w:t>(2)</w:t>
      </w:r>
      <w:r>
        <w:tab/>
        <w:t>The application must be in writing and must contain—</w:t>
      </w:r>
    </w:p>
    <w:p w:rsidR="00F93509" w:rsidRDefault="00F93509" w:rsidP="00F93509">
      <w:pPr>
        <w:pStyle w:val="Apara"/>
      </w:pPr>
      <w:r>
        <w:tab/>
        <w:t>(a)</w:t>
      </w:r>
      <w:r>
        <w:tab/>
        <w:t>any information prescribed by regulation; and</w:t>
      </w:r>
    </w:p>
    <w:p w:rsidR="00F93509" w:rsidRDefault="00F93509" w:rsidP="00F93509">
      <w:pPr>
        <w:pStyle w:val="Apara"/>
      </w:pPr>
      <w:r>
        <w:tab/>
        <w:t>(b)</w:t>
      </w:r>
      <w:r>
        <w:tab/>
        <w:t>any information required, in writing, by the regulator.</w:t>
      </w:r>
    </w:p>
    <w:p w:rsidR="00F93509" w:rsidRDefault="00F93509" w:rsidP="00F93509">
      <w:pPr>
        <w:pStyle w:val="Amain"/>
      </w:pPr>
      <w:r>
        <w:tab/>
        <w:t>(3)</w:t>
      </w:r>
      <w:r>
        <w:tab/>
        <w:t>The regulator must not transfer the certification unless satisfied that, if the certification is transferred, any conditions to which the certification is subject will continue to be met.</w:t>
      </w:r>
    </w:p>
    <w:p w:rsidR="00F93509" w:rsidRDefault="00F93509" w:rsidP="00F93509">
      <w:pPr>
        <w:pStyle w:val="Amain"/>
      </w:pPr>
      <w:r>
        <w:tab/>
        <w:t>(4)</w:t>
      </w:r>
      <w:r>
        <w:tab/>
        <w:t>The regulator must give written notice of his or her decision on the application to the holder of the certification and the transferee.</w:t>
      </w:r>
    </w:p>
    <w:p w:rsidR="00F93509" w:rsidRDefault="00F93509" w:rsidP="00F93509">
      <w:pPr>
        <w:pStyle w:val="Amain"/>
      </w:pPr>
      <w:r>
        <w:tab/>
        <w:t>(5)</w:t>
      </w:r>
      <w:r>
        <w:tab/>
        <w:t>If the regulator decides to transfer the certification—</w:t>
      </w:r>
    </w:p>
    <w:p w:rsidR="00F93509" w:rsidRDefault="00F93509" w:rsidP="00F93509">
      <w:pPr>
        <w:pStyle w:val="Apara"/>
      </w:pPr>
      <w:r>
        <w:tab/>
        <w:t>(a)</w:t>
      </w:r>
      <w:r>
        <w:tab/>
        <w:t>the transfer takes effect on the date stated in the notice; and</w:t>
      </w:r>
    </w:p>
    <w:p w:rsidR="00F93509" w:rsidRDefault="00F93509" w:rsidP="00F93509">
      <w:pPr>
        <w:pStyle w:val="Apara"/>
      </w:pPr>
      <w:r>
        <w:tab/>
        <w:t>(b)</w:t>
      </w:r>
      <w:r>
        <w:tab/>
        <w:t>the certification continues in force; and</w:t>
      </w:r>
    </w:p>
    <w:p w:rsidR="00F93509" w:rsidRDefault="00F93509" w:rsidP="00F93509">
      <w:pPr>
        <w:pStyle w:val="Apara"/>
      </w:pPr>
      <w:r>
        <w:tab/>
        <w:t>(c)</w:t>
      </w:r>
      <w:r>
        <w:tab/>
        <w:t>the certification is subject to the same conditions as those in force immediately before the transfer.</w:t>
      </w:r>
    </w:p>
    <w:p w:rsidR="00F93509" w:rsidRDefault="00F93509" w:rsidP="00F93509">
      <w:pPr>
        <w:pStyle w:val="AH5Sec"/>
      </w:pPr>
      <w:bookmarkStart w:id="140" w:name="_Toc526844617"/>
      <w:r w:rsidRPr="00325B6A">
        <w:rPr>
          <w:rStyle w:val="CharSectNo"/>
        </w:rPr>
        <w:t>90</w:t>
      </w:r>
      <w:r>
        <w:tab/>
        <w:t>Guidelines</w:t>
      </w:r>
      <w:bookmarkEnd w:id="140"/>
    </w:p>
    <w:p w:rsidR="00F93509" w:rsidRDefault="00F93509" w:rsidP="00F93509">
      <w:pPr>
        <w:pStyle w:val="Amainreturn"/>
        <w:keepNext/>
      </w:pPr>
      <w:r>
        <w:t>The regulator may issue written technical or procedural guidelines about the requirements for the certification of facilities to stated containment levels.</w:t>
      </w:r>
    </w:p>
    <w:p w:rsidR="00F93509" w:rsidRDefault="00F93509" w:rsidP="00F93509">
      <w:pPr>
        <w:pStyle w:val="aNote"/>
      </w:pPr>
      <w:r w:rsidRPr="00903C3C">
        <w:rPr>
          <w:rStyle w:val="charItals"/>
        </w:rPr>
        <w:t>Note 1</w:t>
      </w:r>
      <w:r>
        <w:tab/>
        <w:t>For provisions corresponding to the</w:t>
      </w:r>
      <w:r w:rsidR="00A023DA">
        <w:t xml:space="preserve"> </w:t>
      </w:r>
      <w:hyperlink r:id="rId115" w:tooltip="Gene Technology Act 2000" w:history="1">
        <w:r w:rsidR="00A421C4" w:rsidRPr="00A421C4">
          <w:rPr>
            <w:rStyle w:val="charCitHyperlinkAbbrev"/>
          </w:rPr>
          <w:t>Commonwealth Act</w:t>
        </w:r>
      </w:hyperlink>
      <w:r w:rsidR="00A023DA">
        <w:t xml:space="preserve">, </w:t>
      </w:r>
      <w:r>
        <w:t xml:space="preserve">s 90 (2), see the </w:t>
      </w:r>
      <w:hyperlink r:id="rId116" w:tooltip="A2001-14" w:history="1">
        <w:r w:rsidRPr="00903C3C">
          <w:rPr>
            <w:rStyle w:val="charCitHyperlinkAbbrev"/>
          </w:rPr>
          <w:t>Legislation Act</w:t>
        </w:r>
      </w:hyperlink>
      <w:r>
        <w:t>, s 46.</w:t>
      </w:r>
    </w:p>
    <w:p w:rsidR="00F93509" w:rsidRDefault="00F93509" w:rsidP="00F93509">
      <w:pPr>
        <w:pStyle w:val="aNote"/>
      </w:pPr>
      <w:r w:rsidRPr="00903C3C">
        <w:rPr>
          <w:rStyle w:val="charItals"/>
        </w:rPr>
        <w:t>Note 2</w:t>
      </w:r>
      <w:r w:rsidRPr="00903C3C">
        <w:rPr>
          <w:rStyle w:val="charItals"/>
        </w:rPr>
        <w:tab/>
      </w:r>
      <w:r>
        <w:t>This section differs from the</w:t>
      </w:r>
      <w:r w:rsidR="00A421C4">
        <w:t xml:space="preserve"> </w:t>
      </w:r>
      <w:hyperlink r:id="rId117" w:tooltip="Gene Technology Act 2000" w:history="1">
        <w:r w:rsidR="00A421C4" w:rsidRPr="00A421C4">
          <w:rPr>
            <w:rStyle w:val="charCitHyperlinkAbbrev"/>
          </w:rPr>
          <w:t>Commonwealth Act</w:t>
        </w:r>
      </w:hyperlink>
      <w:r w:rsidR="00A421C4">
        <w:t xml:space="preserve">, </w:t>
      </w:r>
      <w:r>
        <w:t>s 90.</w:t>
      </w:r>
    </w:p>
    <w:p w:rsidR="00F93509" w:rsidRPr="00325B6A" w:rsidRDefault="00F93509" w:rsidP="00F93509">
      <w:pPr>
        <w:pStyle w:val="AH3Div"/>
      </w:pPr>
      <w:bookmarkStart w:id="141" w:name="_Toc526844618"/>
      <w:r w:rsidRPr="00325B6A">
        <w:rPr>
          <w:rStyle w:val="CharDivNo"/>
        </w:rPr>
        <w:t>Division 7.3</w:t>
      </w:r>
      <w:r>
        <w:tab/>
      </w:r>
      <w:r w:rsidRPr="00325B6A">
        <w:rPr>
          <w:rStyle w:val="CharDivText"/>
        </w:rPr>
        <w:t>Accredited organisations</w:t>
      </w:r>
      <w:bookmarkEnd w:id="141"/>
    </w:p>
    <w:p w:rsidR="00F93509" w:rsidRDefault="00F93509" w:rsidP="00F93509">
      <w:pPr>
        <w:pStyle w:val="AH5Sec"/>
      </w:pPr>
      <w:bookmarkStart w:id="142" w:name="_Toc526844619"/>
      <w:r w:rsidRPr="00325B6A">
        <w:rPr>
          <w:rStyle w:val="CharSectNo"/>
        </w:rPr>
        <w:t>91</w:t>
      </w:r>
      <w:r>
        <w:tab/>
        <w:t>Application for accreditation</w:t>
      </w:r>
      <w:bookmarkEnd w:id="142"/>
    </w:p>
    <w:p w:rsidR="00F93509" w:rsidRDefault="00F93509" w:rsidP="00F93509">
      <w:pPr>
        <w:pStyle w:val="Amain"/>
        <w:keepNext/>
      </w:pPr>
      <w:r>
        <w:rPr>
          <w:rFonts w:ascii="Tms Rmn" w:hAnsi="Tms Rmn"/>
        </w:rPr>
        <w:tab/>
        <w:t>(1)</w:t>
      </w:r>
      <w:r>
        <w:rPr>
          <w:rFonts w:ascii="Tms Rmn" w:hAnsi="Tms Rmn"/>
        </w:rPr>
        <w:tab/>
      </w:r>
      <w:r>
        <w:t>A person may apply to the regulator for accreditation of an organisation as an accredited organisation.</w:t>
      </w:r>
    </w:p>
    <w:p w:rsidR="00F93509" w:rsidRDefault="00F93509" w:rsidP="00F93509">
      <w:pPr>
        <w:pStyle w:val="aNote"/>
        <w:keepNext/>
      </w:pPr>
      <w:r>
        <w:rPr>
          <w:rStyle w:val="charItals"/>
        </w:rPr>
        <w:t>Note 1</w:t>
      </w:r>
      <w:r>
        <w:rPr>
          <w:rStyle w:val="charItals"/>
        </w:rPr>
        <w:tab/>
      </w:r>
      <w:r>
        <w:t>The conditions of a licence may require supervision of  dealings by an institutional biosafety committee (see s 62 (2) (m)), and a regulation may require such supervision of notifiable risk dealings (see s 75 (2) (c)).</w:t>
      </w:r>
    </w:p>
    <w:p w:rsidR="00F93509" w:rsidRDefault="00F93509" w:rsidP="00F93509">
      <w:pPr>
        <w:pStyle w:val="aNote"/>
      </w:pPr>
      <w:r>
        <w:rPr>
          <w:rStyle w:val="charItals"/>
        </w:rPr>
        <w:t>Note 2</w:t>
      </w:r>
      <w:r>
        <w:tab/>
        <w:t>The conditions to which an emergency dealing determination is subject may require supervision of dealings by an institutional biosafety committee (see the</w:t>
      </w:r>
      <w:r w:rsidR="00A421C4">
        <w:t xml:space="preserve"> </w:t>
      </w:r>
      <w:hyperlink r:id="rId118" w:tooltip="Gene Technology Act 2000" w:history="1">
        <w:r w:rsidR="00A421C4" w:rsidRPr="00A421C4">
          <w:rPr>
            <w:rStyle w:val="charCitHyperlinkAbbrev"/>
          </w:rPr>
          <w:t>Commonwealth Act</w:t>
        </w:r>
      </w:hyperlink>
      <w:r w:rsidR="00A421C4">
        <w:t xml:space="preserve">, </w:t>
      </w:r>
      <w:r>
        <w:t>s 72D (2) (t)).</w:t>
      </w:r>
    </w:p>
    <w:p w:rsidR="00F93509" w:rsidRDefault="00F93509" w:rsidP="00F93509">
      <w:pPr>
        <w:pStyle w:val="Amain"/>
      </w:pPr>
      <w:r>
        <w:rPr>
          <w:rFonts w:ascii="Tms Rmn" w:hAnsi="Tms Rmn"/>
        </w:rPr>
        <w:tab/>
        <w:t>(2)</w:t>
      </w:r>
      <w:r>
        <w:rPr>
          <w:rFonts w:ascii="Tms Rmn" w:hAnsi="Tms Rmn"/>
        </w:rPr>
        <w:tab/>
      </w:r>
      <w:r>
        <w:t>The application must be in writing, and must contain the information the regulator requires.</w:t>
      </w:r>
    </w:p>
    <w:p w:rsidR="00F93509" w:rsidRDefault="00F93509" w:rsidP="00F93509">
      <w:pPr>
        <w:pStyle w:val="AH5Sec"/>
      </w:pPr>
      <w:bookmarkStart w:id="143" w:name="_Toc526844620"/>
      <w:r w:rsidRPr="00325B6A">
        <w:rPr>
          <w:rStyle w:val="CharSectNo"/>
        </w:rPr>
        <w:t>92</w:t>
      </w:r>
      <w:r>
        <w:tab/>
        <w:t>Regulator may accredit organisations</w:t>
      </w:r>
      <w:bookmarkEnd w:id="143"/>
    </w:p>
    <w:p w:rsidR="00F93509" w:rsidRDefault="00F93509" w:rsidP="00F93509">
      <w:pPr>
        <w:pStyle w:val="Amain"/>
      </w:pPr>
      <w:r>
        <w:rPr>
          <w:rFonts w:ascii="Tms Rmn" w:hAnsi="Tms Rmn"/>
        </w:rPr>
        <w:tab/>
        <w:t>(1)</w:t>
      </w:r>
      <w:r>
        <w:rPr>
          <w:rFonts w:ascii="Tms Rmn" w:hAnsi="Tms Rmn"/>
        </w:rPr>
        <w:tab/>
      </w:r>
      <w:r>
        <w:t>The regulator may, in writing, accredit an organisation as an accredited organisation.</w:t>
      </w:r>
    </w:p>
    <w:p w:rsidR="00F93509" w:rsidRDefault="00F93509" w:rsidP="00F93509">
      <w:pPr>
        <w:pStyle w:val="Amain"/>
      </w:pPr>
      <w:r>
        <w:rPr>
          <w:rFonts w:ascii="Tms Rmn" w:hAnsi="Tms Rmn"/>
        </w:rPr>
        <w:tab/>
        <w:t>(2)</w:t>
      </w:r>
      <w:r>
        <w:rPr>
          <w:rFonts w:ascii="Tms Rmn" w:hAnsi="Tms Rmn"/>
        </w:rPr>
        <w:tab/>
      </w:r>
      <w:r>
        <w:t>In deciding whether to accredit an organisation, the regulator must have regard to—</w:t>
      </w:r>
    </w:p>
    <w:p w:rsidR="00F93509" w:rsidRDefault="00F93509" w:rsidP="00F93509">
      <w:pPr>
        <w:pStyle w:val="Apara"/>
      </w:pPr>
      <w:r>
        <w:rPr>
          <w:rFonts w:ascii="Tms Rmn" w:hAnsi="Tms Rmn"/>
        </w:rPr>
        <w:tab/>
        <w:t>(a)</w:t>
      </w:r>
      <w:r>
        <w:rPr>
          <w:rFonts w:ascii="Tms Rmn" w:hAnsi="Tms Rmn"/>
        </w:rPr>
        <w:tab/>
      </w:r>
      <w:r>
        <w:t xml:space="preserve">whether the organisation has established an institutional biosafety committee under guidelines issued by the regulator under section 98; and </w:t>
      </w:r>
    </w:p>
    <w:p w:rsidR="00F93509" w:rsidRDefault="00F93509" w:rsidP="00F93509">
      <w:pPr>
        <w:pStyle w:val="Apara"/>
      </w:pPr>
      <w:r>
        <w:tab/>
        <w:t>(b)</w:t>
      </w:r>
      <w:r>
        <w:tab/>
        <w:t>if the organisation has established an institutional biosafety committee—whether the organisation will be able to maintain the institutional biosafety committee in accordance with the guidelines; and</w:t>
      </w:r>
    </w:p>
    <w:p w:rsidR="00F93509" w:rsidRDefault="00F93509" w:rsidP="00F93509">
      <w:pPr>
        <w:pStyle w:val="Apara"/>
      </w:pPr>
      <w:r>
        <w:tab/>
        <w:t>(c)</w:t>
      </w:r>
      <w:r>
        <w:tab/>
        <w:t>if the organisation has established an institutional biosafety committee—whether the organisation has appropriate indemnity arrangements for its institutional biosafety committee members; and</w:t>
      </w:r>
    </w:p>
    <w:p w:rsidR="00F93509" w:rsidRDefault="00F93509" w:rsidP="00F93509">
      <w:pPr>
        <w:pStyle w:val="Apara"/>
      </w:pPr>
      <w:r>
        <w:tab/>
        <w:t>(ca)</w:t>
      </w:r>
      <w:r>
        <w:tab/>
        <w:t>if the organisation has not established an institutional biosafety committee as mentioned in paragraph (a)—whether the organisation will be in a position to use an institutional biosafety committee established by an accredited organisation; and</w:t>
      </w:r>
    </w:p>
    <w:p w:rsidR="00F93509" w:rsidRDefault="00F93509" w:rsidP="00F93509">
      <w:pPr>
        <w:pStyle w:val="Apara"/>
      </w:pPr>
      <w:r>
        <w:rPr>
          <w:rFonts w:ascii="Tms Rmn" w:hAnsi="Tms Rmn"/>
        </w:rPr>
        <w:tab/>
        <w:t>(d)</w:t>
      </w:r>
      <w:r>
        <w:rPr>
          <w:rFonts w:ascii="Tms Rmn" w:hAnsi="Tms Rmn"/>
        </w:rPr>
        <w:tab/>
      </w:r>
      <w:r>
        <w:t>any other matters provided in the guidelines.</w:t>
      </w:r>
    </w:p>
    <w:p w:rsidR="00F93509" w:rsidRDefault="00F93509" w:rsidP="00F93509">
      <w:pPr>
        <w:pStyle w:val="AH5Sec"/>
      </w:pPr>
      <w:bookmarkStart w:id="144" w:name="_Toc526844621"/>
      <w:r w:rsidRPr="00325B6A">
        <w:rPr>
          <w:rStyle w:val="CharSectNo"/>
        </w:rPr>
        <w:t>93</w:t>
      </w:r>
      <w:r>
        <w:tab/>
        <w:t>Regulator may require applicant to give further information</w:t>
      </w:r>
      <w:bookmarkEnd w:id="144"/>
    </w:p>
    <w:p w:rsidR="00F93509" w:rsidRDefault="00F93509" w:rsidP="00F93509">
      <w:pPr>
        <w:pStyle w:val="Amain"/>
      </w:pPr>
      <w:r>
        <w:rPr>
          <w:rFonts w:ascii="Tms Rmn" w:hAnsi="Tms Rmn"/>
        </w:rPr>
        <w:tab/>
        <w:t>(1)</w:t>
      </w:r>
      <w:r>
        <w:rPr>
          <w:rFonts w:ascii="Tms Rmn" w:hAnsi="Tms Rmn"/>
        </w:rPr>
        <w:tab/>
      </w:r>
      <w:r>
        <w:t>The regulator may, by written notice, require an applicant for accreditation of an organisation to give the regulator further information about the application.</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H5Sec"/>
      </w:pPr>
      <w:bookmarkStart w:id="145" w:name="_Toc526844622"/>
      <w:r w:rsidRPr="00325B6A">
        <w:rPr>
          <w:rStyle w:val="CharSectNo"/>
        </w:rPr>
        <w:t>94</w:t>
      </w:r>
      <w:r>
        <w:tab/>
        <w:t>Conditions of accreditation</w:t>
      </w:r>
      <w:bookmarkEnd w:id="145"/>
    </w:p>
    <w:p w:rsidR="00F93509" w:rsidRDefault="00F93509" w:rsidP="00F93509">
      <w:pPr>
        <w:pStyle w:val="Amainreturn"/>
        <w:keepNext/>
      </w:pPr>
      <w:r>
        <w:t>The accreditation of an accredited organisation is subject to the following conditions:</w:t>
      </w:r>
    </w:p>
    <w:p w:rsidR="00F93509" w:rsidRDefault="00F93509" w:rsidP="00F93509">
      <w:pPr>
        <w:pStyle w:val="Apara"/>
      </w:pPr>
      <w:r>
        <w:rPr>
          <w:rFonts w:ascii="Tms Rmn" w:hAnsi="Tms Rmn"/>
        </w:rPr>
        <w:tab/>
        <w:t>(a)</w:t>
      </w:r>
      <w:r>
        <w:rPr>
          <w:rFonts w:ascii="Tms Rmn" w:hAnsi="Tms Rmn"/>
        </w:rPr>
        <w:tab/>
      </w:r>
      <w:r>
        <w:t>any conditions imposed by the regulator at the time of accreditation;</w:t>
      </w:r>
    </w:p>
    <w:p w:rsidR="00F93509" w:rsidRDefault="00F93509" w:rsidP="00F93509">
      <w:pPr>
        <w:pStyle w:val="Apara"/>
      </w:pPr>
      <w:r>
        <w:rPr>
          <w:rFonts w:ascii="Tms Rmn" w:hAnsi="Tms Rmn"/>
        </w:rPr>
        <w:tab/>
        <w:t>(b)</w:t>
      </w:r>
      <w:r>
        <w:rPr>
          <w:rFonts w:ascii="Tms Rmn" w:hAnsi="Tms Rmn"/>
        </w:rPr>
        <w:tab/>
      </w:r>
      <w:r>
        <w:t>any conditions imposed by the regulator under section 95 after accreditation;</w:t>
      </w:r>
    </w:p>
    <w:p w:rsidR="00F93509" w:rsidRDefault="00F93509" w:rsidP="00F93509">
      <w:pPr>
        <w:pStyle w:val="Apara"/>
      </w:pPr>
      <w:r>
        <w:rPr>
          <w:rFonts w:ascii="Tms Rmn" w:hAnsi="Tms Rmn"/>
        </w:rPr>
        <w:tab/>
        <w:t>(c)</w:t>
      </w:r>
      <w:r>
        <w:rPr>
          <w:rFonts w:ascii="Tms Rmn" w:hAnsi="Tms Rmn"/>
        </w:rPr>
        <w:tab/>
      </w:r>
      <w:r>
        <w:t>any conditions prescribed by regulation.</w:t>
      </w:r>
    </w:p>
    <w:p w:rsidR="00F93509" w:rsidRDefault="00F93509" w:rsidP="00F93509">
      <w:pPr>
        <w:pStyle w:val="AH5Sec"/>
      </w:pPr>
      <w:bookmarkStart w:id="146" w:name="_Toc526844623"/>
      <w:r w:rsidRPr="00325B6A">
        <w:rPr>
          <w:rStyle w:val="CharSectNo"/>
        </w:rPr>
        <w:t>95</w:t>
      </w:r>
      <w:r>
        <w:tab/>
        <w:t>Variation of accreditation</w:t>
      </w:r>
      <w:bookmarkEnd w:id="146"/>
    </w:p>
    <w:p w:rsidR="00F93509" w:rsidRDefault="00F93509" w:rsidP="00F93509">
      <w:pPr>
        <w:pStyle w:val="Amain"/>
      </w:pPr>
      <w:r>
        <w:rPr>
          <w:rFonts w:ascii="Tms Rmn" w:hAnsi="Tms Rmn"/>
        </w:rPr>
        <w:tab/>
        <w:t>(1)</w:t>
      </w:r>
      <w:r>
        <w:rPr>
          <w:rFonts w:ascii="Tms Rmn" w:hAnsi="Tms Rmn"/>
        </w:rPr>
        <w:tab/>
      </w:r>
      <w:r>
        <w:t>The regulator may, at any time, by written notice given to an accredited organisation, vary the organisation's accreditation.</w:t>
      </w:r>
    </w:p>
    <w:p w:rsidR="00F93509" w:rsidRDefault="00F93509" w:rsidP="00F93509">
      <w:pPr>
        <w:pStyle w:val="Amain"/>
      </w:pPr>
      <w:r>
        <w:rPr>
          <w:rFonts w:ascii="Tms Rmn" w:hAnsi="Tms Rmn"/>
        </w:rPr>
        <w:tab/>
        <w:t>(2)</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additional conditions; or</w:t>
      </w:r>
    </w:p>
    <w:p w:rsidR="00F93509" w:rsidRDefault="00F93509" w:rsidP="00F93509">
      <w:pPr>
        <w:pStyle w:val="Apara"/>
      </w:pPr>
      <w:r>
        <w:rPr>
          <w:rFonts w:ascii="Tms Rmn" w:hAnsi="Tms Rmn"/>
        </w:rPr>
        <w:tab/>
        <w:t>(b)</w:t>
      </w:r>
      <w:r>
        <w:rPr>
          <w:rFonts w:ascii="Tms Rmn" w:hAnsi="Tms Rmn"/>
        </w:rPr>
        <w:tab/>
      </w:r>
      <w:r>
        <w:t>remove or vary conditions imposed by the regulator.</w:t>
      </w:r>
    </w:p>
    <w:p w:rsidR="00F93509" w:rsidRDefault="00F93509" w:rsidP="00F93509">
      <w:pPr>
        <w:pStyle w:val="AH5Sec"/>
      </w:pPr>
      <w:bookmarkStart w:id="147" w:name="_Toc526844624"/>
      <w:r w:rsidRPr="00325B6A">
        <w:rPr>
          <w:rStyle w:val="CharSectNo"/>
        </w:rPr>
        <w:t>96</w:t>
      </w:r>
      <w:r>
        <w:tab/>
        <w:t>Suspension or cancellation of accreditation</w:t>
      </w:r>
      <w:bookmarkEnd w:id="147"/>
    </w:p>
    <w:p w:rsidR="00F93509" w:rsidRDefault="00F93509" w:rsidP="00F93509">
      <w:pPr>
        <w:pStyle w:val="Amainreturn"/>
      </w:pPr>
      <w:r>
        <w:t>The regulator may, by written notice given to an accredited organisation, suspend or cancel the accreditation if the regulator believes on reasonable grounds that a condition of the accreditation has been breached.</w:t>
      </w:r>
    </w:p>
    <w:p w:rsidR="00F93509" w:rsidRDefault="00F93509" w:rsidP="00F93509">
      <w:pPr>
        <w:pStyle w:val="AH5Sec"/>
      </w:pPr>
      <w:bookmarkStart w:id="148" w:name="_Toc526844625"/>
      <w:r w:rsidRPr="00325B6A">
        <w:rPr>
          <w:rStyle w:val="CharSectNo"/>
        </w:rPr>
        <w:t>97</w:t>
      </w:r>
      <w:r>
        <w:tab/>
        <w:t>Regulator to notify of proposed suspension, cancellation or variation</w:t>
      </w:r>
      <w:bookmarkEnd w:id="148"/>
    </w:p>
    <w:p w:rsidR="00F93509" w:rsidRDefault="00F93509" w:rsidP="00F93509">
      <w:pPr>
        <w:pStyle w:val="Amain"/>
      </w:pPr>
      <w:r>
        <w:rPr>
          <w:rFonts w:ascii="Tms Rmn" w:hAnsi="Tms Rmn"/>
        </w:rPr>
        <w:tab/>
        <w:t>(1)</w:t>
      </w:r>
      <w:r>
        <w:rPr>
          <w:rFonts w:ascii="Tms Rmn" w:hAnsi="Tms Rmn"/>
        </w:rPr>
        <w:tab/>
      </w:r>
      <w:r>
        <w:t>Before suspending, cancelling or varying an accreditation under this division, the regulator must give written notice of the proposed suspension, cancellation or variation to the holder of the accreditation.</w:t>
      </w:r>
    </w:p>
    <w:p w:rsidR="00F93509" w:rsidRDefault="00F93509" w:rsidP="00F93509">
      <w:pPr>
        <w:pStyle w:val="Amain"/>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 xml:space="preserve">must state that the regulator proposes to suspend, cancel or vary the accreditation; and </w:t>
      </w:r>
    </w:p>
    <w:p w:rsidR="00F93509" w:rsidRDefault="00F93509" w:rsidP="00F93509">
      <w:pPr>
        <w:pStyle w:val="Apara"/>
      </w:pPr>
      <w:r>
        <w:rPr>
          <w:rFonts w:ascii="Tms Rmn" w:hAnsi="Tms Rmn"/>
        </w:rPr>
        <w:tab/>
        <w:t>(b)</w:t>
      </w:r>
      <w:r>
        <w:rPr>
          <w:rFonts w:ascii="Tms Rmn" w:hAnsi="Tms Rmn"/>
        </w:rPr>
        <w:tab/>
      </w:r>
      <w:r>
        <w:t xml:space="preserve">may require the holder of the accreditation to give to the regulator any information of a kind stated in the notice that is relevant to the proposed suspension, cancellation or variation; and </w:t>
      </w:r>
    </w:p>
    <w:p w:rsidR="00F93509" w:rsidRDefault="00F93509" w:rsidP="00F93509">
      <w:pPr>
        <w:pStyle w:val="Apara"/>
      </w:pPr>
      <w:r>
        <w:rPr>
          <w:rFonts w:ascii="Tms Rmn" w:hAnsi="Tms Rmn"/>
        </w:rPr>
        <w:tab/>
        <w:t>(c)</w:t>
      </w:r>
      <w:r>
        <w:rPr>
          <w:rFonts w:ascii="Tms Rmn" w:hAnsi="Tms Rmn"/>
        </w:rPr>
        <w:tab/>
      </w:r>
      <w:r>
        <w:t>may invite the holder of the accreditation to make a written submission to the regulator about the proposed suspension, cancellation or variation.</w:t>
      </w:r>
    </w:p>
    <w:p w:rsidR="00F93509" w:rsidRDefault="00F93509" w:rsidP="00F93509">
      <w:pPr>
        <w:pStyle w:val="Amain"/>
      </w:pPr>
      <w:r>
        <w:rPr>
          <w:rFonts w:ascii="Tms Rmn" w:hAnsi="Tms Rmn"/>
        </w:rPr>
        <w:tab/>
        <w:t>(3)</w:t>
      </w:r>
      <w:r>
        <w:rPr>
          <w:rFonts w:ascii="Tms Rmn" w:hAnsi="Tms Rmn"/>
        </w:rPr>
        <w:tab/>
      </w:r>
      <w:r>
        <w:t>The notice must state a period within which the holder of the accreditation—</w:t>
      </w:r>
    </w:p>
    <w:p w:rsidR="00F93509" w:rsidRDefault="00F93509" w:rsidP="00F93509">
      <w:pPr>
        <w:pStyle w:val="Apara"/>
      </w:pPr>
      <w:r>
        <w:rPr>
          <w:rFonts w:ascii="Tms Rmn" w:hAnsi="Tms Rmn"/>
        </w:rPr>
        <w:tab/>
        <w:t>(a)</w:t>
      </w:r>
      <w:r>
        <w:rPr>
          <w:rFonts w:ascii="Tms Rmn" w:hAnsi="Tms Rmn"/>
        </w:rPr>
        <w:tab/>
      </w:r>
      <w:r>
        <w:t xml:space="preserve">must give the information mentioned in subsection (2) (b); and </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tab/>
        <w:t>(5)</w:t>
      </w:r>
      <w:r>
        <w:rPr>
          <w:rFonts w:ascii="Tms Rmn" w:hAnsi="Tms Rmn"/>
        </w:rPr>
        <w:tab/>
      </w:r>
      <w:r>
        <w:t>In considering whether to suspend, cancel or vary an accreditation, the regulator must have regard to any submission made under subsection (2) (c).</w:t>
      </w:r>
    </w:p>
    <w:p w:rsidR="00F93509" w:rsidRDefault="00F93509" w:rsidP="00F93509">
      <w:pPr>
        <w:pStyle w:val="Amain"/>
      </w:pPr>
      <w:r>
        <w:rPr>
          <w:rFonts w:ascii="Tms Rmn" w:hAnsi="Tms Rmn"/>
        </w:rPr>
        <w:tab/>
        <w:t>(6)</w:t>
      </w:r>
      <w:r>
        <w:rPr>
          <w:rFonts w:ascii="Tms Rmn" w:hAnsi="Tms Rmn"/>
        </w:rPr>
        <w:tab/>
      </w:r>
      <w:r>
        <w:t>This section does not apply to a suspension, cancellation or variation requested by the holder of the accreditation.</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an accreditation if the regulator considers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an accreditation if the regulator is satisfied that the variation is of minor significance or complexity.</w:t>
      </w:r>
    </w:p>
    <w:p w:rsidR="00F93509" w:rsidRDefault="00F93509" w:rsidP="00F93509">
      <w:pPr>
        <w:pStyle w:val="AH5Sec"/>
      </w:pPr>
      <w:bookmarkStart w:id="149" w:name="_Toc526844626"/>
      <w:r w:rsidRPr="00325B6A">
        <w:rPr>
          <w:rStyle w:val="CharSectNo"/>
        </w:rPr>
        <w:t>98</w:t>
      </w:r>
      <w:r>
        <w:tab/>
        <w:t>Guidelines</w:t>
      </w:r>
      <w:bookmarkEnd w:id="149"/>
    </w:p>
    <w:p w:rsidR="00F93509" w:rsidRDefault="00F93509" w:rsidP="00F93509">
      <w:pPr>
        <w:pStyle w:val="Amain"/>
      </w:pPr>
      <w:r>
        <w:rPr>
          <w:rFonts w:ascii="Tms Rmn" w:hAnsi="Tms Rmn"/>
        </w:rPr>
        <w:tab/>
        <w:t>(1)</w:t>
      </w:r>
      <w:r>
        <w:rPr>
          <w:rFonts w:ascii="Tms Rmn" w:hAnsi="Tms Rmn"/>
        </w:rPr>
        <w:tab/>
      </w:r>
      <w:r>
        <w:t>The regulator may, in writing, issue technical or procedural guidelines about requirements that must be met for an organisation to be accredited under this division.</w:t>
      </w:r>
    </w:p>
    <w:p w:rsidR="00F93509" w:rsidRDefault="00F93509" w:rsidP="00F93509">
      <w:pPr>
        <w:pStyle w:val="Amain"/>
        <w:keepNext/>
      </w:pPr>
      <w:r>
        <w:rPr>
          <w:rFonts w:ascii="Tms Rmn" w:hAnsi="Tms Rmn"/>
        </w:rPr>
        <w:tab/>
        <w:t>(2)</w:t>
      </w:r>
      <w:r>
        <w:rPr>
          <w:rFonts w:ascii="Tms Rmn" w:hAnsi="Tms Rmn"/>
        </w:rPr>
        <w:tab/>
      </w:r>
      <w:r>
        <w:t>The guidelines may relate to, but are not limited to, matters about establishing and maintaining institutional biosafety committees.</w:t>
      </w:r>
    </w:p>
    <w:p w:rsidR="00F93509" w:rsidRDefault="00F93509" w:rsidP="00F93509">
      <w:pPr>
        <w:pStyle w:val="aNote"/>
      </w:pPr>
      <w:r w:rsidRPr="00903C3C">
        <w:rPr>
          <w:rStyle w:val="charItals"/>
        </w:rPr>
        <w:t>Note 1</w:t>
      </w:r>
      <w:r>
        <w:tab/>
        <w:t>For provisions corresponding to the</w:t>
      </w:r>
      <w:r w:rsidR="00A421C4">
        <w:t xml:space="preserve"> </w:t>
      </w:r>
      <w:hyperlink r:id="rId119" w:tooltip="Gene Technology Act 2000" w:history="1">
        <w:r w:rsidR="00A421C4" w:rsidRPr="00A421C4">
          <w:rPr>
            <w:rStyle w:val="charCitHyperlinkAbbrev"/>
          </w:rPr>
          <w:t>Commonwealth Act</w:t>
        </w:r>
      </w:hyperlink>
      <w:r w:rsidR="00A421C4">
        <w:t xml:space="preserve">, </w:t>
      </w:r>
      <w:r>
        <w:t xml:space="preserve">s 98 (3), see the </w:t>
      </w:r>
      <w:hyperlink r:id="rId120" w:tooltip="A2001-14" w:history="1">
        <w:r w:rsidRPr="00903C3C">
          <w:rPr>
            <w:rStyle w:val="charCitHyperlinkAbbrev"/>
          </w:rPr>
          <w:t>Legislation Act</w:t>
        </w:r>
      </w:hyperlink>
      <w:r>
        <w:t>, s 46.</w:t>
      </w:r>
    </w:p>
    <w:p w:rsidR="00F93509" w:rsidRDefault="00F93509" w:rsidP="00F93509">
      <w:pPr>
        <w:pStyle w:val="aNote"/>
      </w:pPr>
      <w:r w:rsidRPr="00903C3C">
        <w:rPr>
          <w:rStyle w:val="charItals"/>
        </w:rPr>
        <w:t>Note 2</w:t>
      </w:r>
      <w:r w:rsidRPr="00903C3C">
        <w:rPr>
          <w:rStyle w:val="charItals"/>
        </w:rPr>
        <w:tab/>
      </w:r>
      <w:r>
        <w:t>This section differs from the</w:t>
      </w:r>
      <w:r w:rsidR="00A421C4">
        <w:t xml:space="preserve"> </w:t>
      </w:r>
      <w:hyperlink r:id="rId121" w:tooltip="Gene Technology Act 2000" w:history="1">
        <w:r w:rsidR="00A421C4" w:rsidRPr="00A421C4">
          <w:rPr>
            <w:rStyle w:val="charCitHyperlinkAbbrev"/>
          </w:rPr>
          <w:t>Commonwealth Act</w:t>
        </w:r>
      </w:hyperlink>
      <w:r w:rsidR="00A421C4">
        <w:t xml:space="preserve">, </w:t>
      </w:r>
      <w:r>
        <w:t>s 98.</w:t>
      </w:r>
    </w:p>
    <w:p w:rsidR="00F93509" w:rsidRDefault="00F93509" w:rsidP="00F93509">
      <w:pPr>
        <w:pStyle w:val="02Text"/>
        <w:sectPr w:rsidR="00F93509">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rsidR="00F93509" w:rsidRPr="00325B6A" w:rsidRDefault="00F93509" w:rsidP="00F93509">
      <w:pPr>
        <w:pStyle w:val="AH2Part"/>
      </w:pPr>
      <w:bookmarkStart w:id="150" w:name="_Toc526844627"/>
      <w:r w:rsidRPr="00325B6A">
        <w:rPr>
          <w:rStyle w:val="CharPartNo"/>
        </w:rPr>
        <w:t>Part 8</w:t>
      </w:r>
      <w:r>
        <w:tab/>
      </w:r>
      <w:r w:rsidRPr="00325B6A">
        <w:rPr>
          <w:rStyle w:val="CharPartText"/>
        </w:rPr>
        <w:t>Gene technology technical advisory committee and gene technology ethics and community consultative committee</w:t>
      </w:r>
      <w:bookmarkEnd w:id="150"/>
    </w:p>
    <w:p w:rsidR="00F93509" w:rsidRPr="00325B6A" w:rsidRDefault="00F93509" w:rsidP="00F93509">
      <w:pPr>
        <w:pStyle w:val="AH3Div"/>
      </w:pPr>
      <w:bookmarkStart w:id="151" w:name="_Toc526844628"/>
      <w:r w:rsidRPr="00325B6A">
        <w:rPr>
          <w:rStyle w:val="CharDivNo"/>
        </w:rPr>
        <w:t>Division 8.1</w:t>
      </w:r>
      <w:r>
        <w:tab/>
      </w:r>
      <w:r w:rsidRPr="00325B6A">
        <w:rPr>
          <w:rStyle w:val="CharDivText"/>
        </w:rPr>
        <w:t>Simplified outline of pt 8</w:t>
      </w:r>
      <w:bookmarkEnd w:id="151"/>
    </w:p>
    <w:p w:rsidR="00F93509" w:rsidRDefault="00F93509" w:rsidP="00F93509">
      <w:pPr>
        <w:pStyle w:val="AH5Sec"/>
      </w:pPr>
      <w:bookmarkStart w:id="152" w:name="_Toc526844629"/>
      <w:r w:rsidRPr="00325B6A">
        <w:rPr>
          <w:rStyle w:val="CharSectNo"/>
        </w:rPr>
        <w:t>99</w:t>
      </w:r>
      <w:r>
        <w:tab/>
        <w:t>Simplified outline—pt 8</w:t>
      </w:r>
      <w:bookmarkEnd w:id="152"/>
    </w:p>
    <w:p w:rsidR="00F93509" w:rsidRDefault="00F93509" w:rsidP="00F93509">
      <w:pPr>
        <w:pStyle w:val="Amainreturn"/>
        <w:keepNext/>
      </w:pPr>
      <w:r>
        <w:t>In outline, this part sets out the functions under this Act of the following committees:</w:t>
      </w:r>
    </w:p>
    <w:p w:rsidR="00F93509" w:rsidRDefault="00F93509" w:rsidP="00F93509">
      <w:pPr>
        <w:pStyle w:val="Apara"/>
      </w:pPr>
      <w:r>
        <w:tab/>
        <w:t>(a)</w:t>
      </w:r>
      <w:r>
        <w:tab/>
        <w:t>the gene technology technical advisory committee;</w:t>
      </w:r>
    </w:p>
    <w:p w:rsidR="00F93509" w:rsidRDefault="00F93509" w:rsidP="00F93509">
      <w:pPr>
        <w:pStyle w:val="Apara"/>
      </w:pPr>
      <w:r>
        <w:tab/>
        <w:t>(b)</w:t>
      </w:r>
      <w:r>
        <w:tab/>
        <w:t>gene technology ethics and community consultative committee.</w:t>
      </w:r>
    </w:p>
    <w:p w:rsidR="00F93509" w:rsidRDefault="00F93509" w:rsidP="00F93509">
      <w:pPr>
        <w:pStyle w:val="aNote"/>
      </w:pPr>
      <w:r>
        <w:rPr>
          <w:rStyle w:val="charItals"/>
        </w:rPr>
        <w:t>Note</w:t>
      </w:r>
      <w:r>
        <w:tab/>
        <w:t>This section differs from the</w:t>
      </w:r>
      <w:r w:rsidR="00A421C4">
        <w:t xml:space="preserve"> </w:t>
      </w:r>
      <w:hyperlink r:id="rId127" w:tooltip="Gene Technology Act 2000" w:history="1">
        <w:r w:rsidR="00A421C4" w:rsidRPr="00A421C4">
          <w:rPr>
            <w:rStyle w:val="charCitHyperlinkAbbrev"/>
          </w:rPr>
          <w:t>Commonwealth Act</w:t>
        </w:r>
      </w:hyperlink>
      <w:r w:rsidR="00A421C4">
        <w:t xml:space="preserve">, </w:t>
      </w:r>
      <w:r>
        <w:t>s 99.</w:t>
      </w:r>
    </w:p>
    <w:p w:rsidR="00F93509" w:rsidRPr="00325B6A" w:rsidRDefault="00F93509" w:rsidP="00F93509">
      <w:pPr>
        <w:pStyle w:val="AH3Div"/>
      </w:pPr>
      <w:bookmarkStart w:id="153" w:name="_Toc526844630"/>
      <w:r w:rsidRPr="00325B6A">
        <w:rPr>
          <w:rStyle w:val="CharDivNo"/>
        </w:rPr>
        <w:t>Division 8.2</w:t>
      </w:r>
      <w:r>
        <w:tab/>
      </w:r>
      <w:r w:rsidRPr="00325B6A">
        <w:rPr>
          <w:rStyle w:val="CharDivText"/>
        </w:rPr>
        <w:t>Gene technology technical advisory committee</w:t>
      </w:r>
      <w:bookmarkEnd w:id="153"/>
    </w:p>
    <w:p w:rsidR="00F93509" w:rsidRDefault="00F93509" w:rsidP="00F93509">
      <w:pPr>
        <w:pStyle w:val="AH5Sec"/>
      </w:pPr>
      <w:bookmarkStart w:id="154" w:name="_Toc526844631"/>
      <w:r w:rsidRPr="00325B6A">
        <w:rPr>
          <w:rStyle w:val="CharSectNo"/>
        </w:rPr>
        <w:t>100</w:t>
      </w:r>
      <w:r>
        <w:tab/>
        <w:t>Gene technology technical advisory committee</w:t>
      </w:r>
      <w:bookmarkEnd w:id="154"/>
    </w:p>
    <w:p w:rsidR="00F93509" w:rsidRDefault="00F93509" w:rsidP="00F93509">
      <w:pPr>
        <w:pStyle w:val="aNote"/>
      </w:pPr>
      <w:r>
        <w:rPr>
          <w:rStyle w:val="charItals"/>
        </w:rPr>
        <w:t>Note</w:t>
      </w:r>
      <w:r>
        <w:rPr>
          <w:rStyle w:val="charItals"/>
        </w:rPr>
        <w:tab/>
      </w:r>
      <w:r>
        <w:t>The</w:t>
      </w:r>
      <w:r w:rsidR="00A421C4">
        <w:t xml:space="preserve"> </w:t>
      </w:r>
      <w:hyperlink r:id="rId128" w:tooltip="Gene Technology Act 2000" w:history="1">
        <w:r w:rsidR="00A421C4" w:rsidRPr="00A421C4">
          <w:rPr>
            <w:rStyle w:val="charCitHyperlinkAbbrev"/>
          </w:rPr>
          <w:t>Commonwealth Act</w:t>
        </w:r>
      </w:hyperlink>
      <w:r w:rsidR="00A421C4">
        <w:t xml:space="preserve">, </w:t>
      </w:r>
      <w:r>
        <w:t>s 100 provides for the establishment and membership of the gene technology technical advisory committee.</w:t>
      </w:r>
    </w:p>
    <w:p w:rsidR="00F93509" w:rsidRDefault="00F93509" w:rsidP="00F93509">
      <w:pPr>
        <w:pStyle w:val="AH5Sec"/>
      </w:pPr>
      <w:bookmarkStart w:id="155" w:name="_Toc526844632"/>
      <w:r w:rsidRPr="00325B6A">
        <w:rPr>
          <w:rStyle w:val="CharSectNo"/>
        </w:rPr>
        <w:t>101</w:t>
      </w:r>
      <w:r>
        <w:tab/>
        <w:t>Function of gene technology technical advisory committee</w:t>
      </w:r>
      <w:bookmarkEnd w:id="155"/>
    </w:p>
    <w:p w:rsidR="00F93509" w:rsidRDefault="00F93509" w:rsidP="00F93509">
      <w:pPr>
        <w:pStyle w:val="Amainreturn"/>
        <w:keepNext/>
      </w:pPr>
      <w:r>
        <w:t>The function of the gene technology technical advisory committee under this Act is to provide scientific and technical advice, on the request of the regulator or the ministerial council, on the following:</w:t>
      </w:r>
    </w:p>
    <w:p w:rsidR="00F93509" w:rsidRDefault="00F93509" w:rsidP="00F93509">
      <w:pPr>
        <w:pStyle w:val="Apara"/>
      </w:pPr>
      <w:r>
        <w:rPr>
          <w:rFonts w:ascii="Tms Rmn" w:hAnsi="Tms Rmn"/>
        </w:rPr>
        <w:tab/>
        <w:t>(a)</w:t>
      </w:r>
      <w:r>
        <w:rPr>
          <w:rFonts w:ascii="Tms Rmn" w:hAnsi="Tms Rmn"/>
        </w:rPr>
        <w:tab/>
      </w:r>
      <w:r>
        <w:t>gene technology, GMOs and GM products;</w:t>
      </w:r>
    </w:p>
    <w:p w:rsidR="00F93509" w:rsidRDefault="00F93509" w:rsidP="00F93509">
      <w:pPr>
        <w:pStyle w:val="Apara"/>
      </w:pPr>
      <w:r>
        <w:rPr>
          <w:rFonts w:ascii="Tms Rmn" w:hAnsi="Tms Rmn"/>
        </w:rPr>
        <w:tab/>
        <w:t>(b)</w:t>
      </w:r>
      <w:r>
        <w:rPr>
          <w:rFonts w:ascii="Tms Rmn" w:hAnsi="Tms Rmn"/>
        </w:rPr>
        <w:tab/>
      </w:r>
      <w:r>
        <w:t>applications made under this Act;</w:t>
      </w:r>
    </w:p>
    <w:p w:rsidR="00F93509" w:rsidRDefault="00F93509" w:rsidP="00F93509">
      <w:pPr>
        <w:pStyle w:val="Apara"/>
      </w:pPr>
      <w:r>
        <w:rPr>
          <w:rFonts w:ascii="Tms Rmn" w:hAnsi="Tms Rmn"/>
        </w:rPr>
        <w:tab/>
        <w:t>(c)</w:t>
      </w:r>
      <w:r>
        <w:rPr>
          <w:rFonts w:ascii="Tms Rmn" w:hAnsi="Tms Rmn"/>
        </w:rPr>
        <w:tab/>
      </w:r>
      <w:r>
        <w:t>the biosafety aspects of gene technology;</w:t>
      </w:r>
    </w:p>
    <w:p w:rsidR="00F93509" w:rsidRDefault="00F93509" w:rsidP="00F93509">
      <w:pPr>
        <w:pStyle w:val="Apara"/>
      </w:pPr>
      <w:r>
        <w:rPr>
          <w:rFonts w:ascii="Tms Rmn" w:hAnsi="Tms Rmn"/>
        </w:rPr>
        <w:tab/>
        <w:t>(d)</w:t>
      </w:r>
      <w:r>
        <w:rPr>
          <w:rFonts w:ascii="Tms Rmn" w:hAnsi="Tms Rmn"/>
        </w:rPr>
        <w:tab/>
      </w:r>
      <w:r>
        <w:t>the need for policy principles, policy guidelines, codes of practice and technical and procedural guidelines about GMOs and GM products and the content of the principles, guidelines and codes.</w:t>
      </w:r>
    </w:p>
    <w:p w:rsidR="00F93509" w:rsidRDefault="00F93509" w:rsidP="00F93509">
      <w:pPr>
        <w:pStyle w:val="AH5Sec"/>
      </w:pPr>
      <w:bookmarkStart w:id="156" w:name="_Toc526844633"/>
      <w:r w:rsidRPr="00325B6A">
        <w:rPr>
          <w:rStyle w:val="CharSectNo"/>
        </w:rPr>
        <w:t>102</w:t>
      </w:r>
      <w:r>
        <w:tab/>
        <w:t>Expert advisers</w:t>
      </w:r>
      <w:bookmarkEnd w:id="156"/>
    </w:p>
    <w:p w:rsidR="00F93509" w:rsidRDefault="00F93509" w:rsidP="00F93509">
      <w:pPr>
        <w:pStyle w:val="aNote"/>
      </w:pPr>
      <w:r>
        <w:rPr>
          <w:rStyle w:val="charItals"/>
        </w:rPr>
        <w:t>Note</w:t>
      </w:r>
      <w:r>
        <w:rPr>
          <w:rStyle w:val="charItals"/>
        </w:rPr>
        <w:tab/>
      </w:r>
      <w:r>
        <w:t>The</w:t>
      </w:r>
      <w:r w:rsidR="00A421C4">
        <w:t xml:space="preserve"> </w:t>
      </w:r>
      <w:hyperlink r:id="rId129" w:tooltip="Gene Technology Act 2000" w:history="1">
        <w:r w:rsidR="00A421C4" w:rsidRPr="00A421C4">
          <w:rPr>
            <w:rStyle w:val="charCitHyperlinkAbbrev"/>
          </w:rPr>
          <w:t>Commonwealth Act</w:t>
        </w:r>
      </w:hyperlink>
      <w:r w:rsidR="00A421C4">
        <w:t xml:space="preserve">, </w:t>
      </w:r>
      <w:r>
        <w:t>s 102 provides for the appointment of expert advisers to the gene technology technical advisory committee.</w:t>
      </w:r>
    </w:p>
    <w:p w:rsidR="00F93509" w:rsidRDefault="00F93509" w:rsidP="00F93509">
      <w:pPr>
        <w:pStyle w:val="AH5Sec"/>
      </w:pPr>
      <w:bookmarkStart w:id="157" w:name="_Toc526844634"/>
      <w:r w:rsidRPr="00325B6A">
        <w:rPr>
          <w:rStyle w:val="CharSectNo"/>
        </w:rPr>
        <w:t>103</w:t>
      </w:r>
      <w:r>
        <w:tab/>
        <w:t>Remuneration</w:t>
      </w:r>
      <w:bookmarkEnd w:id="157"/>
    </w:p>
    <w:p w:rsidR="00F93509" w:rsidRDefault="00F93509" w:rsidP="00F93509">
      <w:pPr>
        <w:pStyle w:val="aNote"/>
      </w:pPr>
      <w:r>
        <w:rPr>
          <w:rStyle w:val="charItals"/>
        </w:rPr>
        <w:t>Note</w:t>
      </w:r>
      <w:r>
        <w:rPr>
          <w:rStyle w:val="charItals"/>
        </w:rPr>
        <w:tab/>
      </w:r>
      <w:r>
        <w:t>The</w:t>
      </w:r>
      <w:r w:rsidR="00A421C4">
        <w:t xml:space="preserve"> </w:t>
      </w:r>
      <w:hyperlink r:id="rId130" w:tooltip="Gene Technology Act 2000" w:history="1">
        <w:r w:rsidR="00A421C4" w:rsidRPr="00A421C4">
          <w:rPr>
            <w:rStyle w:val="charCitHyperlinkAbbrev"/>
          </w:rPr>
          <w:t>Commonwealth Act</w:t>
        </w:r>
      </w:hyperlink>
      <w:r w:rsidR="00A421C4">
        <w:t xml:space="preserve">, </w:t>
      </w:r>
      <w:r>
        <w:t>s 103 provides for the payment of remuneration and allowances to members of, and expert advisers to, the gene technology technical advisory committee.</w:t>
      </w:r>
    </w:p>
    <w:p w:rsidR="00F93509" w:rsidRDefault="00F93509" w:rsidP="00F93509">
      <w:pPr>
        <w:pStyle w:val="AH5Sec"/>
      </w:pPr>
      <w:bookmarkStart w:id="158" w:name="_Toc526844635"/>
      <w:r w:rsidRPr="00325B6A">
        <w:rPr>
          <w:rStyle w:val="CharSectNo"/>
        </w:rPr>
        <w:t>104</w:t>
      </w:r>
      <w:r>
        <w:tab/>
        <w:t>Members and procedures</w:t>
      </w:r>
      <w:bookmarkEnd w:id="158"/>
    </w:p>
    <w:p w:rsidR="00F93509" w:rsidRDefault="00F93509" w:rsidP="00F93509">
      <w:pPr>
        <w:pStyle w:val="aNote"/>
      </w:pPr>
      <w:r>
        <w:rPr>
          <w:rStyle w:val="charItals"/>
        </w:rPr>
        <w:t>Note</w:t>
      </w:r>
      <w:r>
        <w:rPr>
          <w:rStyle w:val="charItals"/>
        </w:rPr>
        <w:tab/>
      </w:r>
      <w:r>
        <w:t>The</w:t>
      </w:r>
      <w:r w:rsidR="00A421C4">
        <w:t xml:space="preserve"> </w:t>
      </w:r>
      <w:hyperlink r:id="rId131" w:tooltip="Gene Technology Act 2000" w:history="1">
        <w:r w:rsidR="00A421C4" w:rsidRPr="00A421C4">
          <w:rPr>
            <w:rStyle w:val="charCitHyperlinkAbbrev"/>
          </w:rPr>
          <w:t>Commonwealth Act</w:t>
        </w:r>
      </w:hyperlink>
      <w:r w:rsidR="00A421C4">
        <w:t xml:space="preserve">, </w:t>
      </w:r>
      <w:r>
        <w:t>s 104 authorises the making of regulations about the membership and operation of the gene technology technical advisory committee.</w:t>
      </w:r>
    </w:p>
    <w:p w:rsidR="00F93509" w:rsidRDefault="00F93509" w:rsidP="00F93509">
      <w:pPr>
        <w:pStyle w:val="AH5Sec"/>
      </w:pPr>
      <w:bookmarkStart w:id="159" w:name="_Toc526844636"/>
      <w:r w:rsidRPr="00325B6A">
        <w:rPr>
          <w:rStyle w:val="CharSectNo"/>
        </w:rPr>
        <w:t>105</w:t>
      </w:r>
      <w:r>
        <w:tab/>
        <w:t>Subcommittees</w:t>
      </w:r>
      <w:bookmarkEnd w:id="159"/>
    </w:p>
    <w:p w:rsidR="00F93509" w:rsidRDefault="00F93509" w:rsidP="00F93509">
      <w:pPr>
        <w:pStyle w:val="aNote"/>
      </w:pPr>
      <w:r>
        <w:rPr>
          <w:rStyle w:val="charItals"/>
        </w:rPr>
        <w:t>Note</w:t>
      </w:r>
      <w:r>
        <w:rPr>
          <w:rStyle w:val="charItals"/>
        </w:rPr>
        <w:tab/>
      </w:r>
      <w:r>
        <w:t>The</w:t>
      </w:r>
      <w:r w:rsidR="00A421C4">
        <w:t xml:space="preserve"> </w:t>
      </w:r>
      <w:hyperlink r:id="rId132" w:tooltip="Gene Technology Act 2000" w:history="1">
        <w:r w:rsidR="00A421C4" w:rsidRPr="00A421C4">
          <w:rPr>
            <w:rStyle w:val="charCitHyperlinkAbbrev"/>
          </w:rPr>
          <w:t>Commonwealth Act</w:t>
        </w:r>
      </w:hyperlink>
      <w:r w:rsidR="00A421C4">
        <w:t xml:space="preserve">, </w:t>
      </w:r>
      <w:r>
        <w:t>s 105 deals with the establishment of subcommittees by the gene technology technical advisory committee.</w:t>
      </w:r>
    </w:p>
    <w:p w:rsidR="00F93509" w:rsidRPr="00325B6A" w:rsidRDefault="00F93509" w:rsidP="00F93509">
      <w:pPr>
        <w:pStyle w:val="AH3Div"/>
      </w:pPr>
      <w:bookmarkStart w:id="160" w:name="_Toc526844637"/>
      <w:r w:rsidRPr="00325B6A">
        <w:rPr>
          <w:rStyle w:val="CharDivNo"/>
        </w:rPr>
        <w:t>Division 8.3</w:t>
      </w:r>
      <w:r>
        <w:tab/>
      </w:r>
      <w:r w:rsidRPr="00325B6A">
        <w:rPr>
          <w:rStyle w:val="CharDivText"/>
        </w:rPr>
        <w:t>Gene technology ethics and community consultative committee</w:t>
      </w:r>
      <w:bookmarkEnd w:id="160"/>
    </w:p>
    <w:p w:rsidR="00F93509" w:rsidRDefault="00F93509" w:rsidP="00F93509">
      <w:pPr>
        <w:pStyle w:val="AH5Sec"/>
      </w:pPr>
      <w:bookmarkStart w:id="161" w:name="_Toc526844638"/>
      <w:r w:rsidRPr="00325B6A">
        <w:rPr>
          <w:rStyle w:val="CharSectNo"/>
        </w:rPr>
        <w:t>106</w:t>
      </w:r>
      <w:r>
        <w:tab/>
        <w:t>Gene technology ethics and community consultative committee</w:t>
      </w:r>
      <w:bookmarkEnd w:id="161"/>
    </w:p>
    <w:p w:rsidR="00F93509" w:rsidRDefault="00F93509" w:rsidP="00F93509">
      <w:pPr>
        <w:pStyle w:val="aNote"/>
      </w:pPr>
      <w:r>
        <w:rPr>
          <w:rStyle w:val="charItals"/>
        </w:rPr>
        <w:t>Note</w:t>
      </w:r>
      <w:r>
        <w:rPr>
          <w:rStyle w:val="charItals"/>
        </w:rPr>
        <w:tab/>
      </w:r>
      <w:r>
        <w:t>The</w:t>
      </w:r>
      <w:r w:rsidR="00A421C4">
        <w:t xml:space="preserve"> </w:t>
      </w:r>
      <w:hyperlink r:id="rId133" w:tooltip="Gene Technology Act 2000" w:history="1">
        <w:r w:rsidR="00A421C4" w:rsidRPr="00A421C4">
          <w:rPr>
            <w:rStyle w:val="charCitHyperlinkAbbrev"/>
          </w:rPr>
          <w:t>Commonwealth Act</w:t>
        </w:r>
      </w:hyperlink>
      <w:r w:rsidR="00A421C4">
        <w:t xml:space="preserve">, </w:t>
      </w:r>
      <w:r>
        <w:t>s 106 establishes the gene technology ethics and community consultative committee.</w:t>
      </w:r>
    </w:p>
    <w:p w:rsidR="00F93509" w:rsidRDefault="00F93509" w:rsidP="00F93509">
      <w:pPr>
        <w:pStyle w:val="AH5Sec"/>
      </w:pPr>
      <w:bookmarkStart w:id="162" w:name="_Toc526844639"/>
      <w:r w:rsidRPr="00325B6A">
        <w:rPr>
          <w:rStyle w:val="CharSectNo"/>
        </w:rPr>
        <w:t>107</w:t>
      </w:r>
      <w:r>
        <w:tab/>
        <w:t>Function of ethics and community committee</w:t>
      </w:r>
      <w:bookmarkEnd w:id="162"/>
    </w:p>
    <w:p w:rsidR="00F93509" w:rsidRDefault="00F93509" w:rsidP="00F93509">
      <w:pPr>
        <w:pStyle w:val="Amainreturn"/>
        <w:keepNext/>
      </w:pPr>
      <w:r>
        <w:t>The function of the ethics and community committee under this Act is to provide advice, on request of the regulator or the ministerial council, on the following:</w:t>
      </w:r>
    </w:p>
    <w:p w:rsidR="00F93509" w:rsidRDefault="00F93509" w:rsidP="00F93509">
      <w:pPr>
        <w:pStyle w:val="Apara"/>
      </w:pPr>
      <w:r>
        <w:tab/>
        <w:t>(a)</w:t>
      </w:r>
      <w:r>
        <w:tab/>
        <w:t>ethical issues relating to gene technology;</w:t>
      </w:r>
    </w:p>
    <w:p w:rsidR="00F93509" w:rsidRDefault="00F93509" w:rsidP="00F93509">
      <w:pPr>
        <w:pStyle w:val="Apara"/>
      </w:pPr>
      <w:r>
        <w:tab/>
        <w:t>(b)</w:t>
      </w:r>
      <w:r>
        <w:tab/>
        <w:t>the need for, and content of, codes of practice in relation to ethics for conducting dealings with GMOs;</w:t>
      </w:r>
    </w:p>
    <w:p w:rsidR="00F93509" w:rsidRDefault="00F93509" w:rsidP="00F93509">
      <w:pPr>
        <w:pStyle w:val="Apara"/>
      </w:pPr>
      <w:r>
        <w:tab/>
        <w:t>(c)</w:t>
      </w:r>
      <w:r>
        <w:tab/>
        <w:t>the need for, and content of, policy principles in relation to dealings with GMOs that should not be conducted for ethical reasons;</w:t>
      </w:r>
    </w:p>
    <w:p w:rsidR="00F93509" w:rsidRDefault="00F93509" w:rsidP="00F93509">
      <w:pPr>
        <w:pStyle w:val="Apara"/>
      </w:pPr>
      <w:r>
        <w:tab/>
        <w:t>(d)</w:t>
      </w:r>
      <w:r>
        <w:tab/>
        <w:t>the need for policy principles, policy guidelines, codes of practice and technical and procedural guidelines in relation to GMOs and GM products and the content of such principles, guidelines and codes;</w:t>
      </w:r>
    </w:p>
    <w:p w:rsidR="00F93509" w:rsidRDefault="00F93509" w:rsidP="00F93509">
      <w:pPr>
        <w:pStyle w:val="Apara"/>
      </w:pPr>
      <w:r>
        <w:tab/>
        <w:t>(e)</w:t>
      </w:r>
      <w:r>
        <w:tab/>
        <w:t>community consultation about the process for applications for licences covering dealings that involve intentional release of a GMO into the environment;</w:t>
      </w:r>
    </w:p>
    <w:p w:rsidR="00F93509" w:rsidRDefault="00F93509" w:rsidP="00F93509">
      <w:pPr>
        <w:pStyle w:val="Apara"/>
      </w:pPr>
      <w:r>
        <w:tab/>
        <w:t>(f)</w:t>
      </w:r>
      <w:r>
        <w:tab/>
        <w:t>risk communication matters in relation to dealings that involve the intentional release of a GMO into the environment;</w:t>
      </w:r>
    </w:p>
    <w:p w:rsidR="00F93509" w:rsidRDefault="00F93509" w:rsidP="00F93509">
      <w:pPr>
        <w:pStyle w:val="Apara"/>
      </w:pPr>
      <w:r>
        <w:tab/>
        <w:t>(g)</w:t>
      </w:r>
      <w:r>
        <w:tab/>
        <w:t>matters of general concern identified by the regulator in relation to applications made under this Act;</w:t>
      </w:r>
    </w:p>
    <w:p w:rsidR="00F93509" w:rsidRDefault="00F93509" w:rsidP="00F93509">
      <w:pPr>
        <w:pStyle w:val="Apara"/>
      </w:pPr>
      <w:r>
        <w:tab/>
        <w:t>(h)</w:t>
      </w:r>
      <w:r>
        <w:tab/>
        <w:t>matters of general concern in relation to GMOs.</w:t>
      </w:r>
    </w:p>
    <w:p w:rsidR="00F93509" w:rsidRDefault="00F93509" w:rsidP="00F93509">
      <w:pPr>
        <w:pStyle w:val="AH5Sec"/>
      </w:pPr>
      <w:bookmarkStart w:id="163" w:name="_Toc526844640"/>
      <w:r w:rsidRPr="00325B6A">
        <w:rPr>
          <w:rStyle w:val="CharSectNo"/>
        </w:rPr>
        <w:t>108</w:t>
      </w:r>
      <w:r>
        <w:tab/>
        <w:t>Membership</w:t>
      </w:r>
      <w:bookmarkEnd w:id="163"/>
    </w:p>
    <w:p w:rsidR="00F93509" w:rsidRDefault="00F93509" w:rsidP="00F93509">
      <w:pPr>
        <w:pStyle w:val="aNote"/>
      </w:pPr>
      <w:r>
        <w:rPr>
          <w:rStyle w:val="charItals"/>
        </w:rPr>
        <w:t>Note</w:t>
      </w:r>
      <w:r>
        <w:rPr>
          <w:rStyle w:val="charItals"/>
        </w:rPr>
        <w:tab/>
      </w:r>
      <w:r>
        <w:t>The</w:t>
      </w:r>
      <w:r w:rsidR="00254316">
        <w:t xml:space="preserve"> </w:t>
      </w:r>
      <w:hyperlink r:id="rId134" w:tooltip="Gene Technology Act 2000" w:history="1">
        <w:r w:rsidR="00254316" w:rsidRPr="00254316">
          <w:rPr>
            <w:rStyle w:val="charCitHyperlinkAbbrev"/>
          </w:rPr>
          <w:t>Commonwealth Act</w:t>
        </w:r>
      </w:hyperlink>
      <w:r w:rsidR="00254316">
        <w:t xml:space="preserve">, </w:t>
      </w:r>
      <w:r>
        <w:t>s 108 provides for the membership of the ethics and community committee.</w:t>
      </w:r>
    </w:p>
    <w:p w:rsidR="00F93509" w:rsidRDefault="00F93509" w:rsidP="00F93509">
      <w:pPr>
        <w:pStyle w:val="AH5Sec"/>
      </w:pPr>
      <w:bookmarkStart w:id="164" w:name="_Toc526844641"/>
      <w:r w:rsidRPr="00325B6A">
        <w:rPr>
          <w:rStyle w:val="CharSectNo"/>
        </w:rPr>
        <w:t>109</w:t>
      </w:r>
      <w:r>
        <w:tab/>
        <w:t>Remuneration</w:t>
      </w:r>
      <w:bookmarkEnd w:id="164"/>
    </w:p>
    <w:p w:rsidR="00F93509" w:rsidRDefault="00F93509" w:rsidP="00F93509">
      <w:pPr>
        <w:pStyle w:val="aNote"/>
      </w:pPr>
      <w:r>
        <w:rPr>
          <w:rStyle w:val="charItals"/>
        </w:rPr>
        <w:t>Note</w:t>
      </w:r>
      <w:r>
        <w:rPr>
          <w:rStyle w:val="charItals"/>
        </w:rPr>
        <w:tab/>
      </w:r>
      <w:r>
        <w:t>The</w:t>
      </w:r>
      <w:r w:rsidR="00254316">
        <w:t xml:space="preserve"> </w:t>
      </w:r>
      <w:hyperlink r:id="rId135" w:tooltip="Gene Technology Act 2000" w:history="1">
        <w:r w:rsidR="00254316" w:rsidRPr="00254316">
          <w:rPr>
            <w:rStyle w:val="charCitHyperlinkAbbrev"/>
          </w:rPr>
          <w:t>Commonwealth Act</w:t>
        </w:r>
      </w:hyperlink>
      <w:r w:rsidR="00254316">
        <w:t xml:space="preserve">, </w:t>
      </w:r>
      <w:r>
        <w:t>s 109 provides for the payment of remuneration and allowances to members of the ethics and community committee.</w:t>
      </w:r>
    </w:p>
    <w:p w:rsidR="00F93509" w:rsidRDefault="00F93509" w:rsidP="00F93509">
      <w:pPr>
        <w:pStyle w:val="AH5Sec"/>
      </w:pPr>
      <w:bookmarkStart w:id="165" w:name="_Toc526844642"/>
      <w:r w:rsidRPr="00325B6A">
        <w:rPr>
          <w:rStyle w:val="CharSectNo"/>
        </w:rPr>
        <w:t>110</w:t>
      </w:r>
      <w:r>
        <w:tab/>
        <w:t>Regulations</w:t>
      </w:r>
      <w:bookmarkEnd w:id="165"/>
    </w:p>
    <w:p w:rsidR="00F93509" w:rsidRDefault="00F93509" w:rsidP="00F93509">
      <w:pPr>
        <w:pStyle w:val="aNote"/>
      </w:pPr>
      <w:r>
        <w:rPr>
          <w:rStyle w:val="charItals"/>
        </w:rPr>
        <w:t>Note</w:t>
      </w:r>
      <w:r>
        <w:rPr>
          <w:rStyle w:val="charItals"/>
        </w:rPr>
        <w:tab/>
      </w:r>
      <w:r>
        <w:t>The</w:t>
      </w:r>
      <w:r w:rsidR="00254316">
        <w:t xml:space="preserve"> </w:t>
      </w:r>
      <w:hyperlink r:id="rId136" w:tooltip="Gene Technology Act 2000" w:history="1">
        <w:r w:rsidR="00254316" w:rsidRPr="00254316">
          <w:rPr>
            <w:rStyle w:val="charCitHyperlinkAbbrev"/>
          </w:rPr>
          <w:t>Commonwealth Act</w:t>
        </w:r>
      </w:hyperlink>
      <w:r w:rsidR="00254316">
        <w:t xml:space="preserve">, </w:t>
      </w:r>
      <w:r>
        <w:t>s 110 authorises the making of regulations about the membership and procedures of the ethics and community committee.</w:t>
      </w:r>
    </w:p>
    <w:p w:rsidR="00F93509" w:rsidRDefault="00F93509" w:rsidP="00F93509">
      <w:pPr>
        <w:pStyle w:val="AH5Sec"/>
      </w:pPr>
      <w:bookmarkStart w:id="166" w:name="_Toc526844643"/>
      <w:r w:rsidRPr="00325B6A">
        <w:rPr>
          <w:rStyle w:val="CharSectNo"/>
        </w:rPr>
        <w:t>111</w:t>
      </w:r>
      <w:r>
        <w:tab/>
        <w:t>Subcommittees</w:t>
      </w:r>
      <w:bookmarkEnd w:id="166"/>
    </w:p>
    <w:p w:rsidR="00F93509" w:rsidRDefault="00F93509" w:rsidP="00F93509">
      <w:pPr>
        <w:pStyle w:val="aNote"/>
      </w:pPr>
      <w:r>
        <w:rPr>
          <w:rStyle w:val="charItals"/>
        </w:rPr>
        <w:t>Note</w:t>
      </w:r>
      <w:r>
        <w:rPr>
          <w:rStyle w:val="charItals"/>
        </w:rPr>
        <w:tab/>
      </w:r>
      <w:r>
        <w:t>The</w:t>
      </w:r>
      <w:r w:rsidR="00254316">
        <w:t xml:space="preserve"> </w:t>
      </w:r>
      <w:hyperlink r:id="rId137" w:tooltip="Gene Technology Act 2000" w:history="1">
        <w:r w:rsidR="00254316" w:rsidRPr="00254316">
          <w:rPr>
            <w:rStyle w:val="charCitHyperlinkAbbrev"/>
          </w:rPr>
          <w:t>Commonwealth Act</w:t>
        </w:r>
      </w:hyperlink>
      <w:r w:rsidR="00254316">
        <w:t xml:space="preserve">, </w:t>
      </w:r>
      <w:r>
        <w:t>s 111 deals with the establishment of subcommittees by the ethics and community committee.</w:t>
      </w:r>
    </w:p>
    <w:p w:rsidR="00F93509" w:rsidRDefault="00F93509" w:rsidP="00F93509">
      <w:pPr>
        <w:pStyle w:val="AH5Sec"/>
      </w:pPr>
      <w:bookmarkStart w:id="167" w:name="_Toc526844644"/>
      <w:r w:rsidRPr="00325B6A">
        <w:rPr>
          <w:rStyle w:val="CharSectNo"/>
        </w:rPr>
        <w:t>112</w:t>
      </w:r>
      <w:r>
        <w:tab/>
        <w:t>Expert advisers</w:t>
      </w:r>
      <w:bookmarkEnd w:id="167"/>
    </w:p>
    <w:p w:rsidR="00F93509" w:rsidRDefault="00F93509" w:rsidP="00F93509">
      <w:pPr>
        <w:pStyle w:val="aNote"/>
      </w:pPr>
      <w:r>
        <w:rPr>
          <w:rStyle w:val="charItals"/>
        </w:rPr>
        <w:t>Note</w:t>
      </w:r>
      <w:r>
        <w:rPr>
          <w:rStyle w:val="charItals"/>
        </w:rPr>
        <w:tab/>
      </w:r>
      <w:r>
        <w:t>The</w:t>
      </w:r>
      <w:r w:rsidR="00254316">
        <w:t xml:space="preserve"> </w:t>
      </w:r>
      <w:hyperlink r:id="rId138" w:tooltip="Gene Technology Act 2000" w:history="1">
        <w:r w:rsidR="00254316" w:rsidRPr="00254316">
          <w:rPr>
            <w:rStyle w:val="charCitHyperlinkAbbrev"/>
          </w:rPr>
          <w:t>Commonwealth Act</w:t>
        </w:r>
      </w:hyperlink>
      <w:r w:rsidR="00254316">
        <w:t xml:space="preserve">, </w:t>
      </w:r>
      <w:r>
        <w:t>s 112 provides for the appointment of expert advisers to the ethics and community committee.</w:t>
      </w:r>
    </w:p>
    <w:p w:rsidR="00F93509" w:rsidRDefault="00F93509" w:rsidP="00F93509">
      <w:pPr>
        <w:pStyle w:val="02Text"/>
        <w:sectPr w:rsidR="00F93509">
          <w:headerReference w:type="even" r:id="rId139"/>
          <w:headerReference w:type="default" r:id="rId140"/>
          <w:footerReference w:type="even" r:id="rId141"/>
          <w:footerReference w:type="default" r:id="rId142"/>
          <w:footerReference w:type="first" r:id="rId143"/>
          <w:pgSz w:w="11907" w:h="16839" w:code="9"/>
          <w:pgMar w:top="3880" w:right="1900" w:bottom="3100" w:left="2300" w:header="2280" w:footer="1760" w:gutter="0"/>
          <w:cols w:space="720"/>
          <w:docGrid w:linePitch="254"/>
        </w:sectPr>
      </w:pPr>
    </w:p>
    <w:p w:rsidR="00F93509" w:rsidRPr="00325B6A" w:rsidRDefault="00F93509" w:rsidP="00F93509">
      <w:pPr>
        <w:pStyle w:val="AH2Part"/>
      </w:pPr>
      <w:bookmarkStart w:id="168" w:name="_Toc526844645"/>
      <w:r w:rsidRPr="00325B6A">
        <w:rPr>
          <w:rStyle w:val="CharPartNo"/>
        </w:rPr>
        <w:t>Part 9</w:t>
      </w:r>
      <w:r>
        <w:tab/>
      </w:r>
      <w:r w:rsidRPr="00325B6A">
        <w:rPr>
          <w:rStyle w:val="CharPartText"/>
        </w:rPr>
        <w:t>Administration</w:t>
      </w:r>
      <w:bookmarkEnd w:id="168"/>
    </w:p>
    <w:p w:rsidR="00F93509" w:rsidRPr="00325B6A" w:rsidRDefault="00F93509" w:rsidP="00F93509">
      <w:pPr>
        <w:pStyle w:val="AH3Div"/>
      </w:pPr>
      <w:bookmarkStart w:id="169" w:name="_Toc526844646"/>
      <w:r w:rsidRPr="00325B6A">
        <w:rPr>
          <w:rStyle w:val="CharDivNo"/>
        </w:rPr>
        <w:t>Division 9.1</w:t>
      </w:r>
      <w:r>
        <w:tab/>
      </w:r>
      <w:r w:rsidRPr="00325B6A">
        <w:rPr>
          <w:rStyle w:val="CharDivText"/>
        </w:rPr>
        <w:t>Simplified outline of pt 9</w:t>
      </w:r>
      <w:bookmarkEnd w:id="169"/>
    </w:p>
    <w:p w:rsidR="00F93509" w:rsidRDefault="00F93509" w:rsidP="00F93509">
      <w:pPr>
        <w:pStyle w:val="AH5Sec"/>
      </w:pPr>
      <w:bookmarkStart w:id="170" w:name="_Toc526844647"/>
      <w:r w:rsidRPr="00325B6A">
        <w:rPr>
          <w:rStyle w:val="CharSectNo"/>
        </w:rPr>
        <w:t>117</w:t>
      </w:r>
      <w:r>
        <w:tab/>
        <w:t>Simplified outline—pt 9</w:t>
      </w:r>
      <w:bookmarkEnd w:id="170"/>
    </w:p>
    <w:p w:rsidR="00F93509" w:rsidRDefault="00F93509" w:rsidP="00F93509">
      <w:pPr>
        <w:pStyle w:val="Amainreturn"/>
      </w:pPr>
      <w:r>
        <w:t>In outline, this part—</w:t>
      </w:r>
    </w:p>
    <w:p w:rsidR="00F93509" w:rsidRDefault="00F93509" w:rsidP="00F93509">
      <w:pPr>
        <w:pStyle w:val="Apara"/>
      </w:pPr>
      <w:r>
        <w:tab/>
        <w:t>(a)</w:t>
      </w:r>
      <w:r>
        <w:tab/>
        <w:t>provides for financial matters (see division 9.3); and</w:t>
      </w:r>
    </w:p>
    <w:p w:rsidR="00F93509" w:rsidRDefault="00F93509" w:rsidP="00F93509">
      <w:pPr>
        <w:pStyle w:val="Apara"/>
      </w:pPr>
      <w:r>
        <w:tab/>
        <w:t>(b)</w:t>
      </w:r>
      <w:r>
        <w:tab/>
        <w:t>sets out reporting requirements (see division 9.5); and</w:t>
      </w:r>
    </w:p>
    <w:p w:rsidR="00F93509" w:rsidRDefault="00F93509" w:rsidP="00F93509">
      <w:pPr>
        <w:pStyle w:val="Apara"/>
      </w:pPr>
      <w:r>
        <w:tab/>
        <w:t>(c)</w:t>
      </w:r>
      <w:r>
        <w:tab/>
        <w:t xml:space="preserve">requires the regulator to ensure that certain information is entered on a record of </w:t>
      </w:r>
      <w:r w:rsidR="00A22AA7" w:rsidRPr="00E2623C">
        <w:t>GMO dealings</w:t>
      </w:r>
      <w:r>
        <w:t xml:space="preserve"> (see division 9.6); and</w:t>
      </w:r>
    </w:p>
    <w:p w:rsidR="00F93509" w:rsidRDefault="00F93509" w:rsidP="00F93509">
      <w:pPr>
        <w:pStyle w:val="Apara"/>
        <w:keepNext/>
      </w:pPr>
      <w:r>
        <w:tab/>
        <w:t>(d)</w:t>
      </w:r>
      <w:r>
        <w:tab/>
        <w:t>permits the regulator to review notifiable low risk dealings and exemptions (see division 9.7).</w:t>
      </w:r>
    </w:p>
    <w:p w:rsidR="00F93509" w:rsidRDefault="00F93509" w:rsidP="00F93509">
      <w:pPr>
        <w:pStyle w:val="aNote"/>
      </w:pPr>
      <w:r>
        <w:rPr>
          <w:rStyle w:val="charItals"/>
        </w:rPr>
        <w:t>Note</w:t>
      </w:r>
      <w:r>
        <w:tab/>
        <w:t>This section differs from the</w:t>
      </w:r>
      <w:r w:rsidR="00254316">
        <w:t xml:space="preserve"> </w:t>
      </w:r>
      <w:hyperlink r:id="rId144" w:tooltip="Gene Technology Act 2000" w:history="1">
        <w:r w:rsidR="00254316" w:rsidRPr="00254316">
          <w:rPr>
            <w:rStyle w:val="charCitHyperlinkAbbrev"/>
          </w:rPr>
          <w:t>Commonwealth Act</w:t>
        </w:r>
      </w:hyperlink>
      <w:r w:rsidR="00254316">
        <w:t xml:space="preserve">, </w:t>
      </w:r>
      <w:r>
        <w:t>s 117.</w:t>
      </w:r>
    </w:p>
    <w:p w:rsidR="00F93509" w:rsidRPr="00325B6A" w:rsidRDefault="00F93509" w:rsidP="00F93509">
      <w:pPr>
        <w:pStyle w:val="AH3Div"/>
      </w:pPr>
      <w:bookmarkStart w:id="171" w:name="_Toc526844648"/>
      <w:r w:rsidRPr="00325B6A">
        <w:rPr>
          <w:rStyle w:val="CharDivNo"/>
        </w:rPr>
        <w:t>Division 9.2</w:t>
      </w:r>
      <w:r>
        <w:tab/>
      </w:r>
      <w:r w:rsidRPr="00325B6A">
        <w:rPr>
          <w:rStyle w:val="CharDivText"/>
        </w:rPr>
        <w:t>Appointment and conditions of regulator</w:t>
      </w:r>
      <w:bookmarkEnd w:id="171"/>
    </w:p>
    <w:p w:rsidR="00F93509" w:rsidRDefault="00F93509" w:rsidP="00F93509">
      <w:pPr>
        <w:pStyle w:val="AH5Sec"/>
      </w:pPr>
      <w:bookmarkStart w:id="172" w:name="_Toc526844649"/>
      <w:r w:rsidRPr="00325B6A">
        <w:rPr>
          <w:rStyle w:val="CharSectNo"/>
        </w:rPr>
        <w:t>118</w:t>
      </w:r>
      <w:r>
        <w:tab/>
        <w:t>Appointment of regulator</w:t>
      </w:r>
      <w:bookmarkEnd w:id="172"/>
    </w:p>
    <w:p w:rsidR="00F93509" w:rsidRDefault="00F93509" w:rsidP="00F93509">
      <w:pPr>
        <w:pStyle w:val="aNote"/>
      </w:pPr>
      <w:r>
        <w:rPr>
          <w:rStyle w:val="charItals"/>
        </w:rPr>
        <w:t>Note</w:t>
      </w:r>
      <w:r>
        <w:rPr>
          <w:rStyle w:val="charItals"/>
        </w:rPr>
        <w:tab/>
      </w:r>
      <w:r>
        <w:t>The</w:t>
      </w:r>
      <w:r w:rsidR="00254316">
        <w:t xml:space="preserve"> </w:t>
      </w:r>
      <w:hyperlink r:id="rId145" w:tooltip="Gene Technology Act 2000" w:history="1">
        <w:r w:rsidR="00254316" w:rsidRPr="00254316">
          <w:rPr>
            <w:rStyle w:val="charCitHyperlinkAbbrev"/>
          </w:rPr>
          <w:t>Commonwealth Act</w:t>
        </w:r>
      </w:hyperlink>
      <w:r w:rsidR="00254316">
        <w:t xml:space="preserve">, </w:t>
      </w:r>
      <w:r>
        <w:t>s 118 provides for the appointment of the regulator.</w:t>
      </w:r>
    </w:p>
    <w:p w:rsidR="00F93509" w:rsidRDefault="00F93509" w:rsidP="00F93509">
      <w:pPr>
        <w:pStyle w:val="AH5Sec"/>
      </w:pPr>
      <w:bookmarkStart w:id="173" w:name="_Toc526844650"/>
      <w:r w:rsidRPr="00325B6A">
        <w:rPr>
          <w:rStyle w:val="CharSectNo"/>
        </w:rPr>
        <w:t>119</w:t>
      </w:r>
      <w:r>
        <w:tab/>
        <w:t>Termination of appointment</w:t>
      </w:r>
      <w:bookmarkEnd w:id="173"/>
    </w:p>
    <w:p w:rsidR="00F93509" w:rsidRDefault="00F93509" w:rsidP="00F93509">
      <w:pPr>
        <w:pStyle w:val="aNote"/>
      </w:pPr>
      <w:r>
        <w:rPr>
          <w:rStyle w:val="charItals"/>
        </w:rPr>
        <w:t>Note</w:t>
      </w:r>
      <w:r>
        <w:rPr>
          <w:rStyle w:val="charItals"/>
        </w:rPr>
        <w:tab/>
      </w:r>
      <w:r>
        <w:t>The</w:t>
      </w:r>
      <w:r w:rsidR="00254316">
        <w:t xml:space="preserve"> </w:t>
      </w:r>
      <w:hyperlink r:id="rId146" w:tooltip="Gene Technology Act 2000" w:history="1">
        <w:r w:rsidR="00254316" w:rsidRPr="00254316">
          <w:rPr>
            <w:rStyle w:val="charCitHyperlinkAbbrev"/>
          </w:rPr>
          <w:t>Commonwealth Act</w:t>
        </w:r>
      </w:hyperlink>
      <w:r w:rsidR="00254316">
        <w:t xml:space="preserve">, </w:t>
      </w:r>
      <w:r>
        <w:t>s 119 sets out the circumstances in which the regulator’s appointment may be terminated.</w:t>
      </w:r>
    </w:p>
    <w:p w:rsidR="00F93509" w:rsidRDefault="00F93509" w:rsidP="00F93509">
      <w:pPr>
        <w:pStyle w:val="AH5Sec"/>
      </w:pPr>
      <w:bookmarkStart w:id="174" w:name="_Toc526844651"/>
      <w:r w:rsidRPr="00325B6A">
        <w:rPr>
          <w:rStyle w:val="CharSectNo"/>
        </w:rPr>
        <w:t>120</w:t>
      </w:r>
      <w:r>
        <w:tab/>
        <w:t>Disclosure of interests</w:t>
      </w:r>
      <w:bookmarkEnd w:id="174"/>
    </w:p>
    <w:p w:rsidR="00F93509" w:rsidRDefault="00F93509" w:rsidP="00F93509">
      <w:pPr>
        <w:pStyle w:val="aNote"/>
      </w:pPr>
      <w:r>
        <w:rPr>
          <w:rStyle w:val="charItals"/>
        </w:rPr>
        <w:t>Note</w:t>
      </w:r>
      <w:r>
        <w:rPr>
          <w:rStyle w:val="charItals"/>
        </w:rPr>
        <w:tab/>
      </w:r>
      <w:r>
        <w:t>The</w:t>
      </w:r>
      <w:r w:rsidR="00254316">
        <w:t xml:space="preserve"> </w:t>
      </w:r>
      <w:hyperlink r:id="rId147" w:tooltip="Gene Technology Act 2000" w:history="1">
        <w:r w:rsidR="00254316" w:rsidRPr="00254316">
          <w:rPr>
            <w:rStyle w:val="charCitHyperlinkAbbrev"/>
          </w:rPr>
          <w:t>Commonwealth Act</w:t>
        </w:r>
      </w:hyperlink>
      <w:r w:rsidR="00254316">
        <w:t xml:space="preserve">, </w:t>
      </w:r>
      <w:r>
        <w:t>s 120 requires the regulator to disclose his or her interests to the relevant Commonwealth Minister.</w:t>
      </w:r>
    </w:p>
    <w:p w:rsidR="00F93509" w:rsidRDefault="00F93509" w:rsidP="00F93509">
      <w:pPr>
        <w:pStyle w:val="AH5Sec"/>
      </w:pPr>
      <w:bookmarkStart w:id="175" w:name="_Toc526844652"/>
      <w:r w:rsidRPr="00325B6A">
        <w:rPr>
          <w:rStyle w:val="CharSectNo"/>
        </w:rPr>
        <w:t>121</w:t>
      </w:r>
      <w:r>
        <w:tab/>
        <w:t>Acting appointment</w:t>
      </w:r>
      <w:bookmarkEnd w:id="175"/>
    </w:p>
    <w:p w:rsidR="00F93509" w:rsidRDefault="00F93509" w:rsidP="00F93509">
      <w:pPr>
        <w:pStyle w:val="aNote"/>
      </w:pPr>
      <w:r>
        <w:rPr>
          <w:rStyle w:val="charItals"/>
        </w:rPr>
        <w:t>Note</w:t>
      </w:r>
      <w:r>
        <w:rPr>
          <w:rStyle w:val="charItals"/>
        </w:rPr>
        <w:tab/>
      </w:r>
      <w:r>
        <w:t>The</w:t>
      </w:r>
      <w:r w:rsidR="00C06223">
        <w:t xml:space="preserve"> </w:t>
      </w:r>
      <w:hyperlink r:id="rId148" w:tooltip="Gene Technology Act 2000" w:history="1">
        <w:r w:rsidR="00C06223" w:rsidRPr="00C06223">
          <w:rPr>
            <w:rStyle w:val="charCitHyperlinkAbbrev"/>
          </w:rPr>
          <w:t>Commonwealth Act</w:t>
        </w:r>
      </w:hyperlink>
      <w:r w:rsidR="00C06223">
        <w:t xml:space="preserve">, </w:t>
      </w:r>
      <w:r>
        <w:t>s 121 deals with the appointment of a person to act as the regulator.</w:t>
      </w:r>
    </w:p>
    <w:p w:rsidR="00F93509" w:rsidRDefault="00F93509" w:rsidP="00F93509">
      <w:pPr>
        <w:pStyle w:val="AH5Sec"/>
      </w:pPr>
      <w:bookmarkStart w:id="176" w:name="_Toc526844653"/>
      <w:r w:rsidRPr="00325B6A">
        <w:rPr>
          <w:rStyle w:val="CharSectNo"/>
        </w:rPr>
        <w:t>122</w:t>
      </w:r>
      <w:r>
        <w:tab/>
        <w:t>Terms and conditions</w:t>
      </w:r>
      <w:bookmarkEnd w:id="176"/>
    </w:p>
    <w:p w:rsidR="00F93509" w:rsidRDefault="00F93509" w:rsidP="00F93509">
      <w:pPr>
        <w:pStyle w:val="aNote"/>
      </w:pPr>
      <w:r w:rsidRPr="00903C3C">
        <w:rPr>
          <w:rStyle w:val="charItals"/>
        </w:rPr>
        <w:t>Note</w:t>
      </w:r>
      <w:r>
        <w:tab/>
        <w:t>The</w:t>
      </w:r>
      <w:r w:rsidR="00C06223">
        <w:t xml:space="preserve"> </w:t>
      </w:r>
      <w:hyperlink r:id="rId149" w:tooltip="Gene Technology Act 2000" w:history="1">
        <w:r w:rsidR="00C06223" w:rsidRPr="00C06223">
          <w:rPr>
            <w:rStyle w:val="charCitHyperlinkAbbrev"/>
          </w:rPr>
          <w:t>Commonwealth Act</w:t>
        </w:r>
      </w:hyperlink>
      <w:r w:rsidR="00C06223">
        <w:t xml:space="preserve">, </w:t>
      </w:r>
      <w:r>
        <w:t>s 122 deals with the terms and conditions of appointment of the regulator.</w:t>
      </w:r>
    </w:p>
    <w:p w:rsidR="00F93509" w:rsidRDefault="00F93509" w:rsidP="00F93509">
      <w:pPr>
        <w:pStyle w:val="AH5Sec"/>
      </w:pPr>
      <w:bookmarkStart w:id="177" w:name="_Toc526844654"/>
      <w:r w:rsidRPr="00325B6A">
        <w:rPr>
          <w:rStyle w:val="CharSectNo"/>
        </w:rPr>
        <w:t>123</w:t>
      </w:r>
      <w:r>
        <w:tab/>
        <w:t>Outside employment</w:t>
      </w:r>
      <w:bookmarkEnd w:id="177"/>
    </w:p>
    <w:p w:rsidR="00F93509" w:rsidRDefault="00F93509" w:rsidP="00F93509">
      <w:pPr>
        <w:pStyle w:val="aNote"/>
      </w:pPr>
      <w:r>
        <w:rPr>
          <w:rStyle w:val="charItals"/>
        </w:rPr>
        <w:t>Note</w:t>
      </w:r>
      <w:r>
        <w:rPr>
          <w:rStyle w:val="charItals"/>
        </w:rPr>
        <w:tab/>
      </w:r>
      <w:r>
        <w:t>The</w:t>
      </w:r>
      <w:r w:rsidR="00C06223">
        <w:t xml:space="preserve"> </w:t>
      </w:r>
      <w:hyperlink r:id="rId150" w:tooltip="Gene Technology Act 2000" w:history="1">
        <w:r w:rsidR="00C06223" w:rsidRPr="00C06223">
          <w:rPr>
            <w:rStyle w:val="charCitHyperlinkAbbrev"/>
          </w:rPr>
          <w:t>Commonwealth Act</w:t>
        </w:r>
      </w:hyperlink>
      <w:r w:rsidR="00C06223">
        <w:t xml:space="preserve">, </w:t>
      </w:r>
      <w:r>
        <w:t>s 123 prohibits the regulator from engaging in paid outside employment without the relevant Commonwealth Minister’s approval.</w:t>
      </w:r>
    </w:p>
    <w:p w:rsidR="00F93509" w:rsidRDefault="00F93509" w:rsidP="00F93509">
      <w:pPr>
        <w:pStyle w:val="AH5Sec"/>
      </w:pPr>
      <w:bookmarkStart w:id="178" w:name="_Toc526844655"/>
      <w:r w:rsidRPr="00325B6A">
        <w:rPr>
          <w:rStyle w:val="CharSectNo"/>
        </w:rPr>
        <w:t>124</w:t>
      </w:r>
      <w:r>
        <w:tab/>
        <w:t>Remuneration</w:t>
      </w:r>
      <w:bookmarkEnd w:id="178"/>
    </w:p>
    <w:p w:rsidR="00F93509" w:rsidRDefault="00F93509" w:rsidP="00F93509">
      <w:pPr>
        <w:pStyle w:val="aNote"/>
      </w:pPr>
      <w:r>
        <w:rPr>
          <w:rStyle w:val="charItals"/>
        </w:rPr>
        <w:t>Note</w:t>
      </w:r>
      <w:r>
        <w:rPr>
          <w:rStyle w:val="charItals"/>
        </w:rPr>
        <w:tab/>
      </w:r>
      <w:r>
        <w:t>The</w:t>
      </w:r>
      <w:r w:rsidR="00C06223">
        <w:t xml:space="preserve"> </w:t>
      </w:r>
      <w:hyperlink r:id="rId151" w:tooltip="Gene Technology Act 2000" w:history="1">
        <w:r w:rsidR="00C06223" w:rsidRPr="00C06223">
          <w:rPr>
            <w:rStyle w:val="charCitHyperlinkAbbrev"/>
          </w:rPr>
          <w:t>Commonwealth Act</w:t>
        </w:r>
      </w:hyperlink>
      <w:r w:rsidR="00C06223">
        <w:t xml:space="preserve">, </w:t>
      </w:r>
      <w:r>
        <w:t>s 124 provides for the payment of remuneration and allowances to the regulator.</w:t>
      </w:r>
    </w:p>
    <w:p w:rsidR="00F93509" w:rsidRDefault="00F93509" w:rsidP="00F93509">
      <w:pPr>
        <w:pStyle w:val="AH5Sec"/>
      </w:pPr>
      <w:bookmarkStart w:id="179" w:name="_Toc526844656"/>
      <w:r w:rsidRPr="00325B6A">
        <w:rPr>
          <w:rStyle w:val="CharSectNo"/>
        </w:rPr>
        <w:t>125</w:t>
      </w:r>
      <w:r>
        <w:tab/>
        <w:t>Leave of absence</w:t>
      </w:r>
      <w:bookmarkEnd w:id="179"/>
    </w:p>
    <w:p w:rsidR="00F93509" w:rsidRDefault="00F93509" w:rsidP="00F93509">
      <w:pPr>
        <w:pStyle w:val="aNote"/>
      </w:pPr>
      <w:r>
        <w:rPr>
          <w:rStyle w:val="charItals"/>
        </w:rPr>
        <w:t>Note</w:t>
      </w:r>
      <w:r>
        <w:rPr>
          <w:rStyle w:val="charItals"/>
        </w:rPr>
        <w:tab/>
      </w:r>
      <w:r>
        <w:t>The</w:t>
      </w:r>
      <w:r w:rsidR="00C06223">
        <w:t xml:space="preserve"> </w:t>
      </w:r>
      <w:hyperlink r:id="rId152" w:tooltip="Gene Technology Act 2000" w:history="1">
        <w:r w:rsidR="00C06223" w:rsidRPr="00C06223">
          <w:rPr>
            <w:rStyle w:val="charCitHyperlinkAbbrev"/>
          </w:rPr>
          <w:t>Commonwealth Act</w:t>
        </w:r>
      </w:hyperlink>
      <w:r w:rsidR="00C06223">
        <w:t xml:space="preserve">, </w:t>
      </w:r>
      <w:r>
        <w:t>s 125 deals with the entitlement of the regulator to leave of absence.</w:t>
      </w:r>
    </w:p>
    <w:p w:rsidR="00F93509" w:rsidRDefault="00F93509" w:rsidP="00F93509">
      <w:pPr>
        <w:pStyle w:val="AH5Sec"/>
      </w:pPr>
      <w:bookmarkStart w:id="180" w:name="_Toc526844657"/>
      <w:r w:rsidRPr="00325B6A">
        <w:rPr>
          <w:rStyle w:val="CharSectNo"/>
        </w:rPr>
        <w:t>126</w:t>
      </w:r>
      <w:r>
        <w:tab/>
        <w:t>Resignation</w:t>
      </w:r>
      <w:bookmarkEnd w:id="180"/>
    </w:p>
    <w:p w:rsidR="00F93509" w:rsidRDefault="00F93509" w:rsidP="00F93509">
      <w:pPr>
        <w:pStyle w:val="aNote"/>
      </w:pPr>
      <w:r>
        <w:rPr>
          <w:rStyle w:val="charItals"/>
        </w:rPr>
        <w:t>Note</w:t>
      </w:r>
      <w:r>
        <w:rPr>
          <w:rStyle w:val="charItals"/>
        </w:rPr>
        <w:tab/>
      </w:r>
      <w:r>
        <w:t>The</w:t>
      </w:r>
      <w:r w:rsidR="00C06223">
        <w:t xml:space="preserve"> </w:t>
      </w:r>
      <w:hyperlink r:id="rId153" w:tooltip="Gene Technology Act 2000" w:history="1">
        <w:r w:rsidR="00C06223" w:rsidRPr="00C06223">
          <w:rPr>
            <w:rStyle w:val="charCitHyperlinkAbbrev"/>
          </w:rPr>
          <w:t>Commonwealth Act</w:t>
        </w:r>
      </w:hyperlink>
      <w:r w:rsidR="00C06223">
        <w:t xml:space="preserve">, </w:t>
      </w:r>
      <w:r>
        <w:t>s 126 deals with the procedure for resignation by the regulator.</w:t>
      </w:r>
    </w:p>
    <w:p w:rsidR="00F93509" w:rsidRPr="00325B6A" w:rsidRDefault="00F93509" w:rsidP="00F93509">
      <w:pPr>
        <w:pStyle w:val="AH3Div"/>
      </w:pPr>
      <w:bookmarkStart w:id="181" w:name="_Toc526844658"/>
      <w:r w:rsidRPr="00325B6A">
        <w:rPr>
          <w:rStyle w:val="CharDivNo"/>
        </w:rPr>
        <w:t>Division 9.3</w:t>
      </w:r>
      <w:r>
        <w:tab/>
      </w:r>
      <w:r w:rsidRPr="00325B6A">
        <w:rPr>
          <w:rStyle w:val="CharDivText"/>
        </w:rPr>
        <w:t>Money</w:t>
      </w:r>
      <w:bookmarkEnd w:id="181"/>
    </w:p>
    <w:p w:rsidR="00F93509" w:rsidRDefault="00F93509" w:rsidP="00F93509">
      <w:pPr>
        <w:pStyle w:val="AH5Sec"/>
      </w:pPr>
      <w:bookmarkStart w:id="182" w:name="_Toc526844659"/>
      <w:r w:rsidRPr="00325B6A">
        <w:rPr>
          <w:rStyle w:val="CharSectNo"/>
        </w:rPr>
        <w:t>127</w:t>
      </w:r>
      <w:r>
        <w:tab/>
        <w:t>Regulator may charge for services</w:t>
      </w:r>
      <w:bookmarkEnd w:id="182"/>
    </w:p>
    <w:p w:rsidR="00F93509" w:rsidRDefault="00F93509" w:rsidP="00F93509">
      <w:pPr>
        <w:pStyle w:val="Amainreturn"/>
      </w:pPr>
      <w:r>
        <w:t>The regulator may charge for services provided by, or on behalf of, the regulator in exercising the regulator’s functions under this Act.</w:t>
      </w:r>
    </w:p>
    <w:p w:rsidR="00F93509" w:rsidRDefault="00F93509" w:rsidP="00F93509">
      <w:pPr>
        <w:pStyle w:val="AH5Sec"/>
      </w:pPr>
      <w:bookmarkStart w:id="183" w:name="_Toc526844660"/>
      <w:r w:rsidRPr="00325B6A">
        <w:rPr>
          <w:rStyle w:val="CharSectNo"/>
        </w:rPr>
        <w:t>128</w:t>
      </w:r>
      <w:r>
        <w:tab/>
        <w:t>Notional payments</w:t>
      </w:r>
      <w:bookmarkEnd w:id="183"/>
    </w:p>
    <w:p w:rsidR="00F93509" w:rsidRDefault="00F93509" w:rsidP="00F93509">
      <w:pPr>
        <w:pStyle w:val="aNote"/>
        <w:keepLines/>
      </w:pPr>
      <w:r>
        <w:rPr>
          <w:rStyle w:val="charItals"/>
        </w:rPr>
        <w:t>Note</w:t>
      </w:r>
      <w:r>
        <w:tab/>
        <w:t>The</w:t>
      </w:r>
      <w:r w:rsidR="00C06223">
        <w:t xml:space="preserve"> </w:t>
      </w:r>
      <w:hyperlink r:id="rId154" w:tooltip="Gene Technology Act 2000" w:history="1">
        <w:r w:rsidR="00C06223" w:rsidRPr="00C06223">
          <w:rPr>
            <w:rStyle w:val="charCitHyperlinkAbbrev"/>
          </w:rPr>
          <w:t>Commonwealth Act</w:t>
        </w:r>
      </w:hyperlink>
      <w:r w:rsidR="00C06223">
        <w:t xml:space="preserve">, </w:t>
      </w:r>
      <w:r>
        <w:t xml:space="preserve">s 128 provides for fees and charges to be notionally payable by the Commonwealth and allows directions to be given for the section. This provision is unnecessary in the ACT (see </w:t>
      </w:r>
      <w:hyperlink r:id="rId155" w:tooltip="A1996-22" w:history="1">
        <w:r w:rsidRPr="00903C3C">
          <w:rPr>
            <w:rStyle w:val="charCitHyperlinkItal"/>
          </w:rPr>
          <w:t>Financial Management Act 1996</w:t>
        </w:r>
      </w:hyperlink>
      <w:r>
        <w:t>).</w:t>
      </w:r>
    </w:p>
    <w:p w:rsidR="00F93509" w:rsidRDefault="00F93509" w:rsidP="00F93509">
      <w:pPr>
        <w:pStyle w:val="AH5Sec"/>
      </w:pPr>
      <w:bookmarkStart w:id="184" w:name="_Toc526844661"/>
      <w:r w:rsidRPr="00325B6A">
        <w:rPr>
          <w:rStyle w:val="CharSectNo"/>
        </w:rPr>
        <w:t>129</w:t>
      </w:r>
      <w:r>
        <w:tab/>
        <w:t>Gene technology account</w:t>
      </w:r>
      <w:bookmarkEnd w:id="184"/>
    </w:p>
    <w:p w:rsidR="00F93509" w:rsidRDefault="00F93509" w:rsidP="00F93509">
      <w:pPr>
        <w:pStyle w:val="aNote"/>
      </w:pPr>
      <w:r>
        <w:rPr>
          <w:rStyle w:val="charItals"/>
        </w:rPr>
        <w:t>Note</w:t>
      </w:r>
      <w:r>
        <w:tab/>
        <w:t>The</w:t>
      </w:r>
      <w:r w:rsidR="00C06223">
        <w:t xml:space="preserve"> </w:t>
      </w:r>
      <w:hyperlink r:id="rId156" w:tooltip="Gene Technology Act 2000" w:history="1">
        <w:r w:rsidR="00C06223" w:rsidRPr="00C06223">
          <w:rPr>
            <w:rStyle w:val="charCitHyperlinkAbbrev"/>
          </w:rPr>
          <w:t>Commonwealth Act</w:t>
        </w:r>
      </w:hyperlink>
      <w:r w:rsidR="00C06223">
        <w:t xml:space="preserve">, </w:t>
      </w:r>
      <w:r>
        <w:t>s 129 provides for the establishment of the gene technology account.</w:t>
      </w:r>
    </w:p>
    <w:p w:rsidR="00F93509" w:rsidRDefault="00F93509" w:rsidP="00F93509">
      <w:pPr>
        <w:pStyle w:val="AH5Sec"/>
      </w:pPr>
      <w:bookmarkStart w:id="185" w:name="_Toc526844662"/>
      <w:r w:rsidRPr="00325B6A">
        <w:rPr>
          <w:rStyle w:val="CharSectNo"/>
        </w:rPr>
        <w:t>130</w:t>
      </w:r>
      <w:r>
        <w:tab/>
        <w:t>Credits to gene technology account</w:t>
      </w:r>
      <w:bookmarkEnd w:id="185"/>
    </w:p>
    <w:p w:rsidR="00F93509" w:rsidRDefault="00F93509" w:rsidP="00F93509">
      <w:pPr>
        <w:pStyle w:val="Amain"/>
        <w:keepNext/>
      </w:pPr>
      <w:r>
        <w:rPr>
          <w:rFonts w:ascii="Tms Rmn" w:hAnsi="Tms Rmn"/>
        </w:rPr>
        <w:tab/>
      </w:r>
      <w:r>
        <w:rPr>
          <w:rFonts w:ascii="Tms Rmn" w:hAnsi="Tms Rmn"/>
        </w:rPr>
        <w:tab/>
      </w:r>
      <w:r>
        <w:t>The following amounts must be paid to the Commonwealth for crediting to the gene technology account:</w:t>
      </w:r>
    </w:p>
    <w:p w:rsidR="00F93509" w:rsidRDefault="00F93509" w:rsidP="00F93509">
      <w:pPr>
        <w:pStyle w:val="Apara"/>
      </w:pPr>
      <w:r>
        <w:rPr>
          <w:rFonts w:ascii="Tms Rmn" w:hAnsi="Tms Rmn"/>
        </w:rPr>
        <w:tab/>
        <w:t>(a)</w:t>
      </w:r>
      <w:r>
        <w:rPr>
          <w:rFonts w:ascii="Tms Rmn" w:hAnsi="Tms Rmn"/>
        </w:rPr>
        <w:tab/>
      </w:r>
      <w:r>
        <w:t>amounts equal to amounts from time to time received by the Territory under division 5.8;</w:t>
      </w:r>
    </w:p>
    <w:p w:rsidR="00F93509" w:rsidRDefault="00F93509" w:rsidP="00F93509">
      <w:pPr>
        <w:pStyle w:val="Apara"/>
      </w:pPr>
      <w:r>
        <w:rPr>
          <w:rFonts w:ascii="Tms Rmn" w:hAnsi="Tms Rmn"/>
        </w:rPr>
        <w:tab/>
        <w:t>(b)</w:t>
      </w:r>
      <w:r>
        <w:rPr>
          <w:rFonts w:ascii="Tms Rmn" w:hAnsi="Tms Rmn"/>
        </w:rPr>
        <w:tab/>
      </w:r>
      <w:r>
        <w:t>amounts equal to fees received by the Territory under section 40 (6) (Person may apply for a licence) and section 83 (3) (Application for certification);</w:t>
      </w:r>
    </w:p>
    <w:p w:rsidR="00F93509" w:rsidRDefault="00F93509" w:rsidP="00F93509">
      <w:pPr>
        <w:pStyle w:val="Apara"/>
      </w:pPr>
      <w:r>
        <w:rPr>
          <w:rFonts w:ascii="Tms Rmn" w:hAnsi="Tms Rmn"/>
        </w:rPr>
        <w:tab/>
        <w:t>(c)</w:t>
      </w:r>
      <w:r>
        <w:rPr>
          <w:rFonts w:ascii="Tms Rmn" w:hAnsi="Tms Rmn"/>
        </w:rPr>
        <w:tab/>
      </w:r>
      <w:r>
        <w:t>amounts equal to amounts received by the Territory for the exercise of the regulator’s functions under this Act;</w:t>
      </w:r>
    </w:p>
    <w:p w:rsidR="00F93509" w:rsidRDefault="00F93509" w:rsidP="00F93509">
      <w:pPr>
        <w:pStyle w:val="Apara"/>
        <w:keepNext/>
      </w:pPr>
      <w:r>
        <w:rPr>
          <w:rFonts w:ascii="Tms Rmn" w:hAnsi="Tms Rmn"/>
        </w:rPr>
        <w:tab/>
        <w:t>(d)</w:t>
      </w:r>
      <w:r>
        <w:rPr>
          <w:rFonts w:ascii="Tms Rmn" w:hAnsi="Tms Rmn"/>
        </w:rPr>
        <w:tab/>
      </w:r>
      <w:r>
        <w:t>amounts equal to amounts recovered by the Territory under section 146 (5) (Regulator may give directions) or section 158 (4) (Powers available to inspectors for dealing with dangerous situations), to the extent that they are referable to costs paid out of the gene technology account.</w:t>
      </w:r>
    </w:p>
    <w:p w:rsidR="00F93509" w:rsidRDefault="00F93509" w:rsidP="00F93509">
      <w:pPr>
        <w:pStyle w:val="aNote"/>
      </w:pPr>
      <w:r>
        <w:rPr>
          <w:rStyle w:val="charItals"/>
        </w:rPr>
        <w:t>Note</w:t>
      </w:r>
      <w:r>
        <w:tab/>
        <w:t>This section differs from the</w:t>
      </w:r>
      <w:r w:rsidR="00C06223">
        <w:t xml:space="preserve"> </w:t>
      </w:r>
      <w:hyperlink r:id="rId157" w:tooltip="Gene Technology Act 2000" w:history="1">
        <w:r w:rsidR="00C06223" w:rsidRPr="00C06223">
          <w:rPr>
            <w:rStyle w:val="charCitHyperlinkAbbrev"/>
          </w:rPr>
          <w:t>Commonwealth Act</w:t>
        </w:r>
      </w:hyperlink>
      <w:r w:rsidR="00C06223">
        <w:t xml:space="preserve">, </w:t>
      </w:r>
      <w:r>
        <w:t>s 130.</w:t>
      </w:r>
    </w:p>
    <w:p w:rsidR="00F93509" w:rsidRDefault="00F93509" w:rsidP="00F93509">
      <w:pPr>
        <w:pStyle w:val="AH5Sec"/>
      </w:pPr>
      <w:bookmarkStart w:id="186" w:name="_Toc526844663"/>
      <w:r w:rsidRPr="00325B6A">
        <w:rPr>
          <w:rStyle w:val="CharSectNo"/>
        </w:rPr>
        <w:t>131</w:t>
      </w:r>
      <w:r>
        <w:tab/>
        <w:t>Recovery of amounts</w:t>
      </w:r>
      <w:bookmarkEnd w:id="186"/>
    </w:p>
    <w:p w:rsidR="00F93509" w:rsidRDefault="00F93509" w:rsidP="00F93509">
      <w:pPr>
        <w:pStyle w:val="Amainreturn"/>
        <w:keepNext/>
      </w:pPr>
      <w:r>
        <w:t>The following amounts may be recovered in a court of competent jurisdiction as debts owing to the Territory:</w:t>
      </w:r>
    </w:p>
    <w:p w:rsidR="00F93509" w:rsidRDefault="00F93509" w:rsidP="00F93509">
      <w:pPr>
        <w:pStyle w:val="Apara"/>
      </w:pPr>
      <w:r>
        <w:rPr>
          <w:rFonts w:ascii="Tms Rmn" w:hAnsi="Tms Rmn"/>
        </w:rPr>
        <w:tab/>
        <w:t>(a)</w:t>
      </w:r>
      <w:r>
        <w:rPr>
          <w:rFonts w:ascii="Tms Rmn" w:hAnsi="Tms Rmn"/>
        </w:rPr>
        <w:tab/>
      </w:r>
      <w:r>
        <w:t>amounts payable to the Territory under division 5.8;</w:t>
      </w:r>
    </w:p>
    <w:p w:rsidR="00F93509" w:rsidRDefault="00F93509" w:rsidP="00F93509">
      <w:pPr>
        <w:pStyle w:val="Apara"/>
      </w:pPr>
      <w:r>
        <w:rPr>
          <w:rFonts w:ascii="Tms Rmn" w:hAnsi="Tms Rmn"/>
        </w:rPr>
        <w:tab/>
        <w:t>(b)</w:t>
      </w:r>
      <w:r>
        <w:rPr>
          <w:rFonts w:ascii="Tms Rmn" w:hAnsi="Tms Rmn"/>
        </w:rPr>
        <w:tab/>
      </w:r>
      <w:r>
        <w:t>fees payable to the Territory under this Act;</w:t>
      </w:r>
    </w:p>
    <w:p w:rsidR="00F93509" w:rsidRDefault="00F93509" w:rsidP="00F93509">
      <w:pPr>
        <w:pStyle w:val="Apara"/>
      </w:pPr>
      <w:r>
        <w:rPr>
          <w:rFonts w:ascii="Tms Rmn" w:hAnsi="Tms Rmn"/>
        </w:rPr>
        <w:tab/>
        <w:t>(c)</w:t>
      </w:r>
      <w:r>
        <w:rPr>
          <w:rFonts w:ascii="Tms Rmn" w:hAnsi="Tms Rmn"/>
        </w:rPr>
        <w:tab/>
      </w:r>
      <w:r>
        <w:t>amounts payable to the Territory for the exercise of the regulator’s functions under this Act.</w:t>
      </w:r>
    </w:p>
    <w:p w:rsidR="00F93509" w:rsidRDefault="00F93509" w:rsidP="00F93509">
      <w:pPr>
        <w:pStyle w:val="AH5Sec"/>
      </w:pPr>
      <w:bookmarkStart w:id="187" w:name="_Toc526844664"/>
      <w:r w:rsidRPr="00325B6A">
        <w:rPr>
          <w:rStyle w:val="CharSectNo"/>
        </w:rPr>
        <w:t>132</w:t>
      </w:r>
      <w:r>
        <w:tab/>
        <w:t>Purposes of account</w:t>
      </w:r>
      <w:bookmarkEnd w:id="187"/>
    </w:p>
    <w:p w:rsidR="00F93509" w:rsidRDefault="00F93509" w:rsidP="00F93509">
      <w:pPr>
        <w:pStyle w:val="aNote"/>
      </w:pPr>
      <w:r>
        <w:rPr>
          <w:rStyle w:val="charItals"/>
        </w:rPr>
        <w:t>Note</w:t>
      </w:r>
      <w:r>
        <w:tab/>
        <w:t>The</w:t>
      </w:r>
      <w:r w:rsidR="00C06223">
        <w:t xml:space="preserve"> </w:t>
      </w:r>
      <w:hyperlink r:id="rId158" w:tooltip="Gene Technology Act 2000" w:history="1">
        <w:r w:rsidR="00C06223" w:rsidRPr="00C06223">
          <w:rPr>
            <w:rStyle w:val="charCitHyperlinkAbbrev"/>
          </w:rPr>
          <w:t>Commonwealth Act</w:t>
        </w:r>
      </w:hyperlink>
      <w:r w:rsidR="00C06223">
        <w:t xml:space="preserve">, </w:t>
      </w:r>
      <w:r>
        <w:t>s 132 sets out the purposes for which money in the gene technology account may be expended.</w:t>
      </w:r>
    </w:p>
    <w:p w:rsidR="00F93509" w:rsidRPr="00325B6A" w:rsidRDefault="00F93509" w:rsidP="00F93509">
      <w:pPr>
        <w:pStyle w:val="AH3Div"/>
      </w:pPr>
      <w:bookmarkStart w:id="188" w:name="_Toc526844665"/>
      <w:r w:rsidRPr="00325B6A">
        <w:rPr>
          <w:rStyle w:val="CharDivNo"/>
        </w:rPr>
        <w:t>Division 9.4</w:t>
      </w:r>
      <w:r>
        <w:tab/>
      </w:r>
      <w:r w:rsidRPr="00325B6A">
        <w:rPr>
          <w:rStyle w:val="CharDivText"/>
        </w:rPr>
        <w:t>Staffing</w:t>
      </w:r>
      <w:bookmarkEnd w:id="188"/>
    </w:p>
    <w:p w:rsidR="00F93509" w:rsidRDefault="00F93509" w:rsidP="00F93509">
      <w:pPr>
        <w:pStyle w:val="AH5Sec"/>
      </w:pPr>
      <w:bookmarkStart w:id="189" w:name="_Toc526844666"/>
      <w:r w:rsidRPr="00325B6A">
        <w:rPr>
          <w:rStyle w:val="CharSectNo"/>
        </w:rPr>
        <w:t>133</w:t>
      </w:r>
      <w:r>
        <w:tab/>
        <w:t>Staff assisting regulator</w:t>
      </w:r>
      <w:bookmarkEnd w:id="189"/>
    </w:p>
    <w:p w:rsidR="00F93509" w:rsidRDefault="00F93509" w:rsidP="00F93509">
      <w:pPr>
        <w:pStyle w:val="aNote"/>
      </w:pPr>
      <w:r>
        <w:rPr>
          <w:rStyle w:val="charItals"/>
        </w:rPr>
        <w:t>Note</w:t>
      </w:r>
      <w:r>
        <w:rPr>
          <w:rStyle w:val="charItals"/>
        </w:rPr>
        <w:tab/>
      </w:r>
      <w:r>
        <w:t>The</w:t>
      </w:r>
      <w:r w:rsidR="00C06223">
        <w:t xml:space="preserve"> </w:t>
      </w:r>
      <w:hyperlink r:id="rId159" w:tooltip="Gene Technology Act 2000" w:history="1">
        <w:r w:rsidR="00C06223" w:rsidRPr="00C06223">
          <w:rPr>
            <w:rStyle w:val="charCitHyperlinkAbbrev"/>
          </w:rPr>
          <w:t>Commonwealth Act</w:t>
        </w:r>
      </w:hyperlink>
      <w:r w:rsidR="00C06223">
        <w:t xml:space="preserve">, </w:t>
      </w:r>
      <w:r>
        <w:t>s 133 provides for staff to be made available to assist the regulator.</w:t>
      </w:r>
    </w:p>
    <w:p w:rsidR="00F93509" w:rsidRDefault="00F93509" w:rsidP="00F93509">
      <w:pPr>
        <w:pStyle w:val="AH5Sec"/>
      </w:pPr>
      <w:bookmarkStart w:id="190" w:name="_Toc526844667"/>
      <w:r w:rsidRPr="00325B6A">
        <w:rPr>
          <w:rStyle w:val="CharSectNo"/>
        </w:rPr>
        <w:t>134</w:t>
      </w:r>
      <w:r>
        <w:tab/>
        <w:t>Consultants</w:t>
      </w:r>
      <w:bookmarkEnd w:id="190"/>
    </w:p>
    <w:p w:rsidR="00F93509" w:rsidRDefault="00F93509" w:rsidP="00F93509">
      <w:pPr>
        <w:pStyle w:val="aNote"/>
      </w:pPr>
      <w:r>
        <w:rPr>
          <w:rStyle w:val="charItals"/>
        </w:rPr>
        <w:t>Note</w:t>
      </w:r>
      <w:r>
        <w:rPr>
          <w:rStyle w:val="charItals"/>
        </w:rPr>
        <w:tab/>
      </w:r>
      <w:r>
        <w:t>The</w:t>
      </w:r>
      <w:r w:rsidR="00C06223">
        <w:t xml:space="preserve"> </w:t>
      </w:r>
      <w:hyperlink r:id="rId160" w:tooltip="Gene Technology Act 2000" w:history="1">
        <w:r w:rsidR="00C06223" w:rsidRPr="00C06223">
          <w:rPr>
            <w:rStyle w:val="charCitHyperlinkAbbrev"/>
          </w:rPr>
          <w:t>Commonwealth Act</w:t>
        </w:r>
      </w:hyperlink>
      <w:r w:rsidR="00C06223">
        <w:t xml:space="preserve">, </w:t>
      </w:r>
      <w:r>
        <w:t>s 134 authorises the regulator to engage consultants.</w:t>
      </w:r>
    </w:p>
    <w:p w:rsidR="00F93509" w:rsidRDefault="00F93509" w:rsidP="00F93509">
      <w:pPr>
        <w:pStyle w:val="AH5Sec"/>
      </w:pPr>
      <w:bookmarkStart w:id="191" w:name="_Toc526844668"/>
      <w:r w:rsidRPr="00325B6A">
        <w:rPr>
          <w:rStyle w:val="CharSectNo"/>
        </w:rPr>
        <w:t>135</w:t>
      </w:r>
      <w:r>
        <w:tab/>
        <w:t>Seconded officers</w:t>
      </w:r>
      <w:bookmarkEnd w:id="191"/>
    </w:p>
    <w:p w:rsidR="00F93509" w:rsidRDefault="00F93509" w:rsidP="00F93509">
      <w:pPr>
        <w:pStyle w:val="aNote"/>
      </w:pPr>
      <w:r>
        <w:rPr>
          <w:rStyle w:val="charItals"/>
        </w:rPr>
        <w:t>Note</w:t>
      </w:r>
      <w:r>
        <w:rPr>
          <w:rStyle w:val="charItals"/>
        </w:rPr>
        <w:tab/>
      </w:r>
      <w:r>
        <w:t>The</w:t>
      </w:r>
      <w:r w:rsidR="00C06223">
        <w:t xml:space="preserve"> </w:t>
      </w:r>
      <w:hyperlink r:id="rId161" w:tooltip="Gene Technology Act 2000" w:history="1">
        <w:r w:rsidR="00C06223" w:rsidRPr="00C06223">
          <w:rPr>
            <w:rStyle w:val="charCitHyperlinkAbbrev"/>
          </w:rPr>
          <w:t>Commonwealth Act</w:t>
        </w:r>
      </w:hyperlink>
      <w:r w:rsidR="00C06223">
        <w:t xml:space="preserve">, </w:t>
      </w:r>
      <w:r>
        <w:t>s 135 provides for staff to be seconded to the regulator.</w:t>
      </w:r>
    </w:p>
    <w:p w:rsidR="00F93509" w:rsidRPr="00325B6A" w:rsidRDefault="00F93509" w:rsidP="00F93509">
      <w:pPr>
        <w:pStyle w:val="AH3Div"/>
      </w:pPr>
      <w:bookmarkStart w:id="192" w:name="_Toc526844669"/>
      <w:r w:rsidRPr="00325B6A">
        <w:rPr>
          <w:rStyle w:val="CharDivNo"/>
        </w:rPr>
        <w:t>Division 9.5</w:t>
      </w:r>
      <w:r>
        <w:tab/>
      </w:r>
      <w:r w:rsidRPr="00325B6A">
        <w:rPr>
          <w:rStyle w:val="CharDivText"/>
        </w:rPr>
        <w:t>Reporting requirements</w:t>
      </w:r>
      <w:bookmarkEnd w:id="192"/>
    </w:p>
    <w:p w:rsidR="00F93509" w:rsidRDefault="00F93509" w:rsidP="00F93509">
      <w:pPr>
        <w:pStyle w:val="AH5Sec"/>
      </w:pPr>
      <w:bookmarkStart w:id="193" w:name="_Toc526844670"/>
      <w:r w:rsidRPr="00325B6A">
        <w:rPr>
          <w:rStyle w:val="CharSectNo"/>
        </w:rPr>
        <w:t>136</w:t>
      </w:r>
      <w:r>
        <w:tab/>
        <w:t>Annual report</w:t>
      </w:r>
      <w:bookmarkEnd w:id="193"/>
    </w:p>
    <w:p w:rsidR="00F93509" w:rsidRDefault="00F93509" w:rsidP="00F93509">
      <w:pPr>
        <w:pStyle w:val="Amain"/>
      </w:pPr>
      <w:r>
        <w:rPr>
          <w:rFonts w:ascii="Tms Rmn" w:hAnsi="Tms Rmn"/>
        </w:rPr>
        <w:tab/>
        <w:t>(1)</w:t>
      </w:r>
      <w:r>
        <w:rPr>
          <w:rFonts w:ascii="Tms Rmn" w:hAnsi="Tms Rmn"/>
        </w:rPr>
        <w:tab/>
      </w:r>
      <w:r>
        <w:t>As soon as practicable after the end of each financial year, the regulator must prepare and give to the Minister a report on the operations of the regulator under this Act during that year.</w:t>
      </w:r>
    </w:p>
    <w:p w:rsidR="00936497" w:rsidRPr="00E2623C" w:rsidRDefault="00936497" w:rsidP="00936497">
      <w:pPr>
        <w:pStyle w:val="Amain"/>
      </w:pPr>
      <w:r w:rsidRPr="00E2623C">
        <w:tab/>
        <w:t>(1A)</w:t>
      </w:r>
      <w:r w:rsidRPr="00E2623C">
        <w:tab/>
        <w:t>The report must include information about the following:</w:t>
      </w:r>
    </w:p>
    <w:p w:rsidR="00936497" w:rsidRPr="00E2623C" w:rsidRDefault="00936497" w:rsidP="00936497">
      <w:pPr>
        <w:pStyle w:val="Apara"/>
      </w:pPr>
      <w:r w:rsidRPr="00E2623C">
        <w:tab/>
        <w:t>(a)</w:t>
      </w:r>
      <w:r w:rsidRPr="00E2623C">
        <w:tab/>
        <w:t>GMO licences issued during the financial year;</w:t>
      </w:r>
    </w:p>
    <w:p w:rsidR="00936497" w:rsidRPr="00E2623C" w:rsidRDefault="00936497" w:rsidP="00936497">
      <w:pPr>
        <w:pStyle w:val="Apara"/>
      </w:pPr>
      <w:r w:rsidRPr="00E2623C">
        <w:tab/>
        <w:t>(b)</w:t>
      </w:r>
      <w:r w:rsidRPr="00E2623C">
        <w:tab/>
        <w:t>any breaches of conditions of a GMO licence that have come to the regulator’s attention during the financial year;</w:t>
      </w:r>
    </w:p>
    <w:p w:rsidR="00936497" w:rsidRPr="00E2623C" w:rsidRDefault="00936497" w:rsidP="00936497">
      <w:pPr>
        <w:pStyle w:val="Apara"/>
      </w:pPr>
      <w:r w:rsidRPr="00E2623C">
        <w:tab/>
        <w:t>(c)</w:t>
      </w:r>
      <w:r w:rsidRPr="00E2623C">
        <w:tab/>
        <w:t>emergency dealing determinations made by the Minister during the financial year;</w:t>
      </w:r>
    </w:p>
    <w:p w:rsidR="00936497" w:rsidRPr="00E2623C" w:rsidRDefault="00936497" w:rsidP="00936497">
      <w:pPr>
        <w:pStyle w:val="Apara"/>
      </w:pPr>
      <w:r w:rsidRPr="00E2623C">
        <w:tab/>
        <w:t>(d)</w:t>
      </w:r>
      <w:r w:rsidRPr="00E2623C">
        <w:tab/>
        <w:t>any breaches of conditions of an emergency dealing determination that have come to the regulator’s attention during the financial year;</w:t>
      </w:r>
    </w:p>
    <w:p w:rsidR="00936497" w:rsidRPr="00E2623C" w:rsidRDefault="00936497" w:rsidP="00936497">
      <w:pPr>
        <w:pStyle w:val="Apara"/>
      </w:pPr>
      <w:r w:rsidRPr="00E2623C">
        <w:tab/>
        <w:t>(e)</w:t>
      </w:r>
      <w:r w:rsidRPr="00E2623C">
        <w:tab/>
        <w:t>auditing and monitoring of dealings with GMOs under this Act by the regulator or an inspector during the financial year.</w:t>
      </w:r>
    </w:p>
    <w:p w:rsidR="00936497" w:rsidRPr="00E2623C" w:rsidRDefault="00936497" w:rsidP="00936497">
      <w:pPr>
        <w:pStyle w:val="aNotepar"/>
      </w:pPr>
      <w:r w:rsidRPr="00E2623C">
        <w:rPr>
          <w:rStyle w:val="charItals"/>
        </w:rPr>
        <w:t>Note</w:t>
      </w:r>
      <w:r w:rsidRPr="00E2623C">
        <w:rPr>
          <w:rStyle w:val="charItals"/>
        </w:rPr>
        <w:tab/>
      </w:r>
      <w:r w:rsidRPr="00E2623C">
        <w:t>Auditing and monitoring may include spot checks.</w:t>
      </w:r>
    </w:p>
    <w:p w:rsidR="00F93509" w:rsidRDefault="00F93509" w:rsidP="00F93509">
      <w:pPr>
        <w:pStyle w:val="Amain"/>
        <w:keepNext/>
      </w:pPr>
      <w:r>
        <w:rPr>
          <w:rFonts w:ascii="Tms Rmn" w:hAnsi="Tms Rmn"/>
        </w:rPr>
        <w:tab/>
        <w:t>(2)</w:t>
      </w:r>
      <w:r>
        <w:rPr>
          <w:rFonts w:ascii="Tms Rmn" w:hAnsi="Tms Rmn"/>
        </w:rPr>
        <w:tab/>
      </w:r>
      <w:r>
        <w:t>The Minister must present a copy of the report to the Legislative Assembly within 6 sitting days after the Minister receives the report.</w:t>
      </w:r>
    </w:p>
    <w:p w:rsidR="00F93509" w:rsidRDefault="00F93509" w:rsidP="00F93509">
      <w:pPr>
        <w:pStyle w:val="aNote"/>
      </w:pPr>
      <w:r>
        <w:rPr>
          <w:rStyle w:val="charItals"/>
        </w:rPr>
        <w:t>Note</w:t>
      </w:r>
      <w:r>
        <w:tab/>
        <w:t>The</w:t>
      </w:r>
      <w:r w:rsidR="00C06223">
        <w:t xml:space="preserve"> </w:t>
      </w:r>
      <w:hyperlink r:id="rId162" w:tooltip="Gene Technology Act 2000" w:history="1">
        <w:r w:rsidR="00C06223" w:rsidRPr="00C06223">
          <w:rPr>
            <w:rStyle w:val="charCitHyperlinkAbbrev"/>
          </w:rPr>
          <w:t>Commonwealth Act</w:t>
        </w:r>
      </w:hyperlink>
      <w:r w:rsidR="00C06223">
        <w:t xml:space="preserve">, </w:t>
      </w:r>
      <w:r>
        <w:t>s 136 (3) requires the regulator to give a copy of his or her report under that section to each State.</w:t>
      </w:r>
    </w:p>
    <w:p w:rsidR="00F93509" w:rsidRDefault="00F93509" w:rsidP="00F93509">
      <w:pPr>
        <w:pStyle w:val="AH5Sec"/>
      </w:pPr>
      <w:bookmarkStart w:id="194" w:name="_Toc526844671"/>
      <w:r w:rsidRPr="00325B6A">
        <w:rPr>
          <w:rStyle w:val="CharSectNo"/>
        </w:rPr>
        <w:t>137</w:t>
      </w:r>
      <w:r>
        <w:tab/>
        <w:t>Reports to Legislative Assembly</w:t>
      </w:r>
      <w:bookmarkEnd w:id="194"/>
    </w:p>
    <w:p w:rsidR="00F93509" w:rsidRDefault="00F93509" w:rsidP="00F93509">
      <w:pPr>
        <w:pStyle w:val="Amain"/>
      </w:pPr>
      <w:r>
        <w:rPr>
          <w:rFonts w:ascii="Tms Rmn" w:hAnsi="Tms Rmn"/>
        </w:rPr>
        <w:tab/>
        <w:t>(1)</w:t>
      </w:r>
      <w:r>
        <w:rPr>
          <w:rFonts w:ascii="Tms Rmn" w:hAnsi="Tms Rmn"/>
        </w:rPr>
        <w:tab/>
      </w:r>
      <w:r>
        <w:t>The regulator may at any time give the Minister a report about matters relating to the regulator’s functions under this Act and ask the Minister to present the report to the Legislative Assembly.</w:t>
      </w:r>
    </w:p>
    <w:p w:rsidR="00F93509" w:rsidRDefault="00F93509" w:rsidP="00F93509">
      <w:pPr>
        <w:pStyle w:val="Amain"/>
        <w:keepNext/>
      </w:pPr>
      <w:r>
        <w:rPr>
          <w:rFonts w:ascii="Tms Rmn" w:hAnsi="Tms Rmn"/>
        </w:rPr>
        <w:tab/>
        <w:t>(2)</w:t>
      </w:r>
      <w:r>
        <w:rPr>
          <w:rFonts w:ascii="Tms Rmn" w:hAnsi="Tms Rmn"/>
        </w:rPr>
        <w:tab/>
      </w:r>
      <w:r>
        <w:t>The Minister must present a copy of the report to the Legislative Assembly within 6 sitting days after the Minister receives the report.</w:t>
      </w:r>
    </w:p>
    <w:p w:rsidR="00F93509" w:rsidRDefault="00F93509" w:rsidP="00F93509">
      <w:pPr>
        <w:pStyle w:val="aNote"/>
        <w:keepNext/>
      </w:pPr>
      <w:r>
        <w:rPr>
          <w:rStyle w:val="charItals"/>
        </w:rPr>
        <w:t>Note 1</w:t>
      </w:r>
      <w:r>
        <w:rPr>
          <w:rStyle w:val="charItals"/>
        </w:rPr>
        <w:tab/>
      </w:r>
      <w:r w:rsidRPr="00903C3C">
        <w:t>The</w:t>
      </w:r>
      <w:r w:rsidR="00C06223">
        <w:t xml:space="preserve"> </w:t>
      </w:r>
      <w:hyperlink r:id="rId163" w:tooltip="Gene Technology Act 2000" w:history="1">
        <w:r w:rsidR="00C06223" w:rsidRPr="00C06223">
          <w:rPr>
            <w:rStyle w:val="charCitHyperlinkAbbrev"/>
          </w:rPr>
          <w:t>Commonwealth Act</w:t>
        </w:r>
      </w:hyperlink>
      <w:r w:rsidR="00C06223">
        <w:t xml:space="preserve">, </w:t>
      </w:r>
      <w:r w:rsidRPr="00903C3C">
        <w:t>s 137 (2) requires the regulator to give a</w:t>
      </w:r>
      <w:r>
        <w:t xml:space="preserve"> copy of his or her report under that section to each State.</w:t>
      </w:r>
    </w:p>
    <w:p w:rsidR="00F93509" w:rsidRPr="00903C3C" w:rsidRDefault="00F93509" w:rsidP="00F93509">
      <w:pPr>
        <w:pStyle w:val="aNote"/>
      </w:pPr>
      <w:r>
        <w:rPr>
          <w:rStyle w:val="charItals"/>
        </w:rPr>
        <w:t>Note 2</w:t>
      </w:r>
      <w:r>
        <w:rPr>
          <w:rStyle w:val="charItals"/>
        </w:rPr>
        <w:tab/>
      </w:r>
      <w:r w:rsidRPr="00903C3C">
        <w:t>This section differs from the</w:t>
      </w:r>
      <w:r w:rsidR="00C06223">
        <w:t xml:space="preserve"> </w:t>
      </w:r>
      <w:hyperlink r:id="rId164" w:tooltip="Gene Technology Act 2000" w:history="1">
        <w:r w:rsidR="00C06223" w:rsidRPr="00C06223">
          <w:rPr>
            <w:rStyle w:val="charCitHyperlinkAbbrev"/>
          </w:rPr>
          <w:t>Commonwealth Act</w:t>
        </w:r>
      </w:hyperlink>
      <w:r w:rsidR="00C06223">
        <w:t xml:space="preserve">, </w:t>
      </w:r>
      <w:r w:rsidRPr="00903C3C">
        <w:t>s 137.</w:t>
      </w:r>
    </w:p>
    <w:p w:rsidR="00F93509" w:rsidRPr="00325B6A" w:rsidRDefault="00F93509" w:rsidP="00F93509">
      <w:pPr>
        <w:pStyle w:val="AH3Div"/>
      </w:pPr>
      <w:bookmarkStart w:id="195" w:name="_Toc526844672"/>
      <w:r w:rsidRPr="00325B6A">
        <w:rPr>
          <w:rStyle w:val="CharDivNo"/>
        </w:rPr>
        <w:t>Division 9.6</w:t>
      </w:r>
      <w:r>
        <w:tab/>
      </w:r>
      <w:r w:rsidR="00D30DDE" w:rsidRPr="00325B6A">
        <w:rPr>
          <w:rStyle w:val="CharDivText"/>
        </w:rPr>
        <w:t>Record of GMO</w:t>
      </w:r>
      <w:r w:rsidRPr="00325B6A">
        <w:rPr>
          <w:rStyle w:val="CharDivText"/>
        </w:rPr>
        <w:t xml:space="preserve"> dealings</w:t>
      </w:r>
      <w:bookmarkEnd w:id="195"/>
    </w:p>
    <w:p w:rsidR="00F93509" w:rsidRDefault="00F93509" w:rsidP="00F93509">
      <w:pPr>
        <w:pStyle w:val="AH5Sec"/>
      </w:pPr>
      <w:bookmarkStart w:id="196" w:name="_Toc526844673"/>
      <w:r w:rsidRPr="00325B6A">
        <w:rPr>
          <w:rStyle w:val="CharSectNo"/>
        </w:rPr>
        <w:t>138</w:t>
      </w:r>
      <w:r>
        <w:tab/>
        <w:t>Record of GMO dealings</w:t>
      </w:r>
      <w:bookmarkEnd w:id="196"/>
    </w:p>
    <w:p w:rsidR="00F93509" w:rsidRDefault="00F93509" w:rsidP="00F93509">
      <w:pPr>
        <w:pStyle w:val="Amain"/>
        <w:keepNext/>
      </w:pPr>
      <w:r>
        <w:rPr>
          <w:rFonts w:ascii="Tms Rmn" w:hAnsi="Tms Rmn"/>
        </w:rPr>
        <w:tab/>
        <w:t>(1)</w:t>
      </w:r>
      <w:r>
        <w:rPr>
          <w:rFonts w:ascii="Tms Rmn" w:hAnsi="Tms Rmn"/>
        </w:rPr>
        <w:tab/>
      </w:r>
      <w:r>
        <w:t>The GM record must contain the following information, other than confidential commercial information, about each licence issued under section 55:</w:t>
      </w:r>
    </w:p>
    <w:p w:rsidR="00F93509" w:rsidRDefault="00F93509" w:rsidP="00F93509">
      <w:pPr>
        <w:pStyle w:val="Apara"/>
        <w:keepNext/>
      </w:pPr>
      <w:r>
        <w:rPr>
          <w:rFonts w:ascii="Tms Rmn" w:hAnsi="Tms Rmn"/>
        </w:rPr>
        <w:tab/>
        <w:t>(a)</w:t>
      </w:r>
      <w:r>
        <w:rPr>
          <w:rFonts w:ascii="Tms Rmn" w:hAnsi="Tms Rmn"/>
        </w:rPr>
        <w:tab/>
      </w:r>
      <w:r>
        <w:t>the name of the licence holder;</w:t>
      </w:r>
    </w:p>
    <w:p w:rsidR="00F93509" w:rsidRDefault="00F93509" w:rsidP="00F93509">
      <w:pPr>
        <w:pStyle w:val="Apara"/>
      </w:pPr>
      <w:r>
        <w:rPr>
          <w:rFonts w:ascii="Tms Rmn" w:hAnsi="Tms Rmn"/>
        </w:rPr>
        <w:tab/>
        <w:t>(b)</w:t>
      </w:r>
      <w:r>
        <w:rPr>
          <w:rFonts w:ascii="Tms Rmn" w:hAnsi="Tms Rmn"/>
        </w:rPr>
        <w:tab/>
      </w:r>
      <w:r>
        <w:t>the people covered by the licence;</w:t>
      </w:r>
    </w:p>
    <w:p w:rsidR="00F93509" w:rsidRDefault="00F93509" w:rsidP="00F93509">
      <w:pPr>
        <w:pStyle w:val="Apara"/>
      </w:pPr>
      <w:r>
        <w:rPr>
          <w:rFonts w:ascii="Tms Rmn" w:hAnsi="Tms Rmn"/>
        </w:rPr>
        <w:tab/>
        <w:t>(c)</w:t>
      </w:r>
      <w:r>
        <w:rPr>
          <w:rFonts w:ascii="Tms Rmn" w:hAnsi="Tms Rmn"/>
        </w:rPr>
        <w:tab/>
      </w:r>
      <w:r>
        <w:t>the dealings authorised by the licence and the GMO to which those dealings relate;</w:t>
      </w:r>
    </w:p>
    <w:p w:rsidR="00F93509" w:rsidRDefault="00F93509" w:rsidP="00F93509">
      <w:pPr>
        <w:pStyle w:val="Apara"/>
      </w:pPr>
      <w:r>
        <w:rPr>
          <w:rFonts w:ascii="Tms Rmn" w:hAnsi="Tms Rmn"/>
        </w:rPr>
        <w:tab/>
        <w:t>(d)</w:t>
      </w:r>
      <w:r>
        <w:rPr>
          <w:rFonts w:ascii="Tms Rmn" w:hAnsi="Tms Rmn"/>
        </w:rPr>
        <w:tab/>
      </w:r>
      <w:r>
        <w:t>any licence conditions;</w:t>
      </w:r>
    </w:p>
    <w:p w:rsidR="00F93509" w:rsidRDefault="00F93509" w:rsidP="00F93509">
      <w:pPr>
        <w:pStyle w:val="Apara"/>
      </w:pPr>
      <w:r>
        <w:rPr>
          <w:rFonts w:ascii="Tms Rmn" w:hAnsi="Tms Rmn"/>
        </w:rPr>
        <w:tab/>
        <w:t>(e)</w:t>
      </w:r>
      <w:r>
        <w:rPr>
          <w:rFonts w:ascii="Tms Rmn" w:hAnsi="Tms Rmn"/>
        </w:rPr>
        <w:tab/>
      </w:r>
      <w:r>
        <w:t>the date the licence was issued, and its expiry date (if any).</w:t>
      </w:r>
    </w:p>
    <w:p w:rsidR="00F93509" w:rsidRDefault="00F93509" w:rsidP="00F93509">
      <w:pPr>
        <w:pStyle w:val="Amain"/>
      </w:pPr>
      <w:r>
        <w:tab/>
        <w:t>(1A)</w:t>
      </w:r>
      <w:r>
        <w:tab/>
        <w:t>The GM record must contain the following information, other than confidential commercial information, in relation to each emergency dealing determination made under section 72B:</w:t>
      </w:r>
    </w:p>
    <w:p w:rsidR="00F93509" w:rsidRDefault="00F93509" w:rsidP="00F93509">
      <w:pPr>
        <w:pStyle w:val="Apara"/>
      </w:pPr>
      <w:r>
        <w:tab/>
        <w:t>(a)</w:t>
      </w:r>
      <w:r>
        <w:tab/>
        <w:t>the dealings specified in the emergency dealing determination and the GMO to which those dealings relate;</w:t>
      </w:r>
    </w:p>
    <w:p w:rsidR="00F93509" w:rsidRDefault="00F93509" w:rsidP="00F93509">
      <w:pPr>
        <w:pStyle w:val="Apara"/>
      </w:pPr>
      <w:r>
        <w:tab/>
        <w:t>(b)</w:t>
      </w:r>
      <w:r>
        <w:tab/>
        <w:t>any conditions to which the emergency dealing determination is subject;</w:t>
      </w:r>
    </w:p>
    <w:p w:rsidR="00F93509" w:rsidRDefault="00F93509" w:rsidP="00F93509">
      <w:pPr>
        <w:pStyle w:val="Apara"/>
      </w:pPr>
      <w:r>
        <w:tab/>
        <w:t>(c)</w:t>
      </w:r>
      <w:r>
        <w:tab/>
        <w:t>the date on which the emergency dealing determination takes effect;</w:t>
      </w:r>
    </w:p>
    <w:p w:rsidR="00F93509" w:rsidRDefault="00F93509" w:rsidP="00F93509">
      <w:pPr>
        <w:pStyle w:val="Apara"/>
      </w:pPr>
      <w:r>
        <w:tab/>
        <w:t>(d)</w:t>
      </w:r>
      <w:r>
        <w:tab/>
        <w:t>the date on which the emergency dealing determination will cease to have effect.</w:t>
      </w:r>
    </w:p>
    <w:p w:rsidR="00F93509" w:rsidRDefault="00F93509" w:rsidP="00F93509">
      <w:pPr>
        <w:pStyle w:val="Amain"/>
        <w:keepNext/>
      </w:pPr>
      <w:r>
        <w:rPr>
          <w:rFonts w:ascii="Tms Rmn" w:hAnsi="Tms Rmn"/>
        </w:rPr>
        <w:tab/>
        <w:t>(2)</w:t>
      </w:r>
      <w:r>
        <w:rPr>
          <w:rFonts w:ascii="Tms Rmn" w:hAnsi="Tms Rmn"/>
        </w:rPr>
        <w:tab/>
      </w:r>
      <w:r>
        <w:t>The GM record must contain the following information, other than confidential commercial information, about each notifiable low risk dealing notified to the regulator under regulations made for section 75 (2) (b):</w:t>
      </w:r>
    </w:p>
    <w:p w:rsidR="00F93509" w:rsidRDefault="00F93509" w:rsidP="00F93509">
      <w:pPr>
        <w:pStyle w:val="Apara"/>
      </w:pPr>
      <w:r>
        <w:rPr>
          <w:rFonts w:ascii="Tms Rmn" w:hAnsi="Tms Rmn"/>
        </w:rPr>
        <w:tab/>
        <w:t>(a)</w:t>
      </w:r>
      <w:r>
        <w:rPr>
          <w:rFonts w:ascii="Tms Rmn" w:hAnsi="Tms Rmn"/>
        </w:rPr>
        <w:tab/>
      </w:r>
      <w:r>
        <w:t>the name of the person who notified the dealing;</w:t>
      </w:r>
    </w:p>
    <w:p w:rsidR="00F93509" w:rsidRDefault="00F93509" w:rsidP="00F93509">
      <w:pPr>
        <w:pStyle w:val="Apara"/>
      </w:pPr>
      <w:r>
        <w:rPr>
          <w:rFonts w:ascii="Tms Rmn" w:hAnsi="Tms Rmn"/>
        </w:rPr>
        <w:tab/>
        <w:t>(b)</w:t>
      </w:r>
      <w:r>
        <w:rPr>
          <w:rFonts w:ascii="Tms Rmn" w:hAnsi="Tms Rmn"/>
        </w:rPr>
        <w:tab/>
      </w:r>
      <w:r>
        <w:t>the particulars of the dealing prescribed by regulation for this paragraph.</w:t>
      </w:r>
    </w:p>
    <w:p w:rsidR="00F93509" w:rsidRDefault="00F93509" w:rsidP="00F93509">
      <w:pPr>
        <w:pStyle w:val="Amain"/>
      </w:pPr>
      <w:r>
        <w:rPr>
          <w:rFonts w:ascii="Tms Rmn" w:hAnsi="Tms Rmn"/>
        </w:rPr>
        <w:tab/>
        <w:t>(4)</w:t>
      </w:r>
      <w:r>
        <w:rPr>
          <w:rFonts w:ascii="Tms Rmn" w:hAnsi="Tms Rmn"/>
        </w:rPr>
        <w:tab/>
      </w:r>
      <w:r>
        <w:t>The GM record must also contain—</w:t>
      </w:r>
    </w:p>
    <w:p w:rsidR="00F93509" w:rsidRDefault="00F93509" w:rsidP="00F93509">
      <w:pPr>
        <w:pStyle w:val="Apara"/>
      </w:pPr>
      <w:r>
        <w:rPr>
          <w:rFonts w:ascii="Tms Rmn" w:hAnsi="Tms Rmn"/>
        </w:rPr>
        <w:tab/>
        <w:t>(a)</w:t>
      </w:r>
      <w:r>
        <w:rPr>
          <w:rFonts w:ascii="Tms Rmn" w:hAnsi="Tms Rmn"/>
        </w:rPr>
        <w:tab/>
      </w:r>
      <w:r>
        <w:t xml:space="preserve">a description of each dealing on the GMO register; and </w:t>
      </w:r>
    </w:p>
    <w:p w:rsidR="00F93509" w:rsidRDefault="00F93509" w:rsidP="00F93509">
      <w:pPr>
        <w:pStyle w:val="Apara"/>
      </w:pPr>
      <w:r>
        <w:rPr>
          <w:rFonts w:ascii="Tms Rmn" w:hAnsi="Tms Rmn"/>
        </w:rPr>
        <w:tab/>
        <w:t>(b)</w:t>
      </w:r>
      <w:r>
        <w:rPr>
          <w:rFonts w:ascii="Tms Rmn" w:hAnsi="Tms Rmn"/>
        </w:rPr>
        <w:tab/>
      </w:r>
      <w:r>
        <w:t>any condition to which the dealing is subject.</w:t>
      </w:r>
    </w:p>
    <w:p w:rsidR="00F93509" w:rsidRDefault="00F93509" w:rsidP="00F93509">
      <w:pPr>
        <w:pStyle w:val="Amain"/>
      </w:pPr>
      <w:r>
        <w:rPr>
          <w:rFonts w:ascii="Tms Rmn" w:hAnsi="Tms Rmn"/>
        </w:rPr>
        <w:tab/>
        <w:t>(5)</w:t>
      </w:r>
      <w:r>
        <w:rPr>
          <w:rFonts w:ascii="Tms Rmn" w:hAnsi="Tms Rmn"/>
        </w:rPr>
        <w:tab/>
      </w:r>
      <w:r>
        <w:t>The regulator must ensure that information mentioned i</w:t>
      </w:r>
      <w:r w:rsidR="00FA5561">
        <w:t>n subsection (1), (1A), (2)</w:t>
      </w:r>
      <w:r>
        <w:t xml:space="preserve"> or (4) is entered on the GM record as soon as reasonably practicable.</w:t>
      </w:r>
    </w:p>
    <w:p w:rsidR="00F93509" w:rsidRDefault="00F93509" w:rsidP="00F93509">
      <w:pPr>
        <w:pStyle w:val="aNote"/>
      </w:pPr>
      <w:r>
        <w:rPr>
          <w:rStyle w:val="charItals"/>
        </w:rPr>
        <w:t>Note</w:t>
      </w:r>
      <w:r>
        <w:tab/>
        <w:t>This section differs from the</w:t>
      </w:r>
      <w:r w:rsidR="00CE3CAD">
        <w:t xml:space="preserve"> </w:t>
      </w:r>
      <w:hyperlink r:id="rId165" w:tooltip="Gene Technology Act 2000" w:history="1">
        <w:r w:rsidR="00CE3CAD" w:rsidRPr="00CE3CAD">
          <w:rPr>
            <w:rStyle w:val="charCitHyperlinkAbbrev"/>
          </w:rPr>
          <w:t>Commonwealth Act</w:t>
        </w:r>
      </w:hyperlink>
      <w:r w:rsidR="00CE3CAD">
        <w:t xml:space="preserve">, </w:t>
      </w:r>
      <w:r>
        <w:t>s 138.</w:t>
      </w:r>
    </w:p>
    <w:p w:rsidR="00F93509" w:rsidRDefault="00F93509" w:rsidP="00F93509">
      <w:pPr>
        <w:pStyle w:val="AH5Sec"/>
      </w:pPr>
      <w:bookmarkStart w:id="197" w:name="_Toc526844674"/>
      <w:r w:rsidRPr="00325B6A">
        <w:rPr>
          <w:rStyle w:val="CharSectNo"/>
        </w:rPr>
        <w:t>139</w:t>
      </w:r>
      <w:r>
        <w:tab/>
        <w:t>Inspection of record</w:t>
      </w:r>
      <w:bookmarkEnd w:id="197"/>
    </w:p>
    <w:p w:rsidR="00F93509" w:rsidRDefault="00F93509" w:rsidP="00F93509">
      <w:pPr>
        <w:pStyle w:val="aNote"/>
      </w:pPr>
      <w:r>
        <w:rPr>
          <w:rStyle w:val="charItals"/>
        </w:rPr>
        <w:t>Note</w:t>
      </w:r>
      <w:r>
        <w:tab/>
        <w:t>The</w:t>
      </w:r>
      <w:r w:rsidR="00CE3CAD">
        <w:t xml:space="preserve"> </w:t>
      </w:r>
      <w:hyperlink r:id="rId166" w:tooltip="Gene Technology Act 2000" w:history="1">
        <w:r w:rsidR="00CE3CAD" w:rsidRPr="00CE3CAD">
          <w:rPr>
            <w:rStyle w:val="charCitHyperlinkAbbrev"/>
          </w:rPr>
          <w:t>Commonwealth Act</w:t>
        </w:r>
      </w:hyperlink>
      <w:r w:rsidR="00CE3CAD">
        <w:t xml:space="preserve">, </w:t>
      </w:r>
      <w:r>
        <w:t>s 139 requires the regulator to permit any person to inspect the GM record.</w:t>
      </w:r>
    </w:p>
    <w:p w:rsidR="00F93509" w:rsidRPr="00325B6A" w:rsidRDefault="00F93509" w:rsidP="00F93509">
      <w:pPr>
        <w:pStyle w:val="AH3Div"/>
      </w:pPr>
      <w:bookmarkStart w:id="198" w:name="_Toc526844675"/>
      <w:r w:rsidRPr="00325B6A">
        <w:rPr>
          <w:rStyle w:val="CharDivNo"/>
        </w:rPr>
        <w:t>Division 9.7</w:t>
      </w:r>
      <w:r>
        <w:tab/>
      </w:r>
      <w:r w:rsidRPr="00325B6A">
        <w:rPr>
          <w:rStyle w:val="CharDivText"/>
        </w:rPr>
        <w:t>Reviews of notifiable low risk dealings and exemptions</w:t>
      </w:r>
      <w:bookmarkEnd w:id="198"/>
    </w:p>
    <w:p w:rsidR="00F93509" w:rsidRDefault="00F93509" w:rsidP="00F93509">
      <w:pPr>
        <w:pStyle w:val="AH5Sec"/>
      </w:pPr>
      <w:bookmarkStart w:id="199" w:name="_Toc526844676"/>
      <w:r w:rsidRPr="00325B6A">
        <w:rPr>
          <w:rStyle w:val="CharSectNo"/>
        </w:rPr>
        <w:t>140</w:t>
      </w:r>
      <w:r>
        <w:tab/>
        <w:t>Regulator may review notifiable low risk dealings</w:t>
      </w:r>
      <w:bookmarkEnd w:id="199"/>
    </w:p>
    <w:p w:rsidR="00F93509" w:rsidRDefault="00F93509" w:rsidP="00F93509">
      <w:pPr>
        <w:pStyle w:val="Amain"/>
      </w:pPr>
      <w:r>
        <w:rPr>
          <w:rFonts w:ascii="Tms Rmn" w:hAnsi="Tms Rmn"/>
        </w:rPr>
        <w:tab/>
        <w:t>(1)</w:t>
      </w:r>
      <w:r>
        <w:rPr>
          <w:rFonts w:ascii="Tms Rmn" w:hAnsi="Tms Rmn"/>
        </w:rPr>
        <w:tab/>
      </w:r>
      <w:r>
        <w:t>The regulator may, at any time, consider—</w:t>
      </w:r>
    </w:p>
    <w:p w:rsidR="00F93509" w:rsidRDefault="00F93509" w:rsidP="00F93509">
      <w:pPr>
        <w:pStyle w:val="Apara"/>
      </w:pPr>
      <w:r>
        <w:rPr>
          <w:rFonts w:ascii="Tms Rmn" w:hAnsi="Tms Rmn"/>
        </w:rPr>
        <w:tab/>
        <w:t>(a)</w:t>
      </w:r>
      <w:r>
        <w:rPr>
          <w:rFonts w:ascii="Tms Rmn" w:hAnsi="Tms Rmn"/>
        </w:rPr>
        <w:tab/>
      </w:r>
      <w:r>
        <w:t>whether a dealing with a GMO should be a notifiable low risk dealing; or</w:t>
      </w:r>
    </w:p>
    <w:p w:rsidR="00F93509" w:rsidRDefault="00F93509" w:rsidP="00F93509">
      <w:pPr>
        <w:pStyle w:val="Apara"/>
      </w:pPr>
      <w:r>
        <w:rPr>
          <w:rFonts w:ascii="Tms Rmn" w:hAnsi="Tms Rmn"/>
        </w:rPr>
        <w:tab/>
        <w:t>(b)</w:t>
      </w:r>
      <w:r>
        <w:rPr>
          <w:rFonts w:ascii="Tms Rmn" w:hAnsi="Tms Rmn"/>
        </w:rPr>
        <w:tab/>
      </w:r>
      <w:r>
        <w:t>whether an existing notifiable low risk dealing should no longer be a notifiable low risk dealing.</w:t>
      </w:r>
    </w:p>
    <w:p w:rsidR="00F93509" w:rsidRDefault="00F93509" w:rsidP="00F93509">
      <w:pPr>
        <w:pStyle w:val="Amain"/>
      </w:pPr>
      <w:r>
        <w:rPr>
          <w:rFonts w:ascii="Tms Rmn" w:hAnsi="Tms Rmn"/>
        </w:rPr>
        <w:tab/>
        <w:t>(2)</w:t>
      </w:r>
      <w:r>
        <w:rPr>
          <w:rFonts w:ascii="Tms Rmn" w:hAnsi="Tms Rmn"/>
        </w:rPr>
        <w:tab/>
      </w:r>
      <w:r>
        <w:t>The basis of the regulator’s consideration must relate to—</w:t>
      </w:r>
    </w:p>
    <w:p w:rsidR="00F93509" w:rsidRDefault="00F93509" w:rsidP="00F93509">
      <w:pPr>
        <w:pStyle w:val="Apara"/>
      </w:pPr>
      <w:r>
        <w:rPr>
          <w:rFonts w:ascii="Tms Rmn" w:hAnsi="Tms Rmn"/>
        </w:rPr>
        <w:tab/>
        <w:t>(a)</w:t>
      </w:r>
      <w:r>
        <w:rPr>
          <w:rFonts w:ascii="Tms Rmn" w:hAnsi="Tms Rmn"/>
        </w:rPr>
        <w:tab/>
      </w:r>
      <w:r>
        <w:t>the matters of which the regulator must be satisfied under section 74 (2); or</w:t>
      </w:r>
    </w:p>
    <w:p w:rsidR="00F93509" w:rsidRDefault="00F93509" w:rsidP="00F93509">
      <w:pPr>
        <w:pStyle w:val="Apara"/>
      </w:pPr>
      <w:r>
        <w:rPr>
          <w:rFonts w:ascii="Tms Rmn" w:hAnsi="Tms Rmn"/>
        </w:rPr>
        <w:tab/>
        <w:t>(b)</w:t>
      </w:r>
      <w:r>
        <w:rPr>
          <w:rFonts w:ascii="Tms Rmn" w:hAnsi="Tms Rmn"/>
        </w:rPr>
        <w:tab/>
      </w:r>
      <w:r>
        <w:t>the matters the regulator must consider under section 74 (3).</w:t>
      </w:r>
    </w:p>
    <w:p w:rsidR="00F93509" w:rsidRDefault="00F93509" w:rsidP="00F93509">
      <w:pPr>
        <w:pStyle w:val="AH5Sec"/>
      </w:pPr>
      <w:bookmarkStart w:id="200" w:name="_Toc526844677"/>
      <w:r w:rsidRPr="00325B6A">
        <w:rPr>
          <w:rStyle w:val="CharSectNo"/>
        </w:rPr>
        <w:t>141</w:t>
      </w:r>
      <w:r>
        <w:tab/>
        <w:t>Regulator may review exemptions</w:t>
      </w:r>
      <w:bookmarkEnd w:id="200"/>
    </w:p>
    <w:p w:rsidR="00F93509" w:rsidRDefault="00F93509" w:rsidP="00F93509">
      <w:pPr>
        <w:pStyle w:val="Amainreturn"/>
      </w:pPr>
      <w:r>
        <w:t>The regulator may, at any time, consider—</w:t>
      </w:r>
    </w:p>
    <w:p w:rsidR="00F93509" w:rsidRDefault="00F93509" w:rsidP="00F93509">
      <w:pPr>
        <w:pStyle w:val="Apara"/>
      </w:pPr>
      <w:r>
        <w:rPr>
          <w:rFonts w:ascii="Tms Rmn" w:hAnsi="Tms Rmn"/>
        </w:rPr>
        <w:tab/>
        <w:t>(a)</w:t>
      </w:r>
      <w:r>
        <w:rPr>
          <w:rFonts w:ascii="Tms Rmn" w:hAnsi="Tms Rmn"/>
        </w:rPr>
        <w:tab/>
      </w:r>
      <w:r>
        <w:t>whether an exempt dealing should not be an exempt dealing; or</w:t>
      </w:r>
    </w:p>
    <w:p w:rsidR="00F93509" w:rsidRDefault="00F93509" w:rsidP="00F93509">
      <w:pPr>
        <w:pStyle w:val="Apara"/>
      </w:pPr>
      <w:r>
        <w:rPr>
          <w:rFonts w:ascii="Tms Rmn" w:hAnsi="Tms Rmn"/>
        </w:rPr>
        <w:tab/>
        <w:t>(b)</w:t>
      </w:r>
      <w:r>
        <w:rPr>
          <w:rFonts w:ascii="Tms Rmn" w:hAnsi="Tms Rmn"/>
        </w:rPr>
        <w:tab/>
      </w:r>
      <w:r>
        <w:t>whether a dealing should be an exempt dealing.</w:t>
      </w:r>
    </w:p>
    <w:p w:rsidR="00F93509" w:rsidRDefault="00F93509" w:rsidP="00F93509">
      <w:pPr>
        <w:pStyle w:val="AH5Sec"/>
      </w:pPr>
      <w:bookmarkStart w:id="201" w:name="_Toc526844678"/>
      <w:r w:rsidRPr="00325B6A">
        <w:rPr>
          <w:rStyle w:val="CharSectNo"/>
        </w:rPr>
        <w:t>142</w:t>
      </w:r>
      <w:r>
        <w:tab/>
        <w:t>Regulator may give notice of consideration</w:t>
      </w:r>
      <w:bookmarkEnd w:id="201"/>
    </w:p>
    <w:p w:rsidR="00F93509" w:rsidRDefault="00F93509" w:rsidP="00F93509">
      <w:pPr>
        <w:pStyle w:val="Amain"/>
      </w:pPr>
      <w:r>
        <w:rPr>
          <w:rFonts w:ascii="Tms Rmn" w:hAnsi="Tms Rmn"/>
        </w:rPr>
        <w:tab/>
        <w:t>(1)</w:t>
      </w:r>
      <w:r>
        <w:rPr>
          <w:rFonts w:ascii="Tms Rmn" w:hAnsi="Tms Rmn"/>
        </w:rPr>
        <w:tab/>
      </w:r>
      <w:r>
        <w:t>The regulator may publish a notice inviting written submissions about any matter the regulator may consider under section 140 or section 141.</w:t>
      </w:r>
    </w:p>
    <w:p w:rsidR="00F93509" w:rsidRDefault="00F93509" w:rsidP="00F93509">
      <w:pPr>
        <w:pStyle w:val="Amain"/>
      </w:pPr>
      <w:r>
        <w:tab/>
        <w:t>(2)</w:t>
      </w:r>
      <w:r>
        <w:tab/>
        <w:t>The notice must state—</w:t>
      </w:r>
    </w:p>
    <w:p w:rsidR="00F93509" w:rsidRDefault="00F93509" w:rsidP="00F93509">
      <w:pPr>
        <w:pStyle w:val="Apara"/>
      </w:pPr>
      <w:r>
        <w:rPr>
          <w:rFonts w:ascii="Tms Rmn" w:hAnsi="Tms Rmn"/>
        </w:rPr>
        <w:tab/>
        <w:t>(a)</w:t>
      </w:r>
      <w:r>
        <w:rPr>
          <w:rFonts w:ascii="Tms Rmn" w:hAnsi="Tms Rmn"/>
        </w:rPr>
        <w:tab/>
      </w:r>
      <w:r>
        <w:t xml:space="preserve">the matters to which submissions must relate; and </w:t>
      </w:r>
    </w:p>
    <w:p w:rsidR="00F93509" w:rsidRDefault="00F93509" w:rsidP="00F93509">
      <w:pPr>
        <w:pStyle w:val="Apara"/>
      </w:pPr>
      <w:r>
        <w:rPr>
          <w:rFonts w:ascii="Tms Rmn" w:hAnsi="Tms Rmn"/>
        </w:rPr>
        <w:tab/>
        <w:t>(b)</w:t>
      </w:r>
      <w:r>
        <w:rPr>
          <w:rFonts w:ascii="Tms Rmn" w:hAnsi="Tms Rmn"/>
        </w:rPr>
        <w:tab/>
      </w:r>
      <w:r>
        <w:t>the closing date for submissions, which must not be earlier than 30 days after the day the notice was published.</w:t>
      </w:r>
    </w:p>
    <w:p w:rsidR="00F93509" w:rsidRDefault="00F93509" w:rsidP="00F93509">
      <w:pPr>
        <w:pStyle w:val="Amain"/>
      </w:pPr>
      <w:r>
        <w:rPr>
          <w:rFonts w:ascii="Tms Rmn" w:hAnsi="Tms Rmn"/>
        </w:rPr>
        <w:tab/>
        <w:t>(3)</w:t>
      </w:r>
      <w:r>
        <w:rPr>
          <w:rFonts w:ascii="Tms Rmn" w:hAnsi="Tms Rmn"/>
        </w:rPr>
        <w:tab/>
      </w:r>
      <w:r>
        <w:t>If the regulator publishes a notice under subsection (1), the regulator must also give written notice, stating the matters mentioned in subsection (2) (a), to—</w:t>
      </w:r>
    </w:p>
    <w:p w:rsidR="00F93509" w:rsidRDefault="00F93509" w:rsidP="00F93509">
      <w:pPr>
        <w:pStyle w:val="Apara"/>
      </w:pPr>
      <w:r>
        <w:rPr>
          <w:rFonts w:ascii="Tms Rmn" w:hAnsi="Tms Rmn"/>
        </w:rPr>
        <w:tab/>
        <w:t>(a)</w:t>
      </w:r>
      <w:r>
        <w:rPr>
          <w:rFonts w:ascii="Tms Rmn" w:hAnsi="Tms Rmn"/>
        </w:rPr>
        <w:tab/>
      </w:r>
      <w:r>
        <w:t xml:space="preserve">each State; and </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w:t>
      </w:r>
    </w:p>
    <w:p w:rsidR="00F93509" w:rsidRDefault="00F93509" w:rsidP="00F93509">
      <w:pPr>
        <w:pStyle w:val="Amain"/>
      </w:pPr>
      <w:r>
        <w:rPr>
          <w:rFonts w:ascii="Tms Rmn" w:hAnsi="Tms Rmn"/>
        </w:rPr>
        <w:tab/>
        <w:t>(4)</w:t>
      </w:r>
      <w:r>
        <w:rPr>
          <w:rFonts w:ascii="Tms Rmn" w:hAnsi="Tms Rmn"/>
        </w:rPr>
        <w:tab/>
      </w:r>
      <w:r>
        <w:t>A notice under this section may be about a single matter or a class of matters.</w:t>
      </w:r>
    </w:p>
    <w:p w:rsidR="00F93509" w:rsidRDefault="00F93509" w:rsidP="00F93509">
      <w:pPr>
        <w:pStyle w:val="AH5Sec"/>
      </w:pPr>
      <w:bookmarkStart w:id="202" w:name="_Toc526844679"/>
      <w:r w:rsidRPr="00325B6A">
        <w:rPr>
          <w:rStyle w:val="CharSectNo"/>
        </w:rPr>
        <w:t>143</w:t>
      </w:r>
      <w:r>
        <w:tab/>
        <w:t>What regulator may do after consideration</w:t>
      </w:r>
      <w:bookmarkEnd w:id="202"/>
    </w:p>
    <w:p w:rsidR="00F93509" w:rsidRDefault="00F93509" w:rsidP="00F93509">
      <w:pPr>
        <w:pStyle w:val="Amain"/>
      </w:pPr>
      <w:r>
        <w:rPr>
          <w:rFonts w:ascii="Tms Rmn" w:hAnsi="Tms Rmn"/>
        </w:rPr>
        <w:tab/>
        <w:t>(1)</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the matter is about whether a dealing should be a notifiable low risk dealing; and </w:t>
      </w:r>
    </w:p>
    <w:p w:rsidR="00F93509" w:rsidRDefault="00F93509" w:rsidP="00F93509">
      <w:pPr>
        <w:pStyle w:val="Apara"/>
      </w:pPr>
      <w:r>
        <w:rPr>
          <w:rFonts w:ascii="Tms Rmn" w:hAnsi="Tms Rmn"/>
        </w:rPr>
        <w:tab/>
        <w:t>(b)</w:t>
      </w:r>
      <w:r>
        <w:rPr>
          <w:rFonts w:ascii="Tms Rmn" w:hAnsi="Tms Rmn"/>
        </w:rPr>
        <w:tab/>
      </w:r>
      <w:r>
        <w:t xml:space="preserve">the regulator is satisfied as mentioned in section 74 (2); and </w:t>
      </w:r>
    </w:p>
    <w:p w:rsidR="00F93509" w:rsidRDefault="00F93509" w:rsidP="00F93509">
      <w:pPr>
        <w:pStyle w:val="Apara"/>
        <w:keepNext/>
      </w:pPr>
      <w:r>
        <w:rPr>
          <w:rFonts w:ascii="Tms Rmn" w:hAnsi="Tms Rmn"/>
        </w:rPr>
        <w:tab/>
        <w:t>(c)</w:t>
      </w:r>
      <w:r>
        <w:rPr>
          <w:rFonts w:ascii="Tms Rmn" w:hAnsi="Tms Rmn"/>
        </w:rPr>
        <w:tab/>
      </w:r>
      <w:r>
        <w:t>the regulator has considered the matters mentioned in section 74 (3);</w:t>
      </w:r>
    </w:p>
    <w:p w:rsidR="00F93509" w:rsidRDefault="00F93509" w:rsidP="00F93509">
      <w:pPr>
        <w:pStyle w:val="Amainreturn"/>
      </w:pPr>
      <w:r>
        <w:t>the regulator may recommend to the ministerial council that the dealing be declared to be a notifiable low risk dealing.</w:t>
      </w:r>
    </w:p>
    <w:p w:rsidR="00F93509" w:rsidRDefault="00F93509" w:rsidP="00F93509">
      <w:pPr>
        <w:pStyle w:val="Amain"/>
      </w:pPr>
      <w:r>
        <w:rPr>
          <w:rFonts w:ascii="Tms Rmn" w:hAnsi="Tms Rmn"/>
        </w:rPr>
        <w:tab/>
        <w:t>(2)</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the matter is about whether an existing notifiable low risk dealing be reconsidered; and </w:t>
      </w:r>
    </w:p>
    <w:p w:rsidR="00F93509" w:rsidRDefault="00F93509" w:rsidP="00F93509">
      <w:pPr>
        <w:pStyle w:val="Apara"/>
      </w:pPr>
      <w:r>
        <w:rPr>
          <w:rFonts w:ascii="Tms Rmn" w:hAnsi="Tms Rmn"/>
        </w:rPr>
        <w:tab/>
        <w:t>(b)</w:t>
      </w:r>
      <w:r>
        <w:rPr>
          <w:rFonts w:ascii="Tms Rmn" w:hAnsi="Tms Rmn"/>
        </w:rPr>
        <w:tab/>
      </w:r>
      <w:r>
        <w:t>after having had regard to the matters mentioned in section 74, the regulator considers the dealing should not be a notifiable low risk dealing;</w:t>
      </w:r>
    </w:p>
    <w:p w:rsidR="00F93509" w:rsidRDefault="00F93509" w:rsidP="00F93509">
      <w:pPr>
        <w:pStyle w:val="Amainreturn"/>
      </w:pPr>
      <w:r>
        <w:t>the regulator may recommend to the ministerial council that the regulations be amended accordingly.</w:t>
      </w:r>
    </w:p>
    <w:p w:rsidR="00F93509" w:rsidRDefault="00F93509" w:rsidP="00F93509">
      <w:pPr>
        <w:pStyle w:val="Amain"/>
      </w:pPr>
      <w:r>
        <w:rPr>
          <w:rFonts w:ascii="Tms Rmn" w:hAnsi="Tms Rmn"/>
        </w:rPr>
        <w:tab/>
        <w:t>(3)</w:t>
      </w:r>
      <w:r>
        <w:rPr>
          <w:rFonts w:ascii="Tms Rmn" w:hAnsi="Tms Rmn"/>
        </w:rPr>
        <w:tab/>
      </w:r>
      <w:r>
        <w:t>If the matter is about whether a dealing—</w:t>
      </w:r>
    </w:p>
    <w:p w:rsidR="00F93509" w:rsidRDefault="00F93509" w:rsidP="00F93509">
      <w:pPr>
        <w:pStyle w:val="Apara"/>
      </w:pPr>
      <w:r>
        <w:rPr>
          <w:rFonts w:ascii="Tms Rmn" w:hAnsi="Tms Rmn"/>
        </w:rPr>
        <w:tab/>
        <w:t>(a)</w:t>
      </w:r>
      <w:r>
        <w:rPr>
          <w:rFonts w:ascii="Tms Rmn" w:hAnsi="Tms Rmn"/>
        </w:rPr>
        <w:tab/>
      </w:r>
      <w:r>
        <w:t>should be an exempt dealing; or</w:t>
      </w:r>
    </w:p>
    <w:p w:rsidR="00F93509" w:rsidRDefault="00F93509" w:rsidP="00F93509">
      <w:pPr>
        <w:pStyle w:val="Apara"/>
      </w:pPr>
      <w:r>
        <w:rPr>
          <w:rFonts w:ascii="Tms Rmn" w:hAnsi="Tms Rmn"/>
        </w:rPr>
        <w:tab/>
        <w:t>(b)</w:t>
      </w:r>
      <w:r>
        <w:rPr>
          <w:rFonts w:ascii="Tms Rmn" w:hAnsi="Tms Rmn"/>
        </w:rPr>
        <w:tab/>
      </w:r>
      <w:r>
        <w:t>should cease to be an exempt dealing;</w:t>
      </w:r>
    </w:p>
    <w:p w:rsidR="00F93509" w:rsidRDefault="00F93509" w:rsidP="00F93509">
      <w:pPr>
        <w:pStyle w:val="Amainreturn"/>
      </w:pPr>
      <w:r>
        <w:t>the regulator may recommend to the ministerial council that the regulations be amended accordingly.</w:t>
      </w:r>
    </w:p>
    <w:p w:rsidR="00F93509" w:rsidRDefault="00F93509" w:rsidP="00F93509">
      <w:pPr>
        <w:pStyle w:val="AH5Sec"/>
      </w:pPr>
      <w:bookmarkStart w:id="203" w:name="_Toc526844680"/>
      <w:r w:rsidRPr="00325B6A">
        <w:rPr>
          <w:rStyle w:val="CharSectNo"/>
        </w:rPr>
        <w:t>144</w:t>
      </w:r>
      <w:r>
        <w:tab/>
        <w:t>Regulator not required to review matters</w:t>
      </w:r>
      <w:bookmarkEnd w:id="203"/>
    </w:p>
    <w:p w:rsidR="00F93509" w:rsidRDefault="00F93509" w:rsidP="00F93509">
      <w:pPr>
        <w:pStyle w:val="Amainreturn"/>
      </w:pPr>
      <w:r>
        <w:t>This division does not require the regulator to consider a matter under section 140 or section 141.</w:t>
      </w:r>
    </w:p>
    <w:p w:rsidR="00F93509" w:rsidRDefault="00F93509" w:rsidP="00F93509">
      <w:pPr>
        <w:pStyle w:val="PageBreak"/>
      </w:pPr>
      <w:r>
        <w:br w:type="page"/>
      </w:r>
    </w:p>
    <w:p w:rsidR="00F93509" w:rsidRPr="00325B6A" w:rsidRDefault="00F93509" w:rsidP="00F93509">
      <w:pPr>
        <w:pStyle w:val="AH2Part"/>
      </w:pPr>
      <w:bookmarkStart w:id="204" w:name="_Toc526844681"/>
      <w:r w:rsidRPr="00325B6A">
        <w:rPr>
          <w:rStyle w:val="CharPartNo"/>
        </w:rPr>
        <w:t>Part 10</w:t>
      </w:r>
      <w:r>
        <w:tab/>
      </w:r>
      <w:r w:rsidRPr="00325B6A">
        <w:rPr>
          <w:rStyle w:val="CharPartText"/>
        </w:rPr>
        <w:t>Enforcement</w:t>
      </w:r>
      <w:bookmarkEnd w:id="204"/>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205" w:name="_Toc526844682"/>
      <w:r w:rsidRPr="00325B6A">
        <w:rPr>
          <w:rStyle w:val="CharSectNo"/>
        </w:rPr>
        <w:t>145</w:t>
      </w:r>
      <w:r>
        <w:tab/>
        <w:t>Simplified outline—pt 10</w:t>
      </w:r>
      <w:bookmarkEnd w:id="205"/>
    </w:p>
    <w:p w:rsidR="00F93509" w:rsidRDefault="00F93509" w:rsidP="00F93509">
      <w:pPr>
        <w:pStyle w:val="Amainreturn"/>
      </w:pPr>
      <w:r>
        <w:t>In outline, this part—</w:t>
      </w:r>
    </w:p>
    <w:p w:rsidR="00F93509" w:rsidRDefault="00F93509" w:rsidP="00F93509">
      <w:pPr>
        <w:pStyle w:val="Apara"/>
      </w:pPr>
      <w:r>
        <w:tab/>
        <w:t>(a)</w:t>
      </w:r>
      <w:r>
        <w:tab/>
        <w:t>authorises the regulator to give directions to a licence holder or to a person covered by a licence if—</w:t>
      </w:r>
    </w:p>
    <w:p w:rsidR="00F93509" w:rsidRDefault="00F93509" w:rsidP="00F93509">
      <w:pPr>
        <w:pStyle w:val="Asubpara"/>
      </w:pPr>
      <w:r>
        <w:tab/>
        <w:t>(i)</w:t>
      </w:r>
      <w:r>
        <w:tab/>
        <w:t>the regulator believes the person is not complying with this Act; and</w:t>
      </w:r>
    </w:p>
    <w:p w:rsidR="00F93509" w:rsidRDefault="00F93509" w:rsidP="00F93509">
      <w:pPr>
        <w:pStyle w:val="Asubpara"/>
      </w:pPr>
      <w:r>
        <w:tab/>
        <w:t>(ii)</w:t>
      </w:r>
      <w:r>
        <w:tab/>
        <w:t>the regulator believes it is necessary to give the directions to protect the health and safety of people or to protect the environment, or for certain other reasons; and</w:t>
      </w:r>
    </w:p>
    <w:p w:rsidR="00F93509" w:rsidRDefault="00F93509" w:rsidP="00F93509">
      <w:pPr>
        <w:pStyle w:val="Apara"/>
      </w:pPr>
      <w:r>
        <w:tab/>
        <w:t>(aa)</w:t>
      </w:r>
      <w:r>
        <w:tab/>
        <w:t>authorises the regulator to give directions to a person permitted by an emergency dealing determination to deal with a  GMO if—</w:t>
      </w:r>
    </w:p>
    <w:p w:rsidR="00F93509" w:rsidRDefault="00F93509" w:rsidP="00F93509">
      <w:pPr>
        <w:pStyle w:val="Asubpara"/>
      </w:pPr>
      <w:r>
        <w:tab/>
        <w:t>(i)</w:t>
      </w:r>
      <w:r>
        <w:tab/>
        <w:t>the regulator believes that the person is not complying with this Act; and</w:t>
      </w:r>
    </w:p>
    <w:p w:rsidR="00F93509" w:rsidRDefault="00F93509" w:rsidP="00F93509">
      <w:pPr>
        <w:pStyle w:val="Asubpara"/>
      </w:pPr>
      <w:r>
        <w:tab/>
        <w:t>(ii)</w:t>
      </w:r>
      <w:r>
        <w:tab/>
        <w:t>the regulator believes that it is necessary to do so in order to protect the health and safety of people or to protect the environment or for certain other reasons; and</w:t>
      </w:r>
    </w:p>
    <w:p w:rsidR="00F93509" w:rsidRDefault="00F93509" w:rsidP="00F93509">
      <w:pPr>
        <w:pStyle w:val="Apara"/>
        <w:keepNext/>
      </w:pPr>
      <w:r>
        <w:tab/>
        <w:t>(b)</w:t>
      </w:r>
      <w:r>
        <w:tab/>
        <w:t>authorises the Supreme Court to issue injunctions, and contains a forfeiture provision.</w:t>
      </w:r>
    </w:p>
    <w:p w:rsidR="00F93509" w:rsidRDefault="00F93509" w:rsidP="00F93509">
      <w:pPr>
        <w:pStyle w:val="aNote"/>
      </w:pPr>
      <w:r>
        <w:rPr>
          <w:rStyle w:val="charItals"/>
        </w:rPr>
        <w:t>Note</w:t>
      </w:r>
      <w:r>
        <w:tab/>
        <w:t>This section differs from the</w:t>
      </w:r>
      <w:r w:rsidR="00CE3CAD">
        <w:t xml:space="preserve"> </w:t>
      </w:r>
      <w:hyperlink r:id="rId167" w:tooltip="Gene Technology Act 2000" w:history="1">
        <w:r w:rsidR="00CE3CAD" w:rsidRPr="00CE3CAD">
          <w:rPr>
            <w:rStyle w:val="charCitHyperlinkAbbrev"/>
          </w:rPr>
          <w:t>Commonwealth Act</w:t>
        </w:r>
      </w:hyperlink>
      <w:r w:rsidR="00CE3CAD">
        <w:t xml:space="preserve">, </w:t>
      </w:r>
      <w:r>
        <w:t>s 145.</w:t>
      </w:r>
    </w:p>
    <w:p w:rsidR="00F93509" w:rsidRDefault="00F93509" w:rsidP="00F93509">
      <w:pPr>
        <w:pStyle w:val="AH5Sec"/>
      </w:pPr>
      <w:bookmarkStart w:id="206" w:name="_Toc526844683"/>
      <w:r w:rsidRPr="00325B6A">
        <w:rPr>
          <w:rStyle w:val="CharSectNo"/>
        </w:rPr>
        <w:t>146</w:t>
      </w:r>
      <w:r>
        <w:tab/>
        <w:t>Regulator may give directions</w:t>
      </w:r>
      <w:bookmarkEnd w:id="206"/>
    </w:p>
    <w:p w:rsidR="00F93509" w:rsidRDefault="00F93509" w:rsidP="00F93509">
      <w:pPr>
        <w:pStyle w:val="Amain"/>
      </w:pPr>
      <w:r>
        <w:rPr>
          <w:rFonts w:ascii="Tms Rmn" w:hAnsi="Tms Rmn"/>
        </w:rPr>
        <w:tab/>
        <w:t>(1)</w:t>
      </w:r>
      <w:r>
        <w:rPr>
          <w:rFonts w:ascii="Tms Rmn" w:hAnsi="Tms Rmn"/>
        </w:rPr>
        <w:tab/>
      </w:r>
      <w:r>
        <w:t>If the regulator believes, on reasonable grounds, that—</w:t>
      </w:r>
    </w:p>
    <w:p w:rsidR="00F93509" w:rsidRDefault="00F93509" w:rsidP="00F93509">
      <w:pPr>
        <w:pStyle w:val="Apara"/>
      </w:pPr>
      <w:r>
        <w:rPr>
          <w:rFonts w:ascii="Tms Rmn" w:hAnsi="Tms Rmn"/>
        </w:rPr>
        <w:tab/>
        <w:t>(a)</w:t>
      </w:r>
      <w:r>
        <w:rPr>
          <w:rFonts w:ascii="Tms Rmn" w:hAnsi="Tms Rmn"/>
        </w:rPr>
        <w:tab/>
      </w:r>
      <w:r>
        <w:t xml:space="preserve">a licence holder is not complying with this Act in relation to a thing; and </w:t>
      </w:r>
    </w:p>
    <w:p w:rsidR="00F93509" w:rsidRDefault="00F93509" w:rsidP="00F93509">
      <w:pPr>
        <w:pStyle w:val="Apara"/>
      </w:pPr>
      <w:r>
        <w:tab/>
        <w:t>(b)</w:t>
      </w:r>
      <w:r>
        <w:tab/>
        <w:t>either of the following applies:</w:t>
      </w:r>
    </w:p>
    <w:p w:rsidR="00F93509" w:rsidRDefault="00F93509" w:rsidP="00F93509">
      <w:pPr>
        <w:pStyle w:val="Asubpara"/>
      </w:pPr>
      <w:r>
        <w:tab/>
        <w:t>(i)</w:t>
      </w:r>
      <w:r>
        <w:tab/>
        <w:t xml:space="preserve">it is necessary to exercise powers under this section in order to protect the health and safety of people or to protect the environment; </w:t>
      </w:r>
    </w:p>
    <w:p w:rsidR="00F93509" w:rsidRDefault="00F93509" w:rsidP="00F93509">
      <w:pPr>
        <w:pStyle w:val="Asubpara"/>
      </w:pPr>
      <w:r>
        <w:tab/>
        <w:t>(ii)</w:t>
      </w:r>
      <w:r>
        <w:tab/>
        <w:t>it is desirable in the public interest, having regard to the matters mentioned in subsection (2A), for the regulator to exercise powers under this section;</w:t>
      </w:r>
    </w:p>
    <w:p w:rsidR="00F93509" w:rsidRDefault="00F93509" w:rsidP="00F93509">
      <w:pPr>
        <w:pStyle w:val="Amainreturn"/>
      </w:pPr>
      <w:r>
        <w:t>the regulator may, by written notice, direct the licence holder, within the time stated in the notice, to take stated reasonable steps relating to the thing to comply with this Act.</w:t>
      </w:r>
    </w:p>
    <w:p w:rsidR="00F93509" w:rsidRDefault="00F93509" w:rsidP="00F93509">
      <w:pPr>
        <w:pStyle w:val="Amain"/>
      </w:pPr>
      <w:r>
        <w:rPr>
          <w:rFonts w:ascii="Tms Rmn" w:hAnsi="Tms Rmn"/>
        </w:rPr>
        <w:tab/>
        <w:t>(2)</w:t>
      </w:r>
      <w:r>
        <w:rPr>
          <w:rFonts w:ascii="Tms Rmn" w:hAnsi="Tms Rmn"/>
        </w:rPr>
        <w:tab/>
      </w:r>
      <w:r>
        <w:t>If the regulator believes on reasonable grounds that—</w:t>
      </w:r>
    </w:p>
    <w:p w:rsidR="00F93509" w:rsidRDefault="00F93509" w:rsidP="00F93509">
      <w:pPr>
        <w:pStyle w:val="Apara"/>
      </w:pPr>
      <w:r>
        <w:tab/>
        <w:t>(a)</w:t>
      </w:r>
      <w:r>
        <w:tab/>
        <w:t>1 of the following kinds of people is not complying with this Act in relation to a thing:</w:t>
      </w:r>
    </w:p>
    <w:p w:rsidR="00F93509" w:rsidRDefault="00F93509" w:rsidP="00F93509">
      <w:pPr>
        <w:pStyle w:val="Asubpara"/>
      </w:pPr>
      <w:r>
        <w:tab/>
        <w:t>(i)</w:t>
      </w:r>
      <w:r>
        <w:tab/>
        <w:t xml:space="preserve">a person covered by a GMO licence; </w:t>
      </w:r>
    </w:p>
    <w:p w:rsidR="00F93509" w:rsidRDefault="00F93509" w:rsidP="00F93509">
      <w:pPr>
        <w:pStyle w:val="Asubpara"/>
      </w:pPr>
      <w:r>
        <w:tab/>
        <w:t>(ii)</w:t>
      </w:r>
      <w:r>
        <w:tab/>
        <w:t>a person dealing with, or who has dealt with, a GMO specified in an emergency dealing determination; and</w:t>
      </w:r>
    </w:p>
    <w:p w:rsidR="00F93509" w:rsidRDefault="00F93509" w:rsidP="00F93509">
      <w:pPr>
        <w:pStyle w:val="Apara"/>
      </w:pPr>
      <w:r>
        <w:tab/>
        <w:t>(b)</w:t>
      </w:r>
      <w:r>
        <w:tab/>
        <w:t>either of the following applies:</w:t>
      </w:r>
    </w:p>
    <w:p w:rsidR="00F93509" w:rsidRDefault="00F93509" w:rsidP="00F93509">
      <w:pPr>
        <w:pStyle w:val="Asubpara"/>
      </w:pPr>
      <w:r>
        <w:tab/>
        <w:t>(i)</w:t>
      </w:r>
      <w:r>
        <w:tab/>
        <w:t xml:space="preserve">it is necessary to exercise powers under this section in order to protect the health and safety of people or to protect the environment; </w:t>
      </w:r>
    </w:p>
    <w:p w:rsidR="00F93509" w:rsidRDefault="00F93509" w:rsidP="00F93509">
      <w:pPr>
        <w:pStyle w:val="Asubpara"/>
      </w:pPr>
      <w:r>
        <w:tab/>
        <w:t>(ii)</w:t>
      </w:r>
      <w:r>
        <w:tab/>
        <w:t>it is desirable in the public interest, having regard to the matters mentioned in subsection (2A), for the regulator to exercise powers under this section;</w:t>
      </w:r>
    </w:p>
    <w:p w:rsidR="00F93509" w:rsidRDefault="00F93509" w:rsidP="00F93509">
      <w:pPr>
        <w:pStyle w:val="Amainreturn"/>
      </w:pPr>
      <w:r>
        <w:t>the regulator may, by written notice, direct the person, within the time stated in the notice, to take stated reasonable steps relating to the thing to comply with this Act.</w:t>
      </w:r>
    </w:p>
    <w:p w:rsidR="00F93509" w:rsidRDefault="00F93509" w:rsidP="00CE2EDA">
      <w:pPr>
        <w:pStyle w:val="Amain"/>
        <w:keepNext/>
        <w:keepLines/>
      </w:pPr>
      <w:r>
        <w:tab/>
        <w:t>(2A)</w:t>
      </w:r>
      <w:r>
        <w:tab/>
        <w:t>For the purposes of deciding under subsection (1) (b) (ii) or subsection (2) (b) (ii) whether it is desirable to exercise powers under this section to give directions to a licence holder or another person, the regulator must have regard to the following:</w:t>
      </w:r>
    </w:p>
    <w:p w:rsidR="00F93509" w:rsidRDefault="00F93509" w:rsidP="00F93509">
      <w:pPr>
        <w:pStyle w:val="Apara"/>
      </w:pPr>
      <w:r>
        <w:tab/>
        <w:t>(a)</w:t>
      </w:r>
      <w:r>
        <w:tab/>
        <w:t>the types of dealings with GMOs authorised by the licence or specified in the emergency dealing determination concerned, and, in particular, whether the dealings are ongoing;</w:t>
      </w:r>
    </w:p>
    <w:p w:rsidR="00F93509" w:rsidRDefault="00F93509" w:rsidP="00F93509">
      <w:pPr>
        <w:pStyle w:val="Apara"/>
      </w:pPr>
      <w:r>
        <w:tab/>
        <w:t>(b)</w:t>
      </w:r>
      <w:r>
        <w:tab/>
        <w:t xml:space="preserve">whether measures have been, or are being, taken to address the non-compliance with this Act that the regulator believes is occurring (the </w:t>
      </w:r>
      <w:r>
        <w:rPr>
          <w:rStyle w:val="charBoldItals"/>
        </w:rPr>
        <w:t>suspected non-compliance</w:t>
      </w:r>
      <w:r>
        <w:t>);</w:t>
      </w:r>
    </w:p>
    <w:p w:rsidR="00F93509" w:rsidRDefault="00F93509" w:rsidP="00F93509">
      <w:pPr>
        <w:pStyle w:val="Apara"/>
      </w:pPr>
      <w:r>
        <w:tab/>
        <w:t>(c)</w:t>
      </w:r>
      <w:r>
        <w:tab/>
        <w:t>the likelihood of the licence holder or other person not complying with this Act at a future time;</w:t>
      </w:r>
    </w:p>
    <w:p w:rsidR="00F93509" w:rsidRDefault="00F93509" w:rsidP="00F93509">
      <w:pPr>
        <w:pStyle w:val="Apara"/>
      </w:pPr>
      <w:r>
        <w:tab/>
        <w:t>(d)</w:t>
      </w:r>
      <w:r>
        <w:tab/>
        <w:t>the severity of the suspected noncompliance;</w:t>
      </w:r>
    </w:p>
    <w:p w:rsidR="00F93509" w:rsidRDefault="00F93509" w:rsidP="00F93509">
      <w:pPr>
        <w:pStyle w:val="Apara"/>
      </w:pPr>
      <w:r>
        <w:tab/>
        <w:t>(e)</w:t>
      </w:r>
      <w:r>
        <w:tab/>
        <w:t>whether, on 1 or more occasions, the licence holder or other person—</w:t>
      </w:r>
    </w:p>
    <w:p w:rsidR="00F93509" w:rsidRDefault="00F93509" w:rsidP="00F93509">
      <w:pPr>
        <w:pStyle w:val="Asubpara"/>
      </w:pPr>
      <w:r>
        <w:tab/>
        <w:t>(i)</w:t>
      </w:r>
      <w:r>
        <w:tab/>
        <w:t xml:space="preserve">has been charged with or convicted of an offence against this Act; or </w:t>
      </w:r>
    </w:p>
    <w:p w:rsidR="00F93509" w:rsidRDefault="00F93509" w:rsidP="00F93509">
      <w:pPr>
        <w:pStyle w:val="Asubpara"/>
      </w:pPr>
      <w:r>
        <w:tab/>
        <w:t>(ii)</w:t>
      </w:r>
      <w:r>
        <w:tab/>
        <w:t>has been given a direction under this section;</w:t>
      </w:r>
    </w:p>
    <w:p w:rsidR="00F93509" w:rsidRDefault="00F93509" w:rsidP="00F93509">
      <w:pPr>
        <w:pStyle w:val="Apara"/>
      </w:pPr>
      <w:r>
        <w:tab/>
        <w:t>(f)</w:t>
      </w:r>
      <w:r>
        <w:tab/>
        <w:t>other means available to the regulator to address the suspected noncompliance (including, but not limited to, by cancelling, varying or suspending a licence, accreditation or certification);</w:t>
      </w:r>
    </w:p>
    <w:p w:rsidR="00F93509" w:rsidRDefault="00F93509" w:rsidP="00F93509">
      <w:pPr>
        <w:pStyle w:val="Apara"/>
      </w:pPr>
      <w:r>
        <w:tab/>
        <w:t>(g)</w:t>
      </w:r>
      <w:r>
        <w:tab/>
        <w:t>whether, in the regulator’s opinion, the suspected noncompliance was deliberate;</w:t>
      </w:r>
    </w:p>
    <w:p w:rsidR="00F93509" w:rsidRDefault="00F93509" w:rsidP="00F93509">
      <w:pPr>
        <w:pStyle w:val="Apara"/>
      </w:pPr>
      <w:r>
        <w:tab/>
        <w:t>(h)</w:t>
      </w:r>
      <w:r>
        <w:tab/>
        <w:t>the desirability of deterring future noncompliance with this Act or the regulations.</w:t>
      </w:r>
    </w:p>
    <w:p w:rsidR="00F93509" w:rsidRDefault="00F93509" w:rsidP="00F93509">
      <w:pPr>
        <w:pStyle w:val="Amain"/>
        <w:keepNext/>
      </w:pPr>
      <w:r>
        <w:rPr>
          <w:rFonts w:ascii="Tms Rmn" w:hAnsi="Tms Rmn"/>
        </w:rPr>
        <w:tab/>
        <w:t>(3)</w:t>
      </w:r>
      <w:r>
        <w:rPr>
          <w:rFonts w:ascii="Tms Rmn" w:hAnsi="Tms Rmn"/>
        </w:rPr>
        <w:tab/>
      </w:r>
      <w:r>
        <w:t>A person must not intentionally fail to take the steps stated in a notice under subsection (1) or (2) within the time stated in the notice.</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or</w:t>
      </w:r>
    </w:p>
    <w:p w:rsidR="00F93509" w:rsidRDefault="00F93509" w:rsidP="00F93509">
      <w:pPr>
        <w:pStyle w:val="PenaltyPara"/>
        <w:keepNext/>
      </w:pPr>
      <w:r>
        <w:tab/>
        <w:t>(b)</w:t>
      </w:r>
      <w:r>
        <w:tab/>
        <w:t>in any other case—500 penalty units.</w:t>
      </w:r>
    </w:p>
    <w:p w:rsidR="00F93509" w:rsidRDefault="00F93509" w:rsidP="00F93509">
      <w:pPr>
        <w:pStyle w:val="aNote"/>
      </w:pPr>
      <w:r w:rsidRPr="00903C3C">
        <w:rPr>
          <w:rStyle w:val="charItals"/>
        </w:rPr>
        <w:t>Note</w:t>
      </w:r>
      <w:r>
        <w:tab/>
      </w:r>
      <w:r w:rsidRPr="00903C3C">
        <w:rPr>
          <w:rStyle w:val="charBoldItals"/>
        </w:rPr>
        <w:t>Aggravated offence</w:t>
      </w:r>
      <w:r>
        <w:t xml:space="preserve"> is defined in s 38 (1).</w:t>
      </w:r>
    </w:p>
    <w:p w:rsidR="00F93509" w:rsidRDefault="00F93509" w:rsidP="00F93509">
      <w:pPr>
        <w:pStyle w:val="Amain"/>
      </w:pPr>
      <w:r>
        <w:rPr>
          <w:rFonts w:ascii="Tms Rmn" w:hAnsi="Tms Rmn"/>
        </w:rPr>
        <w:tab/>
        <w:t>(4)</w:t>
      </w:r>
      <w:r>
        <w:rPr>
          <w:rFonts w:ascii="Tms Rmn" w:hAnsi="Tms Rmn"/>
        </w:rPr>
        <w:tab/>
      </w:r>
      <w:r>
        <w:t>If the licence holder or the person does not take the steps stated in the notice within the time stated in the notice, the regulator may arrange for those steps to be taken.</w:t>
      </w:r>
    </w:p>
    <w:p w:rsidR="00F93509" w:rsidRDefault="00F93509" w:rsidP="00F93509">
      <w:pPr>
        <w:pStyle w:val="Amain"/>
        <w:keepNext/>
      </w:pPr>
      <w:r>
        <w:rPr>
          <w:rFonts w:ascii="Tms Rmn" w:hAnsi="Tms Rmn"/>
        </w:rPr>
        <w:tab/>
        <w:t>(5)</w:t>
      </w:r>
      <w:r>
        <w:rPr>
          <w:rFonts w:ascii="Tms Rmn" w:hAnsi="Tms Rmn"/>
        </w:rPr>
        <w:tab/>
      </w:r>
      <w:r>
        <w:t>If the regulator incurs costs because of arrangements made by the regulator under subsection (4), the licence holder or the person is liable to pay to the Territory an amount equal to the cost.</w:t>
      </w:r>
    </w:p>
    <w:p w:rsidR="00F93509" w:rsidRPr="00821736" w:rsidRDefault="00F93509" w:rsidP="00F93509">
      <w:pPr>
        <w:pStyle w:val="aNote"/>
        <w:rPr>
          <w:lang w:eastAsia="en-AU"/>
        </w:rPr>
      </w:pPr>
      <w:r w:rsidRPr="00903C3C">
        <w:rPr>
          <w:rStyle w:val="charItals"/>
        </w:rPr>
        <w:t>Note</w:t>
      </w:r>
      <w:r w:rsidRPr="00903C3C">
        <w:rPr>
          <w:rStyle w:val="charItals"/>
        </w:rPr>
        <w:tab/>
      </w:r>
      <w:r w:rsidRPr="00821736">
        <w:rPr>
          <w:lang w:eastAsia="en-AU"/>
        </w:rPr>
        <w:t xml:space="preserve">An amount owing under a law may be recovered as a debt in a court of competent jurisdiction or the ACAT (see </w:t>
      </w:r>
      <w:hyperlink r:id="rId168" w:tooltip="A2001-14" w:history="1">
        <w:r w:rsidRPr="00903C3C">
          <w:rPr>
            <w:rStyle w:val="charCitHyperlinkAbbrev"/>
          </w:rPr>
          <w:t>Legislation Act</w:t>
        </w:r>
      </w:hyperlink>
      <w:r w:rsidRPr="00821736">
        <w:rPr>
          <w:lang w:eastAsia="en-AU"/>
        </w:rPr>
        <w:t>, s 177).</w:t>
      </w:r>
    </w:p>
    <w:p w:rsidR="00F93509" w:rsidRDefault="00F93509" w:rsidP="00F93509">
      <w:pPr>
        <w:pStyle w:val="Amain"/>
        <w:keepNext/>
      </w:pPr>
      <w:r>
        <w:tab/>
        <w:t>(</w:t>
      </w:r>
      <w:r>
        <w:rPr>
          <w:rFonts w:ascii="Tms Rmn" w:hAnsi="Tms Rmn"/>
        </w:rPr>
        <w:t>6)</w:t>
      </w:r>
      <w:r>
        <w:rPr>
          <w:rFonts w:ascii="Tms Rmn" w:hAnsi="Tms Rmn"/>
        </w:rPr>
        <w:tab/>
      </w:r>
      <w:r>
        <w:t>A time stated in a notice under subsection (1) or (2) must be reasonable having regard to the circumstances.</w:t>
      </w:r>
    </w:p>
    <w:p w:rsidR="00F93509" w:rsidRDefault="00F93509" w:rsidP="00F93509">
      <w:pPr>
        <w:pStyle w:val="aNote"/>
      </w:pPr>
      <w:r>
        <w:rPr>
          <w:rStyle w:val="charItals"/>
        </w:rPr>
        <w:t>Note</w:t>
      </w:r>
      <w:r>
        <w:tab/>
        <w:t>This section differs from the</w:t>
      </w:r>
      <w:r w:rsidR="00CE3CAD">
        <w:t xml:space="preserve"> </w:t>
      </w:r>
      <w:hyperlink r:id="rId169" w:tooltip="Gene Technology Act 2000" w:history="1">
        <w:r w:rsidR="00CE3CAD" w:rsidRPr="00CE3CAD">
          <w:rPr>
            <w:rStyle w:val="charCitHyperlinkAbbrev"/>
          </w:rPr>
          <w:t>Commonwealth Act</w:t>
        </w:r>
      </w:hyperlink>
      <w:r w:rsidR="00CE3CAD">
        <w:t xml:space="preserve">, </w:t>
      </w:r>
      <w:r>
        <w:t>s 146.</w:t>
      </w:r>
    </w:p>
    <w:p w:rsidR="00F93509" w:rsidRDefault="00F93509" w:rsidP="00F93509">
      <w:pPr>
        <w:pStyle w:val="AH5Sec"/>
      </w:pPr>
      <w:bookmarkStart w:id="207" w:name="_Toc526844684"/>
      <w:r w:rsidRPr="00325B6A">
        <w:rPr>
          <w:rStyle w:val="CharSectNo"/>
        </w:rPr>
        <w:t>147</w:t>
      </w:r>
      <w:r>
        <w:tab/>
        <w:t>Injunctions</w:t>
      </w:r>
      <w:bookmarkEnd w:id="207"/>
    </w:p>
    <w:p w:rsidR="00F93509" w:rsidRDefault="00F93509" w:rsidP="00F93509">
      <w:pPr>
        <w:pStyle w:val="Amain"/>
      </w:pPr>
      <w:r>
        <w:rPr>
          <w:rFonts w:ascii="Tms Rmn" w:hAnsi="Tms Rmn"/>
        </w:rPr>
        <w:tab/>
        <w:t>(1)</w:t>
      </w:r>
      <w:r>
        <w:rPr>
          <w:rFonts w:ascii="Tms Rmn" w:hAnsi="Tms Rmn"/>
        </w:rPr>
        <w:tab/>
      </w:r>
      <w:r>
        <w:t>If a person has engaged, is engaging, or is about to engage in any conduct that is or would be an offence against this Act, the Supreme Court may, on the application of the regulator or any other aggrieved person, grant an injunction restraining the person from engaging in the conduct.</w:t>
      </w:r>
    </w:p>
    <w:p w:rsidR="00F93509" w:rsidRDefault="00F93509" w:rsidP="00F93509">
      <w:pPr>
        <w:pStyle w:val="Amain"/>
        <w:keepNext/>
      </w:pPr>
      <w:r>
        <w:rPr>
          <w:rFonts w:ascii="Tms Rmn" w:hAnsi="Tms Rmn"/>
        </w:rPr>
        <w:tab/>
        <w:t>(2)</w:t>
      </w:r>
      <w:r>
        <w:rPr>
          <w:rFonts w:ascii="Tms Rmn" w:hAnsi="Tms Rmn"/>
        </w:rPr>
        <w:tab/>
      </w:r>
      <w:r>
        <w:t>If—</w:t>
      </w:r>
    </w:p>
    <w:p w:rsidR="00F93509" w:rsidRDefault="00F93509" w:rsidP="00F93509">
      <w:pPr>
        <w:pStyle w:val="Apara"/>
        <w:keepNext/>
      </w:pPr>
      <w:r>
        <w:rPr>
          <w:rFonts w:ascii="Tms Rmn" w:hAnsi="Tms Rmn"/>
        </w:rPr>
        <w:tab/>
        <w:t>(a)</w:t>
      </w:r>
      <w:r>
        <w:rPr>
          <w:rFonts w:ascii="Tms Rmn" w:hAnsi="Tms Rmn"/>
        </w:rPr>
        <w:tab/>
      </w:r>
      <w:r>
        <w:t xml:space="preserve">a person has failed, is failing, or is about to fail, to do a thing; and </w:t>
      </w:r>
    </w:p>
    <w:p w:rsidR="00F93509" w:rsidRDefault="00F93509" w:rsidP="00F93509">
      <w:pPr>
        <w:pStyle w:val="Apara"/>
        <w:keepNext/>
      </w:pPr>
      <w:r>
        <w:rPr>
          <w:rFonts w:ascii="Tms Rmn" w:hAnsi="Tms Rmn"/>
        </w:rPr>
        <w:tab/>
        <w:t>(b)</w:t>
      </w:r>
      <w:r>
        <w:rPr>
          <w:rFonts w:ascii="Tms Rmn" w:hAnsi="Tms Rmn"/>
        </w:rPr>
        <w:tab/>
      </w:r>
      <w:r>
        <w:t>the failure is, or would be, an offence against this Act;</w:t>
      </w:r>
    </w:p>
    <w:p w:rsidR="00F93509" w:rsidRDefault="00F93509" w:rsidP="00F93509">
      <w:pPr>
        <w:pStyle w:val="Amainreturn"/>
      </w:pPr>
      <w:r>
        <w:t>the Supreme Court may, on the application of the regulator or any other aggrieved person, grant an injunction requiring the person to do the thing.</w:t>
      </w:r>
    </w:p>
    <w:p w:rsidR="00F93509" w:rsidRDefault="00F93509" w:rsidP="00F93509">
      <w:pPr>
        <w:pStyle w:val="Amain"/>
      </w:pPr>
      <w:r>
        <w:rPr>
          <w:rFonts w:ascii="Tms Rmn" w:hAnsi="Tms Rmn"/>
        </w:rPr>
        <w:tab/>
        <w:t>(3)</w:t>
      </w:r>
      <w:r>
        <w:rPr>
          <w:rFonts w:ascii="Tms Rmn" w:hAnsi="Tms Rmn"/>
        </w:rPr>
        <w:tab/>
      </w:r>
      <w:r>
        <w:t>The power of the Supreme Court to grant an injunction may be exercised—</w:t>
      </w:r>
    </w:p>
    <w:p w:rsidR="00F93509" w:rsidRDefault="00F93509" w:rsidP="00F93509">
      <w:pPr>
        <w:pStyle w:val="Apara"/>
      </w:pPr>
      <w:r>
        <w:rPr>
          <w:rFonts w:ascii="Tms Rmn" w:hAnsi="Tms Rmn"/>
        </w:rPr>
        <w:tab/>
        <w:t>(a)</w:t>
      </w:r>
      <w:r>
        <w:rPr>
          <w:rFonts w:ascii="Tms Rmn" w:hAnsi="Tms Rmn"/>
        </w:rPr>
        <w:tab/>
      </w:r>
      <w:r>
        <w:t xml:space="preserve">whether or not it appears to the court that the person intends to engage, or to continue to engage, in conduct of that kind; and </w:t>
      </w:r>
    </w:p>
    <w:p w:rsidR="00F93509" w:rsidRDefault="00F93509" w:rsidP="00F93509">
      <w:pPr>
        <w:pStyle w:val="Apara"/>
      </w:pPr>
      <w:r>
        <w:rPr>
          <w:rFonts w:ascii="Tms Rmn" w:hAnsi="Tms Rmn"/>
        </w:rPr>
        <w:tab/>
        <w:t>(b)</w:t>
      </w:r>
      <w:r>
        <w:rPr>
          <w:rFonts w:ascii="Tms Rmn" w:hAnsi="Tms Rmn"/>
        </w:rPr>
        <w:tab/>
      </w:r>
      <w:r>
        <w:t>whether or not the person has previously engaged in conduct of that kind.</w:t>
      </w:r>
    </w:p>
    <w:p w:rsidR="00F93509" w:rsidRDefault="00F93509" w:rsidP="00F93509">
      <w:pPr>
        <w:pStyle w:val="Amain"/>
      </w:pPr>
      <w:r>
        <w:rPr>
          <w:rFonts w:ascii="Tms Rmn" w:hAnsi="Tms Rmn"/>
        </w:rPr>
        <w:tab/>
        <w:t>(4)</w:t>
      </w:r>
      <w:r>
        <w:rPr>
          <w:rFonts w:ascii="Tms Rmn" w:hAnsi="Tms Rmn"/>
        </w:rPr>
        <w:tab/>
      </w:r>
      <w:r>
        <w:t>The Supreme Court may discharge or vary an injunction granted under this section.</w:t>
      </w:r>
    </w:p>
    <w:p w:rsidR="00F93509" w:rsidRDefault="00F93509" w:rsidP="00F93509">
      <w:pPr>
        <w:pStyle w:val="Amain"/>
      </w:pPr>
      <w:r>
        <w:rPr>
          <w:rFonts w:ascii="Tms Rmn" w:hAnsi="Tms Rmn"/>
        </w:rPr>
        <w:tab/>
        <w:t>(5)</w:t>
      </w:r>
      <w:r>
        <w:rPr>
          <w:rFonts w:ascii="Tms Rmn" w:hAnsi="Tms Rmn"/>
        </w:rPr>
        <w:tab/>
      </w:r>
      <w:r>
        <w:t>The Supreme Court may grant an interim injunction pending deciding an application under subsection (1).</w:t>
      </w:r>
    </w:p>
    <w:p w:rsidR="00F93509" w:rsidRDefault="00F93509" w:rsidP="00F93509">
      <w:pPr>
        <w:pStyle w:val="Amain"/>
        <w:keepNext/>
      </w:pPr>
      <w:r>
        <w:rPr>
          <w:rFonts w:ascii="Tms Rmn" w:hAnsi="Tms Rmn"/>
        </w:rPr>
        <w:tab/>
        <w:t>(6)</w:t>
      </w:r>
      <w:r>
        <w:rPr>
          <w:rFonts w:ascii="Tms Rmn" w:hAnsi="Tms Rmn"/>
        </w:rPr>
        <w:tab/>
      </w:r>
      <w:r>
        <w:t>The powers under this section are in addition to any other powers of the Supreme Court.</w:t>
      </w:r>
    </w:p>
    <w:p w:rsidR="00F93509" w:rsidRDefault="00F93509" w:rsidP="00F93509">
      <w:pPr>
        <w:pStyle w:val="aNote"/>
      </w:pPr>
      <w:r>
        <w:rPr>
          <w:rStyle w:val="charItals"/>
        </w:rPr>
        <w:t>Note</w:t>
      </w:r>
      <w:r>
        <w:tab/>
        <w:t>The</w:t>
      </w:r>
      <w:r w:rsidR="00CE3CAD">
        <w:t xml:space="preserve"> </w:t>
      </w:r>
      <w:hyperlink r:id="rId170" w:tooltip="Gene Technology Act 2000" w:history="1">
        <w:r w:rsidR="00CE3CAD" w:rsidRPr="00CE3CAD">
          <w:rPr>
            <w:rStyle w:val="charCitHyperlinkAbbrev"/>
          </w:rPr>
          <w:t>Commonwealth Act</w:t>
        </w:r>
      </w:hyperlink>
      <w:r w:rsidR="00CE3CAD">
        <w:t xml:space="preserve">, </w:t>
      </w:r>
      <w:r>
        <w:t>s 147 gives a similar power to grant injunctions on the Federal Court.</w:t>
      </w:r>
    </w:p>
    <w:p w:rsidR="00F93509" w:rsidRDefault="00F93509" w:rsidP="00F93509">
      <w:pPr>
        <w:pStyle w:val="AH5Sec"/>
      </w:pPr>
      <w:bookmarkStart w:id="208" w:name="_Toc526844685"/>
      <w:r w:rsidRPr="00325B6A">
        <w:rPr>
          <w:rStyle w:val="CharSectNo"/>
        </w:rPr>
        <w:t>148</w:t>
      </w:r>
      <w:r>
        <w:tab/>
        <w:t>Forfeiture</w:t>
      </w:r>
      <w:bookmarkEnd w:id="208"/>
    </w:p>
    <w:p w:rsidR="00F93509" w:rsidRDefault="00F93509" w:rsidP="00F93509">
      <w:pPr>
        <w:pStyle w:val="Amain"/>
      </w:pPr>
      <w:r>
        <w:rPr>
          <w:rFonts w:ascii="Tms Rmn" w:hAnsi="Tms Rmn"/>
        </w:rPr>
        <w:tab/>
        <w:t>(1)</w:t>
      </w:r>
      <w:r>
        <w:rPr>
          <w:rFonts w:ascii="Tms Rmn" w:hAnsi="Tms Rmn"/>
        </w:rPr>
        <w:tab/>
      </w:r>
      <w:r>
        <w:t>If a court finds a person guilty of an offence against this Act, the court may order forfeiture to the Territory of anything used or otherwise involved in the commission of the offence.</w:t>
      </w:r>
    </w:p>
    <w:p w:rsidR="00F93509" w:rsidRDefault="00F93509" w:rsidP="00F93509">
      <w:pPr>
        <w:pStyle w:val="Amain"/>
      </w:pPr>
      <w:r>
        <w:rPr>
          <w:rFonts w:ascii="Tms Rmn" w:hAnsi="Tms Rmn"/>
        </w:rPr>
        <w:tab/>
        <w:t>(2)</w:t>
      </w:r>
      <w:r>
        <w:rPr>
          <w:rFonts w:ascii="Tms Rmn" w:hAnsi="Tms Rmn"/>
        </w:rPr>
        <w:tab/>
      </w:r>
      <w:r>
        <w:t>A thing ordered by a court to be forfeited under this section becomes the property of the Territory and may be sold or otherwise dealt with in accordance with the regulator’s directions.</w:t>
      </w:r>
    </w:p>
    <w:p w:rsidR="00F93509" w:rsidRDefault="00F93509" w:rsidP="00F93509">
      <w:pPr>
        <w:pStyle w:val="Amain"/>
        <w:keepNext/>
      </w:pPr>
      <w:r>
        <w:rPr>
          <w:rFonts w:ascii="Tms Rmn" w:hAnsi="Tms Rmn"/>
        </w:rPr>
        <w:tab/>
        <w:t>(3)</w:t>
      </w:r>
      <w:r>
        <w:rPr>
          <w:rFonts w:ascii="Tms Rmn" w:hAnsi="Tms Rmn"/>
        </w:rPr>
        <w:tab/>
      </w:r>
      <w:r>
        <w:t>Until the regulator gives a direction, the thing must be kept in the custody the regulator directs.</w:t>
      </w:r>
    </w:p>
    <w:p w:rsidR="00F93509" w:rsidRDefault="00F93509" w:rsidP="00F93509">
      <w:pPr>
        <w:pStyle w:val="aNote"/>
      </w:pPr>
      <w:r>
        <w:rPr>
          <w:rStyle w:val="charItals"/>
        </w:rPr>
        <w:t>Note</w:t>
      </w:r>
      <w:r>
        <w:tab/>
        <w:t>This section differs from the</w:t>
      </w:r>
      <w:r w:rsidR="00003AAF">
        <w:t xml:space="preserve"> </w:t>
      </w:r>
      <w:hyperlink r:id="rId171" w:tooltip="Gene Technology Act 2000" w:history="1">
        <w:r w:rsidR="00003AAF" w:rsidRPr="00003AAF">
          <w:rPr>
            <w:rStyle w:val="charCitHyperlinkAbbrev"/>
          </w:rPr>
          <w:t>Commonwealth Act</w:t>
        </w:r>
      </w:hyperlink>
      <w:r w:rsidR="00003AAF">
        <w:t xml:space="preserve">, </w:t>
      </w:r>
      <w:r>
        <w:t>s 148.</w:t>
      </w:r>
    </w:p>
    <w:p w:rsidR="00F93509" w:rsidRDefault="00F93509" w:rsidP="00F93509">
      <w:pPr>
        <w:pStyle w:val="PageBreak"/>
      </w:pPr>
      <w:r>
        <w:br w:type="page"/>
      </w:r>
    </w:p>
    <w:p w:rsidR="00F93509" w:rsidRPr="00325B6A" w:rsidRDefault="00F93509" w:rsidP="00F93509">
      <w:pPr>
        <w:pStyle w:val="AH2Part"/>
      </w:pPr>
      <w:bookmarkStart w:id="209" w:name="_Toc526844686"/>
      <w:r w:rsidRPr="00325B6A">
        <w:rPr>
          <w:rStyle w:val="CharPartNo"/>
        </w:rPr>
        <w:t>Part 11</w:t>
      </w:r>
      <w:r>
        <w:tab/>
      </w:r>
      <w:r w:rsidRPr="00325B6A">
        <w:rPr>
          <w:rStyle w:val="CharPartText"/>
        </w:rPr>
        <w:t>Powers of inspection</w:t>
      </w:r>
      <w:bookmarkEnd w:id="209"/>
    </w:p>
    <w:p w:rsidR="00F93509" w:rsidRPr="00325B6A" w:rsidRDefault="00F93509" w:rsidP="00F93509">
      <w:pPr>
        <w:pStyle w:val="AH3Div"/>
      </w:pPr>
      <w:bookmarkStart w:id="210" w:name="_Toc526844687"/>
      <w:r w:rsidRPr="00325B6A">
        <w:rPr>
          <w:rStyle w:val="CharDivNo"/>
        </w:rPr>
        <w:t>Division 11.1</w:t>
      </w:r>
      <w:r>
        <w:tab/>
      </w:r>
      <w:r w:rsidRPr="00325B6A">
        <w:rPr>
          <w:rStyle w:val="CharDivText"/>
        </w:rPr>
        <w:t>Simplified outline of pt 11</w:t>
      </w:r>
      <w:bookmarkEnd w:id="210"/>
    </w:p>
    <w:p w:rsidR="00F93509" w:rsidRDefault="00F93509" w:rsidP="00F93509">
      <w:pPr>
        <w:pStyle w:val="AH5Sec"/>
      </w:pPr>
      <w:bookmarkStart w:id="211" w:name="_Toc526844688"/>
      <w:r w:rsidRPr="00325B6A">
        <w:rPr>
          <w:rStyle w:val="CharSectNo"/>
        </w:rPr>
        <w:t>149</w:t>
      </w:r>
      <w:r>
        <w:tab/>
        <w:t>Simplified outline—pt 11</w:t>
      </w:r>
      <w:bookmarkEnd w:id="211"/>
    </w:p>
    <w:p w:rsidR="00F93509" w:rsidRDefault="00F93509" w:rsidP="00F93509">
      <w:pPr>
        <w:pStyle w:val="Amainreturn"/>
      </w:pPr>
      <w:r>
        <w:t>In outline, this part—</w:t>
      </w:r>
    </w:p>
    <w:p w:rsidR="00F93509" w:rsidRDefault="00F93509" w:rsidP="00F93509">
      <w:pPr>
        <w:pStyle w:val="Apara"/>
      </w:pPr>
      <w:r>
        <w:tab/>
        <w:t>(a)</w:t>
      </w:r>
      <w:r>
        <w:tab/>
        <w:t>provides for powers of inspection for monitoring and offences; and</w:t>
      </w:r>
    </w:p>
    <w:p w:rsidR="00F93509" w:rsidRDefault="00F93509" w:rsidP="00F93509">
      <w:pPr>
        <w:pStyle w:val="Apara"/>
      </w:pPr>
      <w:r>
        <w:tab/>
        <w:t>(b)</w:t>
      </w:r>
      <w:r>
        <w:tab/>
        <w:t>provides for the appointment of inspectors (see division 11.2); and</w:t>
      </w:r>
    </w:p>
    <w:p w:rsidR="00F93509" w:rsidRDefault="00F93509" w:rsidP="00F93509">
      <w:pPr>
        <w:pStyle w:val="Apara"/>
      </w:pPr>
      <w:r>
        <w:tab/>
        <w:t>(c)</w:t>
      </w:r>
      <w:r>
        <w:tab/>
        <w:t>deals with the powers and obligations of inspectors and the rights and responsibilities of an occupier of premises when an inspector seeks to exercise powers (see divisions 11.3 to 11.9); and</w:t>
      </w:r>
    </w:p>
    <w:p w:rsidR="00F93509" w:rsidRDefault="00F93509" w:rsidP="00F93509">
      <w:pPr>
        <w:pStyle w:val="Apara"/>
      </w:pPr>
      <w:r>
        <w:tab/>
        <w:t>(d)</w:t>
      </w:r>
      <w:r>
        <w:tab/>
        <w:t>sets out procedures relating to monitoring warrants and offence-related warrants (see division 11.10); and</w:t>
      </w:r>
    </w:p>
    <w:p w:rsidR="00F93509" w:rsidRDefault="00F93509" w:rsidP="00F93509">
      <w:pPr>
        <w:pStyle w:val="Apara"/>
      </w:pPr>
      <w:r>
        <w:tab/>
        <w:t>(e)</w:t>
      </w:r>
      <w:r>
        <w:tab/>
        <w:t>does not limit the conditions to which a licence or an emergency dealing determination can be subject, and section 64 imposes a condition about monitoring dealings with GMOs.</w:t>
      </w:r>
    </w:p>
    <w:p w:rsidR="00F93509" w:rsidRPr="00325B6A" w:rsidRDefault="00F93509" w:rsidP="00F93509">
      <w:pPr>
        <w:pStyle w:val="AH3Div"/>
      </w:pPr>
      <w:bookmarkStart w:id="212" w:name="_Toc526844689"/>
      <w:r w:rsidRPr="00325B6A">
        <w:rPr>
          <w:rStyle w:val="CharDivNo"/>
        </w:rPr>
        <w:t>Division 11.2</w:t>
      </w:r>
      <w:r>
        <w:tab/>
      </w:r>
      <w:r w:rsidRPr="00325B6A">
        <w:rPr>
          <w:rStyle w:val="CharDivText"/>
        </w:rPr>
        <w:t>Appointment of inspectors and identity cards</w:t>
      </w:r>
      <w:bookmarkEnd w:id="212"/>
    </w:p>
    <w:p w:rsidR="00F93509" w:rsidRDefault="00F93509" w:rsidP="00F93509">
      <w:pPr>
        <w:pStyle w:val="AH5Sec"/>
      </w:pPr>
      <w:bookmarkStart w:id="213" w:name="_Toc526844690"/>
      <w:r w:rsidRPr="00325B6A">
        <w:rPr>
          <w:rStyle w:val="CharSectNo"/>
        </w:rPr>
        <w:t>150</w:t>
      </w:r>
      <w:r>
        <w:tab/>
        <w:t>Appointment of inspectors</w:t>
      </w:r>
      <w:bookmarkEnd w:id="213"/>
    </w:p>
    <w:p w:rsidR="00F93509" w:rsidRDefault="00F93509" w:rsidP="00F93509">
      <w:pPr>
        <w:pStyle w:val="Amain"/>
        <w:keepNext/>
      </w:pPr>
      <w:r>
        <w:rPr>
          <w:rFonts w:ascii="Tms Rmn" w:hAnsi="Tms Rmn"/>
        </w:rPr>
        <w:tab/>
        <w:t>(1)</w:t>
      </w:r>
      <w:r>
        <w:rPr>
          <w:rFonts w:ascii="Tms Rmn" w:hAnsi="Tms Rmn"/>
        </w:rPr>
        <w:tab/>
      </w:r>
      <w:r>
        <w:t>The regulator may, in writing, appoint any of the following people as inspectors:</w:t>
      </w:r>
    </w:p>
    <w:p w:rsidR="00F93509" w:rsidRDefault="00F93509" w:rsidP="00F93509">
      <w:pPr>
        <w:pStyle w:val="Apara"/>
      </w:pPr>
      <w:r>
        <w:rPr>
          <w:rFonts w:ascii="Tms Rmn" w:hAnsi="Tms Rmn"/>
        </w:rPr>
        <w:tab/>
        <w:t>(a)</w:t>
      </w:r>
      <w:r>
        <w:rPr>
          <w:rFonts w:ascii="Tms Rmn" w:hAnsi="Tms Rmn"/>
        </w:rPr>
        <w:tab/>
      </w:r>
      <w:r>
        <w:t xml:space="preserve">a public servant; </w:t>
      </w:r>
    </w:p>
    <w:p w:rsidR="00F93509" w:rsidRDefault="00F93509" w:rsidP="00F93509">
      <w:pPr>
        <w:pStyle w:val="Apara"/>
      </w:pPr>
      <w:r>
        <w:rPr>
          <w:rFonts w:ascii="Tms Rmn" w:hAnsi="Tms Rmn"/>
        </w:rPr>
        <w:tab/>
        <w:t>(b)</w:t>
      </w:r>
      <w:r>
        <w:rPr>
          <w:rFonts w:ascii="Tms Rmn" w:hAnsi="Tms Rmn"/>
        </w:rPr>
        <w:tab/>
      </w:r>
      <w:r>
        <w:t>a person who is appointed or employed by the Commonwealth.</w:t>
      </w:r>
    </w:p>
    <w:p w:rsidR="00F93509" w:rsidRDefault="00F93509" w:rsidP="00F93509">
      <w:pPr>
        <w:pStyle w:val="Amain"/>
        <w:keepNext/>
      </w:pPr>
      <w:r>
        <w:rPr>
          <w:rFonts w:ascii="Tms Rmn" w:hAnsi="Tms Rmn"/>
        </w:rPr>
        <w:tab/>
        <w:t>(2)</w:t>
      </w:r>
      <w:r>
        <w:rPr>
          <w:rFonts w:ascii="Tms Rmn" w:hAnsi="Tms Rmn"/>
        </w:rPr>
        <w:tab/>
      </w:r>
      <w:r>
        <w:t>In exercising functions as an inspector, an inspector must comply with any directions of the regulator.</w:t>
      </w:r>
    </w:p>
    <w:p w:rsidR="00F93509" w:rsidRDefault="00F93509" w:rsidP="00F93509">
      <w:pPr>
        <w:pStyle w:val="aNote"/>
      </w:pPr>
      <w:r>
        <w:rPr>
          <w:rStyle w:val="charItals"/>
        </w:rPr>
        <w:t>Note</w:t>
      </w:r>
      <w:r>
        <w:tab/>
        <w:t>This section differs from the</w:t>
      </w:r>
      <w:r w:rsidR="00B50FD4">
        <w:t xml:space="preserve"> </w:t>
      </w:r>
      <w:hyperlink r:id="rId172" w:tooltip="Gene Technology Act 2000" w:history="1">
        <w:r w:rsidR="00B50FD4" w:rsidRPr="00B50FD4">
          <w:rPr>
            <w:rStyle w:val="charCitHyperlinkAbbrev"/>
          </w:rPr>
          <w:t>Commonwealth Act</w:t>
        </w:r>
      </w:hyperlink>
      <w:r w:rsidR="00B50FD4">
        <w:t xml:space="preserve">, </w:t>
      </w:r>
      <w:r>
        <w:t>s 150.</w:t>
      </w:r>
    </w:p>
    <w:p w:rsidR="00F93509" w:rsidRDefault="00F93509" w:rsidP="00F93509">
      <w:pPr>
        <w:pStyle w:val="AH5Sec"/>
      </w:pPr>
      <w:bookmarkStart w:id="214" w:name="_Toc526844691"/>
      <w:r w:rsidRPr="00325B6A">
        <w:rPr>
          <w:rStyle w:val="CharSectNo"/>
        </w:rPr>
        <w:t>151</w:t>
      </w:r>
      <w:r>
        <w:tab/>
        <w:t>Identity card</w:t>
      </w:r>
      <w:bookmarkEnd w:id="214"/>
    </w:p>
    <w:p w:rsidR="00F93509" w:rsidRDefault="00F93509" w:rsidP="00F93509">
      <w:pPr>
        <w:pStyle w:val="Amain"/>
      </w:pPr>
      <w:r>
        <w:rPr>
          <w:rFonts w:ascii="Tms Rmn" w:hAnsi="Tms Rmn"/>
        </w:rPr>
        <w:tab/>
        <w:t>(1)</w:t>
      </w:r>
      <w:r>
        <w:rPr>
          <w:rFonts w:ascii="Tms Rmn" w:hAnsi="Tms Rmn"/>
        </w:rPr>
        <w:tab/>
      </w:r>
      <w:r>
        <w:t>The regulator must issue an identity card to an inspector.</w:t>
      </w:r>
    </w:p>
    <w:p w:rsidR="00F93509" w:rsidRDefault="00F93509" w:rsidP="00F93509">
      <w:pPr>
        <w:pStyle w:val="Amain"/>
      </w:pPr>
      <w:r>
        <w:rPr>
          <w:rFonts w:ascii="Tms Rmn" w:hAnsi="Tms Rmn"/>
        </w:rPr>
        <w:tab/>
        <w:t>(2)</w:t>
      </w:r>
      <w:r>
        <w:rPr>
          <w:rFonts w:ascii="Tms Rmn" w:hAnsi="Tms Rmn"/>
        </w:rPr>
        <w:tab/>
      </w:r>
      <w:r>
        <w:t>The identity card—</w:t>
      </w:r>
    </w:p>
    <w:p w:rsidR="00F93509" w:rsidRDefault="00F93509" w:rsidP="00F93509">
      <w:pPr>
        <w:pStyle w:val="Apara"/>
      </w:pPr>
      <w:r>
        <w:rPr>
          <w:rFonts w:ascii="Tms Rmn" w:hAnsi="Tms Rmn"/>
        </w:rPr>
        <w:tab/>
        <w:t>(a)</w:t>
      </w:r>
      <w:r>
        <w:rPr>
          <w:rFonts w:ascii="Tms Rmn" w:hAnsi="Tms Rmn"/>
        </w:rPr>
        <w:tab/>
      </w:r>
      <w:r>
        <w:t xml:space="preserve">must be in the form approved under section 192E; and </w:t>
      </w:r>
    </w:p>
    <w:p w:rsidR="00F93509" w:rsidRDefault="00F93509" w:rsidP="00F93509">
      <w:pPr>
        <w:pStyle w:val="Apara"/>
      </w:pPr>
      <w:r>
        <w:rPr>
          <w:rFonts w:ascii="Tms Rmn" w:hAnsi="Tms Rmn"/>
        </w:rPr>
        <w:tab/>
        <w:t>(b)</w:t>
      </w:r>
      <w:r>
        <w:rPr>
          <w:rFonts w:ascii="Tms Rmn" w:hAnsi="Tms Rmn"/>
        </w:rPr>
        <w:tab/>
      </w:r>
      <w:r>
        <w:t>must contain a recent photograph of the inspector.</w:t>
      </w:r>
    </w:p>
    <w:p w:rsidR="00F93509" w:rsidRDefault="00F93509" w:rsidP="00F93509">
      <w:pPr>
        <w:pStyle w:val="Amain"/>
        <w:keepNext/>
      </w:pPr>
      <w:r>
        <w:rPr>
          <w:rFonts w:ascii="Tms Rmn" w:hAnsi="Tms Rmn"/>
        </w:rPr>
        <w:tab/>
        <w:t>(3)</w:t>
      </w:r>
      <w:r>
        <w:rPr>
          <w:rFonts w:ascii="Tms Rmn" w:hAnsi="Tms Rmn"/>
        </w:rPr>
        <w:tab/>
      </w:r>
      <w:r>
        <w:t>If a person to whom an identity card has been issued ceases to be an inspector, the person must return the identity card to the regulator as soon as practicable.</w:t>
      </w:r>
    </w:p>
    <w:p w:rsidR="00F93509" w:rsidRDefault="00F93509" w:rsidP="00F93509">
      <w:pPr>
        <w:pStyle w:val="Penalty"/>
        <w:keepNext/>
      </w:pPr>
      <w:r>
        <w:t>Maximum penalty:  1 penalty unit.</w:t>
      </w:r>
    </w:p>
    <w:p w:rsidR="00F93509" w:rsidRDefault="00F93509" w:rsidP="00F93509">
      <w:pPr>
        <w:pStyle w:val="Amain"/>
      </w:pPr>
      <w:r>
        <w:tab/>
        <w:t>(4)</w:t>
      </w:r>
      <w:r>
        <w:tab/>
        <w:t>An offence against subsection (3) is a strict liability offence.</w:t>
      </w:r>
    </w:p>
    <w:p w:rsidR="00F93509" w:rsidRDefault="00F93509" w:rsidP="00F93509">
      <w:pPr>
        <w:pStyle w:val="aNote"/>
      </w:pPr>
      <w:r w:rsidRPr="00903C3C">
        <w:rPr>
          <w:rStyle w:val="charItals"/>
        </w:rPr>
        <w:t>Note</w:t>
      </w:r>
      <w:r>
        <w:tab/>
        <w:t xml:space="preserve">For strict liability offence, see the </w:t>
      </w:r>
      <w:hyperlink r:id="rId173" w:tooltip="A2002-51" w:history="1">
        <w:r w:rsidRPr="00903C3C">
          <w:rPr>
            <w:rStyle w:val="charCitHyperlinkAbbrev"/>
          </w:rPr>
          <w:t>Criminal Code</w:t>
        </w:r>
      </w:hyperlink>
      <w:r>
        <w:t>, s 23.</w:t>
      </w:r>
    </w:p>
    <w:p w:rsidR="00F93509" w:rsidRDefault="00F93509" w:rsidP="00F93509">
      <w:pPr>
        <w:pStyle w:val="Amain"/>
        <w:keepNext/>
      </w:pPr>
      <w:r>
        <w:rPr>
          <w:rFonts w:ascii="Tms Rmn" w:hAnsi="Tms Rmn"/>
        </w:rPr>
        <w:tab/>
        <w:t>(5)</w:t>
      </w:r>
      <w:r>
        <w:rPr>
          <w:rFonts w:ascii="Tms Rmn" w:hAnsi="Tms Rmn"/>
        </w:rPr>
        <w:tab/>
      </w:r>
      <w:r>
        <w:t>An inspector must carry his or her identity card at all times when exercising functions as an inspector.</w:t>
      </w:r>
    </w:p>
    <w:p w:rsidR="00F93509" w:rsidRDefault="00F93509" w:rsidP="00F93509">
      <w:pPr>
        <w:pStyle w:val="aNote"/>
      </w:pPr>
      <w:r w:rsidRPr="00903C3C">
        <w:rPr>
          <w:rStyle w:val="charItals"/>
        </w:rPr>
        <w:t>Note</w:t>
      </w:r>
      <w:r>
        <w:tab/>
        <w:t>This section differs from the</w:t>
      </w:r>
      <w:r w:rsidR="00B50FD4">
        <w:t xml:space="preserve"> </w:t>
      </w:r>
      <w:hyperlink r:id="rId174" w:tooltip="Gene Technology Act 2000" w:history="1">
        <w:r w:rsidR="00B50FD4" w:rsidRPr="00B50FD4">
          <w:rPr>
            <w:rStyle w:val="charCitHyperlinkAbbrev"/>
          </w:rPr>
          <w:t>Commonwealth Act</w:t>
        </w:r>
      </w:hyperlink>
      <w:r w:rsidR="00B50FD4">
        <w:t xml:space="preserve">, </w:t>
      </w:r>
      <w:r>
        <w:t>s 151.</w:t>
      </w:r>
    </w:p>
    <w:p w:rsidR="00F93509" w:rsidRPr="00325B6A" w:rsidRDefault="00F93509" w:rsidP="00F93509">
      <w:pPr>
        <w:pStyle w:val="AH3Div"/>
      </w:pPr>
      <w:bookmarkStart w:id="215" w:name="_Toc526844692"/>
      <w:r w:rsidRPr="00325B6A">
        <w:rPr>
          <w:rStyle w:val="CharDivNo"/>
        </w:rPr>
        <w:t>Division 11.3</w:t>
      </w:r>
      <w:r>
        <w:tab/>
      </w:r>
      <w:r w:rsidRPr="00325B6A">
        <w:rPr>
          <w:rStyle w:val="CharDivText"/>
        </w:rPr>
        <w:t>Monitoring powers</w:t>
      </w:r>
      <w:bookmarkEnd w:id="215"/>
    </w:p>
    <w:p w:rsidR="00F93509" w:rsidRDefault="00F93509" w:rsidP="00F93509">
      <w:pPr>
        <w:pStyle w:val="AH5Sec"/>
      </w:pPr>
      <w:bookmarkStart w:id="216" w:name="_Toc526844693"/>
      <w:r w:rsidRPr="00325B6A">
        <w:rPr>
          <w:rStyle w:val="CharSectNo"/>
        </w:rPr>
        <w:t>152</w:t>
      </w:r>
      <w:r>
        <w:tab/>
        <w:t>Powers available to inspectors for monitoring compliance</w:t>
      </w:r>
      <w:bookmarkEnd w:id="216"/>
    </w:p>
    <w:p w:rsidR="00F93509" w:rsidRDefault="00F93509" w:rsidP="00F93509">
      <w:pPr>
        <w:pStyle w:val="Amain"/>
      </w:pPr>
      <w:r>
        <w:rPr>
          <w:rFonts w:ascii="Tms Rmn" w:hAnsi="Tms Rmn"/>
        </w:rPr>
        <w:tab/>
        <w:t>(1)</w:t>
      </w:r>
      <w:r>
        <w:rPr>
          <w:rFonts w:ascii="Tms Rmn" w:hAnsi="Tms Rmn"/>
        </w:rPr>
        <w:tab/>
      </w:r>
      <w:r>
        <w:t>For monitoring compliance with this Act, an inspector may—</w:t>
      </w:r>
    </w:p>
    <w:p w:rsidR="00F93509" w:rsidRDefault="00F93509" w:rsidP="00F93509">
      <w:pPr>
        <w:pStyle w:val="Apara"/>
      </w:pPr>
      <w:r>
        <w:rPr>
          <w:rFonts w:ascii="Tms Rmn" w:hAnsi="Tms Rmn"/>
        </w:rPr>
        <w:tab/>
        <w:t>(a)</w:t>
      </w:r>
      <w:r>
        <w:rPr>
          <w:rFonts w:ascii="Tms Rmn" w:hAnsi="Tms Rmn"/>
        </w:rPr>
        <w:tab/>
      </w:r>
      <w:r>
        <w:t xml:space="preserve">enter any premises; and </w:t>
      </w:r>
    </w:p>
    <w:p w:rsidR="00F93509" w:rsidRDefault="00F93509" w:rsidP="00F93509">
      <w:pPr>
        <w:pStyle w:val="Apara"/>
      </w:pPr>
      <w:r>
        <w:rPr>
          <w:rFonts w:ascii="Tms Rmn" w:hAnsi="Tms Rmn"/>
        </w:rPr>
        <w:tab/>
        <w:t>(b)</w:t>
      </w:r>
      <w:r>
        <w:rPr>
          <w:rFonts w:ascii="Tms Rmn" w:hAnsi="Tms Rmn"/>
        </w:rPr>
        <w:tab/>
      </w:r>
      <w:r>
        <w:t>exercise the monitoring powers stated in section 153.</w:t>
      </w:r>
    </w:p>
    <w:p w:rsidR="00F93509" w:rsidRDefault="00F93509" w:rsidP="00F93509">
      <w:pPr>
        <w:pStyle w:val="Amain"/>
      </w:pPr>
      <w:r>
        <w:rPr>
          <w:rFonts w:ascii="Tms Rmn" w:hAnsi="Tms Rmn"/>
        </w:rPr>
        <w:tab/>
        <w:t>(2)</w:t>
      </w:r>
      <w:r>
        <w:rPr>
          <w:rFonts w:ascii="Tms Rmn" w:hAnsi="Tms Rmn"/>
        </w:rPr>
        <w:tab/>
      </w:r>
      <w:r>
        <w:t>An inspector may enter premises under subsection (1) only if—</w:t>
      </w:r>
    </w:p>
    <w:p w:rsidR="00F93509" w:rsidRDefault="00F93509" w:rsidP="00F93509">
      <w:pPr>
        <w:pStyle w:val="Apara"/>
      </w:pPr>
      <w:r>
        <w:rPr>
          <w:rFonts w:ascii="Tms Rmn" w:hAnsi="Tms Rmn"/>
        </w:rPr>
        <w:tab/>
        <w:t>(a)</w:t>
      </w:r>
      <w:r>
        <w:rPr>
          <w:rFonts w:ascii="Tms Rmn" w:hAnsi="Tms Rmn"/>
        </w:rPr>
        <w:tab/>
      </w:r>
      <w:r>
        <w:t>the occupier of the premises has consented to the entry; or</w:t>
      </w:r>
    </w:p>
    <w:p w:rsidR="00F93509" w:rsidRDefault="00F93509" w:rsidP="00F93509">
      <w:pPr>
        <w:pStyle w:val="Apara"/>
      </w:pPr>
      <w:r>
        <w:rPr>
          <w:rFonts w:ascii="Tms Rmn" w:hAnsi="Tms Rmn"/>
        </w:rPr>
        <w:tab/>
        <w:t>(b)</w:t>
      </w:r>
      <w:r>
        <w:rPr>
          <w:rFonts w:ascii="Tms Rmn" w:hAnsi="Tms Rmn"/>
        </w:rPr>
        <w:tab/>
      </w:r>
      <w:r>
        <w:t>the entry is made under a warrant under section 172; or</w:t>
      </w:r>
    </w:p>
    <w:p w:rsidR="00F93509" w:rsidRDefault="00F93509" w:rsidP="00F93509">
      <w:pPr>
        <w:pStyle w:val="Apara"/>
        <w:rPr>
          <w:rFonts w:ascii="Tms Rmn" w:hAnsi="Tms Rmn"/>
        </w:rPr>
      </w:pPr>
      <w:r>
        <w:rPr>
          <w:rFonts w:ascii="Tms Rmn" w:hAnsi="Tms Rmn"/>
        </w:rPr>
        <w:tab/>
        <w:t>(c)</w:t>
      </w:r>
      <w:r>
        <w:rPr>
          <w:rFonts w:ascii="Tms Rmn" w:hAnsi="Tms Rmn"/>
        </w:rPr>
        <w:tab/>
        <w:t>the occupier of the premises is a licence holder, or a person covered by a licence, and the entry is at a reasonable time; or</w:t>
      </w:r>
    </w:p>
    <w:p w:rsidR="00F93509" w:rsidRDefault="00F93509" w:rsidP="00F93509">
      <w:pPr>
        <w:pStyle w:val="Apara"/>
      </w:pPr>
      <w:r>
        <w:tab/>
        <w:t>(d)</w:t>
      </w:r>
      <w:r>
        <w:tab/>
        <w:t>the occupier of the premises is a person dealing with, or who has dealt with, a GMO specified in an emergency dealing determination, and the entry is at a reasonable time.</w:t>
      </w:r>
    </w:p>
    <w:p w:rsidR="00F93509" w:rsidRDefault="00F93509" w:rsidP="00F93509">
      <w:pPr>
        <w:pStyle w:val="Amain"/>
      </w:pPr>
      <w:r>
        <w:tab/>
        <w:t>(3)</w:t>
      </w:r>
      <w:r>
        <w:tab/>
        <w:t>However, subsection (2) (c) or (d) does not authorise entry into any part of premises that is being used solely for residential purposes.</w:t>
      </w:r>
    </w:p>
    <w:p w:rsidR="00F93509" w:rsidRDefault="00F93509" w:rsidP="00F93509">
      <w:pPr>
        <w:pStyle w:val="AH5Sec"/>
      </w:pPr>
      <w:bookmarkStart w:id="217" w:name="_Toc526844694"/>
      <w:r w:rsidRPr="00325B6A">
        <w:rPr>
          <w:rStyle w:val="CharSectNo"/>
        </w:rPr>
        <w:t>153</w:t>
      </w:r>
      <w:r>
        <w:tab/>
        <w:t>Monitoring powers</w:t>
      </w:r>
      <w:bookmarkEnd w:id="217"/>
    </w:p>
    <w:p w:rsidR="00F93509" w:rsidRDefault="00F93509" w:rsidP="00F93509">
      <w:pPr>
        <w:pStyle w:val="Amain"/>
        <w:keepNext/>
      </w:pPr>
      <w:r>
        <w:rPr>
          <w:rFonts w:ascii="Tms Rmn" w:hAnsi="Tms Rmn"/>
        </w:rPr>
        <w:tab/>
        <w:t>(1)</w:t>
      </w:r>
      <w:r>
        <w:rPr>
          <w:rFonts w:ascii="Tms Rmn" w:hAnsi="Tms Rmn"/>
        </w:rPr>
        <w:tab/>
      </w:r>
      <w:r>
        <w:t>The monitoring powers an inspector may exercise under section 152 (1) (b) are as follows:</w:t>
      </w:r>
    </w:p>
    <w:p w:rsidR="00F93509" w:rsidRDefault="00F93509" w:rsidP="00F93509">
      <w:pPr>
        <w:pStyle w:val="Apara"/>
      </w:pPr>
      <w:r>
        <w:rPr>
          <w:rFonts w:ascii="Tms Rmn" w:hAnsi="Tms Rmn"/>
        </w:rPr>
        <w:tab/>
        <w:t>(a)</w:t>
      </w:r>
      <w:r>
        <w:rPr>
          <w:rFonts w:ascii="Tms Rmn" w:hAnsi="Tms Rmn"/>
        </w:rPr>
        <w:tab/>
      </w:r>
      <w:r>
        <w:t>to search the premises and anything on the premises;</w:t>
      </w:r>
    </w:p>
    <w:p w:rsidR="00F93509" w:rsidRDefault="00F93509" w:rsidP="00F93509">
      <w:pPr>
        <w:pStyle w:val="Apara"/>
      </w:pPr>
      <w:r>
        <w:rPr>
          <w:rFonts w:ascii="Tms Rmn" w:hAnsi="Tms Rmn"/>
        </w:rPr>
        <w:tab/>
        <w:t>(b)</w:t>
      </w:r>
      <w:r>
        <w:rPr>
          <w:rFonts w:ascii="Tms Rmn" w:hAnsi="Tms Rmn"/>
        </w:rPr>
        <w:tab/>
      </w:r>
      <w:r>
        <w:t>to inspect, examine, take measurements of, conduct tests on, or take samples of, anything on the premises that relates to a GMO;</w:t>
      </w:r>
    </w:p>
    <w:p w:rsidR="00F93509" w:rsidRDefault="00F93509" w:rsidP="00F93509">
      <w:pPr>
        <w:pStyle w:val="Apara"/>
      </w:pPr>
      <w:r>
        <w:rPr>
          <w:rFonts w:ascii="Tms Rmn" w:hAnsi="Tms Rmn"/>
        </w:rPr>
        <w:tab/>
        <w:t>(c)</w:t>
      </w:r>
      <w:r>
        <w:rPr>
          <w:rFonts w:ascii="Tms Rmn" w:hAnsi="Tms Rmn"/>
        </w:rPr>
        <w:tab/>
      </w:r>
      <w:r>
        <w:t>to take photographs, make video or audio recordings or make sketches of the premises or anything on the premises;</w:t>
      </w:r>
    </w:p>
    <w:p w:rsidR="00F93509" w:rsidRDefault="00F93509" w:rsidP="00F93509">
      <w:pPr>
        <w:pStyle w:val="Apara"/>
      </w:pPr>
      <w:r>
        <w:rPr>
          <w:rFonts w:ascii="Tms Rmn" w:hAnsi="Tms Rmn"/>
        </w:rPr>
        <w:tab/>
        <w:t>(d)</w:t>
      </w:r>
      <w:r>
        <w:rPr>
          <w:rFonts w:ascii="Tms Rmn" w:hAnsi="Tms Rmn"/>
        </w:rPr>
        <w:tab/>
      </w:r>
      <w:r>
        <w:t>if the inspector was authorised to enter the premises by a warrant under section 172, to require anyone in or on the premises to—</w:t>
      </w:r>
    </w:p>
    <w:p w:rsidR="00F93509" w:rsidRDefault="00F93509" w:rsidP="00F93509">
      <w:pPr>
        <w:pStyle w:val="Asubpara"/>
      </w:pPr>
      <w:r>
        <w:rPr>
          <w:rFonts w:ascii="Tms Rmn" w:hAnsi="Tms Rmn"/>
        </w:rPr>
        <w:tab/>
        <w:t>(i)</w:t>
      </w:r>
      <w:r>
        <w:rPr>
          <w:rFonts w:ascii="Tms Rmn" w:hAnsi="Tms Rmn"/>
        </w:rPr>
        <w:tab/>
      </w:r>
      <w:r>
        <w:t xml:space="preserve">answer any questions put by the inspector; and </w:t>
      </w:r>
    </w:p>
    <w:p w:rsidR="00F93509" w:rsidRDefault="00F93509" w:rsidP="00F93509">
      <w:pPr>
        <w:pStyle w:val="Asubpara"/>
      </w:pPr>
      <w:r>
        <w:rPr>
          <w:rFonts w:ascii="Tms Rmn" w:hAnsi="Tms Rmn"/>
        </w:rPr>
        <w:tab/>
        <w:t>(ii)</w:t>
      </w:r>
      <w:r>
        <w:rPr>
          <w:rFonts w:ascii="Tms Rmn" w:hAnsi="Tms Rmn"/>
        </w:rPr>
        <w:tab/>
      </w:r>
      <w:r>
        <w:t>produce any document requested by the inspector;</w:t>
      </w:r>
    </w:p>
    <w:p w:rsidR="00F93509" w:rsidRDefault="00F93509" w:rsidP="00F93509">
      <w:pPr>
        <w:pStyle w:val="Apara"/>
      </w:pPr>
      <w:r>
        <w:rPr>
          <w:rFonts w:ascii="Tms Rmn" w:hAnsi="Tms Rmn"/>
        </w:rPr>
        <w:tab/>
        <w:t>(e)</w:t>
      </w:r>
      <w:r>
        <w:rPr>
          <w:rFonts w:ascii="Tms Rmn" w:hAnsi="Tms Rmn"/>
        </w:rPr>
        <w:tab/>
      </w:r>
      <w:r>
        <w:t>to inspect any document on the premises;</w:t>
      </w:r>
    </w:p>
    <w:p w:rsidR="00F93509" w:rsidRDefault="00F93509" w:rsidP="00F93509">
      <w:pPr>
        <w:pStyle w:val="Apara"/>
      </w:pPr>
      <w:r>
        <w:rPr>
          <w:rFonts w:ascii="Tms Rmn" w:hAnsi="Tms Rmn"/>
        </w:rPr>
        <w:tab/>
        <w:t>(f)</w:t>
      </w:r>
      <w:r>
        <w:rPr>
          <w:rFonts w:ascii="Tms Rmn" w:hAnsi="Tms Rmn"/>
        </w:rPr>
        <w:tab/>
      </w:r>
      <w:r>
        <w:t>to take extracts from or make copies of any document;</w:t>
      </w:r>
    </w:p>
    <w:p w:rsidR="00F93509" w:rsidRDefault="00F93509" w:rsidP="00F93509">
      <w:pPr>
        <w:pStyle w:val="Apara"/>
      </w:pPr>
      <w:r>
        <w:rPr>
          <w:rFonts w:ascii="Tms Rmn" w:hAnsi="Tms Rmn"/>
        </w:rPr>
        <w:tab/>
        <w:t>(g)</w:t>
      </w:r>
      <w:r>
        <w:rPr>
          <w:rFonts w:ascii="Tms Rmn" w:hAnsi="Tms Rmn"/>
        </w:rPr>
        <w:tab/>
      </w:r>
      <w:r>
        <w:t>to take onto the premises the equipment and materials the inspector requires to exercise powers relating to the premises;</w:t>
      </w:r>
    </w:p>
    <w:p w:rsidR="00F93509" w:rsidRDefault="00F93509" w:rsidP="00F93509">
      <w:pPr>
        <w:pStyle w:val="Apara"/>
      </w:pPr>
      <w:r>
        <w:rPr>
          <w:rFonts w:ascii="Tms Rmn" w:hAnsi="Tms Rmn"/>
        </w:rPr>
        <w:tab/>
        <w:t>(h)</w:t>
      </w:r>
      <w:r>
        <w:rPr>
          <w:rFonts w:ascii="Tms Rmn" w:hAnsi="Tms Rmn"/>
        </w:rPr>
        <w:tab/>
      </w:r>
      <w:r>
        <w:t>to secure a thing, until a warrant is obtained to seize it, if the inspector—</w:t>
      </w:r>
    </w:p>
    <w:p w:rsidR="00F93509" w:rsidRDefault="00F93509" w:rsidP="00F93509">
      <w:pPr>
        <w:pStyle w:val="Asubpara"/>
      </w:pPr>
      <w:r>
        <w:rPr>
          <w:rFonts w:ascii="Tms Rmn" w:hAnsi="Tms Rmn"/>
        </w:rPr>
        <w:tab/>
        <w:t>(i)</w:t>
      </w:r>
      <w:r>
        <w:rPr>
          <w:rFonts w:ascii="Tms Rmn" w:hAnsi="Tms Rmn"/>
        </w:rPr>
        <w:tab/>
      </w:r>
      <w:r>
        <w:t>finds the thing during the exercise of monitoring powers on the premises; and</w:t>
      </w:r>
    </w:p>
    <w:p w:rsidR="00F93509" w:rsidRDefault="00F93509" w:rsidP="00F93509">
      <w:pPr>
        <w:pStyle w:val="Asubpara"/>
      </w:pPr>
      <w:r>
        <w:rPr>
          <w:rFonts w:ascii="Tms Rmn" w:hAnsi="Tms Rmn"/>
        </w:rPr>
        <w:tab/>
        <w:t>(ii)</w:t>
      </w:r>
      <w:r>
        <w:rPr>
          <w:rFonts w:ascii="Tms Rmn" w:hAnsi="Tms Rmn"/>
        </w:rPr>
        <w:tab/>
      </w:r>
      <w:r>
        <w:t xml:space="preserve">believes on reasonable grounds the thing is evidential material; and </w:t>
      </w:r>
    </w:p>
    <w:p w:rsidR="00F93509" w:rsidRDefault="00F93509" w:rsidP="00F93509">
      <w:pPr>
        <w:pStyle w:val="Asubpara"/>
      </w:pPr>
      <w:r>
        <w:rPr>
          <w:rFonts w:ascii="Tms Rmn" w:hAnsi="Tms Rmn"/>
        </w:rPr>
        <w:tab/>
        <w:t>(iii)</w:t>
      </w:r>
      <w:r>
        <w:rPr>
          <w:rFonts w:ascii="Tms Rmn" w:hAnsi="Tms Rmn"/>
        </w:rPr>
        <w:tab/>
      </w:r>
      <w:r>
        <w:t>believes on reasonable grounds the thing would be lost, destroyed or tampered with before the warrant can be obtained.</w:t>
      </w:r>
    </w:p>
    <w:p w:rsidR="00F93509" w:rsidRDefault="00F93509" w:rsidP="00F93509">
      <w:pPr>
        <w:pStyle w:val="Amain"/>
      </w:pPr>
      <w:r>
        <w:rPr>
          <w:rFonts w:ascii="Tms Rmn" w:hAnsi="Tms Rmn"/>
        </w:rPr>
        <w:tab/>
        <w:t>(2)</w:t>
      </w:r>
      <w:r>
        <w:rPr>
          <w:rFonts w:ascii="Tms Rmn" w:hAnsi="Tms Rmn"/>
        </w:rPr>
        <w:tab/>
      </w:r>
      <w:r>
        <w:t>The monitoring powers include the power to operate equipment at premises to see whether—</w:t>
      </w:r>
    </w:p>
    <w:p w:rsidR="00F93509" w:rsidRDefault="00F93509" w:rsidP="00F93509">
      <w:pPr>
        <w:pStyle w:val="Apara"/>
      </w:pPr>
      <w:r>
        <w:rPr>
          <w:rFonts w:ascii="Tms Rmn" w:hAnsi="Tms Rmn"/>
        </w:rPr>
        <w:tab/>
        <w:t>(a)</w:t>
      </w:r>
      <w:r>
        <w:rPr>
          <w:rFonts w:ascii="Tms Rmn" w:hAnsi="Tms Rmn"/>
        </w:rPr>
        <w:tab/>
      </w:r>
      <w:r>
        <w:t>the equipment; or</w:t>
      </w:r>
    </w:p>
    <w:p w:rsidR="00F93509" w:rsidRDefault="00F93509" w:rsidP="00F93509">
      <w:pPr>
        <w:pStyle w:val="Apara"/>
      </w:pPr>
      <w:r>
        <w:rPr>
          <w:rFonts w:ascii="Tms Rmn" w:hAnsi="Tms Rmn"/>
        </w:rPr>
        <w:tab/>
        <w:t>(b)</w:t>
      </w:r>
      <w:r>
        <w:rPr>
          <w:rFonts w:ascii="Tms Rmn" w:hAnsi="Tms Rmn"/>
        </w:rPr>
        <w:tab/>
      </w:r>
      <w:r>
        <w:t>a disk, tape or other storage device that—</w:t>
      </w:r>
    </w:p>
    <w:p w:rsidR="00F93509" w:rsidRDefault="00F93509" w:rsidP="00F93509">
      <w:pPr>
        <w:pStyle w:val="Asubpara"/>
      </w:pPr>
      <w:r>
        <w:rPr>
          <w:rFonts w:ascii="Tms Rmn" w:hAnsi="Tms Rmn"/>
        </w:rPr>
        <w:tab/>
        <w:t>(i)</w:t>
      </w:r>
      <w:r>
        <w:rPr>
          <w:rFonts w:ascii="Tms Rmn" w:hAnsi="Tms Rmn"/>
        </w:rPr>
        <w:tab/>
      </w:r>
      <w:r>
        <w:t xml:space="preserve">is at the premises; and </w:t>
      </w:r>
    </w:p>
    <w:p w:rsidR="00F93509" w:rsidRDefault="00F93509" w:rsidP="00F93509">
      <w:pPr>
        <w:pStyle w:val="Asubpara"/>
      </w:pPr>
      <w:r>
        <w:rPr>
          <w:rFonts w:ascii="Tms Rmn" w:hAnsi="Tms Rmn"/>
        </w:rPr>
        <w:tab/>
        <w:t>(ii)</w:t>
      </w:r>
      <w:r>
        <w:rPr>
          <w:rFonts w:ascii="Tms Rmn" w:hAnsi="Tms Rmn"/>
        </w:rPr>
        <w:tab/>
      </w:r>
      <w:r>
        <w:t>can be used with the equipment or is associated with it;</w:t>
      </w:r>
    </w:p>
    <w:p w:rsidR="00F93509" w:rsidRDefault="00F93509" w:rsidP="00F93509">
      <w:pPr>
        <w:pStyle w:val="Amainreturn"/>
      </w:pPr>
      <w:r>
        <w:t>contains information relevant to deciding whether there has been compliance with this Act.</w:t>
      </w:r>
    </w:p>
    <w:p w:rsidR="00F93509" w:rsidRDefault="00F93509" w:rsidP="00F93509">
      <w:pPr>
        <w:pStyle w:val="Amain"/>
      </w:pPr>
      <w:r>
        <w:rPr>
          <w:rFonts w:ascii="Tms Rmn" w:hAnsi="Tms Rmn"/>
        </w:rPr>
        <w:tab/>
        <w:t>(3)</w:t>
      </w:r>
      <w:r>
        <w:rPr>
          <w:rFonts w:ascii="Tms Rmn" w:hAnsi="Tms Rmn"/>
        </w:rPr>
        <w:tab/>
      </w:r>
      <w:r>
        <w:t>If the inspector, after operating equipment at the premises, finds that the equipment, or a tape, disk or other storage device at the premises, contains information mentioned in subsection (2), the inspector may—</w:t>
      </w:r>
    </w:p>
    <w:p w:rsidR="00F93509" w:rsidRDefault="00F93509" w:rsidP="00F93509">
      <w:pPr>
        <w:pStyle w:val="Apara"/>
      </w:pPr>
      <w:r>
        <w:rPr>
          <w:rFonts w:ascii="Tms Rmn" w:hAnsi="Tms Rmn"/>
        </w:rPr>
        <w:tab/>
        <w:t>(a)</w:t>
      </w:r>
      <w:r>
        <w:rPr>
          <w:rFonts w:ascii="Tms Rmn" w:hAnsi="Tms Rmn"/>
        </w:rPr>
        <w:tab/>
      </w:r>
      <w:r>
        <w:t>operate facilities at the premises to put the information in documentary form and copy the document so produced; or</w:t>
      </w:r>
    </w:p>
    <w:p w:rsidR="00F93509" w:rsidRDefault="00F93509" w:rsidP="00F93509">
      <w:pPr>
        <w:pStyle w:val="Apara"/>
      </w:pPr>
      <w:r>
        <w:rPr>
          <w:rFonts w:ascii="Tms Rmn" w:hAnsi="Tms Rmn"/>
        </w:rPr>
        <w:tab/>
        <w:t>(b)</w:t>
      </w:r>
      <w:r>
        <w:rPr>
          <w:rFonts w:ascii="Tms Rmn" w:hAnsi="Tms Rmn"/>
        </w:rPr>
        <w:tab/>
      </w:r>
      <w:r>
        <w:t>if the information can be transferred to a tape, disk or other storage device that—</w:t>
      </w:r>
    </w:p>
    <w:p w:rsidR="00F93509" w:rsidRDefault="00F93509" w:rsidP="00F93509">
      <w:pPr>
        <w:pStyle w:val="Asubpara"/>
      </w:pPr>
      <w:r>
        <w:rPr>
          <w:rFonts w:ascii="Tms Rmn" w:hAnsi="Tms Rmn"/>
        </w:rPr>
        <w:tab/>
        <w:t>(i)</w:t>
      </w:r>
      <w:r>
        <w:rPr>
          <w:rFonts w:ascii="Tms Rmn" w:hAnsi="Tms Rmn"/>
        </w:rPr>
        <w:tab/>
      </w:r>
      <w:r>
        <w:t>is brought to the premises; or</w:t>
      </w:r>
    </w:p>
    <w:p w:rsidR="00F93509" w:rsidRDefault="00F93509" w:rsidP="00CE2EDA">
      <w:pPr>
        <w:pStyle w:val="Asubpara"/>
        <w:keepNext/>
      </w:pPr>
      <w:r>
        <w:rPr>
          <w:rFonts w:ascii="Tms Rmn" w:hAnsi="Tms Rmn"/>
        </w:rPr>
        <w:tab/>
        <w:t>(ii)</w:t>
      </w:r>
      <w:r>
        <w:rPr>
          <w:rFonts w:ascii="Tms Rmn" w:hAnsi="Tms Rmn"/>
        </w:rPr>
        <w:tab/>
      </w:r>
      <w:r>
        <w:t>is at the premises and the use of which for the purpose has been agreed to in writing by the occupier of the premises;</w:t>
      </w:r>
    </w:p>
    <w:p w:rsidR="00F93509" w:rsidRDefault="00F93509" w:rsidP="00F93509">
      <w:pPr>
        <w:pStyle w:val="Aparareturn"/>
      </w:pPr>
      <w:r>
        <w:t>operate the equipment or other facilities to copy the information to the storage device, and remove the storage device from the premises.</w:t>
      </w:r>
    </w:p>
    <w:p w:rsidR="00F93509" w:rsidRPr="00325B6A" w:rsidRDefault="00F93509" w:rsidP="00F93509">
      <w:pPr>
        <w:pStyle w:val="AH3Div"/>
      </w:pPr>
      <w:bookmarkStart w:id="218" w:name="_Toc526844695"/>
      <w:r w:rsidRPr="00325B6A">
        <w:rPr>
          <w:rStyle w:val="CharDivNo"/>
        </w:rPr>
        <w:t>Division 11.4</w:t>
      </w:r>
      <w:r>
        <w:tab/>
      </w:r>
      <w:r w:rsidRPr="00325B6A">
        <w:rPr>
          <w:rStyle w:val="CharDivText"/>
        </w:rPr>
        <w:t>Offence-related powers</w:t>
      </w:r>
      <w:bookmarkEnd w:id="218"/>
    </w:p>
    <w:p w:rsidR="00F93509" w:rsidRDefault="00F93509" w:rsidP="00F93509">
      <w:pPr>
        <w:pStyle w:val="AH5Sec"/>
      </w:pPr>
      <w:bookmarkStart w:id="219" w:name="_Toc526844696"/>
      <w:r w:rsidRPr="00325B6A">
        <w:rPr>
          <w:rStyle w:val="CharSectNo"/>
        </w:rPr>
        <w:t>154</w:t>
      </w:r>
      <w:r>
        <w:tab/>
        <w:t>Searches and seizures related to offences</w:t>
      </w:r>
      <w:bookmarkEnd w:id="219"/>
    </w:p>
    <w:p w:rsidR="00F93509" w:rsidRDefault="00F93509" w:rsidP="00F93509">
      <w:pPr>
        <w:pStyle w:val="Amain"/>
      </w:pPr>
      <w:r>
        <w:rPr>
          <w:rFonts w:ascii="Tms Rmn" w:hAnsi="Tms Rmn"/>
        </w:rPr>
        <w:tab/>
        <w:t>(1)</w:t>
      </w:r>
      <w:r>
        <w:rPr>
          <w:rFonts w:ascii="Tms Rmn" w:hAnsi="Tms Rmn"/>
        </w:rPr>
        <w:tab/>
      </w:r>
      <w:r>
        <w:t>This section applies if an inspector has reasonable grounds for suspecting there may be evidential material on any premises.</w:t>
      </w:r>
    </w:p>
    <w:p w:rsidR="00F93509" w:rsidRDefault="00F93509" w:rsidP="00F93509">
      <w:pPr>
        <w:pStyle w:val="Amain"/>
      </w:pPr>
      <w:r>
        <w:rPr>
          <w:rFonts w:ascii="Tms Rmn" w:hAnsi="Tms Rmn"/>
        </w:rPr>
        <w:tab/>
        <w:t>(2)</w:t>
      </w:r>
      <w:r>
        <w:rPr>
          <w:rFonts w:ascii="Tms Rmn" w:hAnsi="Tms Rmn"/>
        </w:rPr>
        <w:tab/>
      </w:r>
      <w:r>
        <w:t>The inspector may—</w:t>
      </w:r>
    </w:p>
    <w:p w:rsidR="00F93509" w:rsidRDefault="00F93509" w:rsidP="00F93509">
      <w:pPr>
        <w:pStyle w:val="Apara"/>
      </w:pPr>
      <w:r>
        <w:rPr>
          <w:rFonts w:ascii="Tms Rmn" w:hAnsi="Tms Rmn"/>
        </w:rPr>
        <w:tab/>
        <w:t>(a)</w:t>
      </w:r>
      <w:r>
        <w:rPr>
          <w:rFonts w:ascii="Tms Rmn" w:hAnsi="Tms Rmn"/>
        </w:rPr>
        <w:tab/>
      </w:r>
      <w:r>
        <w:t xml:space="preserve">enter the premises, with the consent of the occupier or under a warrant issued under section 173; and </w:t>
      </w:r>
    </w:p>
    <w:p w:rsidR="00F93509" w:rsidRDefault="00F93509" w:rsidP="00F93509">
      <w:pPr>
        <w:pStyle w:val="Apara"/>
      </w:pPr>
      <w:r>
        <w:rPr>
          <w:rFonts w:ascii="Tms Rmn" w:hAnsi="Tms Rmn"/>
        </w:rPr>
        <w:tab/>
        <w:t>(b)</w:t>
      </w:r>
      <w:r>
        <w:rPr>
          <w:rFonts w:ascii="Tms Rmn" w:hAnsi="Tms Rmn"/>
        </w:rPr>
        <w:tab/>
      </w:r>
      <w:r>
        <w:t xml:space="preserve">exercise the powers set out in subsection (3) and section 155; and </w:t>
      </w:r>
    </w:p>
    <w:p w:rsidR="00F93509" w:rsidRDefault="00F93509" w:rsidP="00F93509">
      <w:pPr>
        <w:pStyle w:val="Apara"/>
      </w:pPr>
      <w:r>
        <w:rPr>
          <w:rFonts w:ascii="Tms Rmn" w:hAnsi="Tms Rmn"/>
        </w:rPr>
        <w:tab/>
        <w:t>(c)</w:t>
      </w:r>
      <w:r>
        <w:rPr>
          <w:rFonts w:ascii="Tms Rmn" w:hAnsi="Tms Rmn"/>
        </w:rPr>
        <w:tab/>
      </w:r>
      <w:r>
        <w:t>if the entry is under a warrant and the inspector finds evidential material on the premises—seize the material.</w:t>
      </w:r>
    </w:p>
    <w:p w:rsidR="00F93509" w:rsidRDefault="00F93509" w:rsidP="00F93509">
      <w:pPr>
        <w:pStyle w:val="Amain"/>
      </w:pPr>
      <w:r>
        <w:rPr>
          <w:rFonts w:ascii="Tms Rmn" w:hAnsi="Tms Rmn"/>
        </w:rPr>
        <w:tab/>
        <w:t>(3)</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in the course of searching, under a warrant, for a particular thing, an inspector finds another thing that the inspector believes, on reasonable grounds, to be evidential material; and </w:t>
      </w:r>
    </w:p>
    <w:p w:rsidR="00F93509" w:rsidRDefault="00F93509" w:rsidP="00F93509">
      <w:pPr>
        <w:pStyle w:val="Apara"/>
      </w:pPr>
      <w:r>
        <w:rPr>
          <w:rFonts w:ascii="Tms Rmn" w:hAnsi="Tms Rmn"/>
        </w:rPr>
        <w:tab/>
        <w:t>(b)</w:t>
      </w:r>
      <w:r>
        <w:rPr>
          <w:rFonts w:ascii="Tms Rmn" w:hAnsi="Tms Rmn"/>
        </w:rPr>
        <w:tab/>
      </w:r>
      <w:r>
        <w:t>the inspector believes, on reasonable grounds, that it is necessary to seize that other thing to prevent its concealment, loss or destruction, or its use in committing, continuing or repeating an offence against this Act;</w:t>
      </w:r>
    </w:p>
    <w:p w:rsidR="00F93509" w:rsidRDefault="00F93509" w:rsidP="00F93509">
      <w:pPr>
        <w:pStyle w:val="Amainreturn"/>
      </w:pPr>
      <w:r>
        <w:t>the warrant is taken to authorise the inspector to seize the other thing.</w:t>
      </w:r>
    </w:p>
    <w:p w:rsidR="00F93509" w:rsidRDefault="00F93509" w:rsidP="00F93509">
      <w:pPr>
        <w:pStyle w:val="AH5Sec"/>
      </w:pPr>
      <w:bookmarkStart w:id="220" w:name="_Toc526844697"/>
      <w:r w:rsidRPr="00325B6A">
        <w:rPr>
          <w:rStyle w:val="CharSectNo"/>
        </w:rPr>
        <w:t>155</w:t>
      </w:r>
      <w:r>
        <w:tab/>
        <w:t>Offence-related powers of inspectors for premises</w:t>
      </w:r>
      <w:bookmarkEnd w:id="220"/>
    </w:p>
    <w:p w:rsidR="00F93509" w:rsidRDefault="00F93509" w:rsidP="00F93509">
      <w:pPr>
        <w:pStyle w:val="Amainreturn"/>
        <w:keepNext/>
      </w:pPr>
      <w:r>
        <w:t>The powers an inspector may exercise under section 154 (2) (b) are as follows:</w:t>
      </w:r>
    </w:p>
    <w:p w:rsidR="00F93509" w:rsidRDefault="00F93509" w:rsidP="00F93509">
      <w:pPr>
        <w:pStyle w:val="Apara"/>
      </w:pPr>
      <w:r>
        <w:rPr>
          <w:rFonts w:ascii="Tms Rmn" w:hAnsi="Tms Rmn"/>
        </w:rPr>
        <w:tab/>
        <w:t>(a)</w:t>
      </w:r>
      <w:r>
        <w:rPr>
          <w:rFonts w:ascii="Tms Rmn" w:hAnsi="Tms Rmn"/>
        </w:rPr>
        <w:tab/>
      </w:r>
      <w:r>
        <w:t>to search the premises and anything on the premises for the evidential material;</w:t>
      </w:r>
    </w:p>
    <w:p w:rsidR="00F93509" w:rsidRDefault="00F93509" w:rsidP="00F93509">
      <w:pPr>
        <w:pStyle w:val="Apara"/>
      </w:pPr>
      <w:r>
        <w:rPr>
          <w:rFonts w:ascii="Tms Rmn" w:hAnsi="Tms Rmn"/>
        </w:rPr>
        <w:tab/>
        <w:t>(b)</w:t>
      </w:r>
      <w:r>
        <w:rPr>
          <w:rFonts w:ascii="Tms Rmn" w:hAnsi="Tms Rmn"/>
        </w:rPr>
        <w:tab/>
      </w:r>
      <w:r>
        <w:t>to inspect, examine, take measurements of, conduct tests on, or take samples of the evidential material;</w:t>
      </w:r>
    </w:p>
    <w:p w:rsidR="00F93509" w:rsidRDefault="00F93509" w:rsidP="00F93509">
      <w:pPr>
        <w:pStyle w:val="Apara"/>
      </w:pPr>
      <w:r>
        <w:rPr>
          <w:rFonts w:ascii="Tms Rmn" w:hAnsi="Tms Rmn"/>
        </w:rPr>
        <w:tab/>
        <w:t>(c)</w:t>
      </w:r>
      <w:r>
        <w:rPr>
          <w:rFonts w:ascii="Tms Rmn" w:hAnsi="Tms Rmn"/>
        </w:rPr>
        <w:tab/>
      </w:r>
      <w:r>
        <w:t>to take photographs, make video or audio recordings or make sketches of the premises or the evidential material;</w:t>
      </w:r>
    </w:p>
    <w:p w:rsidR="00F93509" w:rsidRDefault="00F93509" w:rsidP="00F93509">
      <w:pPr>
        <w:pStyle w:val="Apara"/>
      </w:pPr>
      <w:r>
        <w:rPr>
          <w:rFonts w:ascii="Tms Rmn" w:hAnsi="Tms Rmn"/>
        </w:rPr>
        <w:tab/>
        <w:t>(d)</w:t>
      </w:r>
      <w:r>
        <w:rPr>
          <w:rFonts w:ascii="Tms Rmn" w:hAnsi="Tms Rmn"/>
        </w:rPr>
        <w:tab/>
      </w:r>
      <w:r>
        <w:t>to take onto the premises the equipment and materials the inspector needs to exercise powers relating to the premises.</w:t>
      </w:r>
    </w:p>
    <w:p w:rsidR="00F93509" w:rsidRDefault="00F93509" w:rsidP="00F93509">
      <w:pPr>
        <w:pStyle w:val="AH5Sec"/>
      </w:pPr>
      <w:bookmarkStart w:id="221" w:name="_Toc526844698"/>
      <w:r w:rsidRPr="00325B6A">
        <w:rPr>
          <w:rStyle w:val="CharSectNo"/>
        </w:rPr>
        <w:t>156</w:t>
      </w:r>
      <w:r>
        <w:tab/>
        <w:t>Use of equipment at premises</w:t>
      </w:r>
      <w:bookmarkEnd w:id="221"/>
    </w:p>
    <w:p w:rsidR="00F93509" w:rsidRDefault="00F93509" w:rsidP="00F93509">
      <w:pPr>
        <w:pStyle w:val="Amain"/>
      </w:pPr>
      <w:r>
        <w:rPr>
          <w:rFonts w:ascii="Tms Rmn" w:hAnsi="Tms Rmn"/>
        </w:rPr>
        <w:tab/>
        <w:t>(1)</w:t>
      </w:r>
      <w:r>
        <w:rPr>
          <w:rFonts w:ascii="Tms Rmn" w:hAnsi="Tms Rmn"/>
        </w:rPr>
        <w:tab/>
      </w:r>
      <w:r>
        <w:t>The inspector may operate equipment at the premises to see whether evidential material is accessible by doing so, if the inspector believes, on reasonable grounds, that the equipment can be operated without damaging the equipment.</w:t>
      </w:r>
    </w:p>
    <w:p w:rsidR="00F93509" w:rsidRDefault="00F93509" w:rsidP="00F93509">
      <w:pPr>
        <w:pStyle w:val="Amain"/>
      </w:pPr>
      <w:r>
        <w:rPr>
          <w:rFonts w:ascii="Tms Rmn" w:hAnsi="Tms Rmn"/>
        </w:rPr>
        <w:tab/>
        <w:t>(2)</w:t>
      </w:r>
      <w:r>
        <w:rPr>
          <w:rFonts w:ascii="Tms Rmn" w:hAnsi="Tms Rmn"/>
        </w:rPr>
        <w:tab/>
      </w:r>
      <w:r>
        <w:t>If the inspector, after operating the equipment, finds that evidential material is accessible by doing so, the inspector may—</w:t>
      </w:r>
    </w:p>
    <w:p w:rsidR="00F93509" w:rsidRDefault="00F93509" w:rsidP="00F93509">
      <w:pPr>
        <w:pStyle w:val="Apara"/>
      </w:pPr>
      <w:r>
        <w:rPr>
          <w:rFonts w:ascii="Tms Rmn" w:hAnsi="Tms Rmn"/>
        </w:rPr>
        <w:tab/>
        <w:t>(a)</w:t>
      </w:r>
      <w:r>
        <w:rPr>
          <w:rFonts w:ascii="Tms Rmn" w:hAnsi="Tms Rmn"/>
        </w:rPr>
        <w:tab/>
      </w:r>
      <w:r>
        <w:t>seize the equipment and any disk, tape or other associated device; or</w:t>
      </w:r>
    </w:p>
    <w:p w:rsidR="00F93509" w:rsidRDefault="00F93509" w:rsidP="00F93509">
      <w:pPr>
        <w:pStyle w:val="Apara"/>
      </w:pPr>
      <w:r>
        <w:rPr>
          <w:rFonts w:ascii="Tms Rmn" w:hAnsi="Tms Rmn"/>
        </w:rPr>
        <w:tab/>
        <w:t>(b)</w:t>
      </w:r>
      <w:r>
        <w:rPr>
          <w:rFonts w:ascii="Tms Rmn" w:hAnsi="Tms Rmn"/>
        </w:rPr>
        <w:tab/>
      </w:r>
      <w:r>
        <w:t>if the material can, by using facilities at the premises, be put in documentary form—operate the facilities to put the material in documentary form and seize the documents so produced; or</w:t>
      </w:r>
    </w:p>
    <w:p w:rsidR="00F93509" w:rsidRDefault="00F93509" w:rsidP="00F93509">
      <w:pPr>
        <w:pStyle w:val="Apara"/>
      </w:pPr>
      <w:r>
        <w:rPr>
          <w:rFonts w:ascii="Tms Rmn" w:hAnsi="Tms Rmn"/>
        </w:rPr>
        <w:tab/>
        <w:t>(c)</w:t>
      </w:r>
      <w:r>
        <w:rPr>
          <w:rFonts w:ascii="Tms Rmn" w:hAnsi="Tms Rmn"/>
        </w:rPr>
        <w:tab/>
      </w:r>
      <w:r>
        <w:t>if the material can be transferred to a disk, tape or other storage device that—</w:t>
      </w:r>
    </w:p>
    <w:p w:rsidR="00F93509" w:rsidRDefault="00F93509" w:rsidP="00F93509">
      <w:pPr>
        <w:pStyle w:val="Asubpara"/>
      </w:pPr>
      <w:r>
        <w:rPr>
          <w:rFonts w:ascii="Tms Rmn" w:hAnsi="Tms Rmn"/>
        </w:rPr>
        <w:tab/>
        <w:t>(i)</w:t>
      </w:r>
      <w:r>
        <w:rPr>
          <w:rFonts w:ascii="Tms Rmn" w:hAnsi="Tms Rmn"/>
        </w:rPr>
        <w:tab/>
      </w:r>
      <w:r>
        <w:t>is brought to the premises; or</w:t>
      </w:r>
    </w:p>
    <w:p w:rsidR="00F93509" w:rsidRDefault="00F93509" w:rsidP="00CE2EDA">
      <w:pPr>
        <w:pStyle w:val="Asubpara"/>
        <w:keepNext/>
      </w:pPr>
      <w:r>
        <w:rPr>
          <w:rFonts w:ascii="Tms Rmn" w:hAnsi="Tms Rmn"/>
        </w:rPr>
        <w:tab/>
        <w:t>(ii)</w:t>
      </w:r>
      <w:r>
        <w:rPr>
          <w:rFonts w:ascii="Tms Rmn" w:hAnsi="Tms Rmn"/>
        </w:rPr>
        <w:tab/>
      </w:r>
      <w:r>
        <w:t>is at the premises and the use of which for the purpose has been agreed to in writing by the occupier of the premises;</w:t>
      </w:r>
    </w:p>
    <w:p w:rsidR="00F93509" w:rsidRDefault="00F93509" w:rsidP="00F93509">
      <w:pPr>
        <w:pStyle w:val="Aparareturn"/>
      </w:pPr>
      <w:r>
        <w:t>operate the equipment or other facilities to copy the material to the storage device and take the storage device from the premises.</w:t>
      </w:r>
    </w:p>
    <w:p w:rsidR="00F93509" w:rsidRDefault="00F93509" w:rsidP="00F93509">
      <w:pPr>
        <w:pStyle w:val="Amain"/>
        <w:keepNext/>
      </w:pPr>
      <w:r>
        <w:rPr>
          <w:rFonts w:ascii="Tms Rmn" w:hAnsi="Tms Rmn"/>
        </w:rPr>
        <w:tab/>
        <w:t>(3)</w:t>
      </w:r>
      <w:r>
        <w:rPr>
          <w:rFonts w:ascii="Tms Rmn" w:hAnsi="Tms Rmn"/>
        </w:rPr>
        <w:tab/>
      </w:r>
      <w:r>
        <w:t>An inspector may seize equipment under subsection (2) (a) only if—</w:t>
      </w:r>
    </w:p>
    <w:p w:rsidR="00F93509" w:rsidRDefault="00F93509" w:rsidP="00F93509">
      <w:pPr>
        <w:pStyle w:val="Apara"/>
      </w:pPr>
      <w:r>
        <w:rPr>
          <w:rFonts w:ascii="Tms Rmn" w:hAnsi="Tms Rmn"/>
        </w:rPr>
        <w:tab/>
        <w:t>(a)</w:t>
      </w:r>
      <w:r>
        <w:rPr>
          <w:rFonts w:ascii="Tms Rmn" w:hAnsi="Tms Rmn"/>
        </w:rPr>
        <w:tab/>
      </w:r>
      <w:r>
        <w:t>it is not practicable to put the material in documentary form as mentioned in subsection (2) (b) or to copy the material as mentioned in subsection (2) (c); or</w:t>
      </w:r>
    </w:p>
    <w:p w:rsidR="00F93509" w:rsidRDefault="00F93509" w:rsidP="00F93509">
      <w:pPr>
        <w:pStyle w:val="Apara"/>
      </w:pPr>
      <w:r>
        <w:rPr>
          <w:rFonts w:ascii="Tms Rmn" w:hAnsi="Tms Rmn"/>
        </w:rPr>
        <w:tab/>
        <w:t>(b)</w:t>
      </w:r>
      <w:r>
        <w:rPr>
          <w:rFonts w:ascii="Tms Rmn" w:hAnsi="Tms Rmn"/>
        </w:rPr>
        <w:tab/>
      </w:r>
      <w:r>
        <w:t>possession by the occupier of the equipment could constitute an offence.</w:t>
      </w:r>
    </w:p>
    <w:p w:rsidR="00F93509" w:rsidRDefault="00F93509" w:rsidP="00F93509">
      <w:pPr>
        <w:pStyle w:val="Amain"/>
      </w:pPr>
      <w:r>
        <w:rPr>
          <w:rFonts w:ascii="Tms Rmn" w:hAnsi="Tms Rmn"/>
        </w:rPr>
        <w:tab/>
        <w:t>(4)</w:t>
      </w:r>
      <w:r>
        <w:rPr>
          <w:rFonts w:ascii="Tms Rmn" w:hAnsi="Tms Rmn"/>
        </w:rPr>
        <w:tab/>
      </w:r>
      <w:r>
        <w:t>An inspector may seize equipment under subsection (2) (a) or documents under subsection (2) (b) only if the inspector entered the premises under a warrant.</w:t>
      </w:r>
    </w:p>
    <w:p w:rsidR="00F93509" w:rsidRPr="00325B6A" w:rsidRDefault="00F93509" w:rsidP="00F93509">
      <w:pPr>
        <w:pStyle w:val="AH3Div"/>
      </w:pPr>
      <w:bookmarkStart w:id="222" w:name="_Toc526844699"/>
      <w:r w:rsidRPr="00325B6A">
        <w:rPr>
          <w:rStyle w:val="CharDivNo"/>
        </w:rPr>
        <w:t>Division 11.5</w:t>
      </w:r>
      <w:r>
        <w:tab/>
      </w:r>
      <w:r w:rsidRPr="00325B6A">
        <w:rPr>
          <w:rStyle w:val="CharDivText"/>
        </w:rPr>
        <w:t>Expert assistance</w:t>
      </w:r>
      <w:bookmarkEnd w:id="222"/>
    </w:p>
    <w:p w:rsidR="00F93509" w:rsidRDefault="00F93509" w:rsidP="00F93509">
      <w:pPr>
        <w:pStyle w:val="AH5Sec"/>
      </w:pPr>
      <w:bookmarkStart w:id="223" w:name="_Toc526844700"/>
      <w:r w:rsidRPr="00325B6A">
        <w:rPr>
          <w:rStyle w:val="CharSectNo"/>
        </w:rPr>
        <w:t>157</w:t>
      </w:r>
      <w:r>
        <w:tab/>
        <w:t>Expert assistance to operate thing</w:t>
      </w:r>
      <w:bookmarkEnd w:id="223"/>
    </w:p>
    <w:p w:rsidR="00F93509" w:rsidRDefault="00F93509" w:rsidP="00F93509">
      <w:pPr>
        <w:pStyle w:val="Amain"/>
      </w:pPr>
      <w:r>
        <w:rPr>
          <w:rFonts w:ascii="Tms Rmn" w:hAnsi="Tms Rmn"/>
        </w:rPr>
        <w:tab/>
        <w:t>(1)</w:t>
      </w:r>
      <w:r>
        <w:rPr>
          <w:rFonts w:ascii="Tms Rmn" w:hAnsi="Tms Rmn"/>
        </w:rPr>
        <w:tab/>
      </w:r>
      <w:r>
        <w:t>If an inspector believes on reasonable grounds that—</w:t>
      </w:r>
    </w:p>
    <w:p w:rsidR="00F93509" w:rsidRDefault="00F93509" w:rsidP="00F93509">
      <w:pPr>
        <w:pStyle w:val="Apara"/>
      </w:pPr>
      <w:r>
        <w:rPr>
          <w:rFonts w:ascii="Tms Rmn" w:hAnsi="Tms Rmn"/>
        </w:rPr>
        <w:tab/>
        <w:t>(a)</w:t>
      </w:r>
      <w:r>
        <w:rPr>
          <w:rFonts w:ascii="Tms Rmn" w:hAnsi="Tms Rmn"/>
        </w:rPr>
        <w:tab/>
      </w:r>
      <w:r>
        <w:t xml:space="preserve">information relevant to deciding whether there has been compliance with this Act, or evidential material, may be accessible by operating a thing at particular premises; and </w:t>
      </w:r>
    </w:p>
    <w:p w:rsidR="00F93509" w:rsidRDefault="00F93509" w:rsidP="00F93509">
      <w:pPr>
        <w:pStyle w:val="Apara"/>
      </w:pPr>
      <w:r>
        <w:rPr>
          <w:rFonts w:ascii="Tms Rmn" w:hAnsi="Tms Rmn"/>
        </w:rPr>
        <w:tab/>
        <w:t>(b)</w:t>
      </w:r>
      <w:r>
        <w:rPr>
          <w:rFonts w:ascii="Tms Rmn" w:hAnsi="Tms Rmn"/>
        </w:rPr>
        <w:tab/>
      </w:r>
      <w:r>
        <w:t xml:space="preserve">expert assistance is required to operate the thing; and </w:t>
      </w:r>
    </w:p>
    <w:p w:rsidR="00F93509" w:rsidRDefault="00F93509" w:rsidP="00F93509">
      <w:pPr>
        <w:pStyle w:val="Apara"/>
      </w:pPr>
      <w:r>
        <w:rPr>
          <w:rFonts w:ascii="Tms Rmn" w:hAnsi="Tms Rmn"/>
        </w:rPr>
        <w:tab/>
        <w:t>(c)</w:t>
      </w:r>
      <w:r>
        <w:rPr>
          <w:rFonts w:ascii="Tms Rmn" w:hAnsi="Tms Rmn"/>
        </w:rPr>
        <w:tab/>
      </w:r>
      <w:r>
        <w:t>the information or material may be destroyed, altered or otherwise interfered with if the inspector does not take action under this subsection;</w:t>
      </w:r>
    </w:p>
    <w:p w:rsidR="00F93509" w:rsidRDefault="00F93509" w:rsidP="00F93509">
      <w:pPr>
        <w:pStyle w:val="Amainreturn"/>
      </w:pPr>
      <w:r>
        <w:t>the inspector may do whatever is necessary to secure the thing, whether by locking it up, placing it under guard or otherwise.</w:t>
      </w:r>
    </w:p>
    <w:p w:rsidR="00F93509" w:rsidRDefault="00F93509" w:rsidP="00F93509">
      <w:pPr>
        <w:pStyle w:val="Amain"/>
      </w:pPr>
      <w:r>
        <w:rPr>
          <w:rFonts w:ascii="Tms Rmn" w:hAnsi="Tms Rmn"/>
        </w:rPr>
        <w:tab/>
        <w:t>(2)</w:t>
      </w:r>
      <w:r>
        <w:rPr>
          <w:rFonts w:ascii="Tms Rmn" w:hAnsi="Tms Rmn"/>
        </w:rPr>
        <w:tab/>
      </w:r>
      <w:r>
        <w:t>The inspector must give notice to the occupier of the premises of the inspector’s intention to secure the thing and of the fact that the thing may be secured for up to 24 hours.</w:t>
      </w:r>
    </w:p>
    <w:p w:rsidR="00F93509" w:rsidRDefault="00F93509" w:rsidP="00F93509">
      <w:pPr>
        <w:pStyle w:val="Amain"/>
      </w:pPr>
      <w:r>
        <w:rPr>
          <w:rFonts w:ascii="Tms Rmn" w:hAnsi="Tms Rmn"/>
        </w:rPr>
        <w:tab/>
        <w:t>(3)</w:t>
      </w:r>
      <w:r>
        <w:rPr>
          <w:rFonts w:ascii="Tms Rmn" w:hAnsi="Tms Rmn"/>
        </w:rPr>
        <w:tab/>
      </w:r>
      <w:r>
        <w:t>The thing may be secured—</w:t>
      </w:r>
    </w:p>
    <w:p w:rsidR="00F93509" w:rsidRDefault="00F93509" w:rsidP="00F93509">
      <w:pPr>
        <w:pStyle w:val="Apara"/>
      </w:pPr>
      <w:r>
        <w:rPr>
          <w:rFonts w:ascii="Tms Rmn" w:hAnsi="Tms Rmn"/>
        </w:rPr>
        <w:tab/>
        <w:t>(a)</w:t>
      </w:r>
      <w:r>
        <w:rPr>
          <w:rFonts w:ascii="Tms Rmn" w:hAnsi="Tms Rmn"/>
        </w:rPr>
        <w:tab/>
      </w:r>
      <w:r>
        <w:t>for a period of not longer than 24 hours; or</w:t>
      </w:r>
    </w:p>
    <w:p w:rsidR="00F93509" w:rsidRDefault="00F93509" w:rsidP="00F93509">
      <w:pPr>
        <w:pStyle w:val="Apara"/>
        <w:keepNext/>
      </w:pPr>
      <w:r>
        <w:rPr>
          <w:rFonts w:ascii="Tms Rmn" w:hAnsi="Tms Rmn"/>
        </w:rPr>
        <w:tab/>
        <w:t>(b)</w:t>
      </w:r>
      <w:r>
        <w:rPr>
          <w:rFonts w:ascii="Tms Rmn" w:hAnsi="Tms Rmn"/>
        </w:rPr>
        <w:tab/>
      </w:r>
      <w:r>
        <w:t>until the thing has been operated by the expert;</w:t>
      </w:r>
    </w:p>
    <w:p w:rsidR="00F93509" w:rsidRDefault="00F93509" w:rsidP="00F93509">
      <w:pPr>
        <w:pStyle w:val="Amainreturn"/>
      </w:pPr>
      <w:r>
        <w:t>whichever happens first.</w:t>
      </w:r>
    </w:p>
    <w:p w:rsidR="00F93509" w:rsidRDefault="00F93509" w:rsidP="00F93509">
      <w:pPr>
        <w:pStyle w:val="Amain"/>
      </w:pPr>
      <w:r>
        <w:rPr>
          <w:rFonts w:ascii="Tms Rmn" w:hAnsi="Tms Rmn"/>
        </w:rPr>
        <w:tab/>
        <w:t>(4)</w:t>
      </w:r>
      <w:r>
        <w:rPr>
          <w:rFonts w:ascii="Tms Rmn" w:hAnsi="Tms Rmn"/>
        </w:rPr>
        <w:tab/>
      </w:r>
      <w:r>
        <w:t>If the inspector believes, on reasonable grounds, that the expert assistance will not be available within 24 hours, the inspector may apply to the Magistrates Court for an extension of the period.</w:t>
      </w:r>
    </w:p>
    <w:p w:rsidR="00F93509" w:rsidRDefault="00F93509" w:rsidP="00F93509">
      <w:pPr>
        <w:pStyle w:val="Amain"/>
      </w:pPr>
      <w:r>
        <w:rPr>
          <w:rFonts w:ascii="Tms Rmn" w:hAnsi="Tms Rmn"/>
        </w:rPr>
        <w:tab/>
        <w:t>(5)</w:t>
      </w:r>
      <w:r>
        <w:rPr>
          <w:rFonts w:ascii="Tms Rmn" w:hAnsi="Tms Rmn"/>
        </w:rPr>
        <w:tab/>
      </w:r>
      <w:r>
        <w:t>The inspector must give notice to the occupier of the premises of the inspector’s intention to apply for an extension, and the occupier is entitled to be heard on the application.</w:t>
      </w:r>
    </w:p>
    <w:p w:rsidR="00F93509" w:rsidRPr="00325B6A" w:rsidRDefault="00F93509" w:rsidP="00F93509">
      <w:pPr>
        <w:pStyle w:val="AH3Div"/>
      </w:pPr>
      <w:bookmarkStart w:id="224" w:name="_Toc526844701"/>
      <w:r w:rsidRPr="00325B6A">
        <w:rPr>
          <w:rStyle w:val="CharDivNo"/>
        </w:rPr>
        <w:t>Division 11.6</w:t>
      </w:r>
      <w:r>
        <w:tab/>
      </w:r>
      <w:r w:rsidRPr="00325B6A">
        <w:rPr>
          <w:rStyle w:val="CharDivText"/>
        </w:rPr>
        <w:t>Emergency powers</w:t>
      </w:r>
      <w:bookmarkEnd w:id="224"/>
    </w:p>
    <w:p w:rsidR="00F93509" w:rsidRDefault="00F93509" w:rsidP="00F93509">
      <w:pPr>
        <w:pStyle w:val="AH5Sec"/>
      </w:pPr>
      <w:bookmarkStart w:id="225" w:name="_Toc526844702"/>
      <w:r w:rsidRPr="00325B6A">
        <w:rPr>
          <w:rStyle w:val="CharSectNo"/>
        </w:rPr>
        <w:t>158</w:t>
      </w:r>
      <w:r>
        <w:tab/>
        <w:t>Powers available to inspectors for dealing with dangerous situations</w:t>
      </w:r>
      <w:bookmarkEnd w:id="225"/>
    </w:p>
    <w:p w:rsidR="00F93509" w:rsidRDefault="00F93509" w:rsidP="00F93509">
      <w:pPr>
        <w:pStyle w:val="Amain"/>
      </w:pPr>
      <w:r>
        <w:rPr>
          <w:rFonts w:ascii="Tms Rmn" w:hAnsi="Tms Rmn"/>
        </w:rPr>
        <w:tab/>
        <w:t>(1)</w:t>
      </w:r>
      <w:r>
        <w:rPr>
          <w:rFonts w:ascii="Tms Rmn" w:hAnsi="Tms Rmn"/>
        </w:rPr>
        <w:tab/>
      </w:r>
      <w:r>
        <w:t>This section applies if—</w:t>
      </w:r>
    </w:p>
    <w:p w:rsidR="00F93509" w:rsidRDefault="00F93509" w:rsidP="00F93509">
      <w:pPr>
        <w:pStyle w:val="Apara"/>
      </w:pPr>
      <w:r>
        <w:rPr>
          <w:rFonts w:ascii="Tms Rmn" w:hAnsi="Tms Rmn"/>
        </w:rPr>
        <w:tab/>
        <w:t>(a)</w:t>
      </w:r>
      <w:r>
        <w:rPr>
          <w:rFonts w:ascii="Tms Rmn" w:hAnsi="Tms Rmn"/>
        </w:rPr>
        <w:tab/>
      </w:r>
      <w:r>
        <w:t xml:space="preserve">an inspector has reasonable grounds for suspecting that there may be on any premises a particular thing in relation to which this Act has not been complied with; and </w:t>
      </w:r>
    </w:p>
    <w:p w:rsidR="00F93509" w:rsidRDefault="00F93509" w:rsidP="00F93509">
      <w:pPr>
        <w:pStyle w:val="Apara"/>
      </w:pPr>
      <w:r>
        <w:rPr>
          <w:rFonts w:ascii="Tms Rmn" w:hAnsi="Tms Rmn"/>
        </w:rPr>
        <w:tab/>
        <w:t>(b)</w:t>
      </w:r>
      <w:r>
        <w:rPr>
          <w:rFonts w:ascii="Tms Rmn" w:hAnsi="Tms Rmn"/>
        </w:rPr>
        <w:tab/>
      </w:r>
      <w:r>
        <w:t>the inspector considers that it is necessary to exercise powers under this section to avoid an imminent risk of death, serious illness, serious injury, or to protect the environment.</w:t>
      </w:r>
    </w:p>
    <w:p w:rsidR="00F93509" w:rsidRDefault="00F93509" w:rsidP="00F93509">
      <w:pPr>
        <w:pStyle w:val="Amain"/>
        <w:keepNext/>
      </w:pPr>
      <w:r>
        <w:rPr>
          <w:rFonts w:ascii="Tms Rmn" w:hAnsi="Tms Rmn"/>
        </w:rPr>
        <w:tab/>
        <w:t>(2)</w:t>
      </w:r>
      <w:r>
        <w:rPr>
          <w:rFonts w:ascii="Tms Rmn" w:hAnsi="Tms Rmn"/>
        </w:rPr>
        <w:tab/>
      </w:r>
      <w:r>
        <w:t>The inspector may do any of the following:</w:t>
      </w:r>
    </w:p>
    <w:p w:rsidR="00F93509" w:rsidRDefault="00F93509" w:rsidP="00F93509">
      <w:pPr>
        <w:pStyle w:val="Apara"/>
      </w:pPr>
      <w:r>
        <w:rPr>
          <w:rFonts w:ascii="Tms Rmn" w:hAnsi="Tms Rmn"/>
        </w:rPr>
        <w:tab/>
        <w:t>(a)</w:t>
      </w:r>
      <w:r>
        <w:rPr>
          <w:rFonts w:ascii="Tms Rmn" w:hAnsi="Tms Rmn"/>
        </w:rPr>
        <w:tab/>
      </w:r>
      <w:r>
        <w:t>enter the premises;</w:t>
      </w:r>
    </w:p>
    <w:p w:rsidR="00F93509" w:rsidRDefault="00F93509" w:rsidP="00F93509">
      <w:pPr>
        <w:pStyle w:val="Apara"/>
      </w:pPr>
      <w:r>
        <w:rPr>
          <w:rFonts w:ascii="Tms Rmn" w:hAnsi="Tms Rmn"/>
        </w:rPr>
        <w:tab/>
        <w:t>(b)</w:t>
      </w:r>
      <w:r>
        <w:rPr>
          <w:rFonts w:ascii="Tms Rmn" w:hAnsi="Tms Rmn"/>
        </w:rPr>
        <w:tab/>
      </w:r>
      <w:r>
        <w:t>search the premises for the thing;</w:t>
      </w:r>
    </w:p>
    <w:p w:rsidR="00F93509" w:rsidRDefault="00F93509" w:rsidP="00F93509">
      <w:pPr>
        <w:pStyle w:val="Apara"/>
      </w:pPr>
      <w:r>
        <w:rPr>
          <w:rFonts w:ascii="Tms Rmn" w:hAnsi="Tms Rmn"/>
        </w:rPr>
        <w:tab/>
        <w:t>(c)</w:t>
      </w:r>
      <w:r>
        <w:rPr>
          <w:rFonts w:ascii="Tms Rmn" w:hAnsi="Tms Rmn"/>
        </w:rPr>
        <w:tab/>
      </w:r>
      <w:r>
        <w:t>secure the thing, if the inspector finds it on the premises, until a warrant is obtained to seize the thing;</w:t>
      </w:r>
    </w:p>
    <w:p w:rsidR="00F93509" w:rsidRDefault="00F93509" w:rsidP="00F93509">
      <w:pPr>
        <w:pStyle w:val="Apara"/>
      </w:pPr>
      <w:r>
        <w:rPr>
          <w:rFonts w:ascii="Tms Rmn" w:hAnsi="Tms Rmn"/>
        </w:rPr>
        <w:tab/>
        <w:t>(d)</w:t>
      </w:r>
      <w:r>
        <w:rPr>
          <w:rFonts w:ascii="Tms Rmn" w:hAnsi="Tms Rmn"/>
        </w:rPr>
        <w:tab/>
      </w:r>
      <w:r>
        <w:t>if the inspector has reasonable grounds for suspecting that a person has not complied with this Act in relation to the thing—require the person to take the steps the inspector considers necessary for the person to comply with this Act;</w:t>
      </w:r>
    </w:p>
    <w:p w:rsidR="00F93509" w:rsidRDefault="00F93509" w:rsidP="00F93509">
      <w:pPr>
        <w:pStyle w:val="Apara"/>
      </w:pPr>
      <w:r>
        <w:rPr>
          <w:rFonts w:ascii="Tms Rmn" w:hAnsi="Tms Rmn"/>
        </w:rPr>
        <w:tab/>
        <w:t>(e)</w:t>
      </w:r>
      <w:r>
        <w:rPr>
          <w:rFonts w:ascii="Tms Rmn" w:hAnsi="Tms Rmn"/>
        </w:rPr>
        <w:tab/>
      </w:r>
      <w:r>
        <w:t>take the steps, or arrange for the steps to be taken, in relation to the thing that the inspector considers appropriate.</w:t>
      </w:r>
    </w:p>
    <w:p w:rsidR="00F93509" w:rsidRDefault="00F93509" w:rsidP="00F93509">
      <w:pPr>
        <w:pStyle w:val="Amain"/>
      </w:pPr>
      <w:r>
        <w:rPr>
          <w:rFonts w:ascii="Tms Rmn" w:hAnsi="Tms Rmn"/>
        </w:rPr>
        <w:tab/>
        <w:t>(3)</w:t>
      </w:r>
      <w:r>
        <w:rPr>
          <w:rFonts w:ascii="Tms Rmn" w:hAnsi="Tms Rmn"/>
        </w:rPr>
        <w:tab/>
      </w:r>
      <w:r>
        <w:t>The inspector may exercise the powers under subsection (2) only to the extent that it is necessary for avoiding an imminent risk of death, serious illness, serious injury or serious damage to the environment.</w:t>
      </w:r>
    </w:p>
    <w:p w:rsidR="00F93509" w:rsidRDefault="00F93509" w:rsidP="00F93509">
      <w:pPr>
        <w:pStyle w:val="Amain"/>
        <w:keepNext/>
      </w:pPr>
      <w:r>
        <w:rPr>
          <w:rFonts w:ascii="Tms Rmn" w:hAnsi="Tms Rmn"/>
        </w:rPr>
        <w:tab/>
        <w:t>(4)</w:t>
      </w:r>
      <w:r>
        <w:rPr>
          <w:rFonts w:ascii="Tms Rmn" w:hAnsi="Tms Rmn"/>
        </w:rPr>
        <w:tab/>
      </w:r>
      <w:r>
        <w:t>If the regulator incurs costs because of steps reasonably taken or arranged to be taken by an inspector under subsection (2) (e), the person is liable to pay to the Territory an amount equal to the cost.</w:t>
      </w:r>
    </w:p>
    <w:p w:rsidR="00F93509" w:rsidRPr="00821736" w:rsidRDefault="00F93509" w:rsidP="00F93509">
      <w:pPr>
        <w:pStyle w:val="aNote"/>
        <w:rPr>
          <w:lang w:eastAsia="en-AU"/>
        </w:rPr>
      </w:pPr>
      <w:r w:rsidRPr="00903C3C">
        <w:rPr>
          <w:rStyle w:val="charItals"/>
        </w:rPr>
        <w:t>Note</w:t>
      </w:r>
      <w:r w:rsidRPr="00903C3C">
        <w:rPr>
          <w:rStyle w:val="charItals"/>
        </w:rPr>
        <w:tab/>
      </w:r>
      <w:r w:rsidRPr="00821736">
        <w:rPr>
          <w:lang w:eastAsia="en-AU"/>
        </w:rPr>
        <w:t xml:space="preserve">An amount owing under a law may be recovered as a debt in a court of competent jurisdiction or the ACAT (see </w:t>
      </w:r>
      <w:hyperlink r:id="rId175" w:tooltip="A2001-14" w:history="1">
        <w:r w:rsidRPr="00903C3C">
          <w:rPr>
            <w:rStyle w:val="charCitHyperlinkAbbrev"/>
          </w:rPr>
          <w:t>Legislation Act</w:t>
        </w:r>
      </w:hyperlink>
      <w:r w:rsidRPr="00821736">
        <w:rPr>
          <w:lang w:eastAsia="en-AU"/>
        </w:rPr>
        <w:t>, s 177).</w:t>
      </w:r>
    </w:p>
    <w:p w:rsidR="00F93509" w:rsidRPr="00325B6A" w:rsidRDefault="00F93509" w:rsidP="00F93509">
      <w:pPr>
        <w:pStyle w:val="AH3Div"/>
      </w:pPr>
      <w:bookmarkStart w:id="226" w:name="_Toc526844703"/>
      <w:r w:rsidRPr="00325B6A">
        <w:rPr>
          <w:rStyle w:val="CharDivNo"/>
        </w:rPr>
        <w:t>Division 11.7</w:t>
      </w:r>
      <w:r>
        <w:tab/>
      </w:r>
      <w:r w:rsidRPr="00325B6A">
        <w:rPr>
          <w:rStyle w:val="CharDivText"/>
        </w:rPr>
        <w:t>Obligations and incidental powers of inspectors</w:t>
      </w:r>
      <w:bookmarkEnd w:id="226"/>
    </w:p>
    <w:p w:rsidR="00F93509" w:rsidRDefault="00F93509" w:rsidP="00F93509">
      <w:pPr>
        <w:pStyle w:val="AH5Sec"/>
      </w:pPr>
      <w:bookmarkStart w:id="227" w:name="_Toc526844704"/>
      <w:r w:rsidRPr="00325B6A">
        <w:rPr>
          <w:rStyle w:val="CharSectNo"/>
        </w:rPr>
        <w:t>159</w:t>
      </w:r>
      <w:r>
        <w:tab/>
        <w:t>Inspector must produce identity card on request</w:t>
      </w:r>
      <w:bookmarkEnd w:id="227"/>
    </w:p>
    <w:p w:rsidR="00F93509" w:rsidRDefault="00F93509" w:rsidP="00F93509">
      <w:pPr>
        <w:pStyle w:val="Amainreturn"/>
      </w:pPr>
      <w:r>
        <w:t>An inspector is not entitled to exercise a power under this part in relation to premises if—</w:t>
      </w:r>
    </w:p>
    <w:p w:rsidR="00F93509" w:rsidRDefault="00F93509" w:rsidP="00F93509">
      <w:pPr>
        <w:pStyle w:val="Apara"/>
      </w:pPr>
      <w:r>
        <w:rPr>
          <w:rFonts w:ascii="Tms Rmn" w:hAnsi="Tms Rmn"/>
        </w:rPr>
        <w:tab/>
        <w:t>(a)</w:t>
      </w:r>
      <w:r>
        <w:rPr>
          <w:rFonts w:ascii="Tms Rmn" w:hAnsi="Tms Rmn"/>
        </w:rPr>
        <w:tab/>
      </w:r>
      <w:r>
        <w:t xml:space="preserve">the occupier of the premises has required the inspector to produce his or her identity card for inspection by the occupier; and </w:t>
      </w:r>
    </w:p>
    <w:p w:rsidR="00F93509" w:rsidRDefault="00F93509" w:rsidP="00F93509">
      <w:pPr>
        <w:pStyle w:val="Apara"/>
      </w:pPr>
      <w:r>
        <w:rPr>
          <w:rFonts w:ascii="Tms Rmn" w:hAnsi="Tms Rmn"/>
        </w:rPr>
        <w:tab/>
        <w:t>(b)</w:t>
      </w:r>
      <w:r>
        <w:rPr>
          <w:rFonts w:ascii="Tms Rmn" w:hAnsi="Tms Rmn"/>
        </w:rPr>
        <w:tab/>
      </w:r>
      <w:r>
        <w:t>the inspector fails to comply with the requirement.</w:t>
      </w:r>
    </w:p>
    <w:p w:rsidR="00F93509" w:rsidRDefault="00F93509" w:rsidP="00255916">
      <w:pPr>
        <w:pStyle w:val="AH5Sec"/>
      </w:pPr>
      <w:bookmarkStart w:id="228" w:name="_Toc526844705"/>
      <w:r w:rsidRPr="00325B6A">
        <w:rPr>
          <w:rStyle w:val="CharSectNo"/>
        </w:rPr>
        <w:t>160</w:t>
      </w:r>
      <w:r>
        <w:tab/>
        <w:t>Consent</w:t>
      </w:r>
      <w:bookmarkEnd w:id="228"/>
    </w:p>
    <w:p w:rsidR="00F93509" w:rsidRDefault="00F93509" w:rsidP="00255916">
      <w:pPr>
        <w:pStyle w:val="Amain"/>
        <w:keepNext/>
      </w:pPr>
      <w:r>
        <w:rPr>
          <w:rFonts w:ascii="Tms Rmn" w:hAnsi="Tms Rmn"/>
        </w:rPr>
        <w:tab/>
        <w:t>(1)</w:t>
      </w:r>
      <w:r>
        <w:rPr>
          <w:rFonts w:ascii="Tms Rmn" w:hAnsi="Tms Rmn"/>
        </w:rPr>
        <w:tab/>
      </w:r>
      <w:r>
        <w:t>When seeking the consent of an occupier for section 152 (2) (a) or section 154 (2) (a), an inspector must—</w:t>
      </w:r>
    </w:p>
    <w:p w:rsidR="00F93509" w:rsidRDefault="00F93509" w:rsidP="00F93509">
      <w:pPr>
        <w:pStyle w:val="Apara"/>
      </w:pPr>
      <w:r>
        <w:tab/>
        <w:t>(a)</w:t>
      </w:r>
      <w:r>
        <w:tab/>
        <w:t>produce his or her identity card; and</w:t>
      </w:r>
    </w:p>
    <w:p w:rsidR="00F93509" w:rsidRDefault="00F93509" w:rsidP="00F93509">
      <w:pPr>
        <w:pStyle w:val="Apara"/>
      </w:pPr>
      <w:r>
        <w:tab/>
        <w:t>(b)</w:t>
      </w:r>
      <w:r>
        <w:tab/>
        <w:t>tell the occupier—</w:t>
      </w:r>
    </w:p>
    <w:p w:rsidR="00F93509" w:rsidRDefault="00F93509" w:rsidP="00F93509">
      <w:pPr>
        <w:pStyle w:val="Asubpara"/>
      </w:pPr>
      <w:r>
        <w:tab/>
        <w:t>(i)</w:t>
      </w:r>
      <w:r>
        <w:tab/>
        <w:t>the purpose of the entry; and</w:t>
      </w:r>
    </w:p>
    <w:p w:rsidR="00F93509" w:rsidRDefault="00F93509" w:rsidP="00F93509">
      <w:pPr>
        <w:pStyle w:val="Asubpara"/>
      </w:pPr>
      <w:r>
        <w:tab/>
        <w:t>(ii)</w:t>
      </w:r>
      <w:r>
        <w:tab/>
        <w:t>that anything found and seized under this part may be used in evidence in court; and</w:t>
      </w:r>
    </w:p>
    <w:p w:rsidR="00F93509" w:rsidRDefault="00F93509" w:rsidP="00F93509">
      <w:pPr>
        <w:pStyle w:val="Asubpara"/>
      </w:pPr>
      <w:r>
        <w:tab/>
        <w:t>(iii)</w:t>
      </w:r>
      <w:r>
        <w:tab/>
        <w:t>that consent may be refused.</w:t>
      </w:r>
    </w:p>
    <w:p w:rsidR="00F93509" w:rsidRDefault="00F93509" w:rsidP="00F93509">
      <w:pPr>
        <w:pStyle w:val="Amain"/>
      </w:pPr>
      <w:r>
        <w:tab/>
        <w:t>(2)</w:t>
      </w:r>
      <w:r>
        <w:tab/>
        <w:t>If the occupier consents, the inspector must ask the occupier to sign a written acknowledgment—</w:t>
      </w:r>
    </w:p>
    <w:p w:rsidR="00F93509" w:rsidRDefault="00F93509" w:rsidP="00F93509">
      <w:pPr>
        <w:pStyle w:val="Apara"/>
      </w:pPr>
      <w:r>
        <w:tab/>
        <w:t>(a)</w:t>
      </w:r>
      <w:r>
        <w:tab/>
        <w:t>that the occupier was told—</w:t>
      </w:r>
    </w:p>
    <w:p w:rsidR="00F93509" w:rsidRDefault="00F93509" w:rsidP="00F93509">
      <w:pPr>
        <w:pStyle w:val="Asubpara"/>
      </w:pPr>
      <w:r>
        <w:tab/>
        <w:t>(i)</w:t>
      </w:r>
      <w:r>
        <w:tab/>
        <w:t>the purpose of the entry; and</w:t>
      </w:r>
    </w:p>
    <w:p w:rsidR="00F93509" w:rsidRDefault="00F93509" w:rsidP="00F93509">
      <w:pPr>
        <w:pStyle w:val="Asubpara"/>
      </w:pPr>
      <w:r>
        <w:tab/>
        <w:t>(ii)</w:t>
      </w:r>
      <w:r>
        <w:tab/>
        <w:t>that anything found and seized under this part may be used in evidence in court; and</w:t>
      </w:r>
    </w:p>
    <w:p w:rsidR="00F93509" w:rsidRDefault="00F93509" w:rsidP="00F93509">
      <w:pPr>
        <w:pStyle w:val="Asubpara"/>
      </w:pPr>
      <w:r>
        <w:tab/>
        <w:t>(iii)</w:t>
      </w:r>
      <w:r>
        <w:tab/>
        <w:t>that consent may be refused; and</w:t>
      </w:r>
    </w:p>
    <w:p w:rsidR="00F93509" w:rsidRDefault="00F93509" w:rsidP="00F93509">
      <w:pPr>
        <w:pStyle w:val="Apara"/>
      </w:pPr>
      <w:r>
        <w:tab/>
        <w:t>(b)</w:t>
      </w:r>
      <w:r>
        <w:tab/>
        <w:t>that the occupier consented to the entry; and</w:t>
      </w:r>
    </w:p>
    <w:p w:rsidR="00F93509" w:rsidRDefault="00F93509" w:rsidP="00F93509">
      <w:pPr>
        <w:pStyle w:val="Apara"/>
      </w:pPr>
      <w:r>
        <w:tab/>
        <w:t>(c)</w:t>
      </w:r>
      <w:r>
        <w:tab/>
        <w:t>stating the time, and date, when consent was given.</w:t>
      </w:r>
    </w:p>
    <w:p w:rsidR="00F93509" w:rsidRDefault="00F93509" w:rsidP="00F93509">
      <w:pPr>
        <w:pStyle w:val="Amain"/>
      </w:pPr>
      <w:r>
        <w:tab/>
        <w:t>(3)</w:t>
      </w:r>
      <w:r>
        <w:tab/>
        <w:t>If the occupier signs an acknowledgment of consent, the inspector must immediately give a copy to the occupier.</w:t>
      </w:r>
    </w:p>
    <w:p w:rsidR="00F93509" w:rsidRDefault="00F93509" w:rsidP="00F93509">
      <w:pPr>
        <w:pStyle w:val="Amain"/>
      </w:pPr>
      <w:r>
        <w:tab/>
        <w:t>(4)</w:t>
      </w:r>
      <w:r>
        <w:tab/>
        <w:t>A court must presume that an occupier of premises did not consent to an entry to the premises by an inspector under this part if—</w:t>
      </w:r>
    </w:p>
    <w:p w:rsidR="00F93509" w:rsidRDefault="00F93509" w:rsidP="00F93509">
      <w:pPr>
        <w:pStyle w:val="Apara"/>
      </w:pPr>
      <w:r>
        <w:tab/>
        <w:t>(a)</w:t>
      </w:r>
      <w:r>
        <w:tab/>
        <w:t>the question whether the occupier consented to the entry arises in a proceeding in the court; and</w:t>
      </w:r>
    </w:p>
    <w:p w:rsidR="00F93509" w:rsidRDefault="00F93509" w:rsidP="00F93509">
      <w:pPr>
        <w:pStyle w:val="Apara"/>
      </w:pPr>
      <w:r>
        <w:tab/>
        <w:t>(b)</w:t>
      </w:r>
      <w:r>
        <w:tab/>
        <w:t>an acknowledgment under this section is not produced in evidence for the entry; and</w:t>
      </w:r>
    </w:p>
    <w:p w:rsidR="00F93509" w:rsidRDefault="00F93509" w:rsidP="00F93509">
      <w:pPr>
        <w:pStyle w:val="Apara"/>
        <w:keepNext/>
      </w:pPr>
      <w:r>
        <w:tab/>
        <w:t>(c)</w:t>
      </w:r>
      <w:r>
        <w:tab/>
        <w:t>it is not proved that the occupier consented to the entry.</w:t>
      </w:r>
    </w:p>
    <w:p w:rsidR="00F93509" w:rsidRDefault="00F93509" w:rsidP="00F93509">
      <w:pPr>
        <w:pStyle w:val="aNote"/>
      </w:pPr>
      <w:r w:rsidRPr="00903C3C">
        <w:rPr>
          <w:rStyle w:val="charItals"/>
        </w:rPr>
        <w:t>Note</w:t>
      </w:r>
      <w:r>
        <w:tab/>
        <w:t>This section differs from the</w:t>
      </w:r>
      <w:r w:rsidR="00B50FD4">
        <w:t xml:space="preserve"> </w:t>
      </w:r>
      <w:hyperlink r:id="rId176" w:tooltip="Gene Technology Act 2000" w:history="1">
        <w:r w:rsidR="00B50FD4" w:rsidRPr="00B50FD4">
          <w:rPr>
            <w:rStyle w:val="charCitHyperlinkAbbrev"/>
          </w:rPr>
          <w:t>Commonwealth Act</w:t>
        </w:r>
      </w:hyperlink>
      <w:r w:rsidR="00B50FD4">
        <w:t xml:space="preserve">, </w:t>
      </w:r>
      <w:r>
        <w:t>s 160.</w:t>
      </w:r>
    </w:p>
    <w:p w:rsidR="00F93509" w:rsidRDefault="00F93509" w:rsidP="00F93509">
      <w:pPr>
        <w:pStyle w:val="AH5Sec"/>
      </w:pPr>
      <w:bookmarkStart w:id="229" w:name="_Toc526844706"/>
      <w:r w:rsidRPr="00325B6A">
        <w:rPr>
          <w:rStyle w:val="CharSectNo"/>
        </w:rPr>
        <w:t>161</w:t>
      </w:r>
      <w:r>
        <w:tab/>
        <w:t>Details of warrant to be given to occupier etc</w:t>
      </w:r>
      <w:bookmarkEnd w:id="229"/>
    </w:p>
    <w:p w:rsidR="00F93509" w:rsidRDefault="00F93509" w:rsidP="00F93509">
      <w:pPr>
        <w:pStyle w:val="Amain"/>
      </w:pPr>
      <w:r>
        <w:rPr>
          <w:rFonts w:ascii="Tms Rmn" w:hAnsi="Tms Rmn"/>
        </w:rPr>
        <w:tab/>
        <w:t>(1)</w:t>
      </w:r>
      <w:r>
        <w:rPr>
          <w:rFonts w:ascii="Tms Rmn" w:hAnsi="Tms Rmn"/>
        </w:rPr>
        <w:tab/>
      </w:r>
      <w:r>
        <w:t>If a warrant in relation to premises is being executed and the occupier of the premises or someone else who apparently represents the occupier is present at the premises, the inspector must make a copy of the warrant available to the person present.</w:t>
      </w:r>
    </w:p>
    <w:p w:rsidR="00F93509" w:rsidRDefault="00F93509" w:rsidP="00F93509">
      <w:pPr>
        <w:pStyle w:val="Amain"/>
      </w:pPr>
      <w:r>
        <w:rPr>
          <w:rFonts w:ascii="Tms Rmn" w:hAnsi="Tms Rmn"/>
        </w:rPr>
        <w:tab/>
        <w:t>(2)</w:t>
      </w:r>
      <w:r>
        <w:rPr>
          <w:rFonts w:ascii="Tms Rmn" w:hAnsi="Tms Rmn"/>
        </w:rPr>
        <w:tab/>
      </w:r>
      <w:r>
        <w:t>The inspector must identify himself or herself to the person.</w:t>
      </w:r>
    </w:p>
    <w:p w:rsidR="00F93509" w:rsidRDefault="00F93509" w:rsidP="00F93509">
      <w:pPr>
        <w:pStyle w:val="Amain"/>
      </w:pPr>
      <w:r>
        <w:rPr>
          <w:rFonts w:ascii="Tms Rmn" w:hAnsi="Tms Rmn"/>
        </w:rPr>
        <w:tab/>
        <w:t>(3)</w:t>
      </w:r>
      <w:r>
        <w:rPr>
          <w:rFonts w:ascii="Tms Rmn" w:hAnsi="Tms Rmn"/>
        </w:rPr>
        <w:tab/>
      </w:r>
      <w:r>
        <w:t>The copy of the warrant need not include the signature of the magistrate who issued the warrant.</w:t>
      </w:r>
    </w:p>
    <w:p w:rsidR="00F93509" w:rsidRDefault="00F93509" w:rsidP="00F93509">
      <w:pPr>
        <w:pStyle w:val="AH5Sec"/>
      </w:pPr>
      <w:bookmarkStart w:id="230" w:name="_Toc526844707"/>
      <w:r w:rsidRPr="00325B6A">
        <w:rPr>
          <w:rStyle w:val="CharSectNo"/>
        </w:rPr>
        <w:t>162</w:t>
      </w:r>
      <w:r>
        <w:tab/>
        <w:t>Announcement before entry</w:t>
      </w:r>
      <w:bookmarkEnd w:id="230"/>
    </w:p>
    <w:p w:rsidR="00F93509" w:rsidRDefault="00F93509" w:rsidP="00F93509">
      <w:pPr>
        <w:pStyle w:val="Amain"/>
      </w:pPr>
      <w:r>
        <w:rPr>
          <w:rFonts w:ascii="Tms Rmn" w:hAnsi="Tms Rmn"/>
        </w:rPr>
        <w:tab/>
        <w:t>(1)</w:t>
      </w:r>
      <w:r>
        <w:rPr>
          <w:rFonts w:ascii="Tms Rmn" w:hAnsi="Tms Rmn"/>
        </w:rPr>
        <w:tab/>
      </w:r>
      <w:r>
        <w:t>An inspector must, before entering premises under a warrant—</w:t>
      </w:r>
    </w:p>
    <w:p w:rsidR="00F93509" w:rsidRDefault="00F93509" w:rsidP="00F93509">
      <w:pPr>
        <w:pStyle w:val="Apara"/>
      </w:pPr>
      <w:r>
        <w:rPr>
          <w:rFonts w:ascii="Tms Rmn" w:hAnsi="Tms Rmn"/>
        </w:rPr>
        <w:tab/>
        <w:t>(a)</w:t>
      </w:r>
      <w:r>
        <w:rPr>
          <w:rFonts w:ascii="Tms Rmn" w:hAnsi="Tms Rmn"/>
        </w:rPr>
        <w:tab/>
      </w:r>
      <w:r>
        <w:t xml:space="preserve">announce that the inspector is authorised to enter the premises; and </w:t>
      </w:r>
    </w:p>
    <w:p w:rsidR="00F93509" w:rsidRDefault="00F93509" w:rsidP="00F93509">
      <w:pPr>
        <w:pStyle w:val="Apara"/>
      </w:pPr>
      <w:r>
        <w:rPr>
          <w:rFonts w:ascii="Tms Rmn" w:hAnsi="Tms Rmn"/>
        </w:rPr>
        <w:tab/>
        <w:t>(b)</w:t>
      </w:r>
      <w:r>
        <w:rPr>
          <w:rFonts w:ascii="Tms Rmn" w:hAnsi="Tms Rmn"/>
        </w:rPr>
        <w:tab/>
      </w:r>
      <w:r>
        <w:t>give anyone at the premises an opportunity to allow entry to the premises.</w:t>
      </w:r>
    </w:p>
    <w:p w:rsidR="00F93509" w:rsidRDefault="00F93509" w:rsidP="00F93509">
      <w:pPr>
        <w:pStyle w:val="Amain"/>
      </w:pPr>
      <w:r>
        <w:rPr>
          <w:rFonts w:ascii="Tms Rmn" w:hAnsi="Tms Rmn"/>
        </w:rPr>
        <w:tab/>
        <w:t>(2)</w:t>
      </w:r>
      <w:r>
        <w:rPr>
          <w:rFonts w:ascii="Tms Rmn" w:hAnsi="Tms Rmn"/>
        </w:rPr>
        <w:tab/>
      </w:r>
      <w:r>
        <w:t>An inspector is not required to comply with subsection (1) if the inspector believes, on reasonable grounds, that immediate entry to the premises is required—</w:t>
      </w:r>
    </w:p>
    <w:p w:rsidR="00F93509" w:rsidRDefault="00F93509" w:rsidP="00F93509">
      <w:pPr>
        <w:pStyle w:val="Apara"/>
      </w:pPr>
      <w:r>
        <w:rPr>
          <w:rFonts w:ascii="Tms Rmn" w:hAnsi="Tms Rmn"/>
        </w:rPr>
        <w:tab/>
        <w:t>(a)</w:t>
      </w:r>
      <w:r>
        <w:rPr>
          <w:rFonts w:ascii="Tms Rmn" w:hAnsi="Tms Rmn"/>
        </w:rPr>
        <w:tab/>
      </w:r>
      <w:r>
        <w:t>to ensure the safety of a person; or</w:t>
      </w:r>
    </w:p>
    <w:p w:rsidR="00F93509" w:rsidRDefault="00F93509" w:rsidP="00F93509">
      <w:pPr>
        <w:pStyle w:val="Apara"/>
      </w:pPr>
      <w:r>
        <w:rPr>
          <w:rFonts w:ascii="Tms Rmn" w:hAnsi="Tms Rmn"/>
        </w:rPr>
        <w:tab/>
        <w:t>(b)</w:t>
      </w:r>
      <w:r>
        <w:rPr>
          <w:rFonts w:ascii="Tms Rmn" w:hAnsi="Tms Rmn"/>
        </w:rPr>
        <w:tab/>
      </w:r>
      <w:r>
        <w:t>to prevent serious damage to the environment; or</w:t>
      </w:r>
    </w:p>
    <w:p w:rsidR="00F93509" w:rsidRDefault="00F93509" w:rsidP="00F93509">
      <w:pPr>
        <w:pStyle w:val="Apara"/>
      </w:pPr>
      <w:r>
        <w:rPr>
          <w:rFonts w:ascii="Tms Rmn" w:hAnsi="Tms Rmn"/>
        </w:rPr>
        <w:tab/>
        <w:t>(c)</w:t>
      </w:r>
      <w:r>
        <w:rPr>
          <w:rFonts w:ascii="Tms Rmn" w:hAnsi="Tms Rmn"/>
        </w:rPr>
        <w:tab/>
      </w:r>
      <w:r>
        <w:t>to ensure that the effective execution of the warrant is not frustrated.</w:t>
      </w:r>
    </w:p>
    <w:p w:rsidR="00F93509" w:rsidRDefault="00F93509" w:rsidP="00255916">
      <w:pPr>
        <w:pStyle w:val="AH5Sec"/>
      </w:pPr>
      <w:bookmarkStart w:id="231" w:name="_Toc526844708"/>
      <w:r w:rsidRPr="00325B6A">
        <w:rPr>
          <w:rStyle w:val="CharSectNo"/>
        </w:rPr>
        <w:t>163</w:t>
      </w:r>
      <w:r>
        <w:tab/>
        <w:t>Compensation for damage</w:t>
      </w:r>
      <w:bookmarkEnd w:id="231"/>
    </w:p>
    <w:p w:rsidR="00F93509" w:rsidRDefault="00F93509" w:rsidP="00255916">
      <w:pPr>
        <w:pStyle w:val="Amain"/>
        <w:keepNext/>
      </w:pPr>
      <w:r>
        <w:rPr>
          <w:rFonts w:ascii="Tms Rmn" w:hAnsi="Tms Rmn"/>
        </w:rPr>
        <w:tab/>
        <w:t>(1)</w:t>
      </w:r>
      <w:r>
        <w:rPr>
          <w:rFonts w:ascii="Tms Rmn" w:hAnsi="Tms Rmn"/>
        </w:rPr>
        <w:tab/>
      </w:r>
      <w:r>
        <w:t>The owner of a thing is entitled to compensation for damage to the thing if—</w:t>
      </w:r>
    </w:p>
    <w:p w:rsidR="00F93509" w:rsidRDefault="00F93509" w:rsidP="00F93509">
      <w:pPr>
        <w:pStyle w:val="Apara"/>
      </w:pPr>
      <w:r>
        <w:rPr>
          <w:rFonts w:ascii="Tms Rmn" w:hAnsi="Tms Rmn"/>
        </w:rPr>
        <w:tab/>
        <w:t>(a)</w:t>
      </w:r>
      <w:r>
        <w:rPr>
          <w:rFonts w:ascii="Tms Rmn" w:hAnsi="Tms Rmn"/>
        </w:rPr>
        <w:tab/>
      </w:r>
      <w:r>
        <w:t xml:space="preserve">the damage was caused to the thing because of it being operated as mentioned in this part; and </w:t>
      </w:r>
    </w:p>
    <w:p w:rsidR="00F93509" w:rsidRDefault="00F93509" w:rsidP="00F93509">
      <w:pPr>
        <w:pStyle w:val="Apara"/>
      </w:pPr>
      <w:r>
        <w:rPr>
          <w:rFonts w:ascii="Tms Rmn" w:hAnsi="Tms Rmn"/>
        </w:rPr>
        <w:tab/>
        <w:t>(b)</w:t>
      </w:r>
      <w:r>
        <w:rPr>
          <w:rFonts w:ascii="Tms Rmn" w:hAnsi="Tms Rmn"/>
        </w:rPr>
        <w:tab/>
      </w:r>
      <w:r>
        <w:t>the damage was caused because of—</w:t>
      </w:r>
    </w:p>
    <w:p w:rsidR="00F93509" w:rsidRDefault="00F93509" w:rsidP="00F93509">
      <w:pPr>
        <w:pStyle w:val="Asubpara"/>
      </w:pPr>
      <w:r>
        <w:rPr>
          <w:rFonts w:ascii="Tms Rmn" w:hAnsi="Tms Rmn"/>
        </w:rPr>
        <w:tab/>
        <w:t>(i)</w:t>
      </w:r>
      <w:r>
        <w:rPr>
          <w:rFonts w:ascii="Tms Rmn" w:hAnsi="Tms Rmn"/>
        </w:rPr>
        <w:tab/>
      </w:r>
      <w:r>
        <w:t>insufficient care being exercised in selecting the person to operate the thing; or</w:t>
      </w:r>
    </w:p>
    <w:p w:rsidR="00F93509" w:rsidRDefault="00F93509" w:rsidP="00F93509">
      <w:pPr>
        <w:pStyle w:val="Asubpara"/>
      </w:pPr>
      <w:r>
        <w:rPr>
          <w:rFonts w:ascii="Tms Rmn" w:hAnsi="Tms Rmn"/>
        </w:rPr>
        <w:tab/>
        <w:t>(ii)</w:t>
      </w:r>
      <w:r>
        <w:rPr>
          <w:rFonts w:ascii="Tms Rmn" w:hAnsi="Tms Rmn"/>
        </w:rPr>
        <w:tab/>
      </w:r>
      <w:r>
        <w:t>insufficient care being exercised by the person operating the thing.</w:t>
      </w:r>
    </w:p>
    <w:p w:rsidR="00F93509" w:rsidRDefault="00F93509" w:rsidP="00F93509">
      <w:pPr>
        <w:pStyle w:val="Amain"/>
      </w:pPr>
      <w:r>
        <w:rPr>
          <w:rFonts w:ascii="Tms Rmn" w:hAnsi="Tms Rmn"/>
        </w:rPr>
        <w:tab/>
        <w:t>(2)</w:t>
      </w:r>
      <w:r>
        <w:rPr>
          <w:rFonts w:ascii="Tms Rmn" w:hAnsi="Tms Rmn"/>
        </w:rPr>
        <w:tab/>
      </w:r>
      <w:r>
        <w:t>Compensation is payable by the regulator.</w:t>
      </w:r>
    </w:p>
    <w:p w:rsidR="00F93509" w:rsidRDefault="00F93509" w:rsidP="00F93509">
      <w:pPr>
        <w:pStyle w:val="Amain"/>
        <w:keepNext/>
      </w:pPr>
      <w:r>
        <w:rPr>
          <w:rFonts w:ascii="Tms Rmn" w:hAnsi="Tms Rmn"/>
        </w:rPr>
        <w:tab/>
        <w:t>(3)</w:t>
      </w:r>
      <w:r>
        <w:rPr>
          <w:rFonts w:ascii="Tms Rmn" w:hAnsi="Tms Rmn"/>
        </w:rPr>
        <w:tab/>
      </w:r>
      <w:r>
        <w:t>In deciding the amount of compensation payable, regard is to be had to whether the occupier of the premises and the occupier’s employees and agents, if they were available at the time, had provided any warning or guidance about the operation of the thing that was appropriate in the circumstances.</w:t>
      </w:r>
    </w:p>
    <w:p w:rsidR="00F93509" w:rsidRDefault="00F93509" w:rsidP="00F93509">
      <w:pPr>
        <w:pStyle w:val="aNote"/>
      </w:pPr>
      <w:r>
        <w:rPr>
          <w:rStyle w:val="charItals"/>
        </w:rPr>
        <w:t>Note</w:t>
      </w:r>
      <w:r>
        <w:tab/>
        <w:t>The</w:t>
      </w:r>
      <w:r w:rsidR="00B50FD4">
        <w:t xml:space="preserve"> </w:t>
      </w:r>
      <w:hyperlink r:id="rId177" w:tooltip="Gene Technology Act 2000" w:history="1">
        <w:r w:rsidR="00B50FD4" w:rsidRPr="00B50FD4">
          <w:rPr>
            <w:rStyle w:val="charCitHyperlinkAbbrev"/>
          </w:rPr>
          <w:t>Commonwealth Act</w:t>
        </w:r>
      </w:hyperlink>
      <w:r w:rsidR="00B50FD4">
        <w:t xml:space="preserve">, </w:t>
      </w:r>
      <w:r>
        <w:t>s 163 (2) provides for compensation to be payable out of money appropriated by the Commonwealth Parliament.</w:t>
      </w:r>
    </w:p>
    <w:p w:rsidR="00F93509" w:rsidRPr="00325B6A" w:rsidRDefault="00F93509" w:rsidP="00F93509">
      <w:pPr>
        <w:pStyle w:val="AH3Div"/>
      </w:pPr>
      <w:bookmarkStart w:id="232" w:name="_Toc526844709"/>
      <w:r w:rsidRPr="00325B6A">
        <w:rPr>
          <w:rStyle w:val="CharDivNo"/>
        </w:rPr>
        <w:t>Division 11.8</w:t>
      </w:r>
      <w:r>
        <w:tab/>
      </w:r>
      <w:r w:rsidRPr="00325B6A">
        <w:rPr>
          <w:rStyle w:val="CharDivText"/>
        </w:rPr>
        <w:t>Power to search goods, baggage and containers and seize goods</w:t>
      </w:r>
      <w:bookmarkEnd w:id="232"/>
    </w:p>
    <w:p w:rsidR="00F93509" w:rsidRDefault="00F93509" w:rsidP="00F93509">
      <w:pPr>
        <w:pStyle w:val="AH5Sec"/>
      </w:pPr>
      <w:bookmarkStart w:id="233" w:name="_Toc526844710"/>
      <w:r w:rsidRPr="00325B6A">
        <w:rPr>
          <w:rStyle w:val="CharSectNo"/>
        </w:rPr>
        <w:t>164</w:t>
      </w:r>
      <w:r>
        <w:tab/>
        <w:t>Power to search goods, baggage etc</w:t>
      </w:r>
      <w:bookmarkEnd w:id="233"/>
    </w:p>
    <w:p w:rsidR="00F93509" w:rsidRDefault="00F93509" w:rsidP="00F93509">
      <w:pPr>
        <w:pStyle w:val="Amain"/>
      </w:pPr>
      <w:r>
        <w:rPr>
          <w:rFonts w:ascii="Tms Rmn" w:hAnsi="Tms Rmn"/>
        </w:rPr>
        <w:tab/>
        <w:t>(1)</w:t>
      </w:r>
      <w:r>
        <w:rPr>
          <w:rFonts w:ascii="Tms Rmn" w:hAnsi="Tms Rmn"/>
        </w:rPr>
        <w:tab/>
      </w:r>
      <w:r>
        <w:t>This section applies to any goods that are to be, are being, or have been, taken off an aircraft that flies between a place outside the ACT and a place in the ACT.</w:t>
      </w:r>
    </w:p>
    <w:p w:rsidR="00F93509" w:rsidRDefault="00F93509" w:rsidP="00F93509">
      <w:pPr>
        <w:pStyle w:val="Amain"/>
      </w:pPr>
      <w:r>
        <w:rPr>
          <w:rFonts w:ascii="Tms Rmn" w:hAnsi="Tms Rmn"/>
        </w:rPr>
        <w:tab/>
        <w:t>(2)</w:t>
      </w:r>
      <w:r>
        <w:rPr>
          <w:rFonts w:ascii="Tms Rmn" w:hAnsi="Tms Rmn"/>
        </w:rPr>
        <w:tab/>
      </w:r>
      <w:r>
        <w:t>If an inspector believes, on reasonable grounds, that goods are goods to which this section applies, and that the goods may be, or may contain, evidential material, the inspector may—</w:t>
      </w:r>
    </w:p>
    <w:p w:rsidR="00F93509" w:rsidRDefault="00F93509" w:rsidP="00F93509">
      <w:pPr>
        <w:pStyle w:val="Apara"/>
      </w:pPr>
      <w:r>
        <w:rPr>
          <w:rFonts w:ascii="Tms Rmn" w:hAnsi="Tms Rmn"/>
        </w:rPr>
        <w:tab/>
        <w:t>(a)</w:t>
      </w:r>
      <w:r>
        <w:rPr>
          <w:rFonts w:ascii="Tms Rmn" w:hAnsi="Tms Rmn"/>
        </w:rPr>
        <w:tab/>
      </w:r>
      <w:r>
        <w:t>examine the goods; or</w:t>
      </w:r>
    </w:p>
    <w:p w:rsidR="00F93509" w:rsidRDefault="00F93509" w:rsidP="00F93509">
      <w:pPr>
        <w:pStyle w:val="Apara"/>
      </w:pPr>
      <w:r>
        <w:rPr>
          <w:rFonts w:ascii="Tms Rmn" w:hAnsi="Tms Rmn"/>
        </w:rPr>
        <w:tab/>
        <w:t>(b)</w:t>
      </w:r>
      <w:r>
        <w:rPr>
          <w:rFonts w:ascii="Tms Rmn" w:hAnsi="Tms Rmn"/>
        </w:rPr>
        <w:tab/>
      </w:r>
      <w:r>
        <w:t>if the goods are baggage—open and search the baggage; or</w:t>
      </w:r>
    </w:p>
    <w:p w:rsidR="00F93509" w:rsidRDefault="00F93509" w:rsidP="00F93509">
      <w:pPr>
        <w:pStyle w:val="Apara"/>
      </w:pPr>
      <w:r>
        <w:rPr>
          <w:rFonts w:ascii="Tms Rmn" w:hAnsi="Tms Rmn"/>
        </w:rPr>
        <w:tab/>
        <w:t>(c)</w:t>
      </w:r>
      <w:r>
        <w:rPr>
          <w:rFonts w:ascii="Tms Rmn" w:hAnsi="Tms Rmn"/>
        </w:rPr>
        <w:tab/>
      </w:r>
      <w:r>
        <w:t>if the goods are in a container—open and search the container.</w:t>
      </w:r>
    </w:p>
    <w:p w:rsidR="00F93509" w:rsidRDefault="00F93509" w:rsidP="00F93509">
      <w:pPr>
        <w:pStyle w:val="Amain"/>
      </w:pPr>
      <w:r>
        <w:rPr>
          <w:rFonts w:ascii="Tms Rmn" w:hAnsi="Tms Rmn"/>
        </w:rPr>
        <w:tab/>
        <w:t>(3)</w:t>
      </w:r>
      <w:r>
        <w:rPr>
          <w:rFonts w:ascii="Tms Rmn" w:hAnsi="Tms Rmn"/>
        </w:rPr>
        <w:tab/>
      </w:r>
      <w:r>
        <w:t>An inspector may ask a person who owns, is carrying or is otherwise associated with, or appears to the inspector to be associated with, goods to which this section applies, any question about the goods.</w:t>
      </w:r>
    </w:p>
    <w:p w:rsidR="00F93509" w:rsidRDefault="00F93509" w:rsidP="00F93509">
      <w:pPr>
        <w:pStyle w:val="Amain"/>
        <w:keepNext/>
      </w:pPr>
      <w:r>
        <w:rPr>
          <w:rFonts w:ascii="Tms Rmn" w:hAnsi="Tms Rmn"/>
        </w:rPr>
        <w:tab/>
        <w:t>(4)</w:t>
      </w:r>
      <w:r>
        <w:rPr>
          <w:rFonts w:ascii="Tms Rmn" w:hAnsi="Tms Rmn"/>
        </w:rPr>
        <w:tab/>
      </w:r>
      <w:r>
        <w:t>A person must not fail to answer a question put to the person under subsection (3).</w:t>
      </w:r>
    </w:p>
    <w:p w:rsidR="00F93509" w:rsidRDefault="00F93509" w:rsidP="00F93509">
      <w:pPr>
        <w:pStyle w:val="Penalty"/>
      </w:pPr>
      <w:r>
        <w:t>Maximum penalty:  30 penalty units.</w:t>
      </w:r>
    </w:p>
    <w:p w:rsidR="00F93509" w:rsidRDefault="00F93509" w:rsidP="00F93509">
      <w:pPr>
        <w:pStyle w:val="Amain"/>
        <w:keepNext/>
      </w:pPr>
      <w:r>
        <w:tab/>
        <w:t>(5)</w:t>
      </w:r>
      <w:r>
        <w:tab/>
        <w:t>An offence against subsection (4) is a strict liability offence.</w:t>
      </w:r>
    </w:p>
    <w:p w:rsidR="00F93509" w:rsidRDefault="00F93509" w:rsidP="00F93509">
      <w:pPr>
        <w:pStyle w:val="aNote"/>
        <w:keepNext/>
      </w:pPr>
      <w:r w:rsidRPr="00903C3C">
        <w:rPr>
          <w:rStyle w:val="charItals"/>
        </w:rPr>
        <w:t>Note 1</w:t>
      </w:r>
      <w:r>
        <w:tab/>
        <w:t xml:space="preserve">For strict liability offences, see the </w:t>
      </w:r>
      <w:hyperlink r:id="rId178" w:tooltip="A2002-51" w:history="1">
        <w:r w:rsidRPr="00903C3C">
          <w:rPr>
            <w:rStyle w:val="charCitHyperlinkAbbrev"/>
          </w:rPr>
          <w:t>Criminal Code</w:t>
        </w:r>
      </w:hyperlink>
      <w:r>
        <w:t>, s 23.</w:t>
      </w:r>
    </w:p>
    <w:p w:rsidR="00F93509" w:rsidRDefault="00F93509" w:rsidP="00F93509">
      <w:pPr>
        <w:pStyle w:val="aNote"/>
      </w:pPr>
      <w:r>
        <w:rPr>
          <w:rStyle w:val="charItals"/>
        </w:rPr>
        <w:t>Note 2</w:t>
      </w:r>
      <w:r>
        <w:tab/>
        <w:t>This section differs from the</w:t>
      </w:r>
      <w:r w:rsidR="00B50FD4">
        <w:t xml:space="preserve"> </w:t>
      </w:r>
      <w:hyperlink r:id="rId179" w:tooltip="Gene Technology Act 2000" w:history="1">
        <w:r w:rsidR="00B50FD4" w:rsidRPr="00B50FD4">
          <w:rPr>
            <w:rStyle w:val="charCitHyperlinkAbbrev"/>
          </w:rPr>
          <w:t>Commonwealth Act</w:t>
        </w:r>
      </w:hyperlink>
      <w:r w:rsidR="00B50FD4">
        <w:t xml:space="preserve">, </w:t>
      </w:r>
      <w:r>
        <w:t>s 164.</w:t>
      </w:r>
    </w:p>
    <w:p w:rsidR="00F93509" w:rsidRDefault="00F93509" w:rsidP="00F93509">
      <w:pPr>
        <w:pStyle w:val="AH5Sec"/>
      </w:pPr>
      <w:bookmarkStart w:id="234" w:name="_Toc526844711"/>
      <w:r w:rsidRPr="00325B6A">
        <w:rPr>
          <w:rStyle w:val="CharSectNo"/>
        </w:rPr>
        <w:t>165</w:t>
      </w:r>
      <w:r>
        <w:tab/>
        <w:t>Seizure of goods</w:t>
      </w:r>
      <w:bookmarkEnd w:id="234"/>
    </w:p>
    <w:p w:rsidR="00F93509" w:rsidRDefault="00F93509" w:rsidP="00F93509">
      <w:pPr>
        <w:pStyle w:val="Amainreturn"/>
      </w:pPr>
      <w:r>
        <w:t>An inspector may seize goods mentioned in section 164 if the inspector has reasonable grounds to suspect that the goods are evidential material.</w:t>
      </w:r>
    </w:p>
    <w:p w:rsidR="00F93509" w:rsidRPr="00325B6A" w:rsidRDefault="00F93509" w:rsidP="00F93509">
      <w:pPr>
        <w:pStyle w:val="AH3Div"/>
      </w:pPr>
      <w:bookmarkStart w:id="235" w:name="_Toc526844712"/>
      <w:r w:rsidRPr="00325B6A">
        <w:rPr>
          <w:rStyle w:val="CharDivNo"/>
        </w:rPr>
        <w:t>Division 11.9</w:t>
      </w:r>
      <w:r>
        <w:tab/>
      </w:r>
      <w:r w:rsidRPr="00325B6A">
        <w:rPr>
          <w:rStyle w:val="CharDivText"/>
        </w:rPr>
        <w:t>General provisions relating to search and seizure</w:t>
      </w:r>
      <w:bookmarkEnd w:id="235"/>
    </w:p>
    <w:p w:rsidR="00F93509" w:rsidRDefault="00F93509" w:rsidP="00F93509">
      <w:pPr>
        <w:pStyle w:val="AH5Sec"/>
      </w:pPr>
      <w:bookmarkStart w:id="236" w:name="_Toc526844713"/>
      <w:r w:rsidRPr="00325B6A">
        <w:rPr>
          <w:rStyle w:val="CharSectNo"/>
        </w:rPr>
        <w:t>166</w:t>
      </w:r>
      <w:r>
        <w:tab/>
        <w:t>Copies of seized things to be provided</w:t>
      </w:r>
      <w:bookmarkEnd w:id="236"/>
    </w:p>
    <w:p w:rsidR="00F93509" w:rsidRDefault="00F93509" w:rsidP="00F93509">
      <w:pPr>
        <w:pStyle w:val="Amain"/>
      </w:pPr>
      <w:r>
        <w:rPr>
          <w:rFonts w:ascii="Tms Rmn" w:hAnsi="Tms Rmn"/>
        </w:rPr>
        <w:tab/>
        <w:t>(1)</w:t>
      </w:r>
      <w:r>
        <w:rPr>
          <w:rFonts w:ascii="Tms Rmn" w:hAnsi="Tms Rmn"/>
        </w:rPr>
        <w:tab/>
      </w:r>
      <w:r>
        <w:t>If an inspector seizes, under a warrant relating to premises—</w:t>
      </w:r>
    </w:p>
    <w:p w:rsidR="00F93509" w:rsidRDefault="00F93509" w:rsidP="00F93509">
      <w:pPr>
        <w:pStyle w:val="Apara"/>
      </w:pPr>
      <w:r>
        <w:rPr>
          <w:rFonts w:ascii="Tms Rmn" w:hAnsi="Tms Rmn"/>
        </w:rPr>
        <w:tab/>
        <w:t>(a)</w:t>
      </w:r>
      <w:r>
        <w:rPr>
          <w:rFonts w:ascii="Tms Rmn" w:hAnsi="Tms Rmn"/>
        </w:rPr>
        <w:tab/>
      </w:r>
      <w:r>
        <w:t>a document, film, computer file or other thing that can be readily copied; or</w:t>
      </w:r>
    </w:p>
    <w:p w:rsidR="00F93509" w:rsidRDefault="00F93509" w:rsidP="00F93509">
      <w:pPr>
        <w:pStyle w:val="Apara"/>
      </w:pPr>
      <w:r>
        <w:rPr>
          <w:rFonts w:ascii="Tms Rmn" w:hAnsi="Tms Rmn"/>
        </w:rPr>
        <w:tab/>
        <w:t>(b)</w:t>
      </w:r>
      <w:r>
        <w:rPr>
          <w:rFonts w:ascii="Tms Rmn" w:hAnsi="Tms Rmn"/>
        </w:rPr>
        <w:tab/>
      </w:r>
      <w:r>
        <w:t>a storage device, the information in which can be readily copied;</w:t>
      </w:r>
    </w:p>
    <w:p w:rsidR="00F93509" w:rsidRDefault="00F93509" w:rsidP="00F93509">
      <w:pPr>
        <w:pStyle w:val="Amainreturn"/>
      </w:pPr>
      <w:r>
        <w:t>the inspector must, if asked to do so by the occupier of the premises, or someone else who apparently represents the occupier and who is present when the warrant is executed, give a copy of the thing or the information to that person as soon as practicable after the seizure.</w:t>
      </w:r>
    </w:p>
    <w:p w:rsidR="00F93509" w:rsidRDefault="00F93509" w:rsidP="00F93509">
      <w:pPr>
        <w:pStyle w:val="Amain"/>
      </w:pPr>
      <w:r>
        <w:rPr>
          <w:rFonts w:ascii="Tms Rmn" w:hAnsi="Tms Rmn"/>
        </w:rPr>
        <w:tab/>
        <w:t>(2)</w:t>
      </w:r>
      <w:r>
        <w:rPr>
          <w:rFonts w:ascii="Tms Rmn" w:hAnsi="Tms Rmn"/>
        </w:rPr>
        <w:tab/>
      </w:r>
      <w:r>
        <w:t>Subsection (1) does not apply if—</w:t>
      </w:r>
    </w:p>
    <w:p w:rsidR="00F93509" w:rsidRDefault="00F93509" w:rsidP="00F93509">
      <w:pPr>
        <w:pStyle w:val="Apara"/>
      </w:pPr>
      <w:r>
        <w:rPr>
          <w:rFonts w:ascii="Tms Rmn" w:hAnsi="Tms Rmn"/>
        </w:rPr>
        <w:tab/>
        <w:t>(a)</w:t>
      </w:r>
      <w:r>
        <w:rPr>
          <w:rFonts w:ascii="Tms Rmn" w:hAnsi="Tms Rmn"/>
        </w:rPr>
        <w:tab/>
      </w:r>
      <w:r>
        <w:t>the thing that has been seized was seized under section 156 (2) (b) or (c); or</w:t>
      </w:r>
    </w:p>
    <w:p w:rsidR="00F93509" w:rsidRDefault="00F93509" w:rsidP="00F93509">
      <w:pPr>
        <w:pStyle w:val="Apara"/>
      </w:pPr>
      <w:r>
        <w:rPr>
          <w:rFonts w:ascii="Tms Rmn" w:hAnsi="Tms Rmn"/>
        </w:rPr>
        <w:tab/>
        <w:t>(b)</w:t>
      </w:r>
      <w:r>
        <w:rPr>
          <w:rFonts w:ascii="Tms Rmn" w:hAnsi="Tms Rmn"/>
        </w:rPr>
        <w:tab/>
      </w:r>
      <w:r>
        <w:t>possession by the occupier of the document, film, computer file, thing or information could constitute an offence.</w:t>
      </w:r>
    </w:p>
    <w:p w:rsidR="00F93509" w:rsidRDefault="00F93509" w:rsidP="00F93509">
      <w:pPr>
        <w:pStyle w:val="AH5Sec"/>
      </w:pPr>
      <w:bookmarkStart w:id="237" w:name="_Toc526844714"/>
      <w:r w:rsidRPr="00325B6A">
        <w:rPr>
          <w:rStyle w:val="CharSectNo"/>
        </w:rPr>
        <w:t>167</w:t>
      </w:r>
      <w:r>
        <w:tab/>
        <w:t>Occupier entitled to be present during search</w:t>
      </w:r>
      <w:bookmarkEnd w:id="237"/>
    </w:p>
    <w:p w:rsidR="00F93509" w:rsidRDefault="00F93509" w:rsidP="00F93509">
      <w:pPr>
        <w:pStyle w:val="Amain"/>
      </w:pPr>
      <w:r>
        <w:rPr>
          <w:rFonts w:ascii="Tms Rmn" w:hAnsi="Tms Rmn"/>
        </w:rPr>
        <w:tab/>
        <w:t>(1)</w:t>
      </w:r>
      <w:r>
        <w:rPr>
          <w:rFonts w:ascii="Tms Rmn" w:hAnsi="Tms Rmn"/>
        </w:rPr>
        <w:tab/>
      </w:r>
      <w:r>
        <w:t>If a warrant in relation to premises is being executed and the occupier of the premises, or someone else who apparently represents the occupier is present at the premises, the person is entitled to observe the search being conducted.</w:t>
      </w:r>
    </w:p>
    <w:p w:rsidR="00F93509" w:rsidRDefault="00F93509" w:rsidP="00F93509">
      <w:pPr>
        <w:pStyle w:val="Amain"/>
      </w:pPr>
      <w:r>
        <w:rPr>
          <w:rFonts w:ascii="Tms Rmn" w:hAnsi="Tms Rmn"/>
        </w:rPr>
        <w:tab/>
        <w:t>(2)</w:t>
      </w:r>
      <w:r>
        <w:rPr>
          <w:rFonts w:ascii="Tms Rmn" w:hAnsi="Tms Rmn"/>
        </w:rPr>
        <w:tab/>
      </w:r>
      <w:r>
        <w:t>The right to observe the search being conducted ceases if the person impedes the search.</w:t>
      </w:r>
    </w:p>
    <w:p w:rsidR="00F93509" w:rsidRDefault="00F93509" w:rsidP="00F93509">
      <w:pPr>
        <w:pStyle w:val="Amain"/>
      </w:pPr>
      <w:r>
        <w:rPr>
          <w:rFonts w:ascii="Tms Rmn" w:hAnsi="Tms Rmn"/>
        </w:rPr>
        <w:tab/>
        <w:t>(3)</w:t>
      </w:r>
      <w:r>
        <w:rPr>
          <w:rFonts w:ascii="Tms Rmn" w:hAnsi="Tms Rmn"/>
        </w:rPr>
        <w:tab/>
      </w:r>
      <w:r>
        <w:t>This section does not prevent 2 or more areas of the premises being searched at the same time.</w:t>
      </w:r>
    </w:p>
    <w:p w:rsidR="00F93509" w:rsidRDefault="00F93509" w:rsidP="00F93509">
      <w:pPr>
        <w:pStyle w:val="AH5Sec"/>
      </w:pPr>
      <w:bookmarkStart w:id="238" w:name="_Toc526844715"/>
      <w:r w:rsidRPr="00325B6A">
        <w:rPr>
          <w:rStyle w:val="CharSectNo"/>
        </w:rPr>
        <w:t>168</w:t>
      </w:r>
      <w:r>
        <w:tab/>
        <w:t>Receipts for things seized</w:t>
      </w:r>
      <w:bookmarkEnd w:id="238"/>
    </w:p>
    <w:p w:rsidR="00F93509" w:rsidRDefault="00F93509" w:rsidP="00F93509">
      <w:pPr>
        <w:pStyle w:val="Amain"/>
      </w:pPr>
      <w:r>
        <w:rPr>
          <w:rFonts w:ascii="Tms Rmn" w:hAnsi="Tms Rmn"/>
        </w:rPr>
        <w:tab/>
        <w:t>(1)</w:t>
      </w:r>
      <w:r>
        <w:rPr>
          <w:rFonts w:ascii="Tms Rmn" w:hAnsi="Tms Rmn"/>
        </w:rPr>
        <w:tab/>
      </w:r>
      <w:r>
        <w:t>If a thing is seized under this part, the inspector must provide a receipt for the thing.</w:t>
      </w:r>
    </w:p>
    <w:p w:rsidR="00F93509" w:rsidRDefault="00F93509" w:rsidP="00F93509">
      <w:pPr>
        <w:pStyle w:val="Amain"/>
      </w:pPr>
      <w:r>
        <w:rPr>
          <w:rFonts w:ascii="Tms Rmn" w:hAnsi="Tms Rmn"/>
        </w:rPr>
        <w:tab/>
        <w:t>(2)</w:t>
      </w:r>
      <w:r>
        <w:rPr>
          <w:rFonts w:ascii="Tms Rmn" w:hAnsi="Tms Rmn"/>
        </w:rPr>
        <w:tab/>
      </w:r>
      <w:r>
        <w:t>If 2 or more things are seized, they may be covered in a single receipt.</w:t>
      </w:r>
    </w:p>
    <w:p w:rsidR="00F93509" w:rsidRDefault="00F93509" w:rsidP="00F93509">
      <w:pPr>
        <w:pStyle w:val="AH5Sec"/>
      </w:pPr>
      <w:bookmarkStart w:id="239" w:name="_Toc526844716"/>
      <w:r w:rsidRPr="00325B6A">
        <w:rPr>
          <w:rStyle w:val="CharSectNo"/>
        </w:rPr>
        <w:t>169</w:t>
      </w:r>
      <w:r>
        <w:tab/>
        <w:t>Keeping seized things</w:t>
      </w:r>
      <w:bookmarkEnd w:id="239"/>
    </w:p>
    <w:p w:rsidR="00F93509" w:rsidRDefault="00F93509" w:rsidP="00F93509">
      <w:pPr>
        <w:pStyle w:val="Amain"/>
      </w:pPr>
      <w:r>
        <w:rPr>
          <w:rFonts w:ascii="Tms Rmn" w:hAnsi="Tms Rmn"/>
        </w:rPr>
        <w:tab/>
        <w:t>(1)</w:t>
      </w:r>
      <w:r>
        <w:rPr>
          <w:rFonts w:ascii="Tms Rmn" w:hAnsi="Tms Rmn"/>
        </w:rPr>
        <w:tab/>
      </w:r>
      <w:r>
        <w:t>Subject to any contrary order of a court, if an inspector seizes a thing under this part, the inspector must return it if—</w:t>
      </w:r>
    </w:p>
    <w:p w:rsidR="00F93509" w:rsidRDefault="00F93509" w:rsidP="00F93509">
      <w:pPr>
        <w:pStyle w:val="Apara"/>
      </w:pPr>
      <w:r>
        <w:rPr>
          <w:rFonts w:ascii="Tms Rmn" w:hAnsi="Tms Rmn"/>
        </w:rPr>
        <w:tab/>
        <w:t>(a)</w:t>
      </w:r>
      <w:r>
        <w:rPr>
          <w:rFonts w:ascii="Tms Rmn" w:hAnsi="Tms Rmn"/>
        </w:rPr>
        <w:tab/>
      </w:r>
      <w:r>
        <w:t>the reason for its seizure no longer exists or it is decided that it is not to be used in evidence; or</w:t>
      </w:r>
    </w:p>
    <w:p w:rsidR="00F93509" w:rsidRDefault="00F93509" w:rsidP="00F93509">
      <w:pPr>
        <w:pStyle w:val="Apara"/>
      </w:pPr>
      <w:r>
        <w:rPr>
          <w:rFonts w:ascii="Tms Rmn" w:hAnsi="Tms Rmn"/>
        </w:rPr>
        <w:tab/>
        <w:t>(b)</w:t>
      </w:r>
      <w:r>
        <w:rPr>
          <w:rFonts w:ascii="Tms Rmn" w:hAnsi="Tms Rmn"/>
        </w:rPr>
        <w:tab/>
      </w:r>
      <w:r>
        <w:t>the period of 60 days after its seizure ends;</w:t>
      </w:r>
    </w:p>
    <w:p w:rsidR="00F93509" w:rsidRDefault="00F93509" w:rsidP="00F93509">
      <w:pPr>
        <w:pStyle w:val="Amainreturn"/>
      </w:pPr>
      <w:r>
        <w:t>whichever first happens, unless the thing is forfeited or forfeitable to the Territory.</w:t>
      </w:r>
    </w:p>
    <w:p w:rsidR="00F93509" w:rsidRDefault="00F93509" w:rsidP="00F93509">
      <w:pPr>
        <w:pStyle w:val="Amain"/>
      </w:pPr>
      <w:r>
        <w:rPr>
          <w:rFonts w:ascii="Tms Rmn" w:hAnsi="Tms Rmn"/>
        </w:rPr>
        <w:tab/>
        <w:t>(2)</w:t>
      </w:r>
      <w:r>
        <w:rPr>
          <w:rFonts w:ascii="Tms Rmn" w:hAnsi="Tms Rmn"/>
        </w:rPr>
        <w:tab/>
      </w:r>
      <w:r>
        <w:t>At the end of the 60 days mentioned in subsection (1) (b), an inspector must take reasonable steps to return the thing to the person from whom it was seized, unless—</w:t>
      </w:r>
    </w:p>
    <w:p w:rsidR="00F93509" w:rsidRDefault="00F93509" w:rsidP="00F93509">
      <w:pPr>
        <w:pStyle w:val="Apara"/>
        <w:keepLines/>
      </w:pPr>
      <w:r>
        <w:rPr>
          <w:rFonts w:ascii="Tms Rmn" w:hAnsi="Tms Rmn"/>
        </w:rPr>
        <w:tab/>
        <w:t>(a)</w:t>
      </w:r>
      <w:r>
        <w:rPr>
          <w:rFonts w:ascii="Tms Rmn" w:hAnsi="Tms Rmn"/>
        </w:rPr>
        <w:tab/>
        <w:t xml:space="preserve">a </w:t>
      </w:r>
      <w:r>
        <w:t>proceeding for which the thing may provide evidence was begun before the end of the 60 days and has not been completed (including an appeal to a court in relation to the proceeding); or</w:t>
      </w:r>
    </w:p>
    <w:p w:rsidR="00F93509" w:rsidRDefault="00F93509" w:rsidP="00F93509">
      <w:pPr>
        <w:pStyle w:val="Apara"/>
      </w:pPr>
      <w:r>
        <w:rPr>
          <w:rFonts w:ascii="Tms Rmn" w:hAnsi="Tms Rmn"/>
        </w:rPr>
        <w:tab/>
        <w:t>(b)</w:t>
      </w:r>
      <w:r>
        <w:rPr>
          <w:rFonts w:ascii="Tms Rmn" w:hAnsi="Tms Rmn"/>
        </w:rPr>
        <w:tab/>
      </w:r>
      <w:r>
        <w:t>an inspector may keep the thing because of an order under section 170; or</w:t>
      </w:r>
    </w:p>
    <w:p w:rsidR="00F93509" w:rsidRDefault="00F93509" w:rsidP="00F93509">
      <w:pPr>
        <w:pStyle w:val="Apara"/>
      </w:pPr>
      <w:r>
        <w:rPr>
          <w:rFonts w:ascii="Tms Rmn" w:hAnsi="Tms Rmn"/>
        </w:rPr>
        <w:tab/>
        <w:t>(c)</w:t>
      </w:r>
      <w:r>
        <w:rPr>
          <w:rFonts w:ascii="Tms Rmn" w:hAnsi="Tms Rmn"/>
        </w:rPr>
        <w:tab/>
      </w:r>
      <w:r>
        <w:t>to return the thing could cause an imminent risk of death, serious illness, serious injury or serious damage to the environment; or</w:t>
      </w:r>
    </w:p>
    <w:p w:rsidR="00F93509" w:rsidRDefault="00F93509" w:rsidP="00F93509">
      <w:pPr>
        <w:pStyle w:val="Apara"/>
      </w:pPr>
      <w:r>
        <w:rPr>
          <w:rFonts w:ascii="Tms Rmn" w:hAnsi="Tms Rmn"/>
        </w:rPr>
        <w:tab/>
        <w:t>(d)</w:t>
      </w:r>
      <w:r>
        <w:rPr>
          <w:rFonts w:ascii="Tms Rmn" w:hAnsi="Tms Rmn"/>
        </w:rPr>
        <w:tab/>
      </w:r>
      <w:r>
        <w:t>an inspector is otherwise authorised by a law, or an order of a court, of the Territory or the Commonwealth, to keep, destroy or dispose of the thing.</w:t>
      </w:r>
    </w:p>
    <w:p w:rsidR="00F93509" w:rsidRDefault="00F93509" w:rsidP="00F93509">
      <w:pPr>
        <w:pStyle w:val="Amain"/>
      </w:pPr>
      <w:r>
        <w:rPr>
          <w:rFonts w:ascii="Tms Rmn" w:hAnsi="Tms Rmn"/>
        </w:rPr>
        <w:tab/>
        <w:t>(3)</w:t>
      </w:r>
      <w:r>
        <w:rPr>
          <w:rFonts w:ascii="Tms Rmn" w:hAnsi="Tms Rmn"/>
        </w:rPr>
        <w:tab/>
      </w:r>
      <w:r>
        <w:t>The thing may be returned under subsection (2) either unconditionally or on the conditions decided by the regulator.</w:t>
      </w:r>
    </w:p>
    <w:p w:rsidR="00F93509" w:rsidRDefault="00F93509" w:rsidP="00F93509">
      <w:pPr>
        <w:pStyle w:val="AH5Sec"/>
      </w:pPr>
      <w:bookmarkStart w:id="240" w:name="_Toc526844717"/>
      <w:r w:rsidRPr="00325B6A">
        <w:rPr>
          <w:rStyle w:val="CharSectNo"/>
        </w:rPr>
        <w:t>170</w:t>
      </w:r>
      <w:r>
        <w:tab/>
        <w:t>Magistrates Court may permit thing to be kept</w:t>
      </w:r>
      <w:bookmarkEnd w:id="240"/>
    </w:p>
    <w:p w:rsidR="00F93509" w:rsidRDefault="00F93509" w:rsidP="00F93509">
      <w:pPr>
        <w:pStyle w:val="Amain"/>
      </w:pPr>
      <w:r>
        <w:rPr>
          <w:rFonts w:ascii="Tms Rmn" w:hAnsi="Tms Rmn"/>
        </w:rPr>
        <w:tab/>
        <w:t>(1)</w:t>
      </w:r>
      <w:r>
        <w:rPr>
          <w:rFonts w:ascii="Tms Rmn" w:hAnsi="Tms Rmn"/>
        </w:rPr>
        <w:tab/>
      </w:r>
      <w:r>
        <w:t>An inspector may apply to the Magistrates Court for an order that the inspector may keep the thing for a further period if a proceeding for which the thing may provide evidence has not begun before—</w:t>
      </w:r>
    </w:p>
    <w:p w:rsidR="00F93509" w:rsidRDefault="00F93509" w:rsidP="00F93509">
      <w:pPr>
        <w:pStyle w:val="Apara"/>
      </w:pPr>
      <w:r>
        <w:rPr>
          <w:rFonts w:ascii="Tms Rmn" w:hAnsi="Tms Rmn"/>
        </w:rPr>
        <w:tab/>
        <w:t>(a)</w:t>
      </w:r>
      <w:r>
        <w:rPr>
          <w:rFonts w:ascii="Tms Rmn" w:hAnsi="Tms Rmn"/>
        </w:rPr>
        <w:tab/>
      </w:r>
      <w:r>
        <w:t>the end of 60 days after the day of the seizure; or</w:t>
      </w:r>
    </w:p>
    <w:p w:rsidR="00F93509" w:rsidRDefault="00F93509" w:rsidP="00F93509">
      <w:pPr>
        <w:pStyle w:val="Apara"/>
      </w:pPr>
      <w:r>
        <w:rPr>
          <w:rFonts w:ascii="Tms Rmn" w:hAnsi="Tms Rmn"/>
        </w:rPr>
        <w:tab/>
        <w:t>(b)</w:t>
      </w:r>
      <w:r>
        <w:rPr>
          <w:rFonts w:ascii="Tms Rmn" w:hAnsi="Tms Rmn"/>
        </w:rPr>
        <w:tab/>
      </w:r>
      <w:r>
        <w:t>the end of a period previously stated in an order of the Magistrates Court under this section.</w:t>
      </w:r>
    </w:p>
    <w:p w:rsidR="00F93509" w:rsidRDefault="00F93509" w:rsidP="00F93509">
      <w:pPr>
        <w:pStyle w:val="Amain"/>
      </w:pPr>
      <w:r>
        <w:rPr>
          <w:rFonts w:ascii="Tms Rmn" w:hAnsi="Tms Rmn"/>
        </w:rPr>
        <w:tab/>
        <w:t>(2)</w:t>
      </w:r>
      <w:r>
        <w:rPr>
          <w:rFonts w:ascii="Tms Rmn" w:hAnsi="Tms Rmn"/>
        </w:rPr>
        <w:tab/>
      </w:r>
      <w:r>
        <w:t>If the Magistrates Court is satisfied that it is necessary for an inspector to continue to keep the thing—</w:t>
      </w:r>
    </w:p>
    <w:p w:rsidR="00F93509" w:rsidRDefault="00F93509" w:rsidP="00F93509">
      <w:pPr>
        <w:pStyle w:val="Apara"/>
      </w:pPr>
      <w:r>
        <w:rPr>
          <w:rFonts w:ascii="Tms Rmn" w:hAnsi="Tms Rmn"/>
        </w:rPr>
        <w:tab/>
        <w:t>(a)</w:t>
      </w:r>
      <w:r>
        <w:rPr>
          <w:rFonts w:ascii="Tms Rmn" w:hAnsi="Tms Rmn"/>
        </w:rPr>
        <w:tab/>
      </w:r>
      <w:r>
        <w:t>for an investigation about whether an offence against this Act has been committed; or</w:t>
      </w:r>
    </w:p>
    <w:p w:rsidR="00F93509" w:rsidRDefault="00F93509" w:rsidP="00F93509">
      <w:pPr>
        <w:pStyle w:val="Apara"/>
      </w:pPr>
      <w:r>
        <w:rPr>
          <w:rFonts w:ascii="Tms Rmn" w:hAnsi="Tms Rmn"/>
        </w:rPr>
        <w:tab/>
        <w:t>(b)</w:t>
      </w:r>
      <w:r>
        <w:rPr>
          <w:rFonts w:ascii="Tms Rmn" w:hAnsi="Tms Rmn"/>
        </w:rPr>
        <w:tab/>
      </w:r>
      <w:r>
        <w:t>to allow evidence of an offence against this Act to be secured for a prosecution;</w:t>
      </w:r>
    </w:p>
    <w:p w:rsidR="00F93509" w:rsidRDefault="00F93509" w:rsidP="00F93509">
      <w:pPr>
        <w:pStyle w:val="Amainreturn"/>
      </w:pPr>
      <w:r>
        <w:t>the court may order that an inspector may keep the thing for a period (not longer than 3 years) stated in the order.</w:t>
      </w:r>
    </w:p>
    <w:p w:rsidR="00F93509" w:rsidRDefault="00F93509" w:rsidP="00F93509">
      <w:pPr>
        <w:pStyle w:val="Amain"/>
      </w:pPr>
      <w:r>
        <w:rPr>
          <w:rFonts w:ascii="Tms Rmn" w:hAnsi="Tms Rmn"/>
        </w:rPr>
        <w:tab/>
        <w:t>(3)</w:t>
      </w:r>
      <w:r>
        <w:rPr>
          <w:rFonts w:ascii="Tms Rmn" w:hAnsi="Tms Rmn"/>
        </w:rPr>
        <w:tab/>
      </w:r>
      <w:r>
        <w:t>Before making the application, the inspector must—</w:t>
      </w:r>
    </w:p>
    <w:p w:rsidR="00F93509" w:rsidRDefault="00F93509" w:rsidP="00F93509">
      <w:pPr>
        <w:pStyle w:val="Apara"/>
      </w:pPr>
      <w:r>
        <w:rPr>
          <w:rFonts w:ascii="Tms Rmn" w:hAnsi="Tms Rmn"/>
        </w:rPr>
        <w:tab/>
        <w:t>(a)</w:t>
      </w:r>
      <w:r>
        <w:rPr>
          <w:rFonts w:ascii="Tms Rmn" w:hAnsi="Tms Rmn"/>
        </w:rPr>
        <w:tab/>
      </w:r>
      <w:r>
        <w:t>take reasonable steps to discover who has an interest in the retention of the thing; and</w:t>
      </w:r>
    </w:p>
    <w:p w:rsidR="00F93509" w:rsidRDefault="00F93509" w:rsidP="00F93509">
      <w:pPr>
        <w:pStyle w:val="Apara"/>
        <w:keepNext/>
      </w:pPr>
      <w:r>
        <w:rPr>
          <w:rFonts w:ascii="Tms Rmn" w:hAnsi="Tms Rmn"/>
        </w:rPr>
        <w:tab/>
        <w:t>(b)</w:t>
      </w:r>
      <w:r>
        <w:rPr>
          <w:rFonts w:ascii="Tms Rmn" w:hAnsi="Tms Rmn"/>
        </w:rPr>
        <w:tab/>
      </w:r>
      <w:r>
        <w:t>if it is practicable to do so, notify each person whom the inspector believes to have an interest of the proposed application.</w:t>
      </w:r>
    </w:p>
    <w:p w:rsidR="00F93509" w:rsidRDefault="00F93509" w:rsidP="00F93509">
      <w:pPr>
        <w:pStyle w:val="aNote"/>
      </w:pPr>
      <w:r>
        <w:rPr>
          <w:rStyle w:val="charItals"/>
        </w:rPr>
        <w:t>Note</w:t>
      </w:r>
      <w:r>
        <w:tab/>
        <w:t>This section differs from the</w:t>
      </w:r>
      <w:r w:rsidR="006043B7">
        <w:t xml:space="preserve"> </w:t>
      </w:r>
      <w:hyperlink r:id="rId180" w:tooltip="Gene Technology Act 2000" w:history="1">
        <w:r w:rsidR="006043B7" w:rsidRPr="006043B7">
          <w:rPr>
            <w:rStyle w:val="charCitHyperlinkAbbrev"/>
          </w:rPr>
          <w:t>Commonwealth Act</w:t>
        </w:r>
      </w:hyperlink>
      <w:r w:rsidR="006043B7">
        <w:t xml:space="preserve">, </w:t>
      </w:r>
      <w:r>
        <w:t>s 170.</w:t>
      </w:r>
    </w:p>
    <w:p w:rsidR="00F93509" w:rsidRDefault="00F93509" w:rsidP="00F93509">
      <w:pPr>
        <w:pStyle w:val="AH5Sec"/>
      </w:pPr>
      <w:bookmarkStart w:id="241" w:name="_Toc526844718"/>
      <w:r w:rsidRPr="00325B6A">
        <w:rPr>
          <w:rStyle w:val="CharSectNo"/>
        </w:rPr>
        <w:t>171</w:t>
      </w:r>
      <w:r>
        <w:tab/>
        <w:t>Disposal of goods if there is no owner or owner cannot be located</w:t>
      </w:r>
      <w:bookmarkEnd w:id="241"/>
    </w:p>
    <w:p w:rsidR="00F93509" w:rsidRDefault="00F93509" w:rsidP="00F93509">
      <w:pPr>
        <w:pStyle w:val="Amainreturn"/>
      </w:pPr>
      <w:r>
        <w:t>If—</w:t>
      </w:r>
    </w:p>
    <w:p w:rsidR="00F93509" w:rsidRDefault="00F93509" w:rsidP="00F93509">
      <w:pPr>
        <w:pStyle w:val="Apara"/>
      </w:pPr>
      <w:r>
        <w:rPr>
          <w:rFonts w:ascii="Tms Rmn" w:hAnsi="Tms Rmn"/>
        </w:rPr>
        <w:tab/>
        <w:t>(a)</w:t>
      </w:r>
      <w:r>
        <w:rPr>
          <w:rFonts w:ascii="Tms Rmn" w:hAnsi="Tms Rmn"/>
        </w:rPr>
        <w:tab/>
      </w:r>
      <w:r>
        <w:t>a thing is seized under this part; and</w:t>
      </w:r>
    </w:p>
    <w:p w:rsidR="00F93509" w:rsidRDefault="00F93509" w:rsidP="00F93509">
      <w:pPr>
        <w:pStyle w:val="Apara"/>
      </w:pPr>
      <w:r>
        <w:rPr>
          <w:rFonts w:ascii="Tms Rmn" w:hAnsi="Tms Rmn"/>
        </w:rPr>
        <w:tab/>
        <w:t>(b)</w:t>
      </w:r>
      <w:r>
        <w:rPr>
          <w:rFonts w:ascii="Tms Rmn" w:hAnsi="Tms Rmn"/>
        </w:rPr>
        <w:tab/>
      </w:r>
      <w:r>
        <w:t>apart from this section, the Territory is required to return the thing to the owner; and</w:t>
      </w:r>
    </w:p>
    <w:p w:rsidR="00F93509" w:rsidRDefault="00F93509" w:rsidP="00F93509">
      <w:pPr>
        <w:pStyle w:val="Apara"/>
      </w:pPr>
      <w:r>
        <w:rPr>
          <w:rFonts w:ascii="Tms Rmn" w:hAnsi="Tms Rmn"/>
        </w:rPr>
        <w:tab/>
        <w:t>(c)</w:t>
      </w:r>
      <w:r>
        <w:rPr>
          <w:rFonts w:ascii="Tms Rmn" w:hAnsi="Tms Rmn"/>
        </w:rPr>
        <w:tab/>
      </w:r>
      <w:r>
        <w:t>there is no owner or the regulator cannot, despite making reasonable efforts, locate the owner;</w:t>
      </w:r>
    </w:p>
    <w:p w:rsidR="00F93509" w:rsidRDefault="00F93509" w:rsidP="00F93509">
      <w:pPr>
        <w:pStyle w:val="Amainreturn"/>
      </w:pPr>
      <w:r>
        <w:t>the regulator may dispose of the thing in the way the regulator considers appropriate.</w:t>
      </w:r>
    </w:p>
    <w:p w:rsidR="00F93509" w:rsidRPr="00325B6A" w:rsidRDefault="00F93509" w:rsidP="00F93509">
      <w:pPr>
        <w:pStyle w:val="AH3Div"/>
      </w:pPr>
      <w:bookmarkStart w:id="242" w:name="_Toc526844719"/>
      <w:r w:rsidRPr="00325B6A">
        <w:rPr>
          <w:rStyle w:val="CharDivNo"/>
        </w:rPr>
        <w:t>Division 11.10</w:t>
      </w:r>
      <w:r>
        <w:tab/>
      </w:r>
      <w:r w:rsidRPr="00325B6A">
        <w:rPr>
          <w:rStyle w:val="CharDivText"/>
        </w:rPr>
        <w:t>Warrants</w:t>
      </w:r>
      <w:bookmarkEnd w:id="242"/>
    </w:p>
    <w:p w:rsidR="00F93509" w:rsidRDefault="00F93509" w:rsidP="00F93509">
      <w:pPr>
        <w:pStyle w:val="AH5Sec"/>
      </w:pPr>
      <w:bookmarkStart w:id="243" w:name="_Toc526844720"/>
      <w:r w:rsidRPr="00325B6A">
        <w:rPr>
          <w:rStyle w:val="CharSectNo"/>
        </w:rPr>
        <w:t>172</w:t>
      </w:r>
      <w:r>
        <w:tab/>
        <w:t>Monitoring warrants</w:t>
      </w:r>
      <w:bookmarkEnd w:id="243"/>
    </w:p>
    <w:p w:rsidR="00F93509" w:rsidRDefault="00F93509" w:rsidP="00F93509">
      <w:pPr>
        <w:pStyle w:val="Amain"/>
      </w:pPr>
      <w:r>
        <w:rPr>
          <w:rFonts w:ascii="Tms Rmn" w:hAnsi="Tms Rmn"/>
        </w:rPr>
        <w:tab/>
        <w:t>(1)</w:t>
      </w:r>
      <w:r>
        <w:rPr>
          <w:rFonts w:ascii="Tms Rmn" w:hAnsi="Tms Rmn"/>
        </w:rPr>
        <w:tab/>
      </w:r>
      <w:r>
        <w:t>An inspector may apply to a magistrate for a warrant under this section for premises.</w:t>
      </w:r>
    </w:p>
    <w:p w:rsidR="00F93509" w:rsidRDefault="00F93509" w:rsidP="00255916">
      <w:pPr>
        <w:pStyle w:val="Amain"/>
        <w:keepLines/>
      </w:pPr>
      <w:r>
        <w:rPr>
          <w:rFonts w:ascii="Tms Rmn" w:hAnsi="Tms Rmn"/>
        </w:rPr>
        <w:tab/>
        <w:t>(2)</w:t>
      </w:r>
      <w:r>
        <w:rPr>
          <w:rFonts w:ascii="Tms Rmn" w:hAnsi="Tms Rmn"/>
        </w:rPr>
        <w:tab/>
      </w:r>
      <w:r>
        <w:t>The magistrate may issue the warrant if the magistrate is satisfied, by evidence on oath, that it is reasonably necessary that 1 or more inspectors should have access to the premises for monitoring compliance with this Act.</w:t>
      </w:r>
    </w:p>
    <w:p w:rsidR="00F93509" w:rsidRDefault="00F93509" w:rsidP="00F93509">
      <w:pPr>
        <w:pStyle w:val="Amain"/>
        <w:keepLines/>
      </w:pPr>
      <w:r>
        <w:rPr>
          <w:rFonts w:ascii="Tms Rmn" w:hAnsi="Tms Rmn"/>
        </w:rPr>
        <w:tab/>
        <w:t>(3)</w:t>
      </w:r>
      <w:r>
        <w:rPr>
          <w:rFonts w:ascii="Tms Rmn" w:hAnsi="Tms Rmn"/>
        </w:rPr>
        <w:tab/>
      </w:r>
      <w:r>
        <w:t>However, the magistrate may issue the warrant only if the inspector or someone else has given to the magistrate, either orally or by affidavit, the further information (if any) that the magistrate requires about the grounds on which the issue of the warrant is being sought.</w:t>
      </w:r>
    </w:p>
    <w:p w:rsidR="00F93509" w:rsidRDefault="00F93509" w:rsidP="00F93509">
      <w:pPr>
        <w:pStyle w:val="Amain"/>
        <w:keepNext/>
      </w:pPr>
      <w:r>
        <w:rPr>
          <w:rFonts w:ascii="Tms Rmn" w:hAnsi="Tms Rmn"/>
        </w:rPr>
        <w:tab/>
        <w:t>(4)</w:t>
      </w:r>
      <w:r>
        <w:rPr>
          <w:rFonts w:ascii="Tms Rmn" w:hAnsi="Tms Rmn"/>
        </w:rPr>
        <w:tab/>
      </w:r>
      <w:r>
        <w:t>The warrant must—</w:t>
      </w:r>
    </w:p>
    <w:p w:rsidR="00F93509" w:rsidRDefault="00F93509" w:rsidP="00F93509">
      <w:pPr>
        <w:pStyle w:val="Apara"/>
      </w:pPr>
      <w:r>
        <w:rPr>
          <w:rFonts w:ascii="Tms Rmn" w:hAnsi="Tms Rmn"/>
        </w:rPr>
        <w:tab/>
        <w:t>(a)</w:t>
      </w:r>
      <w:r>
        <w:rPr>
          <w:rFonts w:ascii="Tms Rmn" w:hAnsi="Tms Rmn"/>
        </w:rPr>
        <w:tab/>
      </w:r>
      <w:r>
        <w:t>authorise 1 or more inspectors (whether or not named in the warrant), with any necessary and reasonable assistance and force—</w:t>
      </w:r>
    </w:p>
    <w:p w:rsidR="00F93509" w:rsidRDefault="00F93509" w:rsidP="00F93509">
      <w:pPr>
        <w:pStyle w:val="Asubpara"/>
      </w:pPr>
      <w:r>
        <w:rPr>
          <w:rFonts w:ascii="Tms Rmn" w:hAnsi="Tms Rmn"/>
        </w:rPr>
        <w:tab/>
        <w:t>(i)</w:t>
      </w:r>
      <w:r>
        <w:rPr>
          <w:rFonts w:ascii="Tms Rmn" w:hAnsi="Tms Rmn"/>
        </w:rPr>
        <w:tab/>
      </w:r>
      <w:r>
        <w:t>to enter the premises; and</w:t>
      </w:r>
    </w:p>
    <w:p w:rsidR="00F93509" w:rsidRDefault="00F93509" w:rsidP="00F93509">
      <w:pPr>
        <w:pStyle w:val="Asubpara"/>
      </w:pPr>
      <w:r>
        <w:rPr>
          <w:rFonts w:ascii="Tms Rmn" w:hAnsi="Tms Rmn"/>
        </w:rPr>
        <w:tab/>
        <w:t>(ii)</w:t>
      </w:r>
      <w:r>
        <w:rPr>
          <w:rFonts w:ascii="Tms Rmn" w:hAnsi="Tms Rmn"/>
        </w:rPr>
        <w:tab/>
      </w:r>
      <w:r>
        <w:t>to exercise the powers mentioned in section 153 (Monitoring powers) in relation to the premises; and</w:t>
      </w:r>
    </w:p>
    <w:p w:rsidR="00F93509" w:rsidRDefault="00F93509" w:rsidP="00F93509">
      <w:pPr>
        <w:pStyle w:val="Apara"/>
      </w:pPr>
      <w:r>
        <w:rPr>
          <w:rFonts w:ascii="Tms Rmn" w:hAnsi="Tms Rmn"/>
        </w:rPr>
        <w:tab/>
        <w:t>(b)</w:t>
      </w:r>
      <w:r>
        <w:rPr>
          <w:rFonts w:ascii="Tms Rmn" w:hAnsi="Tms Rmn"/>
        </w:rPr>
        <w:tab/>
      </w:r>
      <w:r>
        <w:t>state whether the entry is authorised to be made at any time of the day or night or during stated hours of the day or night; and</w:t>
      </w:r>
    </w:p>
    <w:p w:rsidR="00F93509" w:rsidRDefault="00F93509" w:rsidP="00F93509">
      <w:pPr>
        <w:pStyle w:val="Apara"/>
      </w:pPr>
      <w:r>
        <w:tab/>
        <w:t>(c)</w:t>
      </w:r>
      <w:r>
        <w:tab/>
        <w:t>state the day (not later than 28 days after the day the warrant is issued) that the warrant ceases to have effect; and</w:t>
      </w:r>
    </w:p>
    <w:p w:rsidR="00F93509" w:rsidRDefault="00F93509" w:rsidP="00F93509">
      <w:pPr>
        <w:pStyle w:val="Apara"/>
      </w:pPr>
      <w:r>
        <w:rPr>
          <w:rFonts w:ascii="Tms Rmn" w:hAnsi="Tms Rmn"/>
        </w:rPr>
        <w:tab/>
        <w:t>(d)</w:t>
      </w:r>
      <w:r>
        <w:rPr>
          <w:rFonts w:ascii="Tms Rmn" w:hAnsi="Tms Rmn"/>
        </w:rPr>
        <w:tab/>
      </w:r>
      <w:r>
        <w:t>state the purpose for which the warrant is issued.</w:t>
      </w:r>
    </w:p>
    <w:p w:rsidR="00F93509" w:rsidRDefault="00F93509" w:rsidP="00F93509">
      <w:pPr>
        <w:pStyle w:val="AH5Sec"/>
      </w:pPr>
      <w:bookmarkStart w:id="244" w:name="_Toc526844721"/>
      <w:r w:rsidRPr="00325B6A">
        <w:rPr>
          <w:rStyle w:val="CharSectNo"/>
        </w:rPr>
        <w:t>173</w:t>
      </w:r>
      <w:r>
        <w:tab/>
        <w:t>Offence-related warrants</w:t>
      </w:r>
      <w:bookmarkEnd w:id="244"/>
    </w:p>
    <w:p w:rsidR="00F93509" w:rsidRDefault="00F93509" w:rsidP="00F93509">
      <w:pPr>
        <w:pStyle w:val="Amain"/>
      </w:pPr>
      <w:r>
        <w:rPr>
          <w:rFonts w:ascii="Tms Rmn" w:hAnsi="Tms Rmn"/>
        </w:rPr>
        <w:tab/>
        <w:t>(1)</w:t>
      </w:r>
      <w:r>
        <w:rPr>
          <w:rFonts w:ascii="Tms Rmn" w:hAnsi="Tms Rmn"/>
        </w:rPr>
        <w:tab/>
      </w:r>
      <w:r>
        <w:t>An inspector may apply to a magistrate for a warrant under this section for premises.</w:t>
      </w:r>
    </w:p>
    <w:p w:rsidR="00F93509" w:rsidRDefault="00F93509" w:rsidP="00F93509">
      <w:pPr>
        <w:pStyle w:val="Amain"/>
      </w:pPr>
      <w:r>
        <w:rPr>
          <w:rFonts w:ascii="Tms Rmn" w:hAnsi="Tms Rmn"/>
        </w:rPr>
        <w:tab/>
        <w:t>(2)</w:t>
      </w:r>
      <w:r>
        <w:rPr>
          <w:rFonts w:ascii="Tms Rmn" w:hAnsi="Tms Rmn"/>
        </w:rPr>
        <w:tab/>
      </w:r>
      <w:r>
        <w:t>The magistrate may issue the warrant if the magistrate is satisfied, by evidence on oath, that there are reasonable grounds for suspecting that there is, or there may be within the next 72 hours, evidential material in or on the premises.</w:t>
      </w:r>
    </w:p>
    <w:p w:rsidR="00F93509" w:rsidRDefault="00F93509" w:rsidP="00255916">
      <w:pPr>
        <w:pStyle w:val="Amain"/>
        <w:keepLines/>
      </w:pPr>
      <w:r>
        <w:rPr>
          <w:rFonts w:ascii="Tms Rmn" w:hAnsi="Tms Rmn"/>
        </w:rPr>
        <w:tab/>
        <w:t>(3)</w:t>
      </w:r>
      <w:r>
        <w:rPr>
          <w:rFonts w:ascii="Tms Rmn" w:hAnsi="Tms Rmn"/>
        </w:rPr>
        <w:tab/>
      </w:r>
      <w:r>
        <w:t>However, the magistrate may issue the warrant only if the inspector or someone else has given to the magistrate, either orally or by affidavit, the further information (if any) that the magistrate requires about the grounds on which the issue of the warrant is being sought.</w:t>
      </w:r>
    </w:p>
    <w:p w:rsidR="00F93509" w:rsidRDefault="00F93509" w:rsidP="00F93509">
      <w:pPr>
        <w:pStyle w:val="Amain"/>
        <w:keepNext/>
      </w:pPr>
      <w:r>
        <w:rPr>
          <w:rFonts w:ascii="Tms Rmn" w:hAnsi="Tms Rmn"/>
        </w:rPr>
        <w:tab/>
        <w:t>(4)</w:t>
      </w:r>
      <w:r>
        <w:rPr>
          <w:rFonts w:ascii="Tms Rmn" w:hAnsi="Tms Rmn"/>
        </w:rPr>
        <w:tab/>
      </w:r>
      <w:r>
        <w:t>The warrant must—</w:t>
      </w:r>
    </w:p>
    <w:p w:rsidR="00F93509" w:rsidRDefault="00F93509" w:rsidP="00F93509">
      <w:pPr>
        <w:pStyle w:val="Apara"/>
      </w:pPr>
      <w:r>
        <w:rPr>
          <w:rFonts w:ascii="Tms Rmn" w:hAnsi="Tms Rmn"/>
        </w:rPr>
        <w:tab/>
        <w:t>(a)</w:t>
      </w:r>
      <w:r>
        <w:rPr>
          <w:rFonts w:ascii="Tms Rmn" w:hAnsi="Tms Rmn"/>
        </w:rPr>
        <w:tab/>
      </w:r>
      <w:r>
        <w:t xml:space="preserve">name 1 or more inspectors; and </w:t>
      </w:r>
    </w:p>
    <w:p w:rsidR="00F93509" w:rsidRDefault="00F93509" w:rsidP="00F93509">
      <w:pPr>
        <w:pStyle w:val="Apara"/>
      </w:pPr>
      <w:r>
        <w:rPr>
          <w:rFonts w:ascii="Tms Rmn" w:hAnsi="Tms Rmn"/>
        </w:rPr>
        <w:tab/>
        <w:t>(b)</w:t>
      </w:r>
      <w:r>
        <w:rPr>
          <w:rFonts w:ascii="Tms Rmn" w:hAnsi="Tms Rmn"/>
        </w:rPr>
        <w:tab/>
      </w:r>
      <w:r>
        <w:t>authorise the named inspectors, with any necessary and reasonable assistance and force—</w:t>
      </w:r>
    </w:p>
    <w:p w:rsidR="00F93509" w:rsidRDefault="00F93509" w:rsidP="00F93509">
      <w:pPr>
        <w:pStyle w:val="Asubpara"/>
      </w:pPr>
      <w:r>
        <w:rPr>
          <w:rFonts w:ascii="Tms Rmn" w:hAnsi="Tms Rmn"/>
        </w:rPr>
        <w:tab/>
        <w:t>(i)</w:t>
      </w:r>
      <w:r>
        <w:rPr>
          <w:rFonts w:ascii="Tms Rmn" w:hAnsi="Tms Rmn"/>
        </w:rPr>
        <w:tab/>
      </w:r>
      <w:r>
        <w:t xml:space="preserve">to enter the premises; and </w:t>
      </w:r>
    </w:p>
    <w:p w:rsidR="00F93509" w:rsidRDefault="00F93509" w:rsidP="00F93509">
      <w:pPr>
        <w:pStyle w:val="Asubpara"/>
      </w:pPr>
      <w:r>
        <w:rPr>
          <w:rFonts w:ascii="Tms Rmn" w:hAnsi="Tms Rmn"/>
        </w:rPr>
        <w:tab/>
        <w:t>(ii)</w:t>
      </w:r>
      <w:r>
        <w:rPr>
          <w:rFonts w:ascii="Tms Rmn" w:hAnsi="Tms Rmn"/>
        </w:rPr>
        <w:tab/>
      </w:r>
      <w:r>
        <w:t xml:space="preserve">to exercise the powers mentioned in section 154 (3) (Searches and seizures related to offences) and section 155 (Offence-related powers of inspectors for premises); and </w:t>
      </w:r>
    </w:p>
    <w:p w:rsidR="00F93509" w:rsidRDefault="00F93509" w:rsidP="00F93509">
      <w:pPr>
        <w:pStyle w:val="Asubpara"/>
      </w:pPr>
      <w:r>
        <w:rPr>
          <w:rFonts w:ascii="Tms Rmn" w:hAnsi="Tms Rmn"/>
        </w:rPr>
        <w:tab/>
        <w:t>(iii)</w:t>
      </w:r>
      <w:r>
        <w:rPr>
          <w:rFonts w:ascii="Tms Rmn" w:hAnsi="Tms Rmn"/>
        </w:rPr>
        <w:tab/>
      </w:r>
      <w:r>
        <w:t xml:space="preserve">to seize the evidential material; and </w:t>
      </w:r>
    </w:p>
    <w:p w:rsidR="00F93509" w:rsidRDefault="00F93509" w:rsidP="00F93509">
      <w:pPr>
        <w:pStyle w:val="Apara"/>
      </w:pPr>
      <w:r>
        <w:rPr>
          <w:rFonts w:ascii="Tms Rmn" w:hAnsi="Tms Rmn"/>
        </w:rPr>
        <w:tab/>
        <w:t>(c)</w:t>
      </w:r>
      <w:r>
        <w:rPr>
          <w:rFonts w:ascii="Tms Rmn" w:hAnsi="Tms Rmn"/>
        </w:rPr>
        <w:tab/>
      </w:r>
      <w:r>
        <w:t>state whether the entry is authorised to be made at any time of the day or night or during stated hours of the day or night; and</w:t>
      </w:r>
    </w:p>
    <w:p w:rsidR="00F93509" w:rsidRDefault="00F93509" w:rsidP="00F93509">
      <w:pPr>
        <w:pStyle w:val="Apara"/>
      </w:pPr>
      <w:r>
        <w:rPr>
          <w:rFonts w:ascii="Tms Rmn" w:hAnsi="Tms Rmn"/>
        </w:rPr>
        <w:tab/>
        <w:t>(d)</w:t>
      </w:r>
      <w:r>
        <w:rPr>
          <w:rFonts w:ascii="Tms Rmn" w:hAnsi="Tms Rmn"/>
        </w:rPr>
        <w:tab/>
      </w:r>
      <w:r>
        <w:t xml:space="preserve">state the day (not later than 1 week after the issue of the warrant) the warrant ceases to have effect; and </w:t>
      </w:r>
    </w:p>
    <w:p w:rsidR="00F93509" w:rsidRDefault="00F93509" w:rsidP="00F93509">
      <w:pPr>
        <w:pStyle w:val="Apara"/>
      </w:pPr>
      <w:r>
        <w:rPr>
          <w:rFonts w:ascii="Tms Rmn" w:hAnsi="Tms Rmn"/>
        </w:rPr>
        <w:tab/>
        <w:t>(e)</w:t>
      </w:r>
      <w:r>
        <w:rPr>
          <w:rFonts w:ascii="Tms Rmn" w:hAnsi="Tms Rmn"/>
        </w:rPr>
        <w:tab/>
      </w:r>
      <w:r>
        <w:t>state the purpose for which the warrant is issued.</w:t>
      </w:r>
    </w:p>
    <w:p w:rsidR="00F93509" w:rsidRDefault="00F93509" w:rsidP="00F93509">
      <w:pPr>
        <w:pStyle w:val="AH5Sec"/>
      </w:pPr>
      <w:bookmarkStart w:id="245" w:name="_Toc526844722"/>
      <w:r w:rsidRPr="00325B6A">
        <w:rPr>
          <w:rStyle w:val="CharSectNo"/>
        </w:rPr>
        <w:t>174</w:t>
      </w:r>
      <w:r>
        <w:tab/>
        <w:t>Offence-related warrants by telephone, telex, fax etc</w:t>
      </w:r>
      <w:bookmarkEnd w:id="245"/>
    </w:p>
    <w:p w:rsidR="00F93509" w:rsidRDefault="00F93509" w:rsidP="00F93509">
      <w:pPr>
        <w:pStyle w:val="Amain"/>
      </w:pPr>
      <w:r>
        <w:rPr>
          <w:rFonts w:ascii="Tms Rmn" w:hAnsi="Tms Rmn"/>
        </w:rPr>
        <w:tab/>
        <w:t>(1)</w:t>
      </w:r>
      <w:r>
        <w:rPr>
          <w:rFonts w:ascii="Tms Rmn" w:hAnsi="Tms Rmn"/>
        </w:rPr>
        <w:tab/>
      </w:r>
      <w:r>
        <w:t>If, in an urgent case, an inspector considers it necessary to do so, the inspector may apply to a magistrate by telephone, telex, fax or other electronic means for a warrant under section 173 for premises.</w:t>
      </w:r>
    </w:p>
    <w:p w:rsidR="00F93509" w:rsidRDefault="00F93509" w:rsidP="00F93509">
      <w:pPr>
        <w:pStyle w:val="Amain"/>
      </w:pPr>
      <w:r>
        <w:rPr>
          <w:rFonts w:ascii="Tms Rmn" w:hAnsi="Tms Rmn"/>
        </w:rPr>
        <w:tab/>
        <w:t>(2)</w:t>
      </w:r>
      <w:r>
        <w:rPr>
          <w:rFonts w:ascii="Tms Rmn" w:hAnsi="Tms Rmn"/>
        </w:rPr>
        <w:tab/>
      </w:r>
      <w:r>
        <w:t>The magistrate may require communication by voice to the extent that it is practicable in the circumstances.</w:t>
      </w:r>
    </w:p>
    <w:p w:rsidR="00F93509" w:rsidRDefault="00F93509" w:rsidP="00F93509">
      <w:pPr>
        <w:pStyle w:val="Amain"/>
      </w:pPr>
      <w:r>
        <w:rPr>
          <w:rFonts w:ascii="Tms Rmn" w:hAnsi="Tms Rmn"/>
        </w:rPr>
        <w:tab/>
        <w:t>(3)</w:t>
      </w:r>
      <w:r>
        <w:rPr>
          <w:rFonts w:ascii="Tms Rmn" w:hAnsi="Tms Rmn"/>
        </w:rPr>
        <w:tab/>
      </w:r>
      <w:r>
        <w:t>Before applying for the warrant, the inspector must prepare an affidavit in relation to the premises stating the grounds on which the warrant is sought.</w:t>
      </w:r>
    </w:p>
    <w:p w:rsidR="00F93509" w:rsidRDefault="00F93509" w:rsidP="00F93509">
      <w:pPr>
        <w:pStyle w:val="Amain"/>
      </w:pPr>
      <w:r>
        <w:rPr>
          <w:rFonts w:ascii="Tms Rmn" w:hAnsi="Tms Rmn"/>
        </w:rPr>
        <w:tab/>
        <w:t>(4)</w:t>
      </w:r>
      <w:r>
        <w:rPr>
          <w:rFonts w:ascii="Tms Rmn" w:hAnsi="Tms Rmn"/>
        </w:rPr>
        <w:tab/>
      </w:r>
      <w:r>
        <w:t>If it is necessary to do so, the inspector may apply for the warrant before the affidavit is sworn.</w:t>
      </w:r>
    </w:p>
    <w:p w:rsidR="00F93509" w:rsidRDefault="00F93509" w:rsidP="00F93509">
      <w:pPr>
        <w:pStyle w:val="Amain"/>
      </w:pPr>
      <w:r>
        <w:rPr>
          <w:rFonts w:ascii="Tms Rmn" w:hAnsi="Tms Rmn"/>
        </w:rPr>
        <w:tab/>
        <w:t>(5)</w:t>
      </w:r>
      <w:r>
        <w:rPr>
          <w:rFonts w:ascii="Tms Rmn" w:hAnsi="Tms Rmn"/>
        </w:rPr>
        <w:tab/>
      </w:r>
      <w:r>
        <w:t>If the magistrate is satisfied—</w:t>
      </w:r>
    </w:p>
    <w:p w:rsidR="00F93509" w:rsidRDefault="00F93509" w:rsidP="00F93509">
      <w:pPr>
        <w:pStyle w:val="Apara"/>
      </w:pPr>
      <w:r>
        <w:rPr>
          <w:rFonts w:ascii="Tms Rmn" w:hAnsi="Tms Rmn"/>
        </w:rPr>
        <w:tab/>
        <w:t>(a)</w:t>
      </w:r>
      <w:r>
        <w:rPr>
          <w:rFonts w:ascii="Tms Rmn" w:hAnsi="Tms Rmn"/>
        </w:rPr>
        <w:tab/>
      </w:r>
      <w:r>
        <w:t xml:space="preserve">after having considered the terms of the affidavit; and </w:t>
      </w:r>
    </w:p>
    <w:p w:rsidR="00F93509" w:rsidRDefault="00F93509" w:rsidP="00F93509">
      <w:pPr>
        <w:pStyle w:val="Apara"/>
      </w:pPr>
      <w:r>
        <w:rPr>
          <w:rFonts w:ascii="Tms Rmn" w:hAnsi="Tms Rmn"/>
        </w:rPr>
        <w:tab/>
        <w:t>(b)</w:t>
      </w:r>
      <w:r>
        <w:rPr>
          <w:rFonts w:ascii="Tms Rmn" w:hAnsi="Tms Rmn"/>
        </w:rPr>
        <w:tab/>
      </w:r>
      <w:r>
        <w:t>after having received the further information (if any) that the magistrate requires about the grounds on which the issue of the warrant is being sought;</w:t>
      </w:r>
    </w:p>
    <w:p w:rsidR="00F93509" w:rsidRDefault="00F93509" w:rsidP="00F93509">
      <w:pPr>
        <w:pStyle w:val="Amainreturn"/>
        <w:keepLines/>
      </w:pPr>
      <w:r>
        <w:t>that there are reasonable grounds for issuing the warrant, the magistrate may complete and sign the same warrant that the magistrate would issue under section 173 if the application had been made under that section.</w:t>
      </w:r>
    </w:p>
    <w:p w:rsidR="00F93509" w:rsidRDefault="00F93509" w:rsidP="00F93509">
      <w:pPr>
        <w:pStyle w:val="Amain"/>
      </w:pPr>
      <w:r>
        <w:rPr>
          <w:rFonts w:ascii="Tms Rmn" w:hAnsi="Tms Rmn"/>
        </w:rPr>
        <w:tab/>
        <w:t>(6)</w:t>
      </w:r>
      <w:r>
        <w:rPr>
          <w:rFonts w:ascii="Tms Rmn" w:hAnsi="Tms Rmn"/>
        </w:rPr>
        <w:tab/>
      </w:r>
      <w:r>
        <w:t>If the magistrate completes and signs the warrant—</w:t>
      </w:r>
    </w:p>
    <w:p w:rsidR="00F93509" w:rsidRDefault="00F93509" w:rsidP="00F93509">
      <w:pPr>
        <w:pStyle w:val="Apara"/>
      </w:pPr>
      <w:r>
        <w:rPr>
          <w:rFonts w:ascii="Tms Rmn" w:hAnsi="Tms Rmn"/>
        </w:rPr>
        <w:tab/>
        <w:t>(a)</w:t>
      </w:r>
      <w:r>
        <w:rPr>
          <w:rFonts w:ascii="Tms Rmn" w:hAnsi="Tms Rmn"/>
        </w:rPr>
        <w:tab/>
      </w:r>
      <w:r>
        <w:t>the magistrate must—</w:t>
      </w:r>
    </w:p>
    <w:p w:rsidR="00F93509" w:rsidRDefault="00F93509" w:rsidP="00F93509">
      <w:pPr>
        <w:pStyle w:val="Asubpara"/>
      </w:pPr>
      <w:r>
        <w:rPr>
          <w:rFonts w:ascii="Tms Rmn" w:hAnsi="Tms Rmn"/>
        </w:rPr>
        <w:tab/>
        <w:t>(i)</w:t>
      </w:r>
      <w:r>
        <w:rPr>
          <w:rFonts w:ascii="Tms Rmn" w:hAnsi="Tms Rmn"/>
        </w:rPr>
        <w:tab/>
      </w:r>
      <w:r>
        <w:t>tell the inspector what the terms of the warrant are; and</w:t>
      </w:r>
    </w:p>
    <w:p w:rsidR="00F93509" w:rsidRDefault="00F93509" w:rsidP="00F93509">
      <w:pPr>
        <w:pStyle w:val="Asubpara"/>
      </w:pPr>
      <w:r>
        <w:rPr>
          <w:rFonts w:ascii="Tms Rmn" w:hAnsi="Tms Rmn"/>
        </w:rPr>
        <w:tab/>
        <w:t>(ii)</w:t>
      </w:r>
      <w:r>
        <w:rPr>
          <w:rFonts w:ascii="Tms Rmn" w:hAnsi="Tms Rmn"/>
        </w:rPr>
        <w:tab/>
      </w:r>
      <w:r>
        <w:t xml:space="preserve">tell the inspector the date and time the warrant was signed; and </w:t>
      </w:r>
    </w:p>
    <w:p w:rsidR="00F93509" w:rsidRDefault="00F93509" w:rsidP="00F93509">
      <w:pPr>
        <w:pStyle w:val="Asubpara"/>
      </w:pPr>
      <w:r>
        <w:rPr>
          <w:rFonts w:ascii="Tms Rmn" w:hAnsi="Tms Rmn"/>
        </w:rPr>
        <w:tab/>
        <w:t>(iii)</w:t>
      </w:r>
      <w:r>
        <w:rPr>
          <w:rFonts w:ascii="Tms Rmn" w:hAnsi="Tms Rmn"/>
        </w:rPr>
        <w:tab/>
      </w:r>
      <w:r>
        <w:t xml:space="preserve">tell the inspector the day (not later than 1 week after the magistrate completes and signs the warrant) the warrant ceases to have effect; and </w:t>
      </w:r>
    </w:p>
    <w:p w:rsidR="00F93509" w:rsidRDefault="00F93509" w:rsidP="00F93509">
      <w:pPr>
        <w:pStyle w:val="Asubpara"/>
      </w:pPr>
      <w:r>
        <w:rPr>
          <w:rFonts w:ascii="Tms Rmn" w:hAnsi="Tms Rmn"/>
        </w:rPr>
        <w:tab/>
        <w:t>(iv)</w:t>
      </w:r>
      <w:r>
        <w:rPr>
          <w:rFonts w:ascii="Tms Rmn" w:hAnsi="Tms Rmn"/>
        </w:rPr>
        <w:tab/>
      </w:r>
      <w:r>
        <w:t xml:space="preserve">record on the warrant the reasons for issuing the warrant; and </w:t>
      </w:r>
    </w:p>
    <w:p w:rsidR="00F93509" w:rsidRDefault="00F93509" w:rsidP="00F93509">
      <w:pPr>
        <w:pStyle w:val="Apara"/>
      </w:pPr>
      <w:r>
        <w:rPr>
          <w:rFonts w:ascii="Tms Rmn" w:hAnsi="Tms Rmn"/>
        </w:rPr>
        <w:tab/>
        <w:t>(b)</w:t>
      </w:r>
      <w:r>
        <w:rPr>
          <w:rFonts w:ascii="Tms Rmn" w:hAnsi="Tms Rmn"/>
        </w:rPr>
        <w:tab/>
      </w:r>
      <w:r>
        <w:t>the inspector must—</w:t>
      </w:r>
    </w:p>
    <w:p w:rsidR="00F93509" w:rsidRDefault="00F93509" w:rsidP="00F93509">
      <w:pPr>
        <w:pStyle w:val="Asubpara"/>
      </w:pPr>
      <w:r>
        <w:rPr>
          <w:rFonts w:ascii="Tms Rmn" w:hAnsi="Tms Rmn"/>
        </w:rPr>
        <w:tab/>
        <w:t>(i)</w:t>
      </w:r>
      <w:r>
        <w:rPr>
          <w:rFonts w:ascii="Tms Rmn" w:hAnsi="Tms Rmn"/>
        </w:rPr>
        <w:tab/>
      </w:r>
      <w:r>
        <w:t>complete a form of warrant in the same terms as the warrant completed and signed by the magistrate; and</w:t>
      </w:r>
    </w:p>
    <w:p w:rsidR="00F93509" w:rsidRDefault="00F93509" w:rsidP="00F93509">
      <w:pPr>
        <w:pStyle w:val="Asubpara"/>
      </w:pPr>
      <w:r>
        <w:rPr>
          <w:rFonts w:ascii="Tms Rmn" w:hAnsi="Tms Rmn"/>
        </w:rPr>
        <w:tab/>
        <w:t>(ii)</w:t>
      </w:r>
      <w:r>
        <w:rPr>
          <w:rFonts w:ascii="Tms Rmn" w:hAnsi="Tms Rmn"/>
        </w:rPr>
        <w:tab/>
      </w:r>
      <w:r>
        <w:t>write on the form the name of the magistrate and the day and time the warrant was signed.</w:t>
      </w:r>
    </w:p>
    <w:p w:rsidR="00F93509" w:rsidRDefault="00F93509" w:rsidP="00F93509">
      <w:pPr>
        <w:pStyle w:val="Amain"/>
      </w:pPr>
      <w:r>
        <w:rPr>
          <w:rFonts w:ascii="Tms Rmn" w:hAnsi="Tms Rmn"/>
        </w:rPr>
        <w:tab/>
        <w:t>(7)</w:t>
      </w:r>
      <w:r>
        <w:rPr>
          <w:rFonts w:ascii="Tms Rmn" w:hAnsi="Tms Rmn"/>
        </w:rPr>
        <w:tab/>
      </w:r>
      <w:r>
        <w:t>The inspector must also, not later than the day after the day of expiry or execution of the warrant, whichever is the earlier, send to the magistrate—</w:t>
      </w:r>
    </w:p>
    <w:p w:rsidR="00F93509" w:rsidRDefault="00F93509" w:rsidP="00F93509">
      <w:pPr>
        <w:pStyle w:val="Apara"/>
      </w:pPr>
      <w:r>
        <w:rPr>
          <w:rFonts w:ascii="Tms Rmn" w:hAnsi="Tms Rmn"/>
        </w:rPr>
        <w:tab/>
        <w:t>(a)</w:t>
      </w:r>
      <w:r>
        <w:rPr>
          <w:rFonts w:ascii="Tms Rmn" w:hAnsi="Tms Rmn"/>
        </w:rPr>
        <w:tab/>
      </w:r>
      <w:r>
        <w:t xml:space="preserve">the form of warrant completed by the inspector; and </w:t>
      </w:r>
    </w:p>
    <w:p w:rsidR="00F93509" w:rsidRDefault="00F93509" w:rsidP="00F93509">
      <w:pPr>
        <w:pStyle w:val="Apara"/>
      </w:pPr>
      <w:r>
        <w:rPr>
          <w:rFonts w:ascii="Tms Rmn" w:hAnsi="Tms Rmn"/>
        </w:rPr>
        <w:tab/>
        <w:t>(b)</w:t>
      </w:r>
      <w:r>
        <w:rPr>
          <w:rFonts w:ascii="Tms Rmn" w:hAnsi="Tms Rmn"/>
        </w:rPr>
        <w:tab/>
      </w:r>
      <w:r>
        <w:t>the affidavit mentioned in subsection (3), which must have been properly sworn.</w:t>
      </w:r>
    </w:p>
    <w:p w:rsidR="00F93509" w:rsidRDefault="00F93509" w:rsidP="00F93509">
      <w:pPr>
        <w:pStyle w:val="Amain"/>
        <w:keepNext/>
      </w:pPr>
      <w:r>
        <w:rPr>
          <w:rFonts w:ascii="Tms Rmn" w:hAnsi="Tms Rmn"/>
        </w:rPr>
        <w:tab/>
        <w:t>(8)</w:t>
      </w:r>
      <w:r>
        <w:rPr>
          <w:rFonts w:ascii="Tms Rmn" w:hAnsi="Tms Rmn"/>
        </w:rPr>
        <w:tab/>
      </w:r>
      <w:r>
        <w:t>When the magistrate receives the documents mentioned in subsection (7), the magistrate must—</w:t>
      </w:r>
    </w:p>
    <w:p w:rsidR="00F93509" w:rsidRDefault="00F93509" w:rsidP="00F93509">
      <w:pPr>
        <w:pStyle w:val="Apara"/>
      </w:pPr>
      <w:r>
        <w:rPr>
          <w:rFonts w:ascii="Tms Rmn" w:hAnsi="Tms Rmn"/>
        </w:rPr>
        <w:tab/>
        <w:t>(a)</w:t>
      </w:r>
      <w:r>
        <w:rPr>
          <w:rFonts w:ascii="Tms Rmn" w:hAnsi="Tms Rmn"/>
        </w:rPr>
        <w:tab/>
      </w:r>
      <w:r>
        <w:t xml:space="preserve">attach them to the warrant that the magistrate completed and signed; and </w:t>
      </w:r>
    </w:p>
    <w:p w:rsidR="00F93509" w:rsidRDefault="00F93509" w:rsidP="00F93509">
      <w:pPr>
        <w:pStyle w:val="Apara"/>
      </w:pPr>
      <w:r>
        <w:rPr>
          <w:rFonts w:ascii="Tms Rmn" w:hAnsi="Tms Rmn"/>
        </w:rPr>
        <w:tab/>
        <w:t>(b)</w:t>
      </w:r>
      <w:r>
        <w:rPr>
          <w:rFonts w:ascii="Tms Rmn" w:hAnsi="Tms Rmn"/>
        </w:rPr>
        <w:tab/>
      </w:r>
      <w:r>
        <w:t>deal with them how the magistrate would have dealt with the affidavit if the application had been made under section 173.</w:t>
      </w:r>
    </w:p>
    <w:p w:rsidR="00F93509" w:rsidRDefault="00F93509" w:rsidP="00F93509">
      <w:pPr>
        <w:pStyle w:val="Amain"/>
      </w:pPr>
      <w:r>
        <w:rPr>
          <w:rFonts w:ascii="Tms Rmn" w:hAnsi="Tms Rmn"/>
        </w:rPr>
        <w:tab/>
        <w:t>(9)</w:t>
      </w:r>
      <w:r>
        <w:rPr>
          <w:rFonts w:ascii="Tms Rmn" w:hAnsi="Tms Rmn"/>
        </w:rPr>
        <w:tab/>
      </w:r>
      <w:r>
        <w:t>A form of warrant completed under subsection (6) is authority for any entry, search, seizure or other exercise of a power that the warrant signed by the magistrate authorises.</w:t>
      </w:r>
    </w:p>
    <w:p w:rsidR="00F93509" w:rsidRDefault="00F93509" w:rsidP="00F93509">
      <w:pPr>
        <w:pStyle w:val="Amain"/>
      </w:pPr>
      <w:r>
        <w:rPr>
          <w:rFonts w:ascii="Tms Rmn" w:hAnsi="Tms Rmn"/>
        </w:rPr>
        <w:tab/>
        <w:t>(10)</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it is material, in a proceeding, for a court to be satisfied that an exercise of a power was authorised by this section; and </w:t>
      </w:r>
    </w:p>
    <w:p w:rsidR="00F93509" w:rsidRDefault="00F93509" w:rsidP="00F93509">
      <w:pPr>
        <w:pStyle w:val="Apara"/>
      </w:pPr>
      <w:r>
        <w:rPr>
          <w:rFonts w:ascii="Tms Rmn" w:hAnsi="Tms Rmn"/>
        </w:rPr>
        <w:tab/>
        <w:t>(b)</w:t>
      </w:r>
      <w:r>
        <w:rPr>
          <w:rFonts w:ascii="Tms Rmn" w:hAnsi="Tms Rmn"/>
        </w:rPr>
        <w:tab/>
      </w:r>
      <w:r>
        <w:t>the warrant signed by the magistrate authorising the exercise of the power is not produced in evidence;</w:t>
      </w:r>
    </w:p>
    <w:p w:rsidR="00F93509" w:rsidRDefault="00F93509" w:rsidP="00F93509">
      <w:pPr>
        <w:pStyle w:val="Amainreturn"/>
      </w:pPr>
      <w:r>
        <w:t>the onus of proof is on the person relying on the lawfulness of the exercise of the power to prove a warrant authorised the exercise of the power.</w:t>
      </w:r>
    </w:p>
    <w:p w:rsidR="00F93509" w:rsidRDefault="00F93509" w:rsidP="00F93509">
      <w:pPr>
        <w:pStyle w:val="Amain"/>
      </w:pPr>
      <w:r>
        <w:rPr>
          <w:rFonts w:ascii="Tms Rmn" w:hAnsi="Tms Rmn"/>
        </w:rPr>
        <w:tab/>
        <w:t>(11)</w:t>
      </w:r>
      <w:r>
        <w:rPr>
          <w:rFonts w:ascii="Tms Rmn" w:hAnsi="Tms Rmn"/>
        </w:rPr>
        <w:tab/>
      </w:r>
      <w:r>
        <w:t>A reference in this part to a warrant under section 173 includes a reference to a warrant signed by a magistrate under this section.</w:t>
      </w:r>
    </w:p>
    <w:p w:rsidR="00F93509" w:rsidRDefault="00F93509" w:rsidP="00F93509">
      <w:pPr>
        <w:pStyle w:val="AH5Sec"/>
      </w:pPr>
      <w:bookmarkStart w:id="246" w:name="_Toc526844723"/>
      <w:r w:rsidRPr="00325B6A">
        <w:rPr>
          <w:rStyle w:val="CharSectNo"/>
        </w:rPr>
        <w:t>175</w:t>
      </w:r>
      <w:r>
        <w:tab/>
        <w:t>Offences relating to warrants</w:t>
      </w:r>
      <w:bookmarkEnd w:id="246"/>
    </w:p>
    <w:p w:rsidR="00F93509" w:rsidRDefault="00F93509" w:rsidP="00F93509">
      <w:pPr>
        <w:pStyle w:val="Amain"/>
        <w:keepNext/>
      </w:pPr>
      <w:r>
        <w:rPr>
          <w:rFonts w:ascii="Tms Rmn" w:hAnsi="Tms Rmn"/>
        </w:rPr>
        <w:tab/>
        <w:t>(1)</w:t>
      </w:r>
      <w:r>
        <w:rPr>
          <w:rFonts w:ascii="Tms Rmn" w:hAnsi="Tms Rmn"/>
        </w:rPr>
        <w:tab/>
      </w:r>
      <w:r>
        <w:t>An inspector must not make, in an application for a warrant, a statement that the inspector knows to be false or misleading in a material particular.</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tab/>
        <w:t>(2)</w:t>
      </w:r>
      <w:r>
        <w:rPr>
          <w:rFonts w:ascii="Tms Rmn" w:hAnsi="Tms Rmn"/>
        </w:rPr>
        <w:tab/>
      </w:r>
      <w:r>
        <w:t>An inspector must not—</w:t>
      </w:r>
    </w:p>
    <w:p w:rsidR="00F93509" w:rsidRDefault="00F93509" w:rsidP="00F93509">
      <w:pPr>
        <w:pStyle w:val="Apara"/>
      </w:pPr>
      <w:r>
        <w:rPr>
          <w:rFonts w:ascii="Tms Rmn" w:hAnsi="Tms Rmn"/>
        </w:rPr>
        <w:tab/>
        <w:t>(a)</w:t>
      </w:r>
      <w:r>
        <w:rPr>
          <w:rFonts w:ascii="Tms Rmn" w:hAnsi="Tms Rmn"/>
        </w:rPr>
        <w:tab/>
      </w:r>
      <w:r>
        <w:t>state a magistrate’s name in a document purporting to be a form of warrant under section 174 unless the magistrate issued the warrant; or</w:t>
      </w:r>
    </w:p>
    <w:p w:rsidR="00F93509" w:rsidRDefault="00F93509" w:rsidP="00F93509">
      <w:pPr>
        <w:pStyle w:val="Apara"/>
      </w:pPr>
      <w:r>
        <w:rPr>
          <w:rFonts w:ascii="Tms Rmn" w:hAnsi="Tms Rmn"/>
        </w:rPr>
        <w:tab/>
        <w:t>(b)</w:t>
      </w:r>
      <w:r>
        <w:rPr>
          <w:rFonts w:ascii="Tms Rmn" w:hAnsi="Tms Rmn"/>
        </w:rPr>
        <w:tab/>
      </w:r>
      <w:r>
        <w:t>state on a form of warrant under section 174 a matter that, to the inspector’s knowledge, departs in a material particular from the form authorised by the magistrate; or</w:t>
      </w:r>
    </w:p>
    <w:p w:rsidR="00F93509" w:rsidRDefault="00F93509" w:rsidP="00F93509">
      <w:pPr>
        <w:pStyle w:val="Apara"/>
      </w:pPr>
      <w:r>
        <w:rPr>
          <w:rFonts w:ascii="Tms Rmn" w:hAnsi="Tms Rmn"/>
        </w:rPr>
        <w:tab/>
        <w:t>(c)</w:t>
      </w:r>
      <w:r>
        <w:rPr>
          <w:rFonts w:ascii="Tms Rmn" w:hAnsi="Tms Rmn"/>
        </w:rPr>
        <w:tab/>
      </w:r>
      <w:r>
        <w:t>purport to execute, or present to someone, a document purporting to be a form of warrant under section 174 that the inspector knows—</w:t>
      </w:r>
    </w:p>
    <w:p w:rsidR="00F93509" w:rsidRDefault="00F93509" w:rsidP="00F93509">
      <w:pPr>
        <w:pStyle w:val="Asubpara"/>
      </w:pPr>
      <w:r>
        <w:rPr>
          <w:rFonts w:ascii="Tms Rmn" w:hAnsi="Tms Rmn"/>
        </w:rPr>
        <w:tab/>
        <w:t>(i)</w:t>
      </w:r>
      <w:r>
        <w:rPr>
          <w:rFonts w:ascii="Tms Rmn" w:hAnsi="Tms Rmn"/>
        </w:rPr>
        <w:tab/>
      </w:r>
      <w:r>
        <w:t>has not been approved by a magistrate under that section; or</w:t>
      </w:r>
    </w:p>
    <w:p w:rsidR="00F93509" w:rsidRDefault="00F93509" w:rsidP="00F93509">
      <w:pPr>
        <w:pStyle w:val="Asubpara"/>
      </w:pPr>
      <w:r>
        <w:rPr>
          <w:rFonts w:ascii="Tms Rmn" w:hAnsi="Tms Rmn"/>
        </w:rPr>
        <w:tab/>
        <w:t>(ii)</w:t>
      </w:r>
      <w:r>
        <w:rPr>
          <w:rFonts w:ascii="Tms Rmn" w:hAnsi="Tms Rmn"/>
        </w:rPr>
        <w:tab/>
      </w:r>
      <w:r>
        <w:t>departs in a material particular from the terms authorised by a magistrate under that section; or</w:t>
      </w:r>
    </w:p>
    <w:p w:rsidR="00F93509" w:rsidRDefault="00F93509" w:rsidP="00255916">
      <w:pPr>
        <w:pStyle w:val="Apara"/>
      </w:pPr>
      <w:r>
        <w:rPr>
          <w:rFonts w:ascii="Tms Rmn" w:hAnsi="Tms Rmn"/>
        </w:rPr>
        <w:tab/>
        <w:t>(d)</w:t>
      </w:r>
      <w:r>
        <w:rPr>
          <w:rFonts w:ascii="Tms Rmn" w:hAnsi="Tms Rmn"/>
        </w:rPr>
        <w:tab/>
      </w:r>
      <w:r>
        <w:t>give to a magistrate a form of warrant under section 174 that is not the form of warrant that the inspector purported to execute.</w:t>
      </w:r>
    </w:p>
    <w:p w:rsidR="00F93509" w:rsidRDefault="00F93509" w:rsidP="00255916">
      <w:pPr>
        <w:pStyle w:val="Penalty"/>
      </w:pPr>
      <w:r>
        <w:t>Maximum penalty:  120 penalty units , imprisonment for 2 years or both.</w:t>
      </w:r>
    </w:p>
    <w:p w:rsidR="00F93509" w:rsidRPr="00325B6A" w:rsidRDefault="00F93509" w:rsidP="00255916">
      <w:pPr>
        <w:pStyle w:val="AH3Div"/>
        <w:keepLines/>
      </w:pPr>
      <w:bookmarkStart w:id="247" w:name="_Toc526844724"/>
      <w:r w:rsidRPr="00325B6A">
        <w:rPr>
          <w:rStyle w:val="CharDivNo"/>
        </w:rPr>
        <w:t>Division 11.11</w:t>
      </w:r>
      <w:r>
        <w:tab/>
      </w:r>
      <w:r w:rsidRPr="00325B6A">
        <w:rPr>
          <w:rStyle w:val="CharDivText"/>
        </w:rPr>
        <w:t>Other matters</w:t>
      </w:r>
      <w:bookmarkEnd w:id="247"/>
    </w:p>
    <w:p w:rsidR="00F93509" w:rsidRDefault="00F93509" w:rsidP="00255916">
      <w:pPr>
        <w:pStyle w:val="AH5Sec"/>
        <w:keepLines/>
      </w:pPr>
      <w:bookmarkStart w:id="248" w:name="_Toc526844725"/>
      <w:r w:rsidRPr="00325B6A">
        <w:rPr>
          <w:rStyle w:val="CharSectNo"/>
        </w:rPr>
        <w:t>176</w:t>
      </w:r>
      <w:r>
        <w:tab/>
        <w:t>Pt 11 not to abrogate privilege against self-incrimination</w:t>
      </w:r>
      <w:bookmarkEnd w:id="248"/>
    </w:p>
    <w:p w:rsidR="00F93509" w:rsidRDefault="00F93509" w:rsidP="00255916">
      <w:pPr>
        <w:pStyle w:val="aNote"/>
        <w:keepLines/>
      </w:pPr>
      <w:r>
        <w:rPr>
          <w:rStyle w:val="charItals"/>
        </w:rPr>
        <w:t>Note</w:t>
      </w:r>
      <w:r>
        <w:tab/>
        <w:t>The</w:t>
      </w:r>
      <w:r w:rsidR="006043B7">
        <w:t xml:space="preserve"> </w:t>
      </w:r>
      <w:hyperlink r:id="rId181" w:tooltip="Gene Technology Act 2000" w:history="1">
        <w:r w:rsidR="006043B7" w:rsidRPr="006043B7">
          <w:rPr>
            <w:rStyle w:val="charCitHyperlinkAbbrev"/>
          </w:rPr>
          <w:t>Commonwealth Act</w:t>
        </w:r>
      </w:hyperlink>
      <w:r w:rsidR="006043B7">
        <w:t xml:space="preserve">, </w:t>
      </w:r>
      <w:r>
        <w:t xml:space="preserve">s 176 preserves the privilege against self-incrimination. This provision is unnecessary in the ACT. The </w:t>
      </w:r>
      <w:hyperlink r:id="rId182" w:tooltip="A2001-14" w:history="1">
        <w:r w:rsidRPr="00903C3C">
          <w:rPr>
            <w:rStyle w:val="charCitHyperlinkAbbrev"/>
          </w:rPr>
          <w:t>Legislation Act</w:t>
        </w:r>
      </w:hyperlink>
      <w:r>
        <w:t>, s 170 and s 171 deal with the application of the privilege against self-incrimination and client legal privilege.</w:t>
      </w:r>
    </w:p>
    <w:p w:rsidR="00F93509" w:rsidRDefault="00F93509" w:rsidP="00F93509">
      <w:pPr>
        <w:pStyle w:val="AH5Sec"/>
      </w:pPr>
      <w:bookmarkStart w:id="249" w:name="_Toc526844726"/>
      <w:r w:rsidRPr="00325B6A">
        <w:rPr>
          <w:rStyle w:val="CharSectNo"/>
        </w:rPr>
        <w:t>176A</w:t>
      </w:r>
      <w:r>
        <w:tab/>
        <w:t>Damage etc to be minimised</w:t>
      </w:r>
      <w:bookmarkEnd w:id="249"/>
    </w:p>
    <w:p w:rsidR="00F93509" w:rsidRDefault="00F93509" w:rsidP="00F93509">
      <w:pPr>
        <w:pStyle w:val="Amain"/>
        <w:keepLines/>
      </w:pPr>
      <w:r>
        <w:tab/>
        <w:t>(1)</w:t>
      </w:r>
      <w:r>
        <w:tab/>
        <w:t>In the exercise, or purported exercise, of a function under this part, an inspector must take all reasonable steps to ensure that the inspector, and any person assisting the inspector, causes as little inconvenience, detriment and damage as is practicable.</w:t>
      </w:r>
    </w:p>
    <w:p w:rsidR="00F93509" w:rsidRDefault="00F93509" w:rsidP="00F93509">
      <w:pPr>
        <w:pStyle w:val="Amain"/>
      </w:pPr>
      <w:r>
        <w:tab/>
        <w:t>(2)</w:t>
      </w:r>
      <w:r>
        <w:tab/>
        <w:t>If an inspector, or a person assisting an inspector, damages anything in the exercise or purported exercise of a function under this part, the inspector must give written notice of the particulars of the damage to the person whom the inspector believes, on reasonable grounds, is the owner of the thing.</w:t>
      </w:r>
    </w:p>
    <w:p w:rsidR="00F93509" w:rsidRDefault="00F93509" w:rsidP="00F93509">
      <w:pPr>
        <w:pStyle w:val="Amain"/>
        <w:keepNext/>
      </w:pPr>
      <w:r>
        <w:tab/>
        <w:t>(3)</w:t>
      </w:r>
      <w:r>
        <w:tab/>
        <w:t>If the damage happens on premises entered under this part in the absence of the occupier, the notice may be given by securing it in a conspicuous place on the premises.</w:t>
      </w:r>
    </w:p>
    <w:p w:rsidR="00F93509" w:rsidRDefault="00F93509" w:rsidP="00F93509">
      <w:pPr>
        <w:pStyle w:val="aNote"/>
      </w:pPr>
      <w:r>
        <w:rPr>
          <w:rStyle w:val="charItals"/>
        </w:rPr>
        <w:t>Note</w:t>
      </w:r>
      <w:r>
        <w:tab/>
        <w:t>This section does not appear in the</w:t>
      </w:r>
      <w:r w:rsidR="006043B7">
        <w:t xml:space="preserve"> </w:t>
      </w:r>
      <w:hyperlink r:id="rId183" w:tooltip="Gene Technology Act 2000" w:history="1">
        <w:r w:rsidR="006043B7" w:rsidRPr="006043B7">
          <w:rPr>
            <w:rStyle w:val="charCitHyperlinkAbbrev"/>
          </w:rPr>
          <w:t>Commonwealth Act</w:t>
        </w:r>
      </w:hyperlink>
      <w:r w:rsidR="006043B7">
        <w:t>.</w:t>
      </w:r>
    </w:p>
    <w:p w:rsidR="00F93509" w:rsidRDefault="00F93509" w:rsidP="00F93509">
      <w:pPr>
        <w:pStyle w:val="AH5Sec"/>
        <w:rPr>
          <w:snapToGrid w:val="0"/>
        </w:rPr>
      </w:pPr>
      <w:bookmarkStart w:id="250" w:name="_Toc526844727"/>
      <w:r w:rsidRPr="00325B6A">
        <w:rPr>
          <w:rStyle w:val="CharSectNo"/>
        </w:rPr>
        <w:t>176B</w:t>
      </w:r>
      <w:r>
        <w:rPr>
          <w:snapToGrid w:val="0"/>
        </w:rPr>
        <w:tab/>
        <w:t>Compensation to be paid in certain circumstances</w:t>
      </w:r>
      <w:bookmarkEnd w:id="250"/>
    </w:p>
    <w:p w:rsidR="00F93509" w:rsidRDefault="00F93509" w:rsidP="00F93509">
      <w:pPr>
        <w:pStyle w:val="Amain"/>
      </w:pPr>
      <w:r>
        <w:tab/>
        <w:t>(1)</w:t>
      </w:r>
      <w:r>
        <w:tab/>
        <w:t>A person may claim compensation from the Territory if the person suffers loss or expense because of the exercise, or purported exercise, of a function under this part by an inspector or a person assisting an inspector.</w:t>
      </w:r>
    </w:p>
    <w:p w:rsidR="00F93509" w:rsidRDefault="00F93509" w:rsidP="00F93509">
      <w:pPr>
        <w:pStyle w:val="Amain"/>
      </w:pPr>
      <w:r>
        <w:tab/>
        <w:t>(2)</w:t>
      </w:r>
      <w:r>
        <w:tab/>
        <w:t>Compensation may be claimed and ordered in a proceeding for—</w:t>
      </w:r>
    </w:p>
    <w:p w:rsidR="00F93509" w:rsidRDefault="00F93509" w:rsidP="00F93509">
      <w:pPr>
        <w:pStyle w:val="Apara"/>
      </w:pPr>
      <w:r>
        <w:tab/>
        <w:t>(a)</w:t>
      </w:r>
      <w:r>
        <w:tab/>
        <w:t>compensation brought in a court of competent jurisdiction; or</w:t>
      </w:r>
    </w:p>
    <w:p w:rsidR="00F93509" w:rsidRDefault="00F93509" w:rsidP="00F93509">
      <w:pPr>
        <w:pStyle w:val="Apara"/>
      </w:pPr>
      <w:r>
        <w:tab/>
        <w:t>(b)</w:t>
      </w:r>
      <w:r>
        <w:tab/>
        <w:t>an offence against this Act brought against the person making the claim for compensation.</w:t>
      </w:r>
    </w:p>
    <w:p w:rsidR="00F93509" w:rsidRDefault="00F93509" w:rsidP="00F93509">
      <w:pPr>
        <w:pStyle w:val="Amain"/>
      </w:pPr>
      <w:r>
        <w:tab/>
        <w:t>(3)</w:t>
      </w:r>
      <w:r>
        <w:tab/>
        <w:t>A court may order the payment of reasonable compensation for the loss or expense only if satisfied it is just to make the order in the circumstances of the particular case.</w:t>
      </w:r>
    </w:p>
    <w:p w:rsidR="00F93509" w:rsidRDefault="00F93509" w:rsidP="00F93509">
      <w:pPr>
        <w:pStyle w:val="Amain"/>
        <w:keepNext/>
      </w:pPr>
      <w:r>
        <w:tab/>
        <w:t>(4)</w:t>
      </w:r>
      <w:r>
        <w:tab/>
        <w:t>A regulation may prescribe matters that may, must or must not be taken into account by the court in considering whether it is just to make the order.</w:t>
      </w:r>
    </w:p>
    <w:p w:rsidR="00F93509" w:rsidRDefault="00F93509" w:rsidP="00F93509">
      <w:pPr>
        <w:pStyle w:val="aNote"/>
      </w:pPr>
      <w:r>
        <w:rPr>
          <w:rStyle w:val="charItals"/>
        </w:rPr>
        <w:t>Note</w:t>
      </w:r>
      <w:r>
        <w:tab/>
        <w:t>This section does not appear in the</w:t>
      </w:r>
      <w:r w:rsidR="006043B7">
        <w:t xml:space="preserve"> </w:t>
      </w:r>
      <w:hyperlink r:id="rId184" w:tooltip="Gene Technology Act 2000" w:history="1">
        <w:r w:rsidR="006043B7" w:rsidRPr="006043B7">
          <w:rPr>
            <w:rStyle w:val="charCitHyperlinkAbbrev"/>
          </w:rPr>
          <w:t>Commonwealth Act</w:t>
        </w:r>
      </w:hyperlink>
      <w:r w:rsidR="006043B7">
        <w:t>.</w:t>
      </w:r>
    </w:p>
    <w:p w:rsidR="00F93509" w:rsidRDefault="00F93509" w:rsidP="00F93509">
      <w:pPr>
        <w:pStyle w:val="AH5Sec"/>
      </w:pPr>
      <w:bookmarkStart w:id="251" w:name="_Toc526844728"/>
      <w:r w:rsidRPr="00325B6A">
        <w:rPr>
          <w:rStyle w:val="CharSectNo"/>
        </w:rPr>
        <w:t>177</w:t>
      </w:r>
      <w:r>
        <w:tab/>
        <w:t>Pt 11 does not limit power to impose conditions</w:t>
      </w:r>
      <w:bookmarkEnd w:id="251"/>
    </w:p>
    <w:p w:rsidR="00F93509" w:rsidRDefault="00F93509" w:rsidP="00F93509">
      <w:pPr>
        <w:pStyle w:val="Amainreturn"/>
      </w:pPr>
      <w:r>
        <w:t>This part does not limit the regulator’s power to impose licence conditions or the Minister’s power to impose conditions on an emergency dealing determination.</w:t>
      </w:r>
    </w:p>
    <w:p w:rsidR="00F93509" w:rsidRPr="00325B6A" w:rsidRDefault="00F93509" w:rsidP="00F93509">
      <w:pPr>
        <w:pStyle w:val="AH2Part"/>
      </w:pPr>
      <w:bookmarkStart w:id="252" w:name="_Toc526844729"/>
      <w:r w:rsidRPr="00325B6A">
        <w:rPr>
          <w:rStyle w:val="CharPartNo"/>
        </w:rPr>
        <w:t>Part 12</w:t>
      </w:r>
      <w:r>
        <w:tab/>
      </w:r>
      <w:r w:rsidRPr="00325B6A">
        <w:rPr>
          <w:rStyle w:val="CharPartText"/>
        </w:rPr>
        <w:t>Miscellaneous</w:t>
      </w:r>
      <w:bookmarkEnd w:id="252"/>
    </w:p>
    <w:p w:rsidR="00F93509" w:rsidRPr="00325B6A" w:rsidRDefault="00F93509" w:rsidP="00F93509">
      <w:pPr>
        <w:pStyle w:val="AH3Div"/>
      </w:pPr>
      <w:bookmarkStart w:id="253" w:name="_Toc526844730"/>
      <w:r w:rsidRPr="00325B6A">
        <w:rPr>
          <w:rStyle w:val="CharDivNo"/>
        </w:rPr>
        <w:t>Division 12.1</w:t>
      </w:r>
      <w:r>
        <w:tab/>
      </w:r>
      <w:r w:rsidRPr="00325B6A">
        <w:rPr>
          <w:rStyle w:val="CharDivText"/>
        </w:rPr>
        <w:t>Simplified outline of pt 12</w:t>
      </w:r>
      <w:bookmarkEnd w:id="253"/>
    </w:p>
    <w:p w:rsidR="00F93509" w:rsidRDefault="00F93509" w:rsidP="00F93509">
      <w:pPr>
        <w:pStyle w:val="AH5Sec"/>
      </w:pPr>
      <w:bookmarkStart w:id="254" w:name="_Toc526844731"/>
      <w:r w:rsidRPr="00325B6A">
        <w:rPr>
          <w:rStyle w:val="CharSectNo"/>
        </w:rPr>
        <w:t>178</w:t>
      </w:r>
      <w:r>
        <w:tab/>
        <w:t>Simplified outline—pt 12</w:t>
      </w:r>
      <w:bookmarkEnd w:id="254"/>
    </w:p>
    <w:p w:rsidR="00F93509" w:rsidRDefault="00F93509" w:rsidP="00F93509">
      <w:pPr>
        <w:pStyle w:val="Amainreturn"/>
        <w:keepNext/>
      </w:pPr>
      <w:r>
        <w:t>In outline, this part provides for miscellaneous matters, including the following:</w:t>
      </w:r>
    </w:p>
    <w:p w:rsidR="00F93509" w:rsidRDefault="00F93509" w:rsidP="00F93509">
      <w:pPr>
        <w:pStyle w:val="Apara"/>
      </w:pPr>
      <w:r>
        <w:tab/>
        <w:t>(a)</w:t>
      </w:r>
      <w:r>
        <w:tab/>
        <w:t xml:space="preserve">review of decisions; </w:t>
      </w:r>
    </w:p>
    <w:p w:rsidR="00F93509" w:rsidRDefault="00F93509" w:rsidP="00F93509">
      <w:pPr>
        <w:pStyle w:val="Apara"/>
      </w:pPr>
      <w:r>
        <w:tab/>
        <w:t>(b)</w:t>
      </w:r>
      <w:r>
        <w:tab/>
        <w:t xml:space="preserve">provisions relating to confidential commercial information; </w:t>
      </w:r>
    </w:p>
    <w:p w:rsidR="00F93509" w:rsidRDefault="00F93509" w:rsidP="00F93509">
      <w:pPr>
        <w:pStyle w:val="Apara"/>
      </w:pPr>
      <w:r>
        <w:tab/>
        <w:t>(c)</w:t>
      </w:r>
      <w:r>
        <w:tab/>
        <w:t xml:space="preserve">the making of regulations; </w:t>
      </w:r>
    </w:p>
    <w:p w:rsidR="00F93509" w:rsidRDefault="00F93509" w:rsidP="00F93509">
      <w:pPr>
        <w:pStyle w:val="Apara"/>
      </w:pPr>
      <w:r>
        <w:tab/>
        <w:t>(d)</w:t>
      </w:r>
      <w:r>
        <w:tab/>
        <w:t xml:space="preserve">transitional provisions; </w:t>
      </w:r>
    </w:p>
    <w:p w:rsidR="00F93509" w:rsidRDefault="00F93509" w:rsidP="00F93509">
      <w:pPr>
        <w:pStyle w:val="Apara"/>
      </w:pPr>
      <w:r>
        <w:tab/>
        <w:t>(e)</w:t>
      </w:r>
      <w:r>
        <w:tab/>
        <w:t>review of the operation of the Act.</w:t>
      </w:r>
    </w:p>
    <w:p w:rsidR="00F93509" w:rsidRPr="00325B6A" w:rsidRDefault="00F93509" w:rsidP="00255916">
      <w:pPr>
        <w:pStyle w:val="AH3Div"/>
        <w:keepLines/>
      </w:pPr>
      <w:bookmarkStart w:id="255" w:name="_Toc526844732"/>
      <w:r w:rsidRPr="00325B6A">
        <w:rPr>
          <w:rStyle w:val="CharDivNo"/>
        </w:rPr>
        <w:t>Division 12.2</w:t>
      </w:r>
      <w:r>
        <w:tab/>
      </w:r>
      <w:r w:rsidRPr="00325B6A">
        <w:rPr>
          <w:rStyle w:val="CharDivText"/>
        </w:rPr>
        <w:t>Review of decisions</w:t>
      </w:r>
      <w:bookmarkEnd w:id="255"/>
    </w:p>
    <w:p w:rsidR="00F93509" w:rsidRDefault="00F93509" w:rsidP="00255916">
      <w:pPr>
        <w:pStyle w:val="AH5Sec"/>
        <w:keepLines/>
      </w:pPr>
      <w:bookmarkStart w:id="256" w:name="_Toc526844733"/>
      <w:r w:rsidRPr="00325B6A">
        <w:rPr>
          <w:rStyle w:val="CharSectNo"/>
        </w:rPr>
        <w:t>179</w:t>
      </w:r>
      <w:r>
        <w:tab/>
        <w:t xml:space="preserve">Meaning of </w:t>
      </w:r>
      <w:r w:rsidRPr="00903C3C">
        <w:rPr>
          <w:rStyle w:val="charItals"/>
        </w:rPr>
        <w:t>reviewable decision</w:t>
      </w:r>
      <w:r>
        <w:t xml:space="preserve"> and </w:t>
      </w:r>
      <w:r w:rsidRPr="00903C3C">
        <w:rPr>
          <w:rStyle w:val="charItals"/>
        </w:rPr>
        <w:t>eligible person</w:t>
      </w:r>
      <w:bookmarkEnd w:id="256"/>
    </w:p>
    <w:p w:rsidR="00F93509" w:rsidRDefault="00F93509" w:rsidP="00255916">
      <w:pPr>
        <w:pStyle w:val="Amainreturn"/>
        <w:keepNext/>
        <w:keepLines/>
      </w:pPr>
      <w:r>
        <w:t>The following table sets out—</w:t>
      </w:r>
    </w:p>
    <w:p w:rsidR="00F93509" w:rsidRDefault="00F93509" w:rsidP="00F93509">
      <w:pPr>
        <w:pStyle w:val="Apara"/>
      </w:pPr>
      <w:r>
        <w:rPr>
          <w:rFonts w:ascii="Tms Rmn" w:hAnsi="Tms Rmn"/>
        </w:rPr>
        <w:tab/>
        <w:t>(a)</w:t>
      </w:r>
      <w:r>
        <w:rPr>
          <w:rFonts w:ascii="Tms Rmn" w:hAnsi="Tms Rmn"/>
        </w:rPr>
        <w:tab/>
      </w:r>
      <w:r>
        <w:t xml:space="preserve">decisions that are </w:t>
      </w:r>
      <w:r w:rsidRPr="00903C3C">
        <w:rPr>
          <w:rStyle w:val="charBoldItals"/>
        </w:rPr>
        <w:t>reviewable decisions</w:t>
      </w:r>
      <w:r>
        <w:t xml:space="preserve">; and </w:t>
      </w:r>
    </w:p>
    <w:p w:rsidR="00F93509" w:rsidRDefault="00F93509" w:rsidP="00F93509">
      <w:pPr>
        <w:pStyle w:val="Apara"/>
        <w:spacing w:after="180"/>
      </w:pPr>
      <w:r>
        <w:rPr>
          <w:rFonts w:ascii="Tms Rmn" w:hAnsi="Tms Rmn"/>
        </w:rPr>
        <w:tab/>
        <w:t>(b)</w:t>
      </w:r>
      <w:r>
        <w:rPr>
          <w:rFonts w:ascii="Tms Rmn" w:hAnsi="Tms Rmn"/>
        </w:rPr>
        <w:tab/>
      </w:r>
      <w:r>
        <w:t xml:space="preserve">each </w:t>
      </w:r>
      <w:r w:rsidRPr="00903C3C">
        <w:rPr>
          <w:rStyle w:val="charBoldItals"/>
        </w:rPr>
        <w:t>eligible person</w:t>
      </w:r>
      <w:r>
        <w:t xml:space="preserve"> for a reviewable decision.</w:t>
      </w:r>
    </w:p>
    <w:tbl>
      <w:tblPr>
        <w:tblW w:w="0" w:type="auto"/>
        <w:tblInd w:w="700" w:type="dxa"/>
        <w:tblLayout w:type="fixed"/>
        <w:tblLook w:val="0000" w:firstRow="0" w:lastRow="0" w:firstColumn="0" w:lastColumn="0" w:noHBand="0" w:noVBand="0"/>
      </w:tblPr>
      <w:tblGrid>
        <w:gridCol w:w="1080"/>
        <w:gridCol w:w="2500"/>
        <w:gridCol w:w="2500"/>
      </w:tblGrid>
      <w:tr w:rsidR="00F93509" w:rsidTr="00FD2B77">
        <w:trPr>
          <w:tblHeader/>
        </w:trPr>
        <w:tc>
          <w:tcPr>
            <w:tcW w:w="1080" w:type="dxa"/>
            <w:tcBorders>
              <w:top w:val="nil"/>
              <w:left w:val="nil"/>
              <w:bottom w:val="nil"/>
              <w:right w:val="nil"/>
            </w:tcBorders>
          </w:tcPr>
          <w:p w:rsidR="00F93509" w:rsidRDefault="00F93509" w:rsidP="00FD2B77">
            <w:pPr>
              <w:pStyle w:val="TableColHd"/>
            </w:pPr>
            <w:r>
              <w:t>column 1</w:t>
            </w:r>
          </w:p>
        </w:tc>
        <w:tc>
          <w:tcPr>
            <w:tcW w:w="2500" w:type="dxa"/>
            <w:tcBorders>
              <w:top w:val="nil"/>
              <w:left w:val="nil"/>
              <w:bottom w:val="nil"/>
              <w:right w:val="nil"/>
            </w:tcBorders>
          </w:tcPr>
          <w:p w:rsidR="00F93509" w:rsidRDefault="00F93509" w:rsidP="00FD2B77">
            <w:pPr>
              <w:pStyle w:val="TableColHd"/>
            </w:pPr>
            <w:r>
              <w:t>column 2</w:t>
            </w:r>
          </w:p>
        </w:tc>
        <w:tc>
          <w:tcPr>
            <w:tcW w:w="2500" w:type="dxa"/>
            <w:tcBorders>
              <w:top w:val="nil"/>
              <w:left w:val="nil"/>
              <w:bottom w:val="nil"/>
              <w:right w:val="nil"/>
            </w:tcBorders>
          </w:tcPr>
          <w:p w:rsidR="00F93509" w:rsidRDefault="00F93509" w:rsidP="00FD2B77">
            <w:pPr>
              <w:pStyle w:val="TableColHd"/>
            </w:pPr>
            <w:r>
              <w:t>column 3</w:t>
            </w:r>
          </w:p>
        </w:tc>
      </w:tr>
      <w:tr w:rsidR="00F93509" w:rsidTr="00FD2B77">
        <w:trPr>
          <w:tblHeader/>
        </w:trPr>
        <w:tc>
          <w:tcPr>
            <w:tcW w:w="1080" w:type="dxa"/>
            <w:tcBorders>
              <w:top w:val="nil"/>
              <w:left w:val="nil"/>
              <w:bottom w:val="single" w:sz="6" w:space="0" w:color="auto"/>
              <w:right w:val="nil"/>
            </w:tcBorders>
          </w:tcPr>
          <w:p w:rsidR="00F93509" w:rsidRDefault="00F93509" w:rsidP="00FD2B77">
            <w:pPr>
              <w:pStyle w:val="TableColHd"/>
            </w:pPr>
            <w:r>
              <w:t>item</w:t>
            </w:r>
          </w:p>
        </w:tc>
        <w:tc>
          <w:tcPr>
            <w:tcW w:w="2500" w:type="dxa"/>
            <w:tcBorders>
              <w:top w:val="nil"/>
              <w:left w:val="nil"/>
              <w:bottom w:val="single" w:sz="6" w:space="0" w:color="auto"/>
              <w:right w:val="nil"/>
            </w:tcBorders>
          </w:tcPr>
          <w:p w:rsidR="00F93509" w:rsidRDefault="00F93509" w:rsidP="00FD2B77">
            <w:pPr>
              <w:pStyle w:val="TableColHd"/>
            </w:pPr>
            <w:r>
              <w:t>reviewable decision</w:t>
            </w:r>
          </w:p>
        </w:tc>
        <w:tc>
          <w:tcPr>
            <w:tcW w:w="2500" w:type="dxa"/>
            <w:tcBorders>
              <w:top w:val="nil"/>
              <w:left w:val="nil"/>
              <w:bottom w:val="single" w:sz="6" w:space="0" w:color="auto"/>
              <w:right w:val="nil"/>
            </w:tcBorders>
          </w:tcPr>
          <w:p w:rsidR="00F93509" w:rsidRDefault="00F93509" w:rsidP="00FD2B77">
            <w:pPr>
              <w:pStyle w:val="TableColHd"/>
            </w:pPr>
            <w:r>
              <w:t>eligible person for reviewable decision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1A</w:t>
            </w:r>
          </w:p>
        </w:tc>
        <w:tc>
          <w:tcPr>
            <w:tcW w:w="2500" w:type="dxa"/>
            <w:tcBorders>
              <w:top w:val="nil"/>
              <w:left w:val="nil"/>
              <w:bottom w:val="nil"/>
              <w:right w:val="nil"/>
            </w:tcBorders>
          </w:tcPr>
          <w:p w:rsidR="00F93509" w:rsidRDefault="00F93509" w:rsidP="00FD2B77">
            <w:pPr>
              <w:spacing w:before="40" w:after="40"/>
            </w:pPr>
            <w:r>
              <w:rPr>
                <w:sz w:val="20"/>
              </w:rPr>
              <w:t>to refuse to consider an application on the basis that the applicant is not a suitable person to hold a licence under section 43 (2) (f)</w:t>
            </w:r>
          </w:p>
        </w:tc>
        <w:tc>
          <w:tcPr>
            <w:tcW w:w="2500" w:type="dxa"/>
            <w:tcBorders>
              <w:top w:val="nil"/>
              <w:left w:val="nil"/>
              <w:bottom w:val="nil"/>
              <w:right w:val="nil"/>
            </w:tcBorders>
          </w:tcPr>
          <w:p w:rsidR="00F93509" w:rsidRDefault="00F93509" w:rsidP="00FD2B77">
            <w:pPr>
              <w:spacing w:before="40" w:after="40"/>
            </w:pPr>
            <w:r>
              <w:rPr>
                <w:sz w:val="20"/>
              </w:rPr>
              <w:t>the applicant</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issue a licence under section 55</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the licence</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2</w:t>
            </w:r>
          </w:p>
        </w:tc>
        <w:tc>
          <w:tcPr>
            <w:tcW w:w="2500" w:type="dxa"/>
            <w:tcBorders>
              <w:top w:val="nil"/>
              <w:left w:val="nil"/>
              <w:bottom w:val="nil"/>
              <w:right w:val="nil"/>
            </w:tcBorders>
          </w:tcPr>
          <w:p w:rsidR="00F93509" w:rsidRDefault="00F93509" w:rsidP="00FD2B77">
            <w:pPr>
              <w:spacing w:before="40" w:after="40"/>
              <w:rPr>
                <w:sz w:val="20"/>
              </w:rPr>
            </w:pPr>
            <w:r>
              <w:rPr>
                <w:sz w:val="20"/>
              </w:rPr>
              <w:t>to impose a licence condition under section 55</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3</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 licence under section 68</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4</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transfer a licence under section 70</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p w:rsidR="00F93509" w:rsidRDefault="00F93509" w:rsidP="00FD2B77">
            <w:pPr>
              <w:spacing w:before="40" w:after="40"/>
              <w:rPr>
                <w:sz w:val="20"/>
              </w:rPr>
            </w:pPr>
            <w:r>
              <w:rPr>
                <w:sz w:val="20"/>
              </w:rPr>
              <w:t>the transferee</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5</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vary a licence under section 71</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5A</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refuse to vary a licence under section 71</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6</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determine that a dealing with a GMO is to be included on the GMO register under section 78</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the determination</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t>7</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vary the register in relation to a dealing under section 80</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a person undertaking the dealing</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t>7A</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refuse to transfer a certification under section 89A</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an applicant for the transfer</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t>8</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refuse to certify a facility under section 84</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the applicant for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9</w:t>
            </w:r>
          </w:p>
        </w:tc>
        <w:tc>
          <w:tcPr>
            <w:tcW w:w="2500" w:type="dxa"/>
            <w:tcBorders>
              <w:top w:val="nil"/>
              <w:left w:val="nil"/>
              <w:bottom w:val="nil"/>
              <w:right w:val="nil"/>
            </w:tcBorders>
          </w:tcPr>
          <w:p w:rsidR="00F93509" w:rsidRDefault="00F93509" w:rsidP="00FD2B77">
            <w:pPr>
              <w:spacing w:before="40" w:after="40"/>
              <w:rPr>
                <w:sz w:val="20"/>
              </w:rPr>
            </w:pPr>
            <w:r>
              <w:rPr>
                <w:sz w:val="20"/>
              </w:rPr>
              <w:t>to state a condition of a certification under section 86</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10</w:t>
            </w:r>
          </w:p>
        </w:tc>
        <w:tc>
          <w:tcPr>
            <w:tcW w:w="2500" w:type="dxa"/>
            <w:tcBorders>
              <w:top w:val="nil"/>
              <w:left w:val="nil"/>
              <w:bottom w:val="nil"/>
              <w:right w:val="nil"/>
            </w:tcBorders>
          </w:tcPr>
          <w:p w:rsidR="00F93509" w:rsidRDefault="00F93509" w:rsidP="00FD2B77">
            <w:pPr>
              <w:spacing w:before="40" w:after="40"/>
              <w:rPr>
                <w:sz w:val="20"/>
              </w:rPr>
            </w:pPr>
            <w:r>
              <w:rPr>
                <w:sz w:val="20"/>
              </w:rPr>
              <w:t>to vary a certification under section 87</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11</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 certification under section 88</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12</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accredit an organisation under section 92</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13</w:t>
            </w:r>
          </w:p>
        </w:tc>
        <w:tc>
          <w:tcPr>
            <w:tcW w:w="2500" w:type="dxa"/>
            <w:tcBorders>
              <w:top w:val="nil"/>
              <w:left w:val="nil"/>
              <w:bottom w:val="nil"/>
              <w:right w:val="nil"/>
            </w:tcBorders>
          </w:tcPr>
          <w:p w:rsidR="00F93509" w:rsidRDefault="00F93509" w:rsidP="00FD2B77">
            <w:pPr>
              <w:spacing w:before="40" w:after="40"/>
              <w:rPr>
                <w:sz w:val="20"/>
              </w:rPr>
            </w:pPr>
            <w:r>
              <w:rPr>
                <w:sz w:val="20"/>
              </w:rPr>
              <w:t>to state a condition of an accreditation under section 94</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14</w:t>
            </w:r>
          </w:p>
        </w:tc>
        <w:tc>
          <w:tcPr>
            <w:tcW w:w="2500" w:type="dxa"/>
            <w:tcBorders>
              <w:top w:val="nil"/>
              <w:left w:val="nil"/>
              <w:bottom w:val="nil"/>
              <w:right w:val="nil"/>
            </w:tcBorders>
          </w:tcPr>
          <w:p w:rsidR="00F93509" w:rsidRDefault="00F93509" w:rsidP="00FD2B77">
            <w:pPr>
              <w:spacing w:before="40" w:after="40"/>
              <w:rPr>
                <w:sz w:val="20"/>
              </w:rPr>
            </w:pPr>
            <w:r>
              <w:rPr>
                <w:sz w:val="20"/>
              </w:rPr>
              <w:t>to vary an accreditation under section 95</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15</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an accreditation under section 96</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keepNext/>
              <w:spacing w:before="40" w:after="40"/>
              <w:jc w:val="center"/>
              <w:rPr>
                <w:sz w:val="20"/>
              </w:rPr>
            </w:pPr>
            <w:r>
              <w:rPr>
                <w:sz w:val="20"/>
              </w:rPr>
              <w:t>16</w:t>
            </w:r>
          </w:p>
        </w:tc>
        <w:tc>
          <w:tcPr>
            <w:tcW w:w="2500" w:type="dxa"/>
            <w:tcBorders>
              <w:top w:val="nil"/>
              <w:left w:val="nil"/>
              <w:bottom w:val="nil"/>
              <w:right w:val="nil"/>
            </w:tcBorders>
          </w:tcPr>
          <w:p w:rsidR="00F93509" w:rsidRDefault="00F93509" w:rsidP="00FD2B77">
            <w:pPr>
              <w:keepNext/>
              <w:spacing w:before="40" w:after="40"/>
              <w:rPr>
                <w:sz w:val="20"/>
              </w:rPr>
            </w:pPr>
            <w:r>
              <w:rPr>
                <w:sz w:val="20"/>
              </w:rPr>
              <w:t>to refuse to declare information to be confidential commercial information under section 185</w:t>
            </w:r>
          </w:p>
        </w:tc>
        <w:tc>
          <w:tcPr>
            <w:tcW w:w="2500" w:type="dxa"/>
            <w:tcBorders>
              <w:top w:val="nil"/>
              <w:left w:val="nil"/>
              <w:bottom w:val="nil"/>
              <w:right w:val="nil"/>
            </w:tcBorders>
          </w:tcPr>
          <w:p w:rsidR="00F93509" w:rsidRDefault="00F93509" w:rsidP="00FD2B77">
            <w:pPr>
              <w:keepNext/>
              <w:spacing w:before="40" w:after="40"/>
              <w:rPr>
                <w:sz w:val="20"/>
              </w:rPr>
            </w:pPr>
            <w:r>
              <w:rPr>
                <w:sz w:val="20"/>
              </w:rPr>
              <w:t>the person who made an application under section 184 in relation to the information</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17</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revoke a declaration that information is confidential commercial information under section 186</w:t>
            </w:r>
          </w:p>
        </w:tc>
        <w:tc>
          <w:tcPr>
            <w:tcW w:w="2500" w:type="dxa"/>
            <w:tcBorders>
              <w:top w:val="nil"/>
              <w:left w:val="nil"/>
              <w:bottom w:val="nil"/>
              <w:right w:val="nil"/>
            </w:tcBorders>
          </w:tcPr>
          <w:p w:rsidR="00F93509" w:rsidRDefault="00F93509" w:rsidP="00FD2B77">
            <w:pPr>
              <w:spacing w:before="40" w:after="40"/>
              <w:rPr>
                <w:sz w:val="20"/>
              </w:rPr>
            </w:pPr>
            <w:r>
              <w:rPr>
                <w:sz w:val="20"/>
              </w:rPr>
              <w:t>the person who made an application under section 184 in relation to the information</w:t>
            </w:r>
          </w:p>
        </w:tc>
      </w:tr>
    </w:tbl>
    <w:p w:rsidR="00F93509" w:rsidRDefault="00F93509" w:rsidP="00F93509">
      <w:pPr>
        <w:pStyle w:val="aNote"/>
      </w:pPr>
      <w:r>
        <w:rPr>
          <w:rStyle w:val="charItals"/>
        </w:rPr>
        <w:t>Note</w:t>
      </w:r>
      <w:r>
        <w:tab/>
        <w:t>This section differs from the</w:t>
      </w:r>
      <w:r w:rsidR="006043B7">
        <w:t xml:space="preserve"> </w:t>
      </w:r>
      <w:hyperlink r:id="rId185" w:tooltip="Gene Technology Act 2000" w:history="1">
        <w:r w:rsidR="006043B7" w:rsidRPr="006043B7">
          <w:rPr>
            <w:rStyle w:val="charCitHyperlinkAbbrev"/>
          </w:rPr>
          <w:t>Commonwealth Act</w:t>
        </w:r>
      </w:hyperlink>
      <w:r w:rsidR="006043B7">
        <w:t xml:space="preserve">, </w:t>
      </w:r>
      <w:r>
        <w:t>s 179.</w:t>
      </w:r>
    </w:p>
    <w:p w:rsidR="00F93509" w:rsidRDefault="00F93509" w:rsidP="00F93509">
      <w:pPr>
        <w:pStyle w:val="AH5Sec"/>
      </w:pPr>
      <w:bookmarkStart w:id="257" w:name="_Toc526844734"/>
      <w:r w:rsidRPr="00325B6A">
        <w:rPr>
          <w:rStyle w:val="CharSectNo"/>
        </w:rPr>
        <w:t>180</w:t>
      </w:r>
      <w:r>
        <w:tab/>
        <w:t>Notification of decisions and review rights</w:t>
      </w:r>
      <w:bookmarkEnd w:id="257"/>
    </w:p>
    <w:p w:rsidR="00F93509" w:rsidRDefault="00F93509" w:rsidP="00F93509">
      <w:pPr>
        <w:pStyle w:val="Amain"/>
      </w:pPr>
      <w:r>
        <w:rPr>
          <w:rFonts w:ascii="Tms Rmn" w:hAnsi="Tms Rmn"/>
        </w:rPr>
        <w:tab/>
        <w:t>(1)</w:t>
      </w:r>
      <w:r>
        <w:rPr>
          <w:rFonts w:ascii="Tms Rmn" w:hAnsi="Tms Rmn"/>
        </w:rPr>
        <w:tab/>
        <w:t>A</w:t>
      </w:r>
      <w:r>
        <w:t>s soon as practicable after making a reviewable decision, the regulator must give written notice of the decision to each eligible person.</w:t>
      </w:r>
    </w:p>
    <w:p w:rsidR="00F93509" w:rsidRDefault="00F93509" w:rsidP="00F93509">
      <w:pPr>
        <w:pStyle w:val="Amain"/>
      </w:pPr>
      <w:r>
        <w:tab/>
        <w:t>(2)</w:t>
      </w:r>
      <w:r>
        <w:tab/>
        <w:t>The notice must contain—</w:t>
      </w:r>
    </w:p>
    <w:p w:rsidR="00F93509" w:rsidRDefault="00F93509" w:rsidP="00F93509">
      <w:pPr>
        <w:pStyle w:val="Apara"/>
      </w:pPr>
      <w:r>
        <w:rPr>
          <w:rFonts w:ascii="Tms Rmn" w:hAnsi="Tms Rmn"/>
        </w:rPr>
        <w:tab/>
        <w:t>(a)</w:t>
      </w:r>
      <w:r>
        <w:rPr>
          <w:rFonts w:ascii="Tms Rmn" w:hAnsi="Tms Rmn"/>
        </w:rPr>
        <w:tab/>
      </w:r>
      <w:r>
        <w:t xml:space="preserve">the terms of the decision; and </w:t>
      </w:r>
    </w:p>
    <w:p w:rsidR="00F93509" w:rsidRDefault="00F93509" w:rsidP="00F93509">
      <w:pPr>
        <w:pStyle w:val="Apara"/>
      </w:pPr>
      <w:r>
        <w:rPr>
          <w:rFonts w:ascii="Tms Rmn" w:hAnsi="Tms Rmn"/>
        </w:rPr>
        <w:tab/>
        <w:t>(b)</w:t>
      </w:r>
      <w:r>
        <w:rPr>
          <w:rFonts w:ascii="Tms Rmn" w:hAnsi="Tms Rmn"/>
        </w:rPr>
        <w:tab/>
      </w:r>
      <w:r>
        <w:t xml:space="preserve">the reasons for the decision; and </w:t>
      </w:r>
    </w:p>
    <w:p w:rsidR="00F93509" w:rsidRDefault="00F93509" w:rsidP="00F93509">
      <w:pPr>
        <w:pStyle w:val="Apara"/>
      </w:pPr>
      <w:r>
        <w:rPr>
          <w:rFonts w:ascii="Tms Rmn" w:hAnsi="Tms Rmn"/>
        </w:rPr>
        <w:tab/>
        <w:t>(c)</w:t>
      </w:r>
      <w:r>
        <w:rPr>
          <w:rFonts w:ascii="Tms Rmn" w:hAnsi="Tms Rmn"/>
        </w:rPr>
        <w:tab/>
      </w:r>
      <w:r>
        <w:t>a statement setting out particulars of the person’s review rights.</w:t>
      </w:r>
    </w:p>
    <w:p w:rsidR="00F93509" w:rsidRDefault="00F93509" w:rsidP="00F93509">
      <w:pPr>
        <w:pStyle w:val="Amain"/>
      </w:pPr>
      <w:r>
        <w:rPr>
          <w:rFonts w:ascii="Tms Rmn" w:hAnsi="Tms Rmn"/>
        </w:rPr>
        <w:tab/>
        <w:t>(3)</w:t>
      </w:r>
      <w:r>
        <w:rPr>
          <w:rFonts w:ascii="Tms Rmn" w:hAnsi="Tms Rmn"/>
        </w:rPr>
        <w:tab/>
      </w:r>
      <w:r>
        <w:t>A failure to comply with this section in relation to a decision does not affect the validity of the decision.</w:t>
      </w:r>
    </w:p>
    <w:p w:rsidR="00F93509" w:rsidRDefault="00F93509" w:rsidP="00F93509">
      <w:pPr>
        <w:pStyle w:val="AH5Sec"/>
      </w:pPr>
      <w:bookmarkStart w:id="258" w:name="_Toc526844735"/>
      <w:r w:rsidRPr="00325B6A">
        <w:rPr>
          <w:rStyle w:val="CharSectNo"/>
        </w:rPr>
        <w:t>181</w:t>
      </w:r>
      <w:r>
        <w:tab/>
        <w:t>Internal review</w:t>
      </w:r>
      <w:bookmarkEnd w:id="258"/>
    </w:p>
    <w:p w:rsidR="00F93509" w:rsidRDefault="00F93509" w:rsidP="00F93509">
      <w:pPr>
        <w:pStyle w:val="Amain"/>
      </w:pPr>
      <w:r>
        <w:rPr>
          <w:rFonts w:ascii="Tms Rmn" w:hAnsi="Tms Rmn"/>
        </w:rPr>
        <w:tab/>
        <w:t>(1)</w:t>
      </w:r>
      <w:r>
        <w:rPr>
          <w:rFonts w:ascii="Tms Rmn" w:hAnsi="Tms Rmn"/>
        </w:rPr>
        <w:tab/>
      </w:r>
      <w:r>
        <w:t>An eligible person for a reviewable decision (other than a decision made by the regulator personally) may apply in writing to the regulator for review of the decision.</w:t>
      </w:r>
    </w:p>
    <w:p w:rsidR="00F93509" w:rsidRDefault="00F93509" w:rsidP="00F93509">
      <w:pPr>
        <w:pStyle w:val="Amain"/>
        <w:keepLines/>
      </w:pPr>
      <w:r>
        <w:rPr>
          <w:rFonts w:ascii="Tms Rmn" w:hAnsi="Tms Rmn"/>
        </w:rPr>
        <w:tab/>
        <w:t>(2)</w:t>
      </w:r>
      <w:r>
        <w:rPr>
          <w:rFonts w:ascii="Tms Rmn" w:hAnsi="Tms Rmn"/>
        </w:rPr>
        <w:tab/>
      </w:r>
      <w:r>
        <w:t>The application must be made within 30 days after the day the reviewable decision first came to the notice of the applicant, or within any period that the regulator, before or after the end of that period, allows.</w:t>
      </w:r>
    </w:p>
    <w:p w:rsidR="00F93509" w:rsidRDefault="00F93509" w:rsidP="00F93509">
      <w:pPr>
        <w:pStyle w:val="Amain"/>
      </w:pPr>
      <w:r>
        <w:rPr>
          <w:rFonts w:ascii="Tms Rmn" w:hAnsi="Tms Rmn"/>
        </w:rPr>
        <w:tab/>
        <w:t>(3)</w:t>
      </w:r>
      <w:r>
        <w:rPr>
          <w:rFonts w:ascii="Tms Rmn" w:hAnsi="Tms Rmn"/>
        </w:rPr>
        <w:tab/>
      </w:r>
      <w:r>
        <w:t>On receiving the application, the regulator must review the reviewable decision personally.</w:t>
      </w:r>
    </w:p>
    <w:p w:rsidR="00F93509" w:rsidRDefault="00F93509" w:rsidP="00F93509">
      <w:pPr>
        <w:pStyle w:val="Amain"/>
        <w:keepNext/>
      </w:pPr>
      <w:r>
        <w:rPr>
          <w:rFonts w:ascii="Tms Rmn" w:hAnsi="Tms Rmn"/>
        </w:rPr>
        <w:tab/>
        <w:t>(4)</w:t>
      </w:r>
      <w:r>
        <w:rPr>
          <w:rFonts w:ascii="Tms Rmn" w:hAnsi="Tms Rmn"/>
        </w:rPr>
        <w:tab/>
      </w:r>
      <w:r>
        <w:t>The regulator may—</w:t>
      </w:r>
    </w:p>
    <w:p w:rsidR="00F93509" w:rsidRDefault="00F93509" w:rsidP="00F93509">
      <w:pPr>
        <w:pStyle w:val="Apara"/>
        <w:keepNext/>
      </w:pPr>
      <w:r>
        <w:rPr>
          <w:rFonts w:ascii="Tms Rmn" w:hAnsi="Tms Rmn"/>
        </w:rPr>
        <w:tab/>
        <w:t>(a)</w:t>
      </w:r>
      <w:r>
        <w:rPr>
          <w:rFonts w:ascii="Tms Rmn" w:hAnsi="Tms Rmn"/>
        </w:rPr>
        <w:tab/>
      </w:r>
      <w:r>
        <w:t xml:space="preserve">make a decision confirming, varying or revoking the reviewable decision; and </w:t>
      </w:r>
    </w:p>
    <w:p w:rsidR="00F93509" w:rsidRDefault="00F93509" w:rsidP="00F93509">
      <w:pPr>
        <w:pStyle w:val="Apara"/>
      </w:pPr>
      <w:r>
        <w:rPr>
          <w:rFonts w:ascii="Tms Rmn" w:hAnsi="Tms Rmn"/>
        </w:rPr>
        <w:tab/>
        <w:t>(b)</w:t>
      </w:r>
      <w:r>
        <w:rPr>
          <w:rFonts w:ascii="Tms Rmn" w:hAnsi="Tms Rmn"/>
        </w:rPr>
        <w:tab/>
      </w:r>
      <w:r>
        <w:t>if the regulator revokes the decision—make any other decision the regulator considers appropriate.</w:t>
      </w:r>
    </w:p>
    <w:p w:rsidR="00F93509" w:rsidRDefault="00F93509" w:rsidP="0021119D">
      <w:pPr>
        <w:pStyle w:val="AH5Sec"/>
      </w:pPr>
      <w:bookmarkStart w:id="259" w:name="_Toc526844736"/>
      <w:r w:rsidRPr="00325B6A">
        <w:rPr>
          <w:rStyle w:val="CharSectNo"/>
        </w:rPr>
        <w:t>182</w:t>
      </w:r>
      <w:r>
        <w:tab/>
        <w:t>Deadlines for making reviewable decisions</w:t>
      </w:r>
      <w:bookmarkEnd w:id="259"/>
    </w:p>
    <w:p w:rsidR="00F93509" w:rsidRDefault="00F93509" w:rsidP="0021119D">
      <w:pPr>
        <w:pStyle w:val="Amainreturn"/>
        <w:keepNext/>
      </w:pPr>
      <w:r>
        <w:t>If—</w:t>
      </w:r>
    </w:p>
    <w:p w:rsidR="00F93509" w:rsidRDefault="00F93509" w:rsidP="00F93509">
      <w:pPr>
        <w:pStyle w:val="Apara"/>
      </w:pPr>
      <w:r>
        <w:tab/>
        <w:t>(a)</w:t>
      </w:r>
      <w:r>
        <w:tab/>
        <w:t>this Act provides for a person to make an application of any kind to the regulator; and</w:t>
      </w:r>
    </w:p>
    <w:p w:rsidR="00F93509" w:rsidRDefault="00F93509" w:rsidP="00F93509">
      <w:pPr>
        <w:pStyle w:val="Apara"/>
      </w:pPr>
      <w:r>
        <w:rPr>
          <w:rFonts w:ascii="Tms Rmn" w:hAnsi="Tms Rmn"/>
        </w:rPr>
        <w:tab/>
        <w:t>(b)</w:t>
      </w:r>
      <w:r>
        <w:rPr>
          <w:rFonts w:ascii="Tms Rmn" w:hAnsi="Tms Rmn"/>
        </w:rPr>
        <w:tab/>
      </w:r>
      <w:r>
        <w:t xml:space="preserve">a period is stated under this Act for giving notice of the decision to the applicant; and </w:t>
      </w:r>
    </w:p>
    <w:p w:rsidR="00F93509" w:rsidRDefault="00F93509" w:rsidP="00F93509">
      <w:pPr>
        <w:pStyle w:val="Apara"/>
      </w:pPr>
      <w:r>
        <w:rPr>
          <w:rFonts w:ascii="Tms Rmn" w:hAnsi="Tms Rmn"/>
        </w:rPr>
        <w:tab/>
        <w:t>(c)</w:t>
      </w:r>
      <w:r>
        <w:rPr>
          <w:rFonts w:ascii="Tms Rmn" w:hAnsi="Tms Rmn"/>
        </w:rPr>
        <w:tab/>
      </w:r>
      <w:r>
        <w:t>the regulator has not notified the applicant of the regulator’s decision within the period;</w:t>
      </w:r>
    </w:p>
    <w:p w:rsidR="00F93509" w:rsidRDefault="00F93509" w:rsidP="00F93509">
      <w:pPr>
        <w:pStyle w:val="Amainreturn"/>
      </w:pPr>
      <w:r>
        <w:t>the regulator is taken, for this Act, to have made a reviewable decision to refuse the application, and the person may seek internal review of the reviewable decision under section 181.</w:t>
      </w:r>
    </w:p>
    <w:p w:rsidR="00F93509" w:rsidRDefault="00F93509" w:rsidP="00F93509">
      <w:pPr>
        <w:pStyle w:val="AH5Sec"/>
      </w:pPr>
      <w:bookmarkStart w:id="260" w:name="_Toc526844737"/>
      <w:r w:rsidRPr="00325B6A">
        <w:rPr>
          <w:rStyle w:val="CharSectNo"/>
        </w:rPr>
        <w:t>183</w:t>
      </w:r>
      <w:r>
        <w:tab/>
        <w:t>Review of decisions by Commonwealth administrative appeals tribunal</w:t>
      </w:r>
      <w:bookmarkEnd w:id="260"/>
    </w:p>
    <w:p w:rsidR="00F93509" w:rsidRDefault="00F93509" w:rsidP="00F93509">
      <w:pPr>
        <w:pStyle w:val="Amain"/>
      </w:pPr>
      <w:r>
        <w:rPr>
          <w:rFonts w:ascii="Tms Rmn" w:hAnsi="Tms Rmn"/>
        </w:rPr>
        <w:tab/>
        <w:t>(1)</w:t>
      </w:r>
      <w:r>
        <w:rPr>
          <w:rFonts w:ascii="Tms Rmn" w:hAnsi="Tms Rmn"/>
        </w:rPr>
        <w:tab/>
      </w:r>
      <w:r>
        <w:t>Subject to the</w:t>
      </w:r>
      <w:r w:rsidRPr="00D45199">
        <w:rPr>
          <w:rStyle w:val="charCitHyperlinkAbbrev"/>
        </w:rPr>
        <w:t xml:space="preserve"> </w:t>
      </w:r>
      <w:hyperlink r:id="rId186" w:tooltip="Administrative Appeals Tribunal Act 1975" w:history="1">
        <w:r w:rsidRPr="00D45199">
          <w:rPr>
            <w:rStyle w:val="charCitHyperlinkAbbrev"/>
          </w:rPr>
          <w:t>Commonwealth Administrative Appeals Tribunal Act</w:t>
        </w:r>
      </w:hyperlink>
      <w:r>
        <w:t>, an eligible person may apply under that Act for a review of—</w:t>
      </w:r>
    </w:p>
    <w:p w:rsidR="00F93509" w:rsidRDefault="00F93509" w:rsidP="00F93509">
      <w:pPr>
        <w:pStyle w:val="Apara"/>
      </w:pPr>
      <w:r>
        <w:rPr>
          <w:rFonts w:ascii="Tms Rmn" w:hAnsi="Tms Rmn"/>
        </w:rPr>
        <w:tab/>
        <w:t>(a)</w:t>
      </w:r>
      <w:r>
        <w:rPr>
          <w:rFonts w:ascii="Tms Rmn" w:hAnsi="Tms Rmn"/>
        </w:rPr>
        <w:tab/>
      </w:r>
      <w:r>
        <w:t>a reviewable decision made by the regulator personally; or</w:t>
      </w:r>
    </w:p>
    <w:p w:rsidR="00F93509" w:rsidRDefault="00F93509" w:rsidP="00F93509">
      <w:pPr>
        <w:pStyle w:val="Apara"/>
      </w:pPr>
      <w:r>
        <w:rPr>
          <w:rFonts w:ascii="Tms Rmn" w:hAnsi="Tms Rmn"/>
        </w:rPr>
        <w:tab/>
        <w:t>(b)</w:t>
      </w:r>
      <w:r>
        <w:rPr>
          <w:rFonts w:ascii="Tms Rmn" w:hAnsi="Tms Rmn"/>
        </w:rPr>
        <w:tab/>
      </w:r>
      <w:r>
        <w:t>a decision made by the regulator under section 181.</w:t>
      </w:r>
    </w:p>
    <w:p w:rsidR="00F93509" w:rsidRDefault="00F93509" w:rsidP="00F93509">
      <w:pPr>
        <w:pStyle w:val="Amain"/>
        <w:keepNext/>
      </w:pPr>
      <w:r>
        <w:rPr>
          <w:rFonts w:ascii="Tms Rmn" w:hAnsi="Tms Rmn"/>
        </w:rPr>
        <w:tab/>
        <w:t>(2)</w:t>
      </w:r>
      <w:r>
        <w:rPr>
          <w:rFonts w:ascii="Tms Rmn" w:hAnsi="Tms Rmn"/>
        </w:rPr>
        <w:tab/>
      </w:r>
      <w:r>
        <w:t>In this section:</w:t>
      </w:r>
    </w:p>
    <w:p w:rsidR="00F93509" w:rsidRDefault="00F93509" w:rsidP="00F93509">
      <w:pPr>
        <w:pStyle w:val="aDef"/>
      </w:pPr>
      <w:r>
        <w:rPr>
          <w:rStyle w:val="charBoldItals"/>
        </w:rPr>
        <w:t>decision</w:t>
      </w:r>
      <w:r>
        <w:t xml:space="preserve">—see the </w:t>
      </w:r>
      <w:hyperlink r:id="rId187" w:tooltip="Administrative Appeals Tribunal Act 1975" w:history="1">
        <w:r w:rsidRPr="00D45199">
          <w:rPr>
            <w:rStyle w:val="charCitHyperlinkAbbrev"/>
          </w:rPr>
          <w:t>Commonwealth Administrative Appeals Tribunal Act</w:t>
        </w:r>
      </w:hyperlink>
      <w:r>
        <w:t>, section 3.</w:t>
      </w:r>
    </w:p>
    <w:p w:rsidR="00F93509" w:rsidRDefault="00F93509" w:rsidP="0021119D">
      <w:pPr>
        <w:pStyle w:val="AH5Sec"/>
        <w:keepNext w:val="0"/>
        <w:keepLines/>
      </w:pPr>
      <w:bookmarkStart w:id="261" w:name="_Toc526844738"/>
      <w:r w:rsidRPr="00325B6A">
        <w:rPr>
          <w:rStyle w:val="CharSectNo"/>
        </w:rPr>
        <w:t>183A</w:t>
      </w:r>
      <w:r>
        <w:tab/>
        <w:t>Extended standing for judicial review</w:t>
      </w:r>
      <w:bookmarkEnd w:id="261"/>
    </w:p>
    <w:p w:rsidR="00F93509" w:rsidRDefault="00F93509" w:rsidP="0021119D">
      <w:pPr>
        <w:pStyle w:val="aNote"/>
        <w:keepLines/>
      </w:pPr>
      <w:r>
        <w:rPr>
          <w:rStyle w:val="charItals"/>
        </w:rPr>
        <w:t>Note</w:t>
      </w:r>
      <w:r>
        <w:tab/>
        <w:t>The</w:t>
      </w:r>
      <w:r w:rsidR="006043B7">
        <w:t xml:space="preserve"> </w:t>
      </w:r>
      <w:hyperlink r:id="rId188" w:tooltip="Gene Technology Act 2000" w:history="1">
        <w:r w:rsidR="006043B7" w:rsidRPr="006043B7">
          <w:rPr>
            <w:rStyle w:val="charCitHyperlinkAbbrev"/>
          </w:rPr>
          <w:t>Commonwealth Act</w:t>
        </w:r>
      </w:hyperlink>
      <w:r w:rsidR="006043B7">
        <w:t xml:space="preserve">, </w:t>
      </w:r>
      <w:r>
        <w:t xml:space="preserve">s 183A requires that a State be taken to be a person aggrieved for the application of the </w:t>
      </w:r>
      <w:hyperlink r:id="rId189" w:tooltip="Act 1977 No 59 (Cwlth)" w:history="1">
        <w:r w:rsidRPr="00163E51">
          <w:rPr>
            <w:rStyle w:val="charCitHyperlinkItal"/>
          </w:rPr>
          <w:t>Administrative Decisions (Judicial Review) Act 1977</w:t>
        </w:r>
      </w:hyperlink>
      <w:r>
        <w:t xml:space="preserve"> (Cwlth) in relation to certain decisions, failures or conduct under the</w:t>
      </w:r>
      <w:r w:rsidR="006043B7">
        <w:t xml:space="preserve"> </w:t>
      </w:r>
      <w:hyperlink r:id="rId190" w:tooltip="Gene Technology Act 2000" w:history="1">
        <w:r w:rsidR="006043B7" w:rsidRPr="006043B7">
          <w:rPr>
            <w:rStyle w:val="charCitHyperlinkAbbrev"/>
          </w:rPr>
          <w:t>Commonwealth Act</w:t>
        </w:r>
      </w:hyperlink>
      <w:r w:rsidR="006043B7">
        <w:t>.</w:t>
      </w:r>
    </w:p>
    <w:p w:rsidR="00F93509" w:rsidRPr="00325B6A" w:rsidRDefault="00F93509" w:rsidP="00F93509">
      <w:pPr>
        <w:pStyle w:val="AH3Div"/>
      </w:pPr>
      <w:bookmarkStart w:id="262" w:name="_Toc526844739"/>
      <w:r w:rsidRPr="00325B6A">
        <w:rPr>
          <w:rStyle w:val="CharDivNo"/>
        </w:rPr>
        <w:t>Division 12.3</w:t>
      </w:r>
      <w:r>
        <w:tab/>
      </w:r>
      <w:r w:rsidRPr="00325B6A">
        <w:rPr>
          <w:rStyle w:val="CharDivText"/>
        </w:rPr>
        <w:t>Confidential commercial information</w:t>
      </w:r>
      <w:bookmarkEnd w:id="262"/>
    </w:p>
    <w:p w:rsidR="00F93509" w:rsidRDefault="00F93509" w:rsidP="00F93509">
      <w:pPr>
        <w:pStyle w:val="AH5Sec"/>
      </w:pPr>
      <w:bookmarkStart w:id="263" w:name="_Toc526844740"/>
      <w:r w:rsidRPr="00325B6A">
        <w:rPr>
          <w:rStyle w:val="CharSectNo"/>
        </w:rPr>
        <w:t>184</w:t>
      </w:r>
      <w:r>
        <w:tab/>
        <w:t>Application for protection of confidential commercial information</w:t>
      </w:r>
      <w:bookmarkEnd w:id="263"/>
    </w:p>
    <w:p w:rsidR="00F93509" w:rsidRDefault="00F93509" w:rsidP="00F93509">
      <w:pPr>
        <w:pStyle w:val="Amain"/>
      </w:pPr>
      <w:r>
        <w:rPr>
          <w:rFonts w:ascii="Tms Rmn" w:hAnsi="Tms Rmn"/>
        </w:rPr>
        <w:tab/>
        <w:t>(1)</w:t>
      </w:r>
      <w:r>
        <w:rPr>
          <w:rFonts w:ascii="Tms Rmn" w:hAnsi="Tms Rmn"/>
        </w:rPr>
        <w:tab/>
      </w:r>
      <w:r>
        <w:t>A person may apply to the regulator for a declaration that stated information to which this Act relates is confidential commercial information for this Act.</w:t>
      </w:r>
    </w:p>
    <w:p w:rsidR="00F93509" w:rsidRDefault="00F93509" w:rsidP="00F93509">
      <w:pPr>
        <w:pStyle w:val="Amain"/>
        <w:keepNext/>
      </w:pPr>
      <w:r>
        <w:rPr>
          <w:rFonts w:ascii="Tms Rmn" w:hAnsi="Tms Rmn"/>
        </w:rPr>
        <w:tab/>
        <w:t>(2)</w:t>
      </w:r>
      <w:r>
        <w:rPr>
          <w:rFonts w:ascii="Tms Rmn" w:hAnsi="Tms Rmn"/>
        </w:rPr>
        <w:tab/>
      </w:r>
      <w:r>
        <w:t>An application under subsection (1) must be in writing in the form approved under section 192E.</w:t>
      </w:r>
    </w:p>
    <w:p w:rsidR="00F93509" w:rsidRDefault="00F93509" w:rsidP="00F93509">
      <w:pPr>
        <w:pStyle w:val="aNote"/>
      </w:pPr>
      <w:r w:rsidRPr="00903C3C">
        <w:rPr>
          <w:rStyle w:val="charItals"/>
        </w:rPr>
        <w:t>Note</w:t>
      </w:r>
      <w:r w:rsidRPr="00903C3C">
        <w:rPr>
          <w:rStyle w:val="charItals"/>
        </w:rPr>
        <w:tab/>
      </w:r>
      <w:r>
        <w:t>This section differs from the</w:t>
      </w:r>
      <w:r w:rsidR="006043B7">
        <w:t xml:space="preserve"> </w:t>
      </w:r>
      <w:hyperlink r:id="rId191" w:tooltip="Gene Technology Act 2000" w:history="1">
        <w:r w:rsidR="006043B7" w:rsidRPr="006043B7">
          <w:rPr>
            <w:rStyle w:val="charCitHyperlinkAbbrev"/>
          </w:rPr>
          <w:t>Commonwealth Act</w:t>
        </w:r>
      </w:hyperlink>
      <w:r w:rsidR="006043B7">
        <w:t xml:space="preserve">, </w:t>
      </w:r>
      <w:r>
        <w:t>s 184 in that the form is approved by the regulator under s 192E.</w:t>
      </w:r>
    </w:p>
    <w:p w:rsidR="00F93509" w:rsidRDefault="00F93509" w:rsidP="00F93509">
      <w:pPr>
        <w:pStyle w:val="AH5Sec"/>
      </w:pPr>
      <w:bookmarkStart w:id="264" w:name="_Toc526844741"/>
      <w:r w:rsidRPr="00325B6A">
        <w:rPr>
          <w:rStyle w:val="CharSectNo"/>
        </w:rPr>
        <w:t>185</w:t>
      </w:r>
      <w:r>
        <w:tab/>
        <w:t>Regulator may declare information is confidential commercial information</w:t>
      </w:r>
      <w:bookmarkEnd w:id="264"/>
    </w:p>
    <w:p w:rsidR="00F93509" w:rsidRDefault="00F93509" w:rsidP="00F93509">
      <w:pPr>
        <w:pStyle w:val="Amain"/>
        <w:keepNext/>
      </w:pPr>
      <w:r>
        <w:rPr>
          <w:rFonts w:ascii="Tms Rmn" w:hAnsi="Tms Rmn"/>
        </w:rPr>
        <w:tab/>
        <w:t>(1)</w:t>
      </w:r>
      <w:r>
        <w:rPr>
          <w:rFonts w:ascii="Tms Rmn" w:hAnsi="Tms Rmn"/>
        </w:rPr>
        <w:tab/>
      </w:r>
      <w:r>
        <w:t>If the applicant satisfies the regulator that the information stated in the application is—</w:t>
      </w:r>
    </w:p>
    <w:p w:rsidR="00F93509" w:rsidRDefault="00F93509" w:rsidP="00F93509">
      <w:pPr>
        <w:pStyle w:val="Apara"/>
      </w:pPr>
      <w:r>
        <w:rPr>
          <w:rFonts w:ascii="Tms Rmn" w:hAnsi="Tms Rmn"/>
        </w:rPr>
        <w:tab/>
        <w:t>(a)</w:t>
      </w:r>
      <w:r>
        <w:rPr>
          <w:rFonts w:ascii="Tms Rmn" w:hAnsi="Tms Rmn"/>
        </w:rPr>
        <w:tab/>
      </w:r>
      <w:r>
        <w:t>a trade secret; or</w:t>
      </w:r>
    </w:p>
    <w:p w:rsidR="00F93509" w:rsidRDefault="00F93509" w:rsidP="00F93509">
      <w:pPr>
        <w:pStyle w:val="Apara"/>
      </w:pPr>
      <w:r>
        <w:rPr>
          <w:rFonts w:ascii="Tms Rmn" w:hAnsi="Tms Rmn"/>
        </w:rPr>
        <w:tab/>
        <w:t>(b)</w:t>
      </w:r>
      <w:r>
        <w:rPr>
          <w:rFonts w:ascii="Tms Rmn" w:hAnsi="Tms Rmn"/>
        </w:rPr>
        <w:tab/>
      </w:r>
      <w:r>
        <w:t>any other information that has a commercial or other value that would be, or could reasonably be expected to be, destroyed or diminished if the information were disclosed; or</w:t>
      </w:r>
    </w:p>
    <w:p w:rsidR="00F93509" w:rsidRDefault="00F93509" w:rsidP="00F93509">
      <w:pPr>
        <w:pStyle w:val="Apara"/>
      </w:pPr>
      <w:r>
        <w:rPr>
          <w:rFonts w:ascii="Tms Rmn" w:hAnsi="Tms Rmn"/>
        </w:rPr>
        <w:tab/>
        <w:t>(c)</w:t>
      </w:r>
      <w:r>
        <w:rPr>
          <w:rFonts w:ascii="Tms Rmn" w:hAnsi="Tms Rmn"/>
        </w:rPr>
        <w:tab/>
      </w:r>
      <w:r>
        <w:t>other information that—</w:t>
      </w:r>
    </w:p>
    <w:p w:rsidR="00F93509" w:rsidRDefault="00F93509" w:rsidP="00F93509">
      <w:pPr>
        <w:pStyle w:val="Asubpara"/>
      </w:pPr>
      <w:r>
        <w:rPr>
          <w:rFonts w:ascii="Tms Rmn" w:hAnsi="Tms Rmn"/>
        </w:rPr>
        <w:tab/>
        <w:t>(i)</w:t>
      </w:r>
      <w:r>
        <w:rPr>
          <w:rFonts w:ascii="Tms Rmn" w:hAnsi="Tms Rmn"/>
        </w:rPr>
        <w:tab/>
      </w:r>
      <w:r>
        <w:t xml:space="preserve">concerns the lawful commercial or financial affairs of a person, organisation or undertaking; and </w:t>
      </w:r>
    </w:p>
    <w:p w:rsidR="00F93509" w:rsidRDefault="00F93509" w:rsidP="00F93509">
      <w:pPr>
        <w:pStyle w:val="Asubpara"/>
      </w:pPr>
      <w:r>
        <w:rPr>
          <w:rFonts w:ascii="Tms Rmn" w:hAnsi="Tms Rmn"/>
        </w:rPr>
        <w:tab/>
        <w:t>(ii)</w:t>
      </w:r>
      <w:r>
        <w:rPr>
          <w:rFonts w:ascii="Tms Rmn" w:hAnsi="Tms Rmn"/>
        </w:rPr>
        <w:tab/>
      </w:r>
      <w:r>
        <w:t>if it were disclosed, could unreasonably affect the person, organisation or undertaking;</w:t>
      </w:r>
    </w:p>
    <w:p w:rsidR="00F93509" w:rsidRDefault="00F93509" w:rsidP="00F93509">
      <w:pPr>
        <w:pStyle w:val="Amainreturn"/>
      </w:pPr>
      <w:r>
        <w:t>the regulator must declare that the information is confidential commercial information for this Act.</w:t>
      </w:r>
    </w:p>
    <w:p w:rsidR="00F93509" w:rsidRDefault="00F93509" w:rsidP="0021119D">
      <w:pPr>
        <w:pStyle w:val="Amain"/>
        <w:keepLines/>
      </w:pPr>
      <w:r>
        <w:rPr>
          <w:rFonts w:ascii="Tms Rmn" w:hAnsi="Tms Rmn"/>
        </w:rPr>
        <w:tab/>
        <w:t>(2)</w:t>
      </w:r>
      <w:r>
        <w:rPr>
          <w:rFonts w:ascii="Tms Rmn" w:hAnsi="Tms Rmn"/>
        </w:rPr>
        <w:tab/>
      </w:r>
      <w:r>
        <w:t>However, the regulator may refuse to declare that the information is confidential commercial information if satisfied that the public interest in disclosure outweighs the prejudice that the disclosure would cause to anyone.</w:t>
      </w:r>
    </w:p>
    <w:p w:rsidR="00F93509" w:rsidRDefault="00F93509" w:rsidP="00F93509">
      <w:pPr>
        <w:pStyle w:val="Amain"/>
        <w:keepNext/>
      </w:pPr>
      <w:r>
        <w:rPr>
          <w:rFonts w:ascii="Tms Rmn" w:hAnsi="Tms Rmn"/>
        </w:rPr>
        <w:tab/>
        <w:t>(3)</w:t>
      </w:r>
      <w:r>
        <w:rPr>
          <w:rFonts w:ascii="Tms Rmn" w:hAnsi="Tms Rmn"/>
        </w:rPr>
        <w:tab/>
      </w:r>
      <w:r>
        <w:t>Also, the regulator must refuse to declare that information is confidential commercial information if the information relates to 1 or more locations where field trials involving GMOs are happening, or are proposed to happen, unless satisfied that significant damage to the health and safety of people, the environment or property would be likely to happen if the locations were disclosed.</w:t>
      </w:r>
    </w:p>
    <w:p w:rsidR="00F93509" w:rsidRDefault="00F93509" w:rsidP="00F93509">
      <w:pPr>
        <w:pStyle w:val="aNote"/>
      </w:pPr>
      <w:r>
        <w:rPr>
          <w:rStyle w:val="charItals"/>
        </w:rPr>
        <w:t>Note</w:t>
      </w:r>
      <w:r>
        <w:tab/>
        <w:t>This means that, in general, information about sites where dealings with GMOs are happening will be required to be disclosed under s 54 and s 138, unless the regulator is satisfied that disclosure would involve significant risks to health and safety.</w:t>
      </w:r>
    </w:p>
    <w:p w:rsidR="00F93509" w:rsidRDefault="00F93509" w:rsidP="00F93509">
      <w:pPr>
        <w:pStyle w:val="Amain"/>
      </w:pPr>
      <w:r>
        <w:rPr>
          <w:rFonts w:ascii="Tms Rmn" w:hAnsi="Tms Rmn"/>
        </w:rPr>
        <w:tab/>
        <w:t>(4)</w:t>
      </w:r>
      <w:r>
        <w:rPr>
          <w:rFonts w:ascii="Tms Rmn" w:hAnsi="Tms Rmn"/>
        </w:rPr>
        <w:tab/>
      </w:r>
      <w:r>
        <w:t>The regulator must give the applicant written notice of the regulator’s decision about the application.</w:t>
      </w:r>
    </w:p>
    <w:p w:rsidR="00F93509" w:rsidRDefault="00F93509" w:rsidP="00F93509">
      <w:pPr>
        <w:pStyle w:val="Amain"/>
      </w:pPr>
      <w:r>
        <w:rPr>
          <w:rFonts w:ascii="Tms Rmn" w:hAnsi="Tms Rmn"/>
        </w:rPr>
        <w:tab/>
        <w:t>(5)</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the regulator declares that particular information is confidential commercial information; and</w:t>
      </w:r>
    </w:p>
    <w:p w:rsidR="00F93509" w:rsidRDefault="00F93509" w:rsidP="00F93509">
      <w:pPr>
        <w:pStyle w:val="Apara"/>
      </w:pPr>
      <w:r>
        <w:rPr>
          <w:rFonts w:ascii="Tms Rmn" w:hAnsi="Tms Rmn"/>
        </w:rPr>
        <w:tab/>
        <w:t>(b)</w:t>
      </w:r>
      <w:r>
        <w:rPr>
          <w:rFonts w:ascii="Tms Rmn" w:hAnsi="Tms Rmn"/>
        </w:rPr>
        <w:tab/>
      </w:r>
      <w:r>
        <w:t>the information relates to 1 or more locations where field trials involving GMOs are happening, or are proposed to happen;</w:t>
      </w:r>
    </w:p>
    <w:p w:rsidR="00F93509" w:rsidRDefault="00F93509" w:rsidP="00F93509">
      <w:pPr>
        <w:pStyle w:val="Amainreturn"/>
      </w:pPr>
      <w:r>
        <w:t>the regulator must make publicly available a statement of reasons for the making of the declaration, including, for example—</w:t>
      </w:r>
    </w:p>
    <w:p w:rsidR="00F93509" w:rsidRDefault="00F93509" w:rsidP="00F93509">
      <w:pPr>
        <w:pStyle w:val="Apara"/>
      </w:pPr>
      <w:r>
        <w:rPr>
          <w:rFonts w:ascii="Tms Rmn" w:hAnsi="Tms Rmn"/>
        </w:rPr>
        <w:tab/>
        <w:t>(c)</w:t>
      </w:r>
      <w:r>
        <w:rPr>
          <w:rFonts w:ascii="Tms Rmn" w:hAnsi="Tms Rmn"/>
        </w:rPr>
        <w:tab/>
      </w:r>
      <w:r>
        <w:t>the reasons why the regulator was satisfied as mentioned in subsection (1); and</w:t>
      </w:r>
    </w:p>
    <w:p w:rsidR="00F93509" w:rsidRDefault="00F93509" w:rsidP="00F93509">
      <w:pPr>
        <w:pStyle w:val="Apara"/>
      </w:pPr>
      <w:r>
        <w:rPr>
          <w:rFonts w:ascii="Tms Rmn" w:hAnsi="Tms Rmn"/>
        </w:rPr>
        <w:tab/>
        <w:t>(d)</w:t>
      </w:r>
      <w:r>
        <w:rPr>
          <w:rFonts w:ascii="Tms Rmn" w:hAnsi="Tms Rmn"/>
        </w:rPr>
        <w:tab/>
      </w:r>
      <w:r>
        <w:t>the reasons why the regulator was not satisfied under subsection (2) that the public interest in disclosing the information outweighed the prejudice that the disclosure would cause; and</w:t>
      </w:r>
    </w:p>
    <w:p w:rsidR="00F93509" w:rsidRDefault="00F93509" w:rsidP="0021119D">
      <w:pPr>
        <w:pStyle w:val="Apara"/>
        <w:keepLines/>
      </w:pPr>
      <w:r>
        <w:rPr>
          <w:rFonts w:ascii="Tms Rmn" w:hAnsi="Tms Rmn"/>
        </w:rPr>
        <w:tab/>
        <w:t>(e)</w:t>
      </w:r>
      <w:r>
        <w:rPr>
          <w:rFonts w:ascii="Tms Rmn" w:hAnsi="Tms Rmn"/>
        </w:rPr>
        <w:tab/>
      </w:r>
      <w:r>
        <w:t>the reasons why the regulator was satisfied under subsection (3) that significant damage to the health and safety of people, the environment or property would be likely to happen if the locations were disclosed.</w:t>
      </w:r>
    </w:p>
    <w:p w:rsidR="00F93509" w:rsidRDefault="00F93509" w:rsidP="00F93509">
      <w:pPr>
        <w:pStyle w:val="Amain"/>
      </w:pPr>
      <w:r>
        <w:tab/>
        <w:t>(5A)</w:t>
      </w:r>
      <w:r>
        <w:tab/>
        <w:t>If—</w:t>
      </w:r>
    </w:p>
    <w:p w:rsidR="00F93509" w:rsidRDefault="00F93509" w:rsidP="00F93509">
      <w:pPr>
        <w:pStyle w:val="Apara"/>
      </w:pPr>
      <w:r>
        <w:tab/>
        <w:t>(a)</w:t>
      </w:r>
      <w:r>
        <w:tab/>
        <w:t>a person has made an application under section 184 for a declaration that stated information is confidential commercial information; and</w:t>
      </w:r>
    </w:p>
    <w:p w:rsidR="00F93509" w:rsidRDefault="00F93509" w:rsidP="00F93509">
      <w:pPr>
        <w:pStyle w:val="Apara"/>
      </w:pPr>
      <w:r>
        <w:tab/>
        <w:t>(b)</w:t>
      </w:r>
      <w:r>
        <w:tab/>
        <w:t>the regulator has not yet made a decision on the application;</w:t>
      </w:r>
    </w:p>
    <w:p w:rsidR="00F93509" w:rsidRDefault="00F93509" w:rsidP="00F93509">
      <w:pPr>
        <w:pStyle w:val="Amainreturn"/>
      </w:pPr>
      <w:r>
        <w:t>the information is to be treated as confidential commercial information until the regulator makes  a decision on the application.</w:t>
      </w:r>
    </w:p>
    <w:p w:rsidR="00F93509" w:rsidRDefault="00F93509" w:rsidP="00F93509">
      <w:pPr>
        <w:pStyle w:val="Amain"/>
        <w:keepLines/>
      </w:pPr>
      <w:r>
        <w:rPr>
          <w:rFonts w:ascii="Tms Rmn" w:hAnsi="Tms Rmn"/>
        </w:rPr>
        <w:tab/>
        <w:t>(6)</w:t>
      </w:r>
      <w:r>
        <w:rPr>
          <w:rFonts w:ascii="Tms Rmn" w:hAnsi="Tms Rmn"/>
        </w:rPr>
        <w:tab/>
      </w:r>
      <w:r>
        <w:t>If the regulator refuses an application under section 184 (1) in relation to information, the information is to be treated as confidential commercial information until any review rights under section 181 or 183 in relation to the application are exhausted.</w:t>
      </w:r>
    </w:p>
    <w:p w:rsidR="00F93509" w:rsidRDefault="00F93509" w:rsidP="00F93509">
      <w:pPr>
        <w:pStyle w:val="AH5Sec"/>
      </w:pPr>
      <w:bookmarkStart w:id="265" w:name="_Toc526844742"/>
      <w:r w:rsidRPr="00325B6A">
        <w:rPr>
          <w:rStyle w:val="CharSectNo"/>
        </w:rPr>
        <w:t>186</w:t>
      </w:r>
      <w:r>
        <w:tab/>
        <w:t>Revocation of declaration</w:t>
      </w:r>
      <w:bookmarkEnd w:id="265"/>
    </w:p>
    <w:p w:rsidR="00F93509" w:rsidRDefault="00F93509" w:rsidP="00F93509">
      <w:pPr>
        <w:pStyle w:val="Amain"/>
      </w:pPr>
      <w:r>
        <w:rPr>
          <w:rFonts w:ascii="Tms Rmn" w:hAnsi="Tms Rmn"/>
        </w:rPr>
        <w:tab/>
        <w:t>(1)</w:t>
      </w:r>
      <w:r>
        <w:rPr>
          <w:rFonts w:ascii="Tms Rmn" w:hAnsi="Tms Rmn"/>
        </w:rPr>
        <w:tab/>
      </w:r>
      <w:r>
        <w:t>The regulator may, by written notice given to the applicant for a declaration under section 185, revoke the declaration if the regulator is satisfied—</w:t>
      </w:r>
    </w:p>
    <w:p w:rsidR="00F93509" w:rsidRDefault="00F93509" w:rsidP="00F93509">
      <w:pPr>
        <w:pStyle w:val="Apara"/>
      </w:pPr>
      <w:r>
        <w:rPr>
          <w:rFonts w:ascii="Tms Rmn" w:hAnsi="Tms Rmn"/>
        </w:rPr>
        <w:tab/>
        <w:t>(a)</w:t>
      </w:r>
      <w:r>
        <w:rPr>
          <w:rFonts w:ascii="Tms Rmn" w:hAnsi="Tms Rmn"/>
        </w:rPr>
        <w:tab/>
      </w:r>
      <w:r>
        <w:t>that the information concerned no longer satisfies section 185 (1) (a), (b) or (c); or</w:t>
      </w:r>
    </w:p>
    <w:p w:rsidR="00F93509" w:rsidRDefault="00F93509" w:rsidP="00F93509">
      <w:pPr>
        <w:pStyle w:val="Apara"/>
      </w:pPr>
      <w:r>
        <w:rPr>
          <w:rFonts w:ascii="Tms Rmn" w:hAnsi="Tms Rmn"/>
        </w:rPr>
        <w:tab/>
        <w:t>(b)</w:t>
      </w:r>
      <w:r>
        <w:rPr>
          <w:rFonts w:ascii="Tms Rmn" w:hAnsi="Tms Rmn"/>
        </w:rPr>
        <w:tab/>
      </w:r>
      <w:r>
        <w:t>that the public interest in disclosing the information outweighs the prejudice that disclosure would cause to any person.</w:t>
      </w:r>
    </w:p>
    <w:p w:rsidR="00F93509" w:rsidRDefault="00F93509" w:rsidP="00F93509">
      <w:pPr>
        <w:pStyle w:val="Amain"/>
      </w:pPr>
      <w:r>
        <w:rPr>
          <w:rFonts w:ascii="Tms Rmn" w:hAnsi="Tms Rmn"/>
        </w:rPr>
        <w:tab/>
        <w:t>(2)</w:t>
      </w:r>
      <w:r>
        <w:rPr>
          <w:rFonts w:ascii="Tms Rmn" w:hAnsi="Tms Rmn"/>
        </w:rPr>
        <w:tab/>
      </w:r>
      <w:r>
        <w:t>The revocation does not take effect until any review rights under section 181 or 183 in relation to the revocation are exhausted.</w:t>
      </w:r>
    </w:p>
    <w:p w:rsidR="00F93509" w:rsidRDefault="00F93509" w:rsidP="0021119D">
      <w:pPr>
        <w:pStyle w:val="AH5Sec"/>
      </w:pPr>
      <w:bookmarkStart w:id="266" w:name="_Toc526844743"/>
      <w:r w:rsidRPr="00325B6A">
        <w:rPr>
          <w:rStyle w:val="CharSectNo"/>
        </w:rPr>
        <w:t>187</w:t>
      </w:r>
      <w:r>
        <w:tab/>
        <w:t>Confidential commercial information must not be disclosed</w:t>
      </w:r>
      <w:bookmarkEnd w:id="266"/>
    </w:p>
    <w:p w:rsidR="00F93509" w:rsidRDefault="00F93509" w:rsidP="0021119D">
      <w:pPr>
        <w:pStyle w:val="Amain"/>
        <w:keepNext/>
      </w:pPr>
      <w:r>
        <w:rPr>
          <w:rFonts w:ascii="Tms Rmn" w:hAnsi="Tms Rmn"/>
        </w:rPr>
        <w:tab/>
        <w:t>(1)</w:t>
      </w:r>
      <w:r>
        <w:rPr>
          <w:rFonts w:ascii="Tms Rmn" w:hAnsi="Tms Rmn"/>
        </w:rPr>
        <w:tab/>
      </w:r>
      <w:r>
        <w:t>A person who—</w:t>
      </w:r>
    </w:p>
    <w:p w:rsidR="00F93509" w:rsidRDefault="00F93509" w:rsidP="00F93509">
      <w:pPr>
        <w:pStyle w:val="Apara"/>
      </w:pPr>
      <w:r>
        <w:rPr>
          <w:rFonts w:ascii="Tms Rmn" w:hAnsi="Tms Rmn"/>
        </w:rPr>
        <w:tab/>
        <w:t>(a)</w:t>
      </w:r>
      <w:r>
        <w:rPr>
          <w:rFonts w:ascii="Tms Rmn" w:hAnsi="Tms Rmn"/>
        </w:rPr>
        <w:tab/>
      </w:r>
      <w:r>
        <w:t xml:space="preserve">has confidential commercial information; and </w:t>
      </w:r>
    </w:p>
    <w:p w:rsidR="00F93509" w:rsidRDefault="00F93509" w:rsidP="00F93509">
      <w:pPr>
        <w:pStyle w:val="Apara"/>
      </w:pPr>
      <w:r>
        <w:rPr>
          <w:rFonts w:ascii="Tms Rmn" w:hAnsi="Tms Rmn"/>
        </w:rPr>
        <w:tab/>
        <w:t>(b)</w:t>
      </w:r>
      <w:r>
        <w:rPr>
          <w:rFonts w:ascii="Tms Rmn" w:hAnsi="Tms Rmn"/>
        </w:rPr>
        <w:tab/>
      </w:r>
      <w:r>
        <w:t>has the information only because of exercising functions under this Act or under the</w:t>
      </w:r>
      <w:r w:rsidR="006043B7">
        <w:t xml:space="preserve"> </w:t>
      </w:r>
      <w:hyperlink r:id="rId192" w:tooltip="Gene Technology Act 2000" w:history="1">
        <w:r w:rsidR="006043B7" w:rsidRPr="006043B7">
          <w:rPr>
            <w:rStyle w:val="charCitHyperlinkAbbrev"/>
          </w:rPr>
          <w:t>Commonwealth Act</w:t>
        </w:r>
      </w:hyperlink>
      <w:r w:rsidR="006043B7">
        <w:t xml:space="preserve"> </w:t>
      </w:r>
      <w:r>
        <w:t>or a corresponding State law within the meaning of the</w:t>
      </w:r>
      <w:r w:rsidR="000C073F">
        <w:t xml:space="preserve"> </w:t>
      </w:r>
      <w:hyperlink r:id="rId193" w:tooltip="Gene Technology Act 2000" w:history="1">
        <w:r w:rsidR="000C073F" w:rsidRPr="000C073F">
          <w:rPr>
            <w:rStyle w:val="charCitHyperlinkAbbrev"/>
          </w:rPr>
          <w:t>Commonwealth Act</w:t>
        </w:r>
      </w:hyperlink>
      <w:r w:rsidR="000C073F">
        <w:t>;</w:t>
      </w:r>
      <w:r>
        <w:t xml:space="preserve"> and </w:t>
      </w:r>
    </w:p>
    <w:p w:rsidR="00F93509" w:rsidRDefault="00F93509" w:rsidP="00F93509">
      <w:pPr>
        <w:pStyle w:val="Apara"/>
        <w:keepNext/>
      </w:pPr>
      <w:r>
        <w:rPr>
          <w:rFonts w:ascii="Tms Rmn" w:hAnsi="Tms Rmn"/>
        </w:rPr>
        <w:tab/>
        <w:t>(c)</w:t>
      </w:r>
      <w:r>
        <w:rPr>
          <w:rFonts w:ascii="Tms Rmn" w:hAnsi="Tms Rmn"/>
        </w:rPr>
        <w:tab/>
      </w:r>
      <w:r>
        <w:t>knows that the information is confidential commercial information;</w:t>
      </w:r>
    </w:p>
    <w:p w:rsidR="00F93509" w:rsidRDefault="00F93509" w:rsidP="00F93509">
      <w:pPr>
        <w:pStyle w:val="Amainreturn"/>
        <w:keepNext/>
      </w:pPr>
      <w:r>
        <w:t>must not disclose the information.</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tab/>
        <w:t>(2)</w:t>
      </w:r>
      <w:r>
        <w:rPr>
          <w:rFonts w:ascii="Tms Rmn" w:hAnsi="Tms Rmn"/>
        </w:rPr>
        <w:tab/>
      </w:r>
      <w:r>
        <w:t>A person who—</w:t>
      </w:r>
    </w:p>
    <w:p w:rsidR="00F93509" w:rsidRDefault="00F93509" w:rsidP="00F93509">
      <w:pPr>
        <w:pStyle w:val="Apara"/>
      </w:pPr>
      <w:r>
        <w:rPr>
          <w:rFonts w:ascii="Tms Rmn" w:hAnsi="Tms Rmn"/>
        </w:rPr>
        <w:tab/>
        <w:t>(a)</w:t>
      </w:r>
      <w:r>
        <w:rPr>
          <w:rFonts w:ascii="Tms Rmn" w:hAnsi="Tms Rmn"/>
        </w:rPr>
        <w:tab/>
      </w:r>
      <w:r>
        <w:t xml:space="preserve">has confidential commercial information; and </w:t>
      </w:r>
    </w:p>
    <w:p w:rsidR="00F93509" w:rsidRDefault="00F93509" w:rsidP="00F93509">
      <w:pPr>
        <w:pStyle w:val="Apara"/>
      </w:pPr>
      <w:r>
        <w:rPr>
          <w:rFonts w:ascii="Tms Rmn" w:hAnsi="Tms Rmn"/>
        </w:rPr>
        <w:tab/>
        <w:t>(b)</w:t>
      </w:r>
      <w:r>
        <w:rPr>
          <w:rFonts w:ascii="Tms Rmn" w:hAnsi="Tms Rmn"/>
        </w:rPr>
        <w:tab/>
      </w:r>
      <w:r>
        <w:t xml:space="preserve">has it because of a disclosure mentioned in subsection (3); and </w:t>
      </w:r>
    </w:p>
    <w:p w:rsidR="00F93509" w:rsidRDefault="00F93509" w:rsidP="00F93509">
      <w:pPr>
        <w:pStyle w:val="Apara"/>
      </w:pPr>
      <w:r>
        <w:rPr>
          <w:rFonts w:ascii="Tms Rmn" w:hAnsi="Tms Rmn"/>
        </w:rPr>
        <w:tab/>
        <w:t>(c)</w:t>
      </w:r>
      <w:r>
        <w:rPr>
          <w:rFonts w:ascii="Tms Rmn" w:hAnsi="Tms Rmn"/>
        </w:rPr>
        <w:tab/>
      </w:r>
      <w:r>
        <w:t>knows that the information is confidential commercial information;</w:t>
      </w:r>
    </w:p>
    <w:p w:rsidR="00F93509" w:rsidRDefault="00F93509" w:rsidP="00F93509">
      <w:pPr>
        <w:pStyle w:val="Amainreturn"/>
        <w:keepNext/>
      </w:pPr>
      <w:r>
        <w:t>must not disclose the information.</w:t>
      </w:r>
    </w:p>
    <w:p w:rsidR="00F93509" w:rsidRDefault="00F93509" w:rsidP="00F93509">
      <w:pPr>
        <w:pStyle w:val="Penalty"/>
        <w:keepNext/>
      </w:pPr>
      <w:r>
        <w:t>Maximum penalty:  120 penalty units , imprisonment for 2 years or both.</w:t>
      </w:r>
    </w:p>
    <w:p w:rsidR="00F93509" w:rsidRDefault="00F93509" w:rsidP="00F93509">
      <w:pPr>
        <w:pStyle w:val="Amain"/>
      </w:pPr>
      <w:r>
        <w:tab/>
        <w:t>(3)</w:t>
      </w:r>
      <w:r>
        <w:tab/>
        <w:t>This section does not apply to a disclosure of information—</w:t>
      </w:r>
    </w:p>
    <w:p w:rsidR="00F93509" w:rsidRDefault="00F93509" w:rsidP="00F93509">
      <w:pPr>
        <w:pStyle w:val="Apara"/>
        <w:keepNext/>
      </w:pPr>
      <w:r>
        <w:rPr>
          <w:rFonts w:ascii="Tms Rmn" w:hAnsi="Tms Rmn"/>
        </w:rPr>
        <w:tab/>
        <w:t>(a)</w:t>
      </w:r>
      <w:r>
        <w:rPr>
          <w:rFonts w:ascii="Tms Rmn" w:hAnsi="Tms Rmn"/>
        </w:rPr>
        <w:tab/>
      </w:r>
      <w:r>
        <w:t>to any of the following entities in the course of carrying out functions under this Act, the</w:t>
      </w:r>
      <w:r w:rsidR="000C073F">
        <w:t xml:space="preserve"> </w:t>
      </w:r>
      <w:hyperlink r:id="rId194" w:tooltip="Gene Technology Act 2000" w:history="1">
        <w:r w:rsidR="000C073F" w:rsidRPr="000C073F">
          <w:rPr>
            <w:rStyle w:val="charCitHyperlinkAbbrev"/>
          </w:rPr>
          <w:t>Commonwealth Act</w:t>
        </w:r>
      </w:hyperlink>
      <w:r w:rsidR="000C073F">
        <w:t xml:space="preserve"> </w:t>
      </w:r>
      <w:r>
        <w:t>or a corresponding State law:</w:t>
      </w:r>
    </w:p>
    <w:p w:rsidR="00F93509" w:rsidRDefault="00F93509" w:rsidP="00F93509">
      <w:pPr>
        <w:pStyle w:val="Asubpara"/>
      </w:pPr>
      <w:r>
        <w:rPr>
          <w:rFonts w:ascii="Tms Rmn" w:hAnsi="Tms Rmn"/>
        </w:rPr>
        <w:tab/>
        <w:t>(i)</w:t>
      </w:r>
      <w:r>
        <w:rPr>
          <w:rFonts w:ascii="Tms Rmn" w:hAnsi="Tms Rmn"/>
        </w:rPr>
        <w:tab/>
      </w:r>
      <w:r>
        <w:t>a territory agency;</w:t>
      </w:r>
    </w:p>
    <w:p w:rsidR="00F93509" w:rsidRDefault="00F93509" w:rsidP="00F93509">
      <w:pPr>
        <w:pStyle w:val="Asubpara"/>
      </w:pPr>
      <w:r>
        <w:rPr>
          <w:rFonts w:ascii="Tms Rmn" w:hAnsi="Tms Rmn"/>
        </w:rPr>
        <w:tab/>
        <w:t>(ii)</w:t>
      </w:r>
      <w:r>
        <w:rPr>
          <w:rFonts w:ascii="Tms Rmn" w:hAnsi="Tms Rmn"/>
        </w:rPr>
        <w:tab/>
      </w:r>
      <w:r>
        <w:t>the Commonwealth or a Commonwealth authority;</w:t>
      </w:r>
    </w:p>
    <w:p w:rsidR="00F93509" w:rsidRDefault="00F93509" w:rsidP="00F93509">
      <w:pPr>
        <w:pStyle w:val="Asubpara"/>
      </w:pPr>
      <w:r>
        <w:rPr>
          <w:rFonts w:ascii="Tms Rmn" w:hAnsi="Tms Rmn"/>
        </w:rPr>
        <w:tab/>
        <w:t>(iii)</w:t>
      </w:r>
      <w:r>
        <w:rPr>
          <w:rFonts w:ascii="Tms Rmn" w:hAnsi="Tms Rmn"/>
        </w:rPr>
        <w:tab/>
      </w:r>
      <w:r>
        <w:t>the gene technology technical advisory committee; or</w:t>
      </w:r>
    </w:p>
    <w:p w:rsidR="00F93509" w:rsidRDefault="00F93509" w:rsidP="00F93509">
      <w:pPr>
        <w:pStyle w:val="Apara"/>
      </w:pPr>
      <w:r>
        <w:rPr>
          <w:rFonts w:ascii="Tms Rmn" w:hAnsi="Tms Rmn"/>
        </w:rPr>
        <w:tab/>
        <w:t>(b)</w:t>
      </w:r>
      <w:r>
        <w:rPr>
          <w:rFonts w:ascii="Tms Rmn" w:hAnsi="Tms Rmn"/>
        </w:rPr>
        <w:tab/>
      </w:r>
      <w:r>
        <w:t>by order of a court; or</w:t>
      </w:r>
    </w:p>
    <w:p w:rsidR="00F93509" w:rsidRDefault="00F93509" w:rsidP="00F93509">
      <w:pPr>
        <w:pStyle w:val="Apara"/>
      </w:pPr>
      <w:r>
        <w:rPr>
          <w:rFonts w:ascii="Tms Rmn" w:hAnsi="Tms Rmn"/>
        </w:rPr>
        <w:tab/>
        <w:t>(c)</w:t>
      </w:r>
      <w:r>
        <w:rPr>
          <w:rFonts w:ascii="Tms Rmn" w:hAnsi="Tms Rmn"/>
        </w:rPr>
        <w:tab/>
      </w:r>
      <w:r>
        <w:t>with the consent of the person who applied to have the information treated as confidential commercial information.</w:t>
      </w:r>
    </w:p>
    <w:p w:rsidR="00F93509" w:rsidRDefault="00F93509" w:rsidP="00F93509">
      <w:pPr>
        <w:pStyle w:val="Amain"/>
        <w:keepNext/>
      </w:pPr>
      <w:r>
        <w:rPr>
          <w:rFonts w:ascii="Tms Rmn" w:hAnsi="Tms Rmn"/>
        </w:rPr>
        <w:tab/>
        <w:t>(</w:t>
      </w:r>
      <w:r w:rsidR="00C159FB">
        <w:rPr>
          <w:rFonts w:ascii="Tms Rmn" w:hAnsi="Tms Rmn"/>
        </w:rPr>
        <w:t>6</w:t>
      </w:r>
      <w:r>
        <w:rPr>
          <w:rFonts w:ascii="Tms Rmn" w:hAnsi="Tms Rmn"/>
        </w:rPr>
        <w:t>)</w:t>
      </w:r>
      <w:r>
        <w:rPr>
          <w:rFonts w:ascii="Tms Rmn" w:hAnsi="Tms Rmn"/>
        </w:rPr>
        <w:tab/>
      </w:r>
      <w:r>
        <w:t>In this section:</w:t>
      </w:r>
    </w:p>
    <w:p w:rsidR="00F93509" w:rsidRPr="00903C3C" w:rsidRDefault="00F93509" w:rsidP="00F93509">
      <w:pPr>
        <w:pStyle w:val="aDef"/>
      </w:pPr>
      <w:r>
        <w:rPr>
          <w:rStyle w:val="charBoldItals"/>
        </w:rPr>
        <w:t>corresponding State law</w:t>
      </w:r>
      <w:r w:rsidRPr="00903C3C">
        <w:t>—see the</w:t>
      </w:r>
      <w:r w:rsidR="000C073F">
        <w:t xml:space="preserve"> </w:t>
      </w:r>
      <w:hyperlink r:id="rId195" w:tooltip="Gene Technology Act 2000" w:history="1">
        <w:r w:rsidR="000C073F" w:rsidRPr="000C073F">
          <w:rPr>
            <w:rStyle w:val="charCitHyperlinkAbbrev"/>
          </w:rPr>
          <w:t>Commonwealth Act</w:t>
        </w:r>
      </w:hyperlink>
      <w:r w:rsidR="000C073F">
        <w:t xml:space="preserve">, </w:t>
      </w:r>
      <w:r w:rsidRPr="00903C3C">
        <w:t>section 12.</w:t>
      </w:r>
    </w:p>
    <w:p w:rsidR="00F93509" w:rsidRDefault="00F93509" w:rsidP="00F93509">
      <w:pPr>
        <w:pStyle w:val="aDef"/>
      </w:pPr>
      <w:r>
        <w:rPr>
          <w:rStyle w:val="charBoldItals"/>
        </w:rPr>
        <w:t>court</w:t>
      </w:r>
      <w:r>
        <w:t xml:space="preserve"> includes a tribunal, authority or person having power to require the production of documents or the answering of questions.</w:t>
      </w:r>
    </w:p>
    <w:p w:rsidR="00F93509" w:rsidRDefault="00F93509" w:rsidP="00F93509">
      <w:pPr>
        <w:pStyle w:val="aDef"/>
        <w:keepNext/>
      </w:pPr>
      <w:r>
        <w:rPr>
          <w:rStyle w:val="charBoldItals"/>
        </w:rPr>
        <w:t>disclose</w:t>
      </w:r>
      <w:r>
        <w:t>, in relation to information, means give or communicate in any way.</w:t>
      </w:r>
    </w:p>
    <w:p w:rsidR="00F93509" w:rsidRDefault="00F93509" w:rsidP="00F93509">
      <w:pPr>
        <w:pStyle w:val="aNote"/>
      </w:pPr>
      <w:r>
        <w:rPr>
          <w:rStyle w:val="charItals"/>
        </w:rPr>
        <w:t>Note</w:t>
      </w:r>
      <w:r>
        <w:tab/>
        <w:t>This section differs from the</w:t>
      </w:r>
      <w:r w:rsidR="000C073F">
        <w:t xml:space="preserve"> </w:t>
      </w:r>
      <w:hyperlink r:id="rId196" w:tooltip="Gene Technology Act 2000" w:history="1">
        <w:r w:rsidR="000C073F" w:rsidRPr="000C073F">
          <w:rPr>
            <w:rStyle w:val="charCitHyperlinkAbbrev"/>
          </w:rPr>
          <w:t>Commonwealth Act</w:t>
        </w:r>
      </w:hyperlink>
      <w:r w:rsidR="000C073F">
        <w:t xml:space="preserve">, </w:t>
      </w:r>
      <w:r>
        <w:t>s 187.</w:t>
      </w:r>
    </w:p>
    <w:p w:rsidR="00F93509" w:rsidRPr="00325B6A" w:rsidRDefault="00F93509" w:rsidP="00F93509">
      <w:pPr>
        <w:pStyle w:val="AH3Div"/>
      </w:pPr>
      <w:bookmarkStart w:id="267" w:name="_Toc526844744"/>
      <w:r w:rsidRPr="00325B6A">
        <w:rPr>
          <w:rStyle w:val="CharDivNo"/>
        </w:rPr>
        <w:t>Division 12.4</w:t>
      </w:r>
      <w:r>
        <w:tab/>
      </w:r>
      <w:r w:rsidRPr="00325B6A">
        <w:rPr>
          <w:rStyle w:val="CharDivText"/>
        </w:rPr>
        <w:t>Acts and omissions of representatives</w:t>
      </w:r>
      <w:bookmarkEnd w:id="267"/>
    </w:p>
    <w:p w:rsidR="00F93509" w:rsidRDefault="00F93509" w:rsidP="00F93509">
      <w:pPr>
        <w:pStyle w:val="AH5Sec"/>
      </w:pPr>
      <w:bookmarkStart w:id="268" w:name="_Toc526844745"/>
      <w:r w:rsidRPr="00325B6A">
        <w:rPr>
          <w:rStyle w:val="CharSectNo"/>
        </w:rPr>
        <w:t>188</w:t>
      </w:r>
      <w:r>
        <w:tab/>
        <w:t>Acts and omissions of representatives</w:t>
      </w:r>
      <w:bookmarkEnd w:id="268"/>
    </w:p>
    <w:p w:rsidR="00F93509" w:rsidRDefault="00F93509" w:rsidP="00F93509">
      <w:pPr>
        <w:pStyle w:val="Amain"/>
        <w:keepNext/>
      </w:pPr>
      <w:r>
        <w:tab/>
        <w:t>(1)</w:t>
      </w:r>
      <w:r>
        <w:tab/>
        <w:t>In this section:</w:t>
      </w:r>
    </w:p>
    <w:p w:rsidR="00F93509" w:rsidRPr="00903C3C" w:rsidRDefault="00F93509" w:rsidP="00F93509">
      <w:pPr>
        <w:pStyle w:val="aDef"/>
        <w:keepNext/>
      </w:pPr>
      <w:r>
        <w:rPr>
          <w:rStyle w:val="charBoldItals"/>
        </w:rPr>
        <w:t>person</w:t>
      </w:r>
      <w:r w:rsidRPr="00903C3C">
        <w:t xml:space="preserve"> means an individual.</w:t>
      </w:r>
    </w:p>
    <w:p w:rsidR="00F93509" w:rsidRDefault="00F93509" w:rsidP="00F93509">
      <w:pPr>
        <w:pStyle w:val="aNote"/>
      </w:pPr>
      <w:r>
        <w:rPr>
          <w:rStyle w:val="charItals"/>
        </w:rPr>
        <w:t>Note</w:t>
      </w:r>
      <w:r>
        <w:tab/>
        <w:t xml:space="preserve">See the </w:t>
      </w:r>
      <w:hyperlink r:id="rId197" w:tooltip="A2002-51" w:history="1">
        <w:r w:rsidRPr="00903C3C">
          <w:rPr>
            <w:rStyle w:val="charCitHyperlinkAbbrev"/>
          </w:rPr>
          <w:t>Criminal Code</w:t>
        </w:r>
      </w:hyperlink>
      <w:r>
        <w:t>, pt 2.5 for provisions about corporate criminal responsibility.</w:t>
      </w:r>
    </w:p>
    <w:p w:rsidR="00F93509" w:rsidRDefault="00F93509" w:rsidP="00F93509">
      <w:pPr>
        <w:pStyle w:val="aDef"/>
        <w:keepNext/>
      </w:pPr>
      <w:r>
        <w:rPr>
          <w:rStyle w:val="charBoldItals"/>
        </w:rPr>
        <w:t>representative</w:t>
      </w:r>
      <w:r>
        <w:t>, of a person, means an employee or agent of the person.</w:t>
      </w:r>
    </w:p>
    <w:p w:rsidR="00F93509" w:rsidRDefault="00F93509" w:rsidP="00F93509">
      <w:pPr>
        <w:pStyle w:val="aDef"/>
        <w:keepNext/>
      </w:pPr>
      <w:r>
        <w:rPr>
          <w:rStyle w:val="charBoldItals"/>
        </w:rPr>
        <w:t>state of mind</w:t>
      </w:r>
      <w:r>
        <w:t>, of a person, includes—</w:t>
      </w:r>
    </w:p>
    <w:p w:rsidR="00F93509" w:rsidRDefault="00F93509" w:rsidP="00F93509">
      <w:pPr>
        <w:pStyle w:val="Apara"/>
      </w:pPr>
      <w:r>
        <w:tab/>
        <w:t>(a)</w:t>
      </w:r>
      <w:r>
        <w:tab/>
        <w:t>the person’s knowledge, intention, opinion, belief or purpose; and</w:t>
      </w:r>
    </w:p>
    <w:p w:rsidR="00F93509" w:rsidRDefault="00F93509" w:rsidP="00F93509">
      <w:pPr>
        <w:pStyle w:val="Apara"/>
      </w:pPr>
      <w:r>
        <w:tab/>
        <w:t>(b)</w:t>
      </w:r>
      <w:r>
        <w:tab/>
        <w:t>the person’s reasons for the intention, opinion, belief or purpose.</w:t>
      </w:r>
    </w:p>
    <w:p w:rsidR="00F93509" w:rsidRDefault="00F93509" w:rsidP="00F93509">
      <w:pPr>
        <w:pStyle w:val="Amain"/>
      </w:pPr>
      <w:r>
        <w:tab/>
        <w:t>(2)</w:t>
      </w:r>
      <w:r>
        <w:tab/>
        <w:t>This section applies to a prosecution for any offence against this Act.</w:t>
      </w:r>
    </w:p>
    <w:p w:rsidR="00F93509" w:rsidRDefault="00F93509" w:rsidP="00F93509">
      <w:pPr>
        <w:pStyle w:val="Amain"/>
      </w:pPr>
      <w:r>
        <w:tab/>
        <w:t>(3)</w:t>
      </w:r>
      <w:r>
        <w:tab/>
        <w:t>If it is relevant to prove a person’s state of mind about an act or omission, it is enough to show—</w:t>
      </w:r>
    </w:p>
    <w:p w:rsidR="00F93509" w:rsidRDefault="00F93509" w:rsidP="00F93509">
      <w:pPr>
        <w:pStyle w:val="Apara"/>
      </w:pPr>
      <w:r>
        <w:tab/>
        <w:t>(a)</w:t>
      </w:r>
      <w:r>
        <w:tab/>
        <w:t>the act was done or omission made by a representative of the person within the scope of the representative’s actual or apparent authority; and</w:t>
      </w:r>
    </w:p>
    <w:p w:rsidR="00F93509" w:rsidRDefault="00F93509" w:rsidP="00F93509">
      <w:pPr>
        <w:pStyle w:val="Apara"/>
      </w:pPr>
      <w:r>
        <w:tab/>
        <w:t>(b)</w:t>
      </w:r>
      <w:r>
        <w:tab/>
        <w:t>the representative had the state of mind.</w:t>
      </w:r>
    </w:p>
    <w:p w:rsidR="00F93509" w:rsidRDefault="00F93509" w:rsidP="00F93509">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F93509" w:rsidRDefault="00F93509" w:rsidP="00F93509">
      <w:pPr>
        <w:pStyle w:val="Amain"/>
      </w:pPr>
      <w:r>
        <w:tab/>
        <w:t>(5)</w:t>
      </w:r>
      <w:r>
        <w:tab/>
        <w:t>However, subsection (4) does not apply if the person establishes that reasonable precautions were taken and appropriate diligence was exercised to avoid the act or omission.</w:t>
      </w:r>
    </w:p>
    <w:p w:rsidR="00F93509" w:rsidRDefault="00F93509" w:rsidP="00F93509">
      <w:pPr>
        <w:pStyle w:val="Amain"/>
      </w:pPr>
      <w:r>
        <w:tab/>
        <w:t>(6)</w:t>
      </w:r>
      <w:r>
        <w:tab/>
        <w:t>A person who is convicted of an offence cannot be punished by imprisonment for the offence if the person would not have been convicted of the offence without subsection (3) or (4).</w:t>
      </w:r>
    </w:p>
    <w:p w:rsidR="00F93509" w:rsidRPr="00325B6A" w:rsidRDefault="00F93509" w:rsidP="00F93509">
      <w:pPr>
        <w:pStyle w:val="AH3Div"/>
      </w:pPr>
      <w:bookmarkStart w:id="269" w:name="_Toc526844746"/>
      <w:r w:rsidRPr="00325B6A">
        <w:rPr>
          <w:rStyle w:val="CharDivNo"/>
        </w:rPr>
        <w:t>Division 12.6</w:t>
      </w:r>
      <w:r>
        <w:tab/>
      </w:r>
      <w:r w:rsidRPr="00325B6A">
        <w:rPr>
          <w:rStyle w:val="CharDivText"/>
        </w:rPr>
        <w:t>Other provisions</w:t>
      </w:r>
      <w:bookmarkEnd w:id="269"/>
    </w:p>
    <w:p w:rsidR="00F93509" w:rsidRDefault="00F93509" w:rsidP="00F93509">
      <w:pPr>
        <w:pStyle w:val="AH5Sec"/>
      </w:pPr>
      <w:bookmarkStart w:id="270" w:name="_Toc526844747"/>
      <w:r w:rsidRPr="00325B6A">
        <w:rPr>
          <w:rStyle w:val="CharSectNo"/>
        </w:rPr>
        <w:t>192</w:t>
      </w:r>
      <w:r>
        <w:tab/>
        <w:t>False or misleading information or document</w:t>
      </w:r>
      <w:bookmarkEnd w:id="270"/>
    </w:p>
    <w:p w:rsidR="00F93509" w:rsidRDefault="00F93509" w:rsidP="00F93509">
      <w:pPr>
        <w:pStyle w:val="Amainreturn"/>
      </w:pPr>
      <w:r>
        <w:t>A person must not—</w:t>
      </w:r>
    </w:p>
    <w:p w:rsidR="00F93509" w:rsidRDefault="00F93509" w:rsidP="00F93509">
      <w:pPr>
        <w:pStyle w:val="Apara"/>
      </w:pPr>
      <w:r>
        <w:rPr>
          <w:rFonts w:ascii="Tms Rmn" w:hAnsi="Tms Rmn"/>
        </w:rPr>
        <w:tab/>
        <w:t>(a)</w:t>
      </w:r>
      <w:r>
        <w:rPr>
          <w:rFonts w:ascii="Tms Rmn" w:hAnsi="Tms Rmn"/>
        </w:rPr>
        <w:tab/>
      </w:r>
      <w:r>
        <w:t>in connection with an application made to the regulator under this Act; or</w:t>
      </w:r>
    </w:p>
    <w:p w:rsidR="00F93509" w:rsidRDefault="00F93509" w:rsidP="00F93509">
      <w:pPr>
        <w:pStyle w:val="Apara"/>
      </w:pPr>
      <w:r>
        <w:rPr>
          <w:rFonts w:ascii="Tms Rmn" w:hAnsi="Tms Rmn"/>
        </w:rPr>
        <w:tab/>
        <w:t>(b)</w:t>
      </w:r>
      <w:r>
        <w:rPr>
          <w:rFonts w:ascii="Tms Rmn" w:hAnsi="Tms Rmn"/>
        </w:rPr>
        <w:tab/>
      </w:r>
      <w:r>
        <w:t>in compliance or purported compliance with this Act;</w:t>
      </w:r>
    </w:p>
    <w:p w:rsidR="00F93509" w:rsidRDefault="00F93509" w:rsidP="00F93509">
      <w:pPr>
        <w:pStyle w:val="Amainreturn"/>
        <w:keepNext/>
      </w:pPr>
      <w:r>
        <w:t>do either of the following:</w:t>
      </w:r>
    </w:p>
    <w:p w:rsidR="00F93509" w:rsidRDefault="00F93509" w:rsidP="00F93509">
      <w:pPr>
        <w:pStyle w:val="Apara"/>
      </w:pPr>
      <w:r>
        <w:rPr>
          <w:rFonts w:ascii="Tms Rmn" w:hAnsi="Tms Rmn"/>
        </w:rPr>
        <w:tab/>
        <w:t>(c)</w:t>
      </w:r>
      <w:r>
        <w:rPr>
          <w:rFonts w:ascii="Tms Rmn" w:hAnsi="Tms Rmn"/>
        </w:rPr>
        <w:tab/>
      </w:r>
      <w:r>
        <w:t>give information (whether orally or in writing) that the person knows is false or misleading in a material particular;</w:t>
      </w:r>
    </w:p>
    <w:p w:rsidR="00F93509" w:rsidRDefault="00F93509" w:rsidP="00907DBC">
      <w:pPr>
        <w:pStyle w:val="Apara"/>
        <w:keepNext/>
      </w:pPr>
      <w:r>
        <w:rPr>
          <w:rFonts w:ascii="Tms Rmn" w:hAnsi="Tms Rmn"/>
        </w:rPr>
        <w:tab/>
        <w:t>(d)</w:t>
      </w:r>
      <w:r>
        <w:rPr>
          <w:rFonts w:ascii="Tms Rmn" w:hAnsi="Tms Rmn"/>
        </w:rPr>
        <w:tab/>
      </w:r>
      <w:r>
        <w:t>produce a document that the person knows is false or misleading in a material particular without—</w:t>
      </w:r>
    </w:p>
    <w:p w:rsidR="00F93509" w:rsidRDefault="00F93509" w:rsidP="00F93509">
      <w:pPr>
        <w:pStyle w:val="Asubpara"/>
      </w:pPr>
      <w:r>
        <w:rPr>
          <w:rFonts w:ascii="Tms Rmn" w:hAnsi="Tms Rmn"/>
        </w:rPr>
        <w:tab/>
        <w:t>(i)</w:t>
      </w:r>
      <w:r>
        <w:rPr>
          <w:rFonts w:ascii="Tms Rmn" w:hAnsi="Tms Rmn"/>
        </w:rPr>
        <w:tab/>
      </w:r>
      <w:r>
        <w:t xml:space="preserve">indicating to the person to whom the document is produced that it is false or misleading, and how it is false or misleading; and </w:t>
      </w:r>
    </w:p>
    <w:p w:rsidR="00F93509" w:rsidRDefault="00F93509" w:rsidP="00F93509">
      <w:pPr>
        <w:pStyle w:val="Asubpara"/>
        <w:keepNext/>
      </w:pPr>
      <w:r>
        <w:rPr>
          <w:rFonts w:ascii="Tms Rmn" w:hAnsi="Tms Rmn"/>
        </w:rPr>
        <w:tab/>
        <w:t>(ii)</w:t>
      </w:r>
      <w:r>
        <w:rPr>
          <w:rFonts w:ascii="Tms Rmn" w:hAnsi="Tms Rmn"/>
        </w:rPr>
        <w:tab/>
      </w:r>
      <w:r>
        <w:t>providing correct information to the person to whom the document is produced, if the person producing the document is in possession of, or can reasonably acquire, the correct information.</w:t>
      </w:r>
    </w:p>
    <w:p w:rsidR="00F93509" w:rsidRDefault="00F93509" w:rsidP="00F93509">
      <w:pPr>
        <w:pStyle w:val="Penalty"/>
      </w:pPr>
      <w:r>
        <w:t>Maximum penalty:  60 penalty units, imprisonment for 1 year or both.</w:t>
      </w:r>
    </w:p>
    <w:p w:rsidR="00F93509" w:rsidRDefault="00F93509" w:rsidP="00F93509">
      <w:pPr>
        <w:pStyle w:val="AH5Sec"/>
      </w:pPr>
      <w:bookmarkStart w:id="271" w:name="_Toc526844748"/>
      <w:r w:rsidRPr="00325B6A">
        <w:rPr>
          <w:rStyle w:val="CharSectNo"/>
        </w:rPr>
        <w:t>192A</w:t>
      </w:r>
      <w:r>
        <w:tab/>
        <w:t>Interference with dealings with GMOs</w:t>
      </w:r>
      <w:bookmarkEnd w:id="271"/>
    </w:p>
    <w:p w:rsidR="00F93509" w:rsidRDefault="00F93509" w:rsidP="00F93509">
      <w:pPr>
        <w:pStyle w:val="Amain"/>
      </w:pPr>
      <w:r>
        <w:rPr>
          <w:rFonts w:ascii="Tms Rmn" w:hAnsi="Tms Rmn"/>
        </w:rPr>
        <w:tab/>
        <w:t>(1)</w:t>
      </w:r>
      <w:r>
        <w:rPr>
          <w:rFonts w:ascii="Tms Rmn" w:hAnsi="Tms Rmn"/>
        </w:rPr>
        <w:tab/>
      </w:r>
      <w:r>
        <w:t>A person commits an offence if—</w:t>
      </w:r>
    </w:p>
    <w:p w:rsidR="00F93509" w:rsidRDefault="00F93509" w:rsidP="00F93509">
      <w:pPr>
        <w:pStyle w:val="Apara"/>
      </w:pPr>
      <w:r>
        <w:rPr>
          <w:rFonts w:ascii="Tms Rmn" w:hAnsi="Tms Rmn"/>
        </w:rPr>
        <w:tab/>
        <w:t>(a)</w:t>
      </w:r>
      <w:r>
        <w:rPr>
          <w:rFonts w:ascii="Tms Rmn" w:hAnsi="Tms Rmn"/>
        </w:rPr>
        <w:tab/>
      </w:r>
      <w:r>
        <w:t xml:space="preserve">the person engages in conduct; and </w:t>
      </w:r>
    </w:p>
    <w:p w:rsidR="00F93509" w:rsidRDefault="00F93509" w:rsidP="00F93509">
      <w:pPr>
        <w:pStyle w:val="Apara"/>
      </w:pPr>
      <w:r>
        <w:rPr>
          <w:rFonts w:ascii="Tms Rmn" w:hAnsi="Tms Rmn"/>
        </w:rPr>
        <w:tab/>
        <w:t>(b)</w:t>
      </w:r>
      <w:r>
        <w:rPr>
          <w:rFonts w:ascii="Tms Rmn" w:hAnsi="Tms Rmn"/>
        </w:rPr>
        <w:tab/>
      </w:r>
      <w:r>
        <w:t>the conduct—</w:t>
      </w:r>
    </w:p>
    <w:p w:rsidR="00F93509" w:rsidRDefault="00F93509" w:rsidP="00F93509">
      <w:pPr>
        <w:pStyle w:val="Asubpara"/>
      </w:pPr>
      <w:r>
        <w:rPr>
          <w:rFonts w:ascii="Tms Rmn" w:hAnsi="Tms Rmn"/>
        </w:rPr>
        <w:tab/>
        <w:t>(i)</w:t>
      </w:r>
      <w:r>
        <w:rPr>
          <w:rFonts w:ascii="Tms Rmn" w:hAnsi="Tms Rmn"/>
        </w:rPr>
        <w:tab/>
      </w:r>
      <w:r>
        <w:t>results in damage to, destruction of, or interference with, premises or a facility where dealings with GMOs are being undertaken; or</w:t>
      </w:r>
    </w:p>
    <w:p w:rsidR="00F93509" w:rsidRDefault="00F93509" w:rsidP="00F93509">
      <w:pPr>
        <w:pStyle w:val="Asubpara"/>
      </w:pPr>
      <w:r>
        <w:rPr>
          <w:rFonts w:ascii="Tms Rmn" w:hAnsi="Tms Rmn"/>
        </w:rPr>
        <w:tab/>
        <w:t>(ii)</w:t>
      </w:r>
      <w:r>
        <w:rPr>
          <w:rFonts w:ascii="Tms Rmn" w:hAnsi="Tms Rmn"/>
        </w:rPr>
        <w:tab/>
      </w:r>
      <w:r>
        <w:t>involves damaging, destroying, or interfering with, a thing at, or removing a thing from, the premises or facility; and</w:t>
      </w:r>
    </w:p>
    <w:p w:rsidR="00F93509" w:rsidRDefault="00F93509" w:rsidP="00F93509">
      <w:pPr>
        <w:pStyle w:val="Apara"/>
      </w:pPr>
      <w:r>
        <w:rPr>
          <w:rFonts w:ascii="Tms Rmn" w:hAnsi="Tms Rmn"/>
        </w:rPr>
        <w:tab/>
        <w:t>(c)</w:t>
      </w:r>
      <w:r>
        <w:rPr>
          <w:rFonts w:ascii="Tms Rmn" w:hAnsi="Tms Rmn"/>
        </w:rPr>
        <w:tab/>
      </w:r>
      <w:r>
        <w:t xml:space="preserve">the owner or occupier of the premises or facility, or the owner of the thing (as the case requires), has not consented to the conduct; and </w:t>
      </w:r>
    </w:p>
    <w:p w:rsidR="00F93509" w:rsidRDefault="00F93509" w:rsidP="00F93509">
      <w:pPr>
        <w:pStyle w:val="Apara"/>
      </w:pPr>
      <w:r>
        <w:rPr>
          <w:rFonts w:ascii="Tms Rmn" w:hAnsi="Tms Rmn"/>
        </w:rPr>
        <w:tab/>
        <w:t>(d)</w:t>
      </w:r>
      <w:r>
        <w:rPr>
          <w:rFonts w:ascii="Tms Rmn" w:hAnsi="Tms Rmn"/>
        </w:rPr>
        <w:tab/>
      </w:r>
      <w:r>
        <w:t xml:space="preserve">in engaging in the conduct, the person intends to prevent or hinder authorised GMO dealings that are being undertaken at the premises or facility; and </w:t>
      </w:r>
    </w:p>
    <w:p w:rsidR="00F93509" w:rsidRDefault="00F93509" w:rsidP="00F93509">
      <w:pPr>
        <w:pStyle w:val="Apara"/>
        <w:keepNext/>
      </w:pPr>
      <w:r>
        <w:rPr>
          <w:rFonts w:ascii="Tms Rmn" w:hAnsi="Tms Rmn"/>
        </w:rPr>
        <w:tab/>
        <w:t>(e)</w:t>
      </w:r>
      <w:r>
        <w:rPr>
          <w:rFonts w:ascii="Tms Rmn" w:hAnsi="Tms Rmn"/>
        </w:rPr>
        <w:tab/>
      </w:r>
      <w:r>
        <w:t>the person knows, or is reckless about, the matters mentioned in paragraphs (b) and (c).</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tab/>
        <w:t>(2)</w:t>
      </w:r>
      <w:r>
        <w:rPr>
          <w:rFonts w:ascii="Tms Rmn" w:hAnsi="Tms Rmn"/>
        </w:rPr>
        <w:tab/>
      </w:r>
      <w:r>
        <w:t>In this section—</w:t>
      </w:r>
    </w:p>
    <w:p w:rsidR="00F93509" w:rsidRDefault="00F93509" w:rsidP="00F93509">
      <w:pPr>
        <w:pStyle w:val="aDef"/>
        <w:keepNext/>
      </w:pPr>
      <w:r>
        <w:rPr>
          <w:rStyle w:val="charBoldItals"/>
        </w:rPr>
        <w:t>authorised GMO dealings</w:t>
      </w:r>
      <w:r>
        <w:t>, for premises or a facility, means dealings with GMOs being undertaken at the premises or facility—</w:t>
      </w:r>
    </w:p>
    <w:p w:rsidR="00F93509" w:rsidRDefault="00F93509" w:rsidP="00F93509">
      <w:pPr>
        <w:pStyle w:val="aDefpara"/>
      </w:pPr>
      <w:r>
        <w:rPr>
          <w:rFonts w:ascii="Tms Rmn" w:hAnsi="Tms Rmn"/>
        </w:rPr>
        <w:tab/>
        <w:t>(a)</w:t>
      </w:r>
      <w:r>
        <w:rPr>
          <w:rFonts w:ascii="Tms Rmn" w:hAnsi="Tms Rmn"/>
        </w:rPr>
        <w:tab/>
      </w:r>
      <w:r>
        <w:t>that are authorised to be undertaken at the premises or facility by a GMO licence; or</w:t>
      </w:r>
    </w:p>
    <w:p w:rsidR="00F93509" w:rsidRDefault="00F93509" w:rsidP="00F93509">
      <w:pPr>
        <w:pStyle w:val="aDefpara"/>
      </w:pPr>
      <w:r>
        <w:tab/>
        <w:t>(aa)</w:t>
      </w:r>
      <w:r>
        <w:tab/>
        <w:t>that are specified in an emergency dealing determination and are not prohibited from being undertaken at the premises or facility by a condition of the determination; or</w:t>
      </w:r>
    </w:p>
    <w:p w:rsidR="00F93509" w:rsidRDefault="00F93509" w:rsidP="00F93509">
      <w:pPr>
        <w:pStyle w:val="aDefpara"/>
      </w:pPr>
      <w:r>
        <w:rPr>
          <w:rFonts w:ascii="Tms Rmn" w:hAnsi="Tms Rmn"/>
        </w:rPr>
        <w:tab/>
        <w:t>(b)</w:t>
      </w:r>
      <w:r>
        <w:rPr>
          <w:rFonts w:ascii="Tms Rmn" w:hAnsi="Tms Rmn"/>
        </w:rPr>
        <w:tab/>
      </w:r>
      <w:r>
        <w:t>that are notifiable low risk dealings; or</w:t>
      </w:r>
    </w:p>
    <w:p w:rsidR="00F93509" w:rsidRDefault="00F93509" w:rsidP="00F93509">
      <w:pPr>
        <w:pStyle w:val="aDefpara"/>
      </w:pPr>
      <w:r>
        <w:rPr>
          <w:rFonts w:ascii="Tms Rmn" w:hAnsi="Tms Rmn"/>
        </w:rPr>
        <w:tab/>
        <w:t>(c)</w:t>
      </w:r>
      <w:r>
        <w:rPr>
          <w:rFonts w:ascii="Tms Rmn" w:hAnsi="Tms Rmn"/>
        </w:rPr>
        <w:tab/>
      </w:r>
      <w:r>
        <w:t>that are exempt dealings; or</w:t>
      </w:r>
    </w:p>
    <w:p w:rsidR="00F93509" w:rsidRDefault="00F93509" w:rsidP="00F93509">
      <w:pPr>
        <w:pStyle w:val="aDefpara"/>
        <w:keepNext/>
      </w:pPr>
      <w:r>
        <w:rPr>
          <w:rFonts w:ascii="Tms Rmn" w:hAnsi="Tms Rmn"/>
        </w:rPr>
        <w:tab/>
        <w:t>(d)</w:t>
      </w:r>
      <w:r>
        <w:rPr>
          <w:rFonts w:ascii="Tms Rmn" w:hAnsi="Tms Rmn"/>
        </w:rPr>
        <w:tab/>
      </w:r>
      <w:r>
        <w:t>that are dealings included on the GMO register.</w:t>
      </w:r>
    </w:p>
    <w:p w:rsidR="00F93509" w:rsidRDefault="00F93509" w:rsidP="00F93509">
      <w:pPr>
        <w:pStyle w:val="aNote"/>
      </w:pPr>
      <w:r>
        <w:rPr>
          <w:rStyle w:val="charItals"/>
        </w:rPr>
        <w:t>Note</w:t>
      </w:r>
      <w:r>
        <w:tab/>
        <w:t>This section differs from the</w:t>
      </w:r>
      <w:r w:rsidR="00222650">
        <w:t xml:space="preserve"> </w:t>
      </w:r>
      <w:hyperlink r:id="rId198" w:tooltip="Gene Technology Act 2000" w:history="1">
        <w:r w:rsidR="00222650" w:rsidRPr="00222650">
          <w:rPr>
            <w:rStyle w:val="charCitHyperlinkAbbrev"/>
          </w:rPr>
          <w:t>Commonwealth Act</w:t>
        </w:r>
      </w:hyperlink>
      <w:r w:rsidR="00222650">
        <w:t xml:space="preserve">, </w:t>
      </w:r>
      <w:r>
        <w:t>s 192A.</w:t>
      </w:r>
    </w:p>
    <w:p w:rsidR="00F93509" w:rsidRDefault="00F93509" w:rsidP="00F93509">
      <w:pPr>
        <w:pStyle w:val="AH5Sec"/>
      </w:pPr>
      <w:bookmarkStart w:id="272" w:name="_Toc526844749"/>
      <w:r w:rsidRPr="00325B6A">
        <w:rPr>
          <w:rStyle w:val="CharSectNo"/>
        </w:rPr>
        <w:t>192B</w:t>
      </w:r>
      <w:r>
        <w:tab/>
        <w:t>Cloning of human beings is prohibited</w:t>
      </w:r>
      <w:bookmarkEnd w:id="272"/>
    </w:p>
    <w:p w:rsidR="00F93509" w:rsidRDefault="00F93509" w:rsidP="00F93509">
      <w:pPr>
        <w:pStyle w:val="aNote"/>
      </w:pPr>
      <w:r>
        <w:rPr>
          <w:rStyle w:val="charItals"/>
        </w:rPr>
        <w:t>Note</w:t>
      </w:r>
      <w:r>
        <w:tab/>
        <w:t>The</w:t>
      </w:r>
      <w:r w:rsidR="00222650">
        <w:t xml:space="preserve"> </w:t>
      </w:r>
      <w:hyperlink r:id="rId199" w:tooltip="Gene Technology Act 2000" w:history="1">
        <w:r w:rsidR="00222650" w:rsidRPr="00222650">
          <w:rPr>
            <w:rStyle w:val="charCitHyperlinkAbbrev"/>
          </w:rPr>
          <w:t>Commonwealth Act</w:t>
        </w:r>
      </w:hyperlink>
      <w:r w:rsidR="00222650">
        <w:t xml:space="preserve">, </w:t>
      </w:r>
      <w:r>
        <w:t>s 192B prohibits the cloning of whole human beings.</w:t>
      </w:r>
    </w:p>
    <w:p w:rsidR="00F93509" w:rsidRDefault="00F93509" w:rsidP="00F93509">
      <w:pPr>
        <w:pStyle w:val="AH5Sec"/>
      </w:pPr>
      <w:bookmarkStart w:id="273" w:name="_Toc526844750"/>
      <w:r w:rsidRPr="00325B6A">
        <w:rPr>
          <w:rStyle w:val="CharSectNo"/>
        </w:rPr>
        <w:t>192C</w:t>
      </w:r>
      <w:r>
        <w:tab/>
        <w:t>Certain experiments involving animal eggs prohibited</w:t>
      </w:r>
      <w:bookmarkEnd w:id="273"/>
    </w:p>
    <w:p w:rsidR="00F93509" w:rsidRDefault="00F93509" w:rsidP="00F93509">
      <w:pPr>
        <w:pStyle w:val="aNote"/>
      </w:pPr>
      <w:r>
        <w:rPr>
          <w:rStyle w:val="charItals"/>
        </w:rPr>
        <w:t>Note</w:t>
      </w:r>
      <w:r>
        <w:rPr>
          <w:rStyle w:val="charItals"/>
        </w:rPr>
        <w:tab/>
      </w:r>
      <w:r>
        <w:t>The</w:t>
      </w:r>
      <w:r w:rsidR="0023506A">
        <w:t xml:space="preserve"> </w:t>
      </w:r>
      <w:hyperlink r:id="rId200" w:tooltip="Gene Technology Act 2000" w:history="1">
        <w:r w:rsidR="0023506A" w:rsidRPr="0023506A">
          <w:rPr>
            <w:rStyle w:val="charCitHyperlinkAbbrev"/>
          </w:rPr>
          <w:t>Commonwealth Act</w:t>
        </w:r>
      </w:hyperlink>
      <w:r w:rsidR="0023506A">
        <w:t xml:space="preserve">, </w:t>
      </w:r>
      <w:r>
        <w:t>s 192C prohibits experiments or research involving putting human cells, or a combination of human cells and animal cells, into animal eggs.</w:t>
      </w:r>
    </w:p>
    <w:p w:rsidR="00F93509" w:rsidRDefault="00F93509" w:rsidP="00F93509">
      <w:pPr>
        <w:pStyle w:val="AH5Sec"/>
      </w:pPr>
      <w:bookmarkStart w:id="274" w:name="_Toc526844751"/>
      <w:r w:rsidRPr="00325B6A">
        <w:rPr>
          <w:rStyle w:val="CharSectNo"/>
        </w:rPr>
        <w:t>192D</w:t>
      </w:r>
      <w:r>
        <w:tab/>
        <w:t>Certain experiments involving putting human and animal cells into human uterus prohibited</w:t>
      </w:r>
      <w:bookmarkEnd w:id="274"/>
    </w:p>
    <w:p w:rsidR="00F93509" w:rsidRDefault="00F93509" w:rsidP="00F93509">
      <w:pPr>
        <w:pStyle w:val="aNote"/>
      </w:pPr>
      <w:r>
        <w:rPr>
          <w:rStyle w:val="charItals"/>
        </w:rPr>
        <w:t>Note</w:t>
      </w:r>
      <w:r>
        <w:rPr>
          <w:rStyle w:val="charItals"/>
        </w:rPr>
        <w:tab/>
      </w:r>
      <w:r>
        <w:t>The</w:t>
      </w:r>
      <w:r w:rsidR="0023506A">
        <w:t xml:space="preserve"> </w:t>
      </w:r>
      <w:hyperlink r:id="rId201" w:tooltip="Gene Technology Act 2000" w:history="1">
        <w:r w:rsidR="0023506A" w:rsidRPr="0023506A">
          <w:rPr>
            <w:rStyle w:val="charCitHyperlinkAbbrev"/>
          </w:rPr>
          <w:t>Commonwealth Act</w:t>
        </w:r>
      </w:hyperlink>
      <w:r w:rsidR="0023506A">
        <w:t xml:space="preserve">, </w:t>
      </w:r>
      <w:r>
        <w:t>s 192D prohibits experiments or research involving putting a combination of human cells and animal cells into a human uterus.</w:t>
      </w:r>
    </w:p>
    <w:p w:rsidR="00F93509" w:rsidRDefault="00F93509" w:rsidP="00F93509">
      <w:pPr>
        <w:pStyle w:val="AH5Sec"/>
      </w:pPr>
      <w:bookmarkStart w:id="275" w:name="_Toc526844752"/>
      <w:r w:rsidRPr="00325B6A">
        <w:rPr>
          <w:rStyle w:val="CharSectNo"/>
        </w:rPr>
        <w:t>192E</w:t>
      </w:r>
      <w:r>
        <w:tab/>
        <w:t>Approved forms</w:t>
      </w:r>
      <w:bookmarkEnd w:id="275"/>
    </w:p>
    <w:p w:rsidR="00F93509" w:rsidRDefault="00F93509" w:rsidP="00F93509">
      <w:pPr>
        <w:pStyle w:val="Amain"/>
        <w:keepNext/>
      </w:pPr>
      <w:r>
        <w:tab/>
        <w:t>(1)</w:t>
      </w:r>
      <w:r>
        <w:tab/>
        <w:t>The regulator may, in writing, approve forms for this Act.</w:t>
      </w:r>
    </w:p>
    <w:p w:rsidR="00F93509" w:rsidRDefault="00F93509" w:rsidP="00F93509">
      <w:pPr>
        <w:pStyle w:val="Amain"/>
      </w:pPr>
      <w:r>
        <w:tab/>
        <w:t>(2)</w:t>
      </w:r>
      <w:r>
        <w:tab/>
        <w:t>If the regulator approves a form for a particular purpose, the approved form must be used for the purpose.</w:t>
      </w:r>
    </w:p>
    <w:p w:rsidR="00F93509" w:rsidRDefault="00F93509" w:rsidP="00F93509">
      <w:pPr>
        <w:pStyle w:val="Amain"/>
        <w:keepNext/>
      </w:pPr>
      <w:r>
        <w:tab/>
        <w:t>(3)</w:t>
      </w:r>
      <w:r>
        <w:tab/>
        <w:t>An approved form is a notifiable instrument.</w:t>
      </w:r>
    </w:p>
    <w:p w:rsidR="00F93509" w:rsidRDefault="00F93509" w:rsidP="00F93509">
      <w:pPr>
        <w:pStyle w:val="aNote"/>
      </w:pPr>
      <w:r w:rsidRPr="00903C3C">
        <w:rPr>
          <w:rStyle w:val="charItals"/>
        </w:rPr>
        <w:t>Note</w:t>
      </w:r>
      <w:r w:rsidRPr="00903C3C">
        <w:rPr>
          <w:rStyle w:val="charItals"/>
        </w:rPr>
        <w:tab/>
      </w:r>
      <w:r>
        <w:t xml:space="preserve">A notifiable instrument must be notified under the </w:t>
      </w:r>
      <w:hyperlink r:id="rId202" w:tooltip="A2001-14" w:history="1">
        <w:r w:rsidRPr="00903C3C">
          <w:rPr>
            <w:rStyle w:val="charCitHyperlinkAbbrev"/>
          </w:rPr>
          <w:t>Legislation Act</w:t>
        </w:r>
      </w:hyperlink>
      <w:r>
        <w:t>.</w:t>
      </w:r>
    </w:p>
    <w:p w:rsidR="00F93509" w:rsidRDefault="00F93509" w:rsidP="00F93509">
      <w:pPr>
        <w:pStyle w:val="AH5Sec"/>
      </w:pPr>
      <w:bookmarkStart w:id="276" w:name="_Toc526844753"/>
      <w:r w:rsidRPr="00325B6A">
        <w:rPr>
          <w:rStyle w:val="CharSectNo"/>
        </w:rPr>
        <w:t>193</w:t>
      </w:r>
      <w:r>
        <w:tab/>
        <w:t>Regulation-making power</w:t>
      </w:r>
      <w:bookmarkEnd w:id="276"/>
    </w:p>
    <w:p w:rsidR="00F93509" w:rsidRDefault="00F93509" w:rsidP="00F93509">
      <w:pPr>
        <w:pStyle w:val="Amain"/>
        <w:keepNext/>
      </w:pPr>
      <w:r>
        <w:rPr>
          <w:rFonts w:ascii="Tms Rmn" w:hAnsi="Tms Rmn"/>
        </w:rPr>
        <w:tab/>
        <w:t>(1)</w:t>
      </w:r>
      <w:r>
        <w:rPr>
          <w:rFonts w:ascii="Tms Rmn" w:hAnsi="Tms Rmn"/>
        </w:rPr>
        <w:tab/>
      </w:r>
      <w:r>
        <w:t>The Executive may make regulations for this Act.</w:t>
      </w:r>
    </w:p>
    <w:p w:rsidR="00F93509" w:rsidRDefault="00F93509" w:rsidP="00F93509">
      <w:pPr>
        <w:pStyle w:val="aNote"/>
      </w:pPr>
      <w:r w:rsidRPr="00903C3C">
        <w:rPr>
          <w:rStyle w:val="charItals"/>
        </w:rPr>
        <w:t>Note</w:t>
      </w:r>
      <w:r w:rsidRPr="00903C3C">
        <w:rPr>
          <w:rStyle w:val="charItals"/>
        </w:rPr>
        <w:tab/>
      </w:r>
      <w:r>
        <w:t xml:space="preserve">Regulations must be notified, and presented to the Legislative Assembly, under the </w:t>
      </w:r>
      <w:hyperlink r:id="rId203" w:tooltip="A2001-14" w:history="1">
        <w:r w:rsidRPr="00903C3C">
          <w:rPr>
            <w:rStyle w:val="charCitHyperlinkAbbrev"/>
          </w:rPr>
          <w:t>Legislation Act</w:t>
        </w:r>
      </w:hyperlink>
      <w:r>
        <w:t>.</w:t>
      </w:r>
    </w:p>
    <w:p w:rsidR="00F93509" w:rsidRDefault="00F93509" w:rsidP="00F93509">
      <w:pPr>
        <w:pStyle w:val="Amain"/>
      </w:pPr>
      <w:r>
        <w:rPr>
          <w:rFonts w:ascii="Tms Rmn" w:hAnsi="Tms Rmn"/>
        </w:rPr>
        <w:tab/>
        <w:t>(2)</w:t>
      </w:r>
      <w:r>
        <w:rPr>
          <w:rFonts w:ascii="Tms Rmn" w:hAnsi="Tms Rmn"/>
        </w:rPr>
        <w:tab/>
      </w:r>
      <w:r>
        <w:t>A regulation may require a person to comply with codes of practice or guidelines issued under this Act as in force at a particular time or from time to time.</w:t>
      </w:r>
    </w:p>
    <w:p w:rsidR="00F93509" w:rsidRDefault="00F93509" w:rsidP="00F93509">
      <w:pPr>
        <w:pStyle w:val="Amain"/>
        <w:keepNext/>
      </w:pPr>
      <w:r>
        <w:tab/>
        <w:t>(3)</w:t>
      </w:r>
      <w:r>
        <w:tab/>
        <w:t>A regulation may apply, adopt or incorporate a law or instrument, or a provision of a law or instrument, as in force from time to time.</w:t>
      </w:r>
    </w:p>
    <w:p w:rsidR="00F93509" w:rsidRDefault="00F93509" w:rsidP="00F93509">
      <w:pPr>
        <w:pStyle w:val="aNote"/>
        <w:rPr>
          <w:snapToGrid w:val="0"/>
        </w:rPr>
      </w:pPr>
      <w:r>
        <w:rPr>
          <w:rStyle w:val="charItals"/>
        </w:rPr>
        <w:t>Note 1</w:t>
      </w:r>
      <w:r>
        <w:rPr>
          <w:i/>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204" w:tooltip="A2001-14" w:history="1">
        <w:r w:rsidRPr="00903C3C">
          <w:rPr>
            <w:rStyle w:val="charCitHyperlinkAbbrev"/>
          </w:rPr>
          <w:t>Legislation Act</w:t>
        </w:r>
      </w:hyperlink>
      <w:r w:rsidRPr="00903C3C">
        <w:t xml:space="preserve">, </w:t>
      </w:r>
      <w:r>
        <w:rPr>
          <w:snapToGrid w:val="0"/>
        </w:rPr>
        <w:t>s 47 (5) or (6) is not disapplied (see s 47 (7)).</w:t>
      </w:r>
    </w:p>
    <w:p w:rsidR="00F93509" w:rsidRDefault="00F93509" w:rsidP="00F93509">
      <w:pPr>
        <w:pStyle w:val="aNote"/>
      </w:pPr>
      <w:r w:rsidRPr="00903C3C">
        <w:rPr>
          <w:rStyle w:val="charItals"/>
        </w:rPr>
        <w:t>Note 2</w:t>
      </w:r>
      <w:r w:rsidRPr="00903C3C">
        <w:rPr>
          <w:rStyle w:val="charItals"/>
        </w:rPr>
        <w:tab/>
      </w:r>
      <w:r>
        <w:t>A notifiable instrument must be notified under the</w:t>
      </w:r>
      <w:r w:rsidRPr="00903C3C">
        <w:t xml:space="preserve"> </w:t>
      </w:r>
      <w:hyperlink r:id="rId205" w:tooltip="A2001-14" w:history="1">
        <w:r w:rsidRPr="00903C3C">
          <w:rPr>
            <w:rStyle w:val="charCitHyperlinkAbbrev"/>
          </w:rPr>
          <w:t>Legislation Act</w:t>
        </w:r>
      </w:hyperlink>
      <w:r>
        <w:t>.</w:t>
      </w:r>
    </w:p>
    <w:p w:rsidR="00F93509" w:rsidRDefault="00F93509" w:rsidP="00F93509">
      <w:pPr>
        <w:pStyle w:val="aNote"/>
      </w:pPr>
      <w:r w:rsidRPr="00903C3C">
        <w:rPr>
          <w:rStyle w:val="charItals"/>
        </w:rPr>
        <w:t>Note 3</w:t>
      </w:r>
      <w:r w:rsidRPr="00903C3C">
        <w:rPr>
          <w:rStyle w:val="charItals"/>
        </w:rPr>
        <w:tab/>
      </w:r>
      <w:r>
        <w:t>This section differs from the</w:t>
      </w:r>
      <w:r w:rsidR="0023506A">
        <w:t xml:space="preserve"> </w:t>
      </w:r>
      <w:hyperlink r:id="rId206" w:tooltip="Gene Technology Act 2000" w:history="1">
        <w:r w:rsidR="0023506A" w:rsidRPr="0023506A">
          <w:rPr>
            <w:rStyle w:val="charCitHyperlinkAbbrev"/>
          </w:rPr>
          <w:t>Commonwealth Act</w:t>
        </w:r>
      </w:hyperlink>
      <w:r w:rsidR="0023506A">
        <w:t xml:space="preserve">, </w:t>
      </w:r>
      <w:r>
        <w:t>s 193.</w:t>
      </w:r>
    </w:p>
    <w:p w:rsidR="001A1DE6" w:rsidRPr="00325B6A" w:rsidRDefault="001A1DE6" w:rsidP="00907DBC">
      <w:pPr>
        <w:pStyle w:val="AH2Part"/>
      </w:pPr>
      <w:bookmarkStart w:id="277" w:name="_Toc526844754"/>
      <w:r w:rsidRPr="00325B6A">
        <w:rPr>
          <w:rStyle w:val="CharPartNo"/>
        </w:rPr>
        <w:t>Part 13</w:t>
      </w:r>
      <w:r w:rsidRPr="00E2623C">
        <w:tab/>
      </w:r>
      <w:r w:rsidRPr="00325B6A">
        <w:rPr>
          <w:rStyle w:val="CharPartText"/>
        </w:rPr>
        <w:t>Transitional—Gene Technology Amendment Act 2017</w:t>
      </w:r>
      <w:bookmarkEnd w:id="277"/>
    </w:p>
    <w:p w:rsidR="00C16CD6" w:rsidRDefault="00C16CD6" w:rsidP="00907DBC">
      <w:pPr>
        <w:pStyle w:val="Placeholder"/>
        <w:keepNext/>
        <w:suppressLineNumbers/>
      </w:pPr>
      <w:r>
        <w:rPr>
          <w:rStyle w:val="CharDivNo"/>
        </w:rPr>
        <w:t xml:space="preserve">  </w:t>
      </w:r>
      <w:r>
        <w:rPr>
          <w:rStyle w:val="CharDivText"/>
        </w:rPr>
        <w:t xml:space="preserve">  </w:t>
      </w:r>
    </w:p>
    <w:p w:rsidR="001A1DE6" w:rsidRPr="00E2623C" w:rsidRDefault="001A1DE6" w:rsidP="00907DBC">
      <w:pPr>
        <w:pStyle w:val="AH5Sec"/>
      </w:pPr>
      <w:bookmarkStart w:id="278" w:name="_Toc526844755"/>
      <w:r w:rsidRPr="00325B6A">
        <w:rPr>
          <w:rStyle w:val="CharSectNo"/>
        </w:rPr>
        <w:t>200</w:t>
      </w:r>
      <w:r w:rsidRPr="00E2623C">
        <w:tab/>
        <w:t xml:space="preserve">Meaning of </w:t>
      </w:r>
      <w:r w:rsidRPr="00E2623C">
        <w:rPr>
          <w:rStyle w:val="charItals"/>
        </w:rPr>
        <w:t>commencement day</w:t>
      </w:r>
      <w:r w:rsidRPr="00E2623C">
        <w:t>—pt 13</w:t>
      </w:r>
      <w:bookmarkEnd w:id="278"/>
    </w:p>
    <w:p w:rsidR="001A1DE6" w:rsidRPr="00E2623C" w:rsidRDefault="001A1DE6" w:rsidP="00907DBC">
      <w:pPr>
        <w:pStyle w:val="Amainreturn"/>
        <w:keepNext/>
      </w:pPr>
      <w:r w:rsidRPr="00E2623C">
        <w:t>In this part:</w:t>
      </w:r>
    </w:p>
    <w:p w:rsidR="001A1DE6" w:rsidRPr="00E2623C" w:rsidRDefault="001A1DE6" w:rsidP="001A1DE6">
      <w:pPr>
        <w:pStyle w:val="aDef"/>
      </w:pPr>
      <w:r w:rsidRPr="00E2623C">
        <w:rPr>
          <w:rStyle w:val="charBoldItals"/>
        </w:rPr>
        <w:t>commencement day</w:t>
      </w:r>
      <w:r w:rsidRPr="00E2623C">
        <w:t xml:space="preserve"> means the day the </w:t>
      </w:r>
      <w:hyperlink r:id="rId207" w:tooltip="A2017-15" w:history="1">
        <w:r w:rsidR="00CB4B51" w:rsidRPr="00CB4B51">
          <w:rPr>
            <w:rStyle w:val="charCitHyperlinkItal"/>
          </w:rPr>
          <w:t>Gene Technology Amendment Act 2017</w:t>
        </w:r>
      </w:hyperlink>
      <w:r w:rsidRPr="00E2623C">
        <w:t>, section 3 commences.</w:t>
      </w:r>
    </w:p>
    <w:p w:rsidR="001A1DE6" w:rsidRPr="00E2623C" w:rsidRDefault="001A1DE6" w:rsidP="001A1DE6">
      <w:pPr>
        <w:pStyle w:val="AH5Sec"/>
      </w:pPr>
      <w:bookmarkStart w:id="279" w:name="_Toc526844756"/>
      <w:r w:rsidRPr="00325B6A">
        <w:rPr>
          <w:rStyle w:val="CharSectNo"/>
        </w:rPr>
        <w:t>201</w:t>
      </w:r>
      <w:r w:rsidRPr="00E2623C">
        <w:tab/>
        <w:t>Inadvertent dealings applications—s 46A (a) and s 49 (a)</w:t>
      </w:r>
      <w:bookmarkEnd w:id="279"/>
    </w:p>
    <w:p w:rsidR="001A1DE6" w:rsidRPr="00E2623C" w:rsidRDefault="001A1DE6" w:rsidP="001A1DE6">
      <w:pPr>
        <w:pStyle w:val="Amain"/>
      </w:pPr>
      <w:r w:rsidRPr="00E2623C">
        <w:tab/>
        <w:t>(1)</w:t>
      </w:r>
      <w:r w:rsidRPr="00E2623C">
        <w:tab/>
        <w:t>This section applies to an inadvertent dealings application made before the commencement day if, immediately before the commencement day, the application had not been decided.</w:t>
      </w:r>
    </w:p>
    <w:p w:rsidR="001A1DE6" w:rsidRPr="00E2623C" w:rsidRDefault="001A1DE6" w:rsidP="001A1DE6">
      <w:pPr>
        <w:pStyle w:val="Amain"/>
      </w:pPr>
      <w:r w:rsidRPr="00E2623C">
        <w:tab/>
        <w:t>(2)</w:t>
      </w:r>
      <w:r w:rsidRPr="00E2623C">
        <w:tab/>
        <w:t xml:space="preserve">Section 46A (a) and section 49 (a), as amended by the </w:t>
      </w:r>
      <w:hyperlink r:id="rId208" w:tooltip="A2017-15" w:history="1">
        <w:r w:rsidR="00CB4B51" w:rsidRPr="00CB4B51">
          <w:rPr>
            <w:rStyle w:val="charCitHyperlinkItal"/>
          </w:rPr>
          <w:t>Gene Technology Amendment Act 2017</w:t>
        </w:r>
      </w:hyperlink>
      <w:r w:rsidRPr="00E2623C">
        <w:t>, apply in relation to the application.</w:t>
      </w:r>
    </w:p>
    <w:p w:rsidR="001A1DE6" w:rsidRPr="00E2623C" w:rsidRDefault="001A1DE6" w:rsidP="001A1DE6">
      <w:pPr>
        <w:pStyle w:val="AH5Sec"/>
      </w:pPr>
      <w:bookmarkStart w:id="280" w:name="_Toc526844757"/>
      <w:r w:rsidRPr="00325B6A">
        <w:rPr>
          <w:rStyle w:val="CharSectNo"/>
        </w:rPr>
        <w:t>202</w:t>
      </w:r>
      <w:r w:rsidRPr="00E2623C">
        <w:tab/>
        <w:t>Variation of licence applications—s 71 (2B)</w:t>
      </w:r>
      <w:bookmarkEnd w:id="280"/>
    </w:p>
    <w:p w:rsidR="001A1DE6" w:rsidRPr="00E2623C" w:rsidRDefault="001A1DE6" w:rsidP="001A1DE6">
      <w:pPr>
        <w:pStyle w:val="Amain"/>
      </w:pPr>
      <w:r w:rsidRPr="00E2623C">
        <w:tab/>
        <w:t>(1)</w:t>
      </w:r>
      <w:r w:rsidRPr="00E2623C">
        <w:tab/>
        <w:t>This section applies to an application for variation of a licence made before the commencement day if, immediately before the commencement day, the application had not been decided.</w:t>
      </w:r>
    </w:p>
    <w:p w:rsidR="001A1DE6" w:rsidRPr="00E2623C" w:rsidRDefault="001A1DE6" w:rsidP="001A1DE6">
      <w:pPr>
        <w:pStyle w:val="Amain"/>
      </w:pPr>
      <w:r w:rsidRPr="00E2623C">
        <w:tab/>
        <w:t>(2)</w:t>
      </w:r>
      <w:r w:rsidRPr="00E2623C">
        <w:tab/>
        <w:t xml:space="preserve">Section 71 (2B), as amended by the </w:t>
      </w:r>
      <w:hyperlink r:id="rId209" w:tooltip="A2017-15" w:history="1">
        <w:r w:rsidR="00CB4B51" w:rsidRPr="00CB4B51">
          <w:rPr>
            <w:rStyle w:val="charCitHyperlinkItal"/>
          </w:rPr>
          <w:t>Gene Technology Amendment Act 2017</w:t>
        </w:r>
      </w:hyperlink>
      <w:r w:rsidRPr="00E2623C">
        <w:t>, applies in relation to the application.</w:t>
      </w:r>
    </w:p>
    <w:p w:rsidR="001A1DE6" w:rsidRPr="00E2623C" w:rsidRDefault="001A1DE6" w:rsidP="001A1DE6">
      <w:pPr>
        <w:pStyle w:val="AH5Sec"/>
      </w:pPr>
      <w:bookmarkStart w:id="281" w:name="_Toc526844758"/>
      <w:r w:rsidRPr="00325B6A">
        <w:rPr>
          <w:rStyle w:val="CharSectNo"/>
        </w:rPr>
        <w:t>203</w:t>
      </w:r>
      <w:r w:rsidRPr="00E2623C">
        <w:tab/>
        <w:t>Record of GMO dealings—s 138</w:t>
      </w:r>
      <w:bookmarkEnd w:id="281"/>
    </w:p>
    <w:p w:rsidR="001A1DE6" w:rsidRPr="00E2623C" w:rsidRDefault="001A1DE6" w:rsidP="001A1DE6">
      <w:pPr>
        <w:pStyle w:val="Amain"/>
      </w:pPr>
      <w:r w:rsidRPr="00E2623C">
        <w:tab/>
        <w:t>(1)</w:t>
      </w:r>
      <w:r w:rsidRPr="00E2623C">
        <w:tab/>
        <w:t>This section applies if, immediately before the commencement day, information—</w:t>
      </w:r>
    </w:p>
    <w:p w:rsidR="001A1DE6" w:rsidRPr="00E2623C" w:rsidRDefault="001A1DE6" w:rsidP="001A1DE6">
      <w:pPr>
        <w:pStyle w:val="Apara"/>
      </w:pPr>
      <w:r w:rsidRPr="00E2623C">
        <w:tab/>
        <w:t>(a)</w:t>
      </w:r>
      <w:r w:rsidRPr="00E2623C">
        <w:tab/>
        <w:t>was on the GM record; and</w:t>
      </w:r>
    </w:p>
    <w:p w:rsidR="001A1DE6" w:rsidRPr="00E2623C" w:rsidRDefault="001A1DE6" w:rsidP="001A1DE6">
      <w:pPr>
        <w:pStyle w:val="Apara"/>
      </w:pPr>
      <w:r w:rsidRPr="00E2623C">
        <w:tab/>
        <w:t>(b)</w:t>
      </w:r>
      <w:r w:rsidRPr="00E2623C">
        <w:tab/>
        <w:t>was included on the GM record because the information included GM products.</w:t>
      </w:r>
    </w:p>
    <w:p w:rsidR="001A1DE6" w:rsidRPr="00E2623C" w:rsidRDefault="001A1DE6" w:rsidP="001A1DE6">
      <w:pPr>
        <w:pStyle w:val="Amain"/>
      </w:pPr>
      <w:r w:rsidRPr="00E2623C">
        <w:tab/>
        <w:t>(2)</w:t>
      </w:r>
      <w:r w:rsidRPr="00E2623C">
        <w:tab/>
        <w:t xml:space="preserve">The regulator may remove the information from the GM record. </w:t>
      </w:r>
    </w:p>
    <w:p w:rsidR="001A1DE6" w:rsidRPr="00E2623C" w:rsidRDefault="001A1DE6" w:rsidP="001A1DE6">
      <w:pPr>
        <w:pStyle w:val="AH5Sec"/>
      </w:pPr>
      <w:bookmarkStart w:id="282" w:name="_Toc526844759"/>
      <w:r w:rsidRPr="00325B6A">
        <w:rPr>
          <w:rStyle w:val="CharSectNo"/>
        </w:rPr>
        <w:t>204</w:t>
      </w:r>
      <w:r w:rsidRPr="00E2623C">
        <w:tab/>
        <w:t>Expiry—pt 13</w:t>
      </w:r>
      <w:bookmarkEnd w:id="282"/>
    </w:p>
    <w:p w:rsidR="001A1DE6" w:rsidRPr="00E2623C" w:rsidRDefault="001A1DE6" w:rsidP="001A1DE6">
      <w:pPr>
        <w:pStyle w:val="Amainreturn"/>
        <w:keepNext/>
      </w:pPr>
      <w:r w:rsidRPr="00E2623C">
        <w:t>This part expires 2 years after the commencement day.</w:t>
      </w:r>
    </w:p>
    <w:p w:rsidR="001A1DE6" w:rsidRPr="00E2623C" w:rsidRDefault="001A1DE6" w:rsidP="001A1DE6">
      <w:pPr>
        <w:pStyle w:val="aNote"/>
      </w:pPr>
      <w:r w:rsidRPr="00E2623C">
        <w:rPr>
          <w:rStyle w:val="charItals"/>
        </w:rPr>
        <w:t>Note</w:t>
      </w:r>
      <w:r w:rsidRPr="00E2623C">
        <w:rPr>
          <w:rStyle w:val="charItals"/>
        </w:rPr>
        <w:tab/>
      </w:r>
      <w:r w:rsidRPr="00E2623C">
        <w:rPr>
          <w:color w:val="000000"/>
          <w:lang w:eastAsia="en-AU"/>
        </w:rPr>
        <w:t>Transitional provisions are kept in the Act for a limited time. A transitional provision is repealed on its expiry but continues to have effect after its repeal (see</w:t>
      </w:r>
      <w:r w:rsidRPr="00E2623C">
        <w:rPr>
          <w:lang w:eastAsia="en-AU"/>
        </w:rPr>
        <w:t xml:space="preserve"> </w:t>
      </w:r>
      <w:hyperlink r:id="rId210" w:tooltip="A2001-14" w:history="1">
        <w:r w:rsidRPr="00E2623C">
          <w:rPr>
            <w:rStyle w:val="charCitHyperlinkAbbrev"/>
          </w:rPr>
          <w:t>Legislation Act</w:t>
        </w:r>
      </w:hyperlink>
      <w:r w:rsidRPr="00E2623C">
        <w:rPr>
          <w:lang w:eastAsia="en-AU"/>
        </w:rPr>
        <w:t>,</w:t>
      </w:r>
      <w:r w:rsidRPr="00E2623C">
        <w:rPr>
          <w:color w:val="000000"/>
          <w:lang w:eastAsia="en-AU"/>
        </w:rPr>
        <w:t xml:space="preserve"> s 88).</w:t>
      </w:r>
    </w:p>
    <w:p w:rsidR="00F93509" w:rsidRDefault="00F93509" w:rsidP="00F93509">
      <w:pPr>
        <w:pStyle w:val="02Text"/>
        <w:sectPr w:rsidR="00F93509">
          <w:headerReference w:type="even" r:id="rId211"/>
          <w:headerReference w:type="default" r:id="rId212"/>
          <w:footerReference w:type="even" r:id="rId213"/>
          <w:footerReference w:type="default" r:id="rId214"/>
          <w:footerReference w:type="first" r:id="rId215"/>
          <w:pgSz w:w="11907" w:h="16839" w:code="9"/>
          <w:pgMar w:top="3880" w:right="1900" w:bottom="3100" w:left="2300" w:header="2280" w:footer="1760" w:gutter="0"/>
          <w:cols w:space="720"/>
          <w:docGrid w:linePitch="254"/>
        </w:sectPr>
      </w:pPr>
    </w:p>
    <w:p w:rsidR="00F93509" w:rsidRDefault="00F93509" w:rsidP="00F93509">
      <w:pPr>
        <w:pStyle w:val="PageBreak"/>
      </w:pPr>
      <w:r>
        <w:br w:type="page"/>
      </w:r>
    </w:p>
    <w:p w:rsidR="00F93509" w:rsidRDefault="00F93509" w:rsidP="00F93509">
      <w:pPr>
        <w:pStyle w:val="Dict-Heading"/>
      </w:pPr>
      <w:bookmarkStart w:id="283" w:name="_Toc526844760"/>
      <w:r>
        <w:t>Dictionary</w:t>
      </w:r>
      <w:bookmarkEnd w:id="283"/>
    </w:p>
    <w:p w:rsidR="00F93509" w:rsidRDefault="00F93509" w:rsidP="00F93509">
      <w:pPr>
        <w:pStyle w:val="ref"/>
        <w:keepNext/>
      </w:pPr>
      <w:r>
        <w:t>(see s 10 (1))</w:t>
      </w:r>
    </w:p>
    <w:p w:rsidR="00F93509" w:rsidRDefault="00F93509" w:rsidP="00F93509">
      <w:pPr>
        <w:pStyle w:val="aNote"/>
      </w:pPr>
      <w:r w:rsidRPr="00903C3C">
        <w:rPr>
          <w:rStyle w:val="charItals"/>
        </w:rPr>
        <w:t>Note 1</w:t>
      </w:r>
      <w:r>
        <w:tab/>
        <w:t xml:space="preserve">The </w:t>
      </w:r>
      <w:hyperlink r:id="rId216" w:tooltip="A2001-14" w:history="1">
        <w:r w:rsidRPr="00903C3C">
          <w:rPr>
            <w:rStyle w:val="charCitHyperlinkAbbrev"/>
          </w:rPr>
          <w:t>Legislation Act</w:t>
        </w:r>
      </w:hyperlink>
      <w:r>
        <w:t xml:space="preserve"> contains definitions and other provisions relevant to this Act.</w:t>
      </w:r>
    </w:p>
    <w:p w:rsidR="00F93509" w:rsidRDefault="00F93509" w:rsidP="00F93509">
      <w:pPr>
        <w:pStyle w:val="aNote"/>
        <w:keepNext/>
      </w:pPr>
      <w:r w:rsidRPr="00903C3C">
        <w:rPr>
          <w:rStyle w:val="charItals"/>
        </w:rPr>
        <w:t>Note 2</w:t>
      </w:r>
      <w:r>
        <w:tab/>
        <w:t xml:space="preserve">In particular, the </w:t>
      </w:r>
      <w:hyperlink r:id="rId217" w:tooltip="A2001-14" w:history="1">
        <w:r w:rsidRPr="00903C3C">
          <w:rPr>
            <w:rStyle w:val="charCitHyperlinkAbbrev"/>
          </w:rPr>
          <w:t>Legislation Act</w:t>
        </w:r>
      </w:hyperlink>
      <w:r>
        <w:t>, dict, pt 1, defines the following terms:</w:t>
      </w:r>
    </w:p>
    <w:p w:rsidR="00F93509" w:rsidRPr="0083266D" w:rsidRDefault="00F93509" w:rsidP="00F93509">
      <w:pPr>
        <w:pStyle w:val="aNoteBulletss"/>
        <w:tabs>
          <w:tab w:val="left" w:pos="2300"/>
        </w:tabs>
      </w:pPr>
      <w:r w:rsidRPr="0083266D">
        <w:rPr>
          <w:rFonts w:ascii="Symbol" w:hAnsi="Symbol"/>
        </w:rPr>
        <w:t></w:t>
      </w:r>
      <w:r w:rsidRPr="0083266D">
        <w:rPr>
          <w:rFonts w:ascii="Symbol" w:hAnsi="Symbol"/>
        </w:rPr>
        <w:tab/>
      </w:r>
      <w:r w:rsidRPr="0083266D">
        <w:t>administrative unit</w:t>
      </w:r>
    </w:p>
    <w:p w:rsidR="00F93509" w:rsidRDefault="00F93509" w:rsidP="00F93509">
      <w:pPr>
        <w:pStyle w:val="aNoteBulletss"/>
      </w:pPr>
      <w:r>
        <w:rPr>
          <w:rFonts w:ascii="Symbol" w:hAnsi="Symbol"/>
        </w:rPr>
        <w:t></w:t>
      </w:r>
      <w:r>
        <w:rPr>
          <w:rFonts w:ascii="Symbol" w:hAnsi="Symbol"/>
        </w:rPr>
        <w:tab/>
      </w:r>
      <w:r>
        <w:t>exercise</w:t>
      </w:r>
    </w:p>
    <w:p w:rsidR="00F93509" w:rsidRDefault="00F93509" w:rsidP="00F93509">
      <w:pPr>
        <w:pStyle w:val="aNoteBulletss"/>
      </w:pPr>
      <w:r>
        <w:rPr>
          <w:rFonts w:ascii="Symbol" w:hAnsi="Symbol"/>
        </w:rPr>
        <w:t></w:t>
      </w:r>
      <w:r>
        <w:rPr>
          <w:rFonts w:ascii="Symbol" w:hAnsi="Symbol"/>
        </w:rPr>
        <w:tab/>
      </w:r>
      <w:r>
        <w:t>function</w:t>
      </w:r>
    </w:p>
    <w:p w:rsidR="00F93509" w:rsidRPr="0083266D" w:rsidRDefault="00F93509" w:rsidP="00F93509">
      <w:pPr>
        <w:pStyle w:val="aNoteBulletss"/>
        <w:tabs>
          <w:tab w:val="left" w:pos="2300"/>
        </w:tabs>
      </w:pPr>
      <w:r w:rsidRPr="0083266D">
        <w:rPr>
          <w:rFonts w:ascii="Symbol" w:hAnsi="Symbol"/>
        </w:rPr>
        <w:t></w:t>
      </w:r>
      <w:r w:rsidRPr="0083266D">
        <w:rPr>
          <w:rFonts w:ascii="Symbol" w:hAnsi="Symbol"/>
        </w:rPr>
        <w:tab/>
      </w:r>
      <w:r w:rsidRPr="0083266D">
        <w:t>public servant</w:t>
      </w:r>
    </w:p>
    <w:p w:rsidR="00F93509" w:rsidRDefault="00F93509" w:rsidP="00F93509">
      <w:pPr>
        <w:pStyle w:val="aNoteBulletss"/>
        <w:keepNext/>
      </w:pPr>
      <w:r>
        <w:rPr>
          <w:rFonts w:ascii="Symbol" w:hAnsi="Symbol"/>
        </w:rPr>
        <w:t></w:t>
      </w:r>
      <w:r>
        <w:rPr>
          <w:rFonts w:ascii="Symbol" w:hAnsi="Symbol"/>
        </w:rPr>
        <w:tab/>
      </w:r>
      <w:r>
        <w:t>State.</w:t>
      </w:r>
    </w:p>
    <w:p w:rsidR="00F93509" w:rsidRDefault="00F93509" w:rsidP="00F93509">
      <w:pPr>
        <w:pStyle w:val="aNote"/>
      </w:pPr>
      <w:r w:rsidRPr="00903C3C">
        <w:rPr>
          <w:rStyle w:val="charItals"/>
        </w:rPr>
        <w:t>Note 3</w:t>
      </w:r>
      <w:r>
        <w:tab/>
        <w:t>The definitions in this dictionary have equivalent definitions in the</w:t>
      </w:r>
      <w:r w:rsidR="0023506A">
        <w:t xml:space="preserve"> </w:t>
      </w:r>
      <w:hyperlink r:id="rId218" w:tooltip="Gene Technology Act 2000" w:history="1">
        <w:r w:rsidR="0023506A" w:rsidRPr="0023506A">
          <w:rPr>
            <w:rStyle w:val="charCitHyperlinkAbbrev"/>
          </w:rPr>
          <w:t>Commonwealth Act</w:t>
        </w:r>
      </w:hyperlink>
      <w:r w:rsidR="0023506A">
        <w:t xml:space="preserve">, </w:t>
      </w:r>
      <w:r>
        <w:t>s 10 (1).</w:t>
      </w:r>
    </w:p>
    <w:p w:rsidR="00F93509" w:rsidRDefault="00F93509" w:rsidP="00F93509">
      <w:pPr>
        <w:pStyle w:val="aDef"/>
      </w:pPr>
      <w:r>
        <w:rPr>
          <w:rStyle w:val="charBoldItals"/>
        </w:rPr>
        <w:t>accredited organisation</w:t>
      </w:r>
      <w:r>
        <w:t xml:space="preserve"> means an organisation accredited under division 7.3.</w:t>
      </w:r>
    </w:p>
    <w:p w:rsidR="00F93509" w:rsidRDefault="00F93509" w:rsidP="00F93509">
      <w:pPr>
        <w:pStyle w:val="aDef"/>
      </w:pPr>
      <w:r>
        <w:rPr>
          <w:rStyle w:val="charBoldItals"/>
        </w:rPr>
        <w:t>aggravated offence</w:t>
      </w:r>
      <w:r>
        <w:t>—see section 38 (1).</w:t>
      </w:r>
    </w:p>
    <w:p w:rsidR="00F93509" w:rsidRDefault="00F93509" w:rsidP="00F93509">
      <w:pPr>
        <w:pStyle w:val="aDef"/>
      </w:pPr>
      <w:r>
        <w:rPr>
          <w:rStyle w:val="charBoldItals"/>
        </w:rPr>
        <w:t>Commonwealth Act</w:t>
      </w:r>
      <w:r>
        <w:t xml:space="preserve"> means the </w:t>
      </w:r>
      <w:hyperlink r:id="rId219" w:tooltip="Act 2000 No 169 (Cwlth)" w:history="1">
        <w:r w:rsidRPr="007E0696">
          <w:rPr>
            <w:rStyle w:val="charCitHyperlinkItal"/>
          </w:rPr>
          <w:t>Gene Technology Act 2000</w:t>
        </w:r>
      </w:hyperlink>
      <w:r>
        <w:t xml:space="preserve"> (Cwlth).</w:t>
      </w:r>
    </w:p>
    <w:p w:rsidR="00F93509" w:rsidRDefault="00F93509" w:rsidP="00F93509">
      <w:pPr>
        <w:pStyle w:val="aDef"/>
        <w:keepNext/>
      </w:pPr>
      <w:r>
        <w:rPr>
          <w:rStyle w:val="charBoldItals"/>
        </w:rPr>
        <w:t>Commonwealth authority</w:t>
      </w:r>
      <w:r>
        <w:t xml:space="preserve"> means—</w:t>
      </w:r>
    </w:p>
    <w:p w:rsidR="00F93509" w:rsidRDefault="00F93509" w:rsidP="00F93509">
      <w:pPr>
        <w:pStyle w:val="aDefpara"/>
      </w:pPr>
      <w:r>
        <w:rPr>
          <w:rFonts w:ascii="Tms Rmn" w:hAnsi="Tms Rmn"/>
        </w:rPr>
        <w:tab/>
        <w:t>(a)</w:t>
      </w:r>
      <w:r>
        <w:rPr>
          <w:rFonts w:ascii="Tms Rmn" w:hAnsi="Tms Rmn"/>
        </w:rPr>
        <w:tab/>
      </w:r>
      <w:r>
        <w:t>a corporation established for a public purpose under a Commonwealth Act; or</w:t>
      </w:r>
    </w:p>
    <w:p w:rsidR="00F93509" w:rsidRDefault="00F93509" w:rsidP="00F93509">
      <w:pPr>
        <w:pStyle w:val="aDefpara"/>
        <w:keepNext/>
      </w:pPr>
      <w:r>
        <w:rPr>
          <w:rFonts w:ascii="Tms Rmn" w:hAnsi="Tms Rmn"/>
        </w:rPr>
        <w:tab/>
        <w:t>(b)</w:t>
      </w:r>
      <w:r>
        <w:rPr>
          <w:rFonts w:ascii="Tms Rmn" w:hAnsi="Tms Rmn"/>
        </w:rPr>
        <w:tab/>
      </w:r>
      <w:r>
        <w:t>a company in which a controlling interest is held by any 1 of the following, or by 2 or more of the following together:</w:t>
      </w:r>
    </w:p>
    <w:p w:rsidR="00F93509" w:rsidRDefault="00F93509" w:rsidP="00F93509">
      <w:pPr>
        <w:pStyle w:val="aDefsubpara"/>
      </w:pPr>
      <w:r>
        <w:rPr>
          <w:rFonts w:ascii="Tms Rmn" w:hAnsi="Tms Rmn"/>
        </w:rPr>
        <w:tab/>
        <w:t>(i)</w:t>
      </w:r>
      <w:r>
        <w:rPr>
          <w:rFonts w:ascii="Tms Rmn" w:hAnsi="Tms Rmn"/>
        </w:rPr>
        <w:tab/>
      </w:r>
      <w:r>
        <w:t>the Commonwealth;</w:t>
      </w:r>
    </w:p>
    <w:p w:rsidR="00F93509" w:rsidRDefault="00F93509" w:rsidP="00F93509">
      <w:pPr>
        <w:pStyle w:val="aDefsubpara"/>
      </w:pPr>
      <w:r>
        <w:rPr>
          <w:rFonts w:ascii="Tms Rmn" w:hAnsi="Tms Rmn"/>
        </w:rPr>
        <w:tab/>
        <w:t>(ii)</w:t>
      </w:r>
      <w:r>
        <w:rPr>
          <w:rFonts w:ascii="Tms Rmn" w:hAnsi="Tms Rmn"/>
        </w:rPr>
        <w:tab/>
      </w:r>
      <w:r>
        <w:t>a corporation mentioned in paragraph (a);</w:t>
      </w:r>
    </w:p>
    <w:p w:rsidR="00F93509" w:rsidRDefault="00F93509" w:rsidP="00F93509">
      <w:pPr>
        <w:pStyle w:val="aDefsubpara"/>
      </w:pPr>
      <w:r>
        <w:rPr>
          <w:rFonts w:ascii="Tms Rmn" w:hAnsi="Tms Rmn"/>
        </w:rPr>
        <w:tab/>
        <w:t>(iii)</w:t>
      </w:r>
      <w:r>
        <w:rPr>
          <w:rFonts w:ascii="Tms Rmn" w:hAnsi="Tms Rmn"/>
        </w:rPr>
        <w:tab/>
      </w:r>
      <w:r>
        <w:t>an entity mentioned in subparagraph (i) or (ii).</w:t>
      </w:r>
    </w:p>
    <w:p w:rsidR="00F93509" w:rsidRDefault="00F93509" w:rsidP="00F93509">
      <w:pPr>
        <w:pStyle w:val="aDef"/>
      </w:pPr>
      <w:r>
        <w:rPr>
          <w:rStyle w:val="charBoldItals"/>
        </w:rPr>
        <w:t>Commonwealth administrative appeals tribunal</w:t>
      </w:r>
      <w:r>
        <w:t xml:space="preserve"> means the Administrative Appeals Tribunal established under the </w:t>
      </w:r>
      <w:hyperlink r:id="rId220" w:tooltip="Administrative Appeals Tribunal Act 1975" w:history="1">
        <w:r w:rsidRPr="00D45199">
          <w:rPr>
            <w:rStyle w:val="charCitHyperlinkAbbrev"/>
          </w:rPr>
          <w:t>Commonwealth Administrative Appeals Tribunal Act</w:t>
        </w:r>
      </w:hyperlink>
      <w:r>
        <w:t>.</w:t>
      </w:r>
    </w:p>
    <w:p w:rsidR="00F93509" w:rsidRPr="00903C3C" w:rsidRDefault="00F93509" w:rsidP="00F93509">
      <w:pPr>
        <w:pStyle w:val="aDef"/>
      </w:pPr>
      <w:r>
        <w:rPr>
          <w:rStyle w:val="charBoldItals"/>
        </w:rPr>
        <w:t xml:space="preserve">Commonwealth Administrative Appeals Tribunal Act </w:t>
      </w:r>
      <w:r w:rsidRPr="00903C3C">
        <w:t xml:space="preserve">means the </w:t>
      </w:r>
      <w:hyperlink r:id="rId221" w:tooltip="Act 1975 No 91 (Cwlth)" w:history="1">
        <w:r w:rsidRPr="005715E6">
          <w:rPr>
            <w:rStyle w:val="charCitHyperlinkItal"/>
          </w:rPr>
          <w:t>Administrative Appeals Tribunal Act 1975</w:t>
        </w:r>
      </w:hyperlink>
      <w:r>
        <w:t xml:space="preserve"> (Cwlth).</w:t>
      </w:r>
    </w:p>
    <w:p w:rsidR="00F93509" w:rsidRDefault="00F93509" w:rsidP="00F93509">
      <w:pPr>
        <w:pStyle w:val="aDef"/>
      </w:pPr>
      <w:r>
        <w:rPr>
          <w:rStyle w:val="charBoldItals"/>
        </w:rPr>
        <w:t>Commonwealth Environment Minister</w:t>
      </w:r>
      <w:r>
        <w:t xml:space="preserve"> means the Commonwealth Minister responsible for environment and conservation.</w:t>
      </w:r>
    </w:p>
    <w:p w:rsidR="00F93509" w:rsidRDefault="00F93509" w:rsidP="00F93509">
      <w:pPr>
        <w:pStyle w:val="aDef"/>
      </w:pPr>
      <w:r>
        <w:rPr>
          <w:rStyle w:val="charBoldItals"/>
        </w:rPr>
        <w:t>confidential commercial information</w:t>
      </w:r>
      <w:r>
        <w:t xml:space="preserve"> means information declared under section 185 to be confidential commercial information.</w:t>
      </w:r>
    </w:p>
    <w:p w:rsidR="00F93509" w:rsidRDefault="00F93509" w:rsidP="00F93509">
      <w:pPr>
        <w:pStyle w:val="aDef"/>
      </w:pPr>
      <w:r>
        <w:rPr>
          <w:rStyle w:val="charBoldItals"/>
        </w:rPr>
        <w:t>containment level</w:t>
      </w:r>
      <w:r>
        <w:t>, for a facility, means the degree of physical confinement of GMOs provided by the facility, having regard to the design of the facility, the equipment located or installed in the facility and the procedures generally used within the facility.</w:t>
      </w:r>
    </w:p>
    <w:p w:rsidR="00F93509" w:rsidRDefault="00F93509" w:rsidP="00F93509">
      <w:pPr>
        <w:pStyle w:val="aDef"/>
        <w:keepNext/>
      </w:pPr>
      <w:r>
        <w:rPr>
          <w:rStyle w:val="charBoldItals"/>
        </w:rPr>
        <w:t>deal with</w:t>
      </w:r>
      <w:r>
        <w:t xml:space="preserve"> a GMO means any of the following:</w:t>
      </w:r>
    </w:p>
    <w:p w:rsidR="00F93509" w:rsidRDefault="00F93509" w:rsidP="00F93509">
      <w:pPr>
        <w:pStyle w:val="aDefpara"/>
      </w:pPr>
      <w:r>
        <w:rPr>
          <w:rFonts w:ascii="Tms Rmn" w:hAnsi="Tms Rmn"/>
        </w:rPr>
        <w:tab/>
        <w:t>(a)</w:t>
      </w:r>
      <w:r>
        <w:rPr>
          <w:rFonts w:ascii="Tms Rmn" w:hAnsi="Tms Rmn"/>
        </w:rPr>
        <w:tab/>
      </w:r>
      <w:r>
        <w:t>conduct experiments with the GMO;</w:t>
      </w:r>
    </w:p>
    <w:p w:rsidR="00F93509" w:rsidRDefault="00F93509" w:rsidP="00F93509">
      <w:pPr>
        <w:pStyle w:val="aDefpara"/>
      </w:pPr>
      <w:r>
        <w:rPr>
          <w:rFonts w:ascii="Tms Rmn" w:hAnsi="Tms Rmn"/>
        </w:rPr>
        <w:tab/>
        <w:t>(b)</w:t>
      </w:r>
      <w:r>
        <w:rPr>
          <w:rFonts w:ascii="Tms Rmn" w:hAnsi="Tms Rmn"/>
        </w:rPr>
        <w:tab/>
      </w:r>
      <w:r>
        <w:t>make, develop, produce or manufacture the GMO;</w:t>
      </w:r>
    </w:p>
    <w:p w:rsidR="00F93509" w:rsidRDefault="00F93509" w:rsidP="00F93509">
      <w:pPr>
        <w:pStyle w:val="aDefpara"/>
      </w:pPr>
      <w:r>
        <w:rPr>
          <w:rFonts w:ascii="Tms Rmn" w:hAnsi="Tms Rmn"/>
        </w:rPr>
        <w:tab/>
        <w:t>(c)</w:t>
      </w:r>
      <w:r>
        <w:rPr>
          <w:rFonts w:ascii="Tms Rmn" w:hAnsi="Tms Rmn"/>
        </w:rPr>
        <w:tab/>
      </w:r>
      <w:r>
        <w:t>breed the GMO;</w:t>
      </w:r>
    </w:p>
    <w:p w:rsidR="00F93509" w:rsidRDefault="00F93509" w:rsidP="00F93509">
      <w:pPr>
        <w:pStyle w:val="aDefpara"/>
      </w:pPr>
      <w:r>
        <w:rPr>
          <w:rFonts w:ascii="Tms Rmn" w:hAnsi="Tms Rmn"/>
        </w:rPr>
        <w:tab/>
        <w:t>(d)</w:t>
      </w:r>
      <w:r>
        <w:rPr>
          <w:rFonts w:ascii="Tms Rmn" w:hAnsi="Tms Rmn"/>
        </w:rPr>
        <w:tab/>
      </w:r>
      <w:r>
        <w:t>propagate the GMO;</w:t>
      </w:r>
    </w:p>
    <w:p w:rsidR="00F93509" w:rsidRDefault="00F93509" w:rsidP="00F93509">
      <w:pPr>
        <w:pStyle w:val="aDefpara"/>
      </w:pPr>
      <w:r>
        <w:rPr>
          <w:rFonts w:ascii="Tms Rmn" w:hAnsi="Tms Rmn"/>
        </w:rPr>
        <w:tab/>
        <w:t>(e)</w:t>
      </w:r>
      <w:r>
        <w:rPr>
          <w:rFonts w:ascii="Tms Rmn" w:hAnsi="Tms Rmn"/>
        </w:rPr>
        <w:tab/>
      </w:r>
      <w:r>
        <w:t>use the GMO in the course of manufacturing a thing that is not the GMO;</w:t>
      </w:r>
    </w:p>
    <w:p w:rsidR="00F93509" w:rsidRDefault="00F93509" w:rsidP="00F93509">
      <w:pPr>
        <w:pStyle w:val="aDefpara"/>
      </w:pPr>
      <w:r>
        <w:rPr>
          <w:rFonts w:ascii="Tms Rmn" w:hAnsi="Tms Rmn"/>
        </w:rPr>
        <w:tab/>
        <w:t>(f)</w:t>
      </w:r>
      <w:r>
        <w:rPr>
          <w:rFonts w:ascii="Tms Rmn" w:hAnsi="Tms Rmn"/>
        </w:rPr>
        <w:tab/>
      </w:r>
      <w:r>
        <w:t>grow, raise or culture the GMO;</w:t>
      </w:r>
    </w:p>
    <w:p w:rsidR="00F93509" w:rsidRDefault="00F93509" w:rsidP="00F93509">
      <w:pPr>
        <w:pStyle w:val="aDefpara"/>
      </w:pPr>
      <w:r>
        <w:rPr>
          <w:rFonts w:ascii="Tms Rmn" w:hAnsi="Tms Rmn"/>
        </w:rPr>
        <w:tab/>
        <w:t>(g)</w:t>
      </w:r>
      <w:r>
        <w:rPr>
          <w:rFonts w:ascii="Tms Rmn" w:hAnsi="Tms Rmn"/>
        </w:rPr>
        <w:tab/>
      </w:r>
      <w:r>
        <w:t>import the GMO;</w:t>
      </w:r>
    </w:p>
    <w:p w:rsidR="00F93509" w:rsidRDefault="00F93509" w:rsidP="00F93509">
      <w:pPr>
        <w:pStyle w:val="aDefpara"/>
      </w:pPr>
      <w:r>
        <w:tab/>
        <w:t>(h)</w:t>
      </w:r>
      <w:r>
        <w:tab/>
        <w:t>transport the GMO;</w:t>
      </w:r>
    </w:p>
    <w:p w:rsidR="00F93509" w:rsidRDefault="00F93509" w:rsidP="00F93509">
      <w:pPr>
        <w:pStyle w:val="aDefpara"/>
      </w:pPr>
      <w:r>
        <w:tab/>
        <w:t>(i)</w:t>
      </w:r>
      <w:r>
        <w:tab/>
        <w:t>dispose of the GMO;</w:t>
      </w:r>
    </w:p>
    <w:p w:rsidR="00F93509" w:rsidRDefault="00F93509" w:rsidP="00F93509">
      <w:pPr>
        <w:pStyle w:val="Amainreturn"/>
      </w:pPr>
      <w:r>
        <w:t>and includes the possession, supply or use of the GMO for the purposes of, or in the course of, a dealing mentioned in any of paragraphs (a) to (i).</w:t>
      </w:r>
    </w:p>
    <w:p w:rsidR="00F93509" w:rsidRDefault="00F93509" w:rsidP="00F93509">
      <w:pPr>
        <w:pStyle w:val="aDef"/>
      </w:pPr>
      <w:r>
        <w:rPr>
          <w:rStyle w:val="charBoldItals"/>
        </w:rPr>
        <w:t>eligible person</w:t>
      </w:r>
      <w:r>
        <w:t>, for a reviewable decision—see section 179.</w:t>
      </w:r>
    </w:p>
    <w:p w:rsidR="00F93509" w:rsidRDefault="00F93509" w:rsidP="00F93509">
      <w:pPr>
        <w:pStyle w:val="aDef"/>
        <w:keepNext/>
      </w:pPr>
      <w:r>
        <w:rPr>
          <w:rStyle w:val="charBoldItals"/>
        </w:rPr>
        <w:t>environment</w:t>
      </w:r>
      <w:r>
        <w:t xml:space="preserve"> includes—</w:t>
      </w:r>
    </w:p>
    <w:p w:rsidR="00F93509" w:rsidRDefault="00F93509" w:rsidP="00F93509">
      <w:pPr>
        <w:pStyle w:val="aDefpara"/>
      </w:pPr>
      <w:r>
        <w:rPr>
          <w:rFonts w:ascii="Tms Rmn" w:hAnsi="Tms Rmn"/>
        </w:rPr>
        <w:tab/>
        <w:t>(a)</w:t>
      </w:r>
      <w:r>
        <w:rPr>
          <w:rFonts w:ascii="Tms Rmn" w:hAnsi="Tms Rmn"/>
        </w:rPr>
        <w:tab/>
      </w:r>
      <w:r>
        <w:t xml:space="preserve">ecosystems and their constituent parts; and </w:t>
      </w:r>
    </w:p>
    <w:p w:rsidR="00F93509" w:rsidRDefault="00F93509" w:rsidP="00F93509">
      <w:pPr>
        <w:pStyle w:val="aDefpara"/>
      </w:pPr>
      <w:r>
        <w:rPr>
          <w:rFonts w:ascii="Tms Rmn" w:hAnsi="Tms Rmn"/>
        </w:rPr>
        <w:tab/>
        <w:t>(b)</w:t>
      </w:r>
      <w:r>
        <w:rPr>
          <w:rFonts w:ascii="Tms Rmn" w:hAnsi="Tms Rmn"/>
        </w:rPr>
        <w:tab/>
      </w:r>
      <w:r>
        <w:t xml:space="preserve">natural and physical resources; and </w:t>
      </w:r>
    </w:p>
    <w:p w:rsidR="00F93509" w:rsidRDefault="00F93509" w:rsidP="00F93509">
      <w:pPr>
        <w:pStyle w:val="aDefpara"/>
      </w:pPr>
      <w:r>
        <w:rPr>
          <w:rFonts w:ascii="Tms Rmn" w:hAnsi="Tms Rmn"/>
        </w:rPr>
        <w:tab/>
        <w:t>(c)</w:t>
      </w:r>
      <w:r>
        <w:rPr>
          <w:rFonts w:ascii="Tms Rmn" w:hAnsi="Tms Rmn"/>
        </w:rPr>
        <w:tab/>
      </w:r>
      <w:r>
        <w:t>the qualities and characteristics of locations, places and areas.</w:t>
      </w:r>
    </w:p>
    <w:p w:rsidR="00F93509" w:rsidRDefault="00F93509" w:rsidP="00F93509">
      <w:pPr>
        <w:pStyle w:val="aDef"/>
      </w:pPr>
      <w:r>
        <w:rPr>
          <w:rStyle w:val="charBoldItals"/>
        </w:rPr>
        <w:t>ethics and community committee</w:t>
      </w:r>
      <w:r>
        <w:t xml:space="preserve"> means the gene technology ethics and community consultative committee established by the</w:t>
      </w:r>
      <w:r w:rsidR="0023506A">
        <w:t xml:space="preserve"> </w:t>
      </w:r>
      <w:hyperlink r:id="rId222" w:tooltip="Gene Technology Act 2000" w:history="1">
        <w:r w:rsidR="0023506A" w:rsidRPr="0023506A">
          <w:rPr>
            <w:rStyle w:val="charCitHyperlinkAbbrev"/>
          </w:rPr>
          <w:t>Commonwealth Act</w:t>
        </w:r>
      </w:hyperlink>
      <w:r w:rsidR="0023506A">
        <w:t xml:space="preserve">, </w:t>
      </w:r>
      <w:r>
        <w:t>section 106.</w:t>
      </w:r>
    </w:p>
    <w:p w:rsidR="00F93509" w:rsidRDefault="00F93509" w:rsidP="00F93509">
      <w:pPr>
        <w:pStyle w:val="aDef"/>
        <w:keepNext/>
      </w:pPr>
      <w:r>
        <w:rPr>
          <w:rStyle w:val="charBoldItals"/>
        </w:rPr>
        <w:t>evidential material</w:t>
      </w:r>
      <w:r>
        <w:t xml:space="preserve"> means any of the following:</w:t>
      </w:r>
    </w:p>
    <w:p w:rsidR="00F93509" w:rsidRDefault="00F93509" w:rsidP="00F93509">
      <w:pPr>
        <w:pStyle w:val="aDefpara"/>
      </w:pPr>
      <w:r>
        <w:rPr>
          <w:rFonts w:ascii="Tms Rmn" w:hAnsi="Tms Rmn"/>
        </w:rPr>
        <w:tab/>
        <w:t>(a)</w:t>
      </w:r>
      <w:r>
        <w:rPr>
          <w:rFonts w:ascii="Tms Rmn" w:hAnsi="Tms Rmn"/>
        </w:rPr>
        <w:tab/>
      </w:r>
      <w:r>
        <w:t>a thing in relation to which an offence against this Act has been committed or is suspected, on reasonable grounds, to have been committed;</w:t>
      </w:r>
    </w:p>
    <w:p w:rsidR="00F93509" w:rsidRDefault="00F93509" w:rsidP="00F93509">
      <w:pPr>
        <w:pStyle w:val="aDefpara"/>
      </w:pPr>
      <w:r>
        <w:rPr>
          <w:rFonts w:ascii="Tms Rmn" w:hAnsi="Tms Rmn"/>
        </w:rPr>
        <w:tab/>
        <w:t>(b)</w:t>
      </w:r>
      <w:r>
        <w:rPr>
          <w:rFonts w:ascii="Tms Rmn" w:hAnsi="Tms Rmn"/>
        </w:rPr>
        <w:tab/>
      </w:r>
      <w:r>
        <w:t>a thing that there are reasonable grounds for suspecting will provide evidence about the commission of an offence mentioned in paragraph (a);</w:t>
      </w:r>
    </w:p>
    <w:p w:rsidR="00F93509" w:rsidRDefault="00F93509" w:rsidP="00F93509">
      <w:pPr>
        <w:pStyle w:val="aDefpara"/>
      </w:pPr>
      <w:r>
        <w:rPr>
          <w:rFonts w:ascii="Tms Rmn" w:hAnsi="Tms Rmn"/>
        </w:rPr>
        <w:tab/>
        <w:t>(c)</w:t>
      </w:r>
      <w:r>
        <w:rPr>
          <w:rFonts w:ascii="Tms Rmn" w:hAnsi="Tms Rmn"/>
        </w:rPr>
        <w:tab/>
      </w:r>
      <w:r>
        <w:t>a thing that there are reasonable grounds for suspecting is intended to be used for committing an offence against this Act.</w:t>
      </w:r>
    </w:p>
    <w:p w:rsidR="00F93509" w:rsidRPr="00903C3C" w:rsidRDefault="00F93509" w:rsidP="00F93509">
      <w:pPr>
        <w:pStyle w:val="aDef"/>
      </w:pPr>
      <w:r>
        <w:rPr>
          <w:rStyle w:val="charBoldItals"/>
        </w:rPr>
        <w:t>exempt dealing</w:t>
      </w:r>
      <w:r w:rsidRPr="00903C3C">
        <w:t xml:space="preserve"> means a dealing prescribed by regulation as an exempt dealing.</w:t>
      </w:r>
    </w:p>
    <w:p w:rsidR="00F93509" w:rsidRDefault="00F93509" w:rsidP="00F93509">
      <w:pPr>
        <w:pStyle w:val="aDef"/>
        <w:keepNext/>
      </w:pPr>
      <w:r>
        <w:rPr>
          <w:rStyle w:val="charBoldItals"/>
        </w:rPr>
        <w:t>facility</w:t>
      </w:r>
      <w:r>
        <w:t xml:space="preserve"> includes, but is not limited to, the following:</w:t>
      </w:r>
    </w:p>
    <w:p w:rsidR="00F93509" w:rsidRDefault="00F93509" w:rsidP="00F93509">
      <w:pPr>
        <w:pStyle w:val="aDefpara"/>
      </w:pPr>
      <w:r>
        <w:rPr>
          <w:rFonts w:ascii="Tms Rmn" w:hAnsi="Tms Rmn"/>
        </w:rPr>
        <w:tab/>
        <w:t>(a)</w:t>
      </w:r>
      <w:r>
        <w:rPr>
          <w:rFonts w:ascii="Tms Rmn" w:hAnsi="Tms Rmn"/>
        </w:rPr>
        <w:tab/>
      </w:r>
      <w:r>
        <w:t>a building or part of a building;</w:t>
      </w:r>
    </w:p>
    <w:p w:rsidR="00F93509" w:rsidRDefault="00F93509" w:rsidP="00F93509">
      <w:pPr>
        <w:pStyle w:val="aDefpara"/>
      </w:pPr>
      <w:r>
        <w:rPr>
          <w:rFonts w:ascii="Tms Rmn" w:hAnsi="Tms Rmn"/>
        </w:rPr>
        <w:tab/>
        <w:t>(b)</w:t>
      </w:r>
      <w:r>
        <w:rPr>
          <w:rFonts w:ascii="Tms Rmn" w:hAnsi="Tms Rmn"/>
        </w:rPr>
        <w:tab/>
      </w:r>
      <w:r>
        <w:t>a laboratory;</w:t>
      </w:r>
    </w:p>
    <w:p w:rsidR="00F93509" w:rsidRDefault="00F93509" w:rsidP="00F93509">
      <w:pPr>
        <w:pStyle w:val="aDefpara"/>
      </w:pPr>
      <w:r>
        <w:rPr>
          <w:rFonts w:ascii="Tms Rmn" w:hAnsi="Tms Rmn"/>
        </w:rPr>
        <w:tab/>
        <w:t>(c)</w:t>
      </w:r>
      <w:r>
        <w:rPr>
          <w:rFonts w:ascii="Tms Rmn" w:hAnsi="Tms Rmn"/>
        </w:rPr>
        <w:tab/>
      </w:r>
      <w:r>
        <w:t>an aviary;</w:t>
      </w:r>
    </w:p>
    <w:p w:rsidR="00F93509" w:rsidRDefault="00F93509" w:rsidP="00F93509">
      <w:pPr>
        <w:pStyle w:val="aDefpara"/>
      </w:pPr>
      <w:r>
        <w:rPr>
          <w:rFonts w:ascii="Tms Rmn" w:hAnsi="Tms Rmn"/>
        </w:rPr>
        <w:tab/>
        <w:t>(d)</w:t>
      </w:r>
      <w:r>
        <w:rPr>
          <w:rFonts w:ascii="Tms Rmn" w:hAnsi="Tms Rmn"/>
        </w:rPr>
        <w:tab/>
      </w:r>
      <w:r>
        <w:t>a glasshouse;</w:t>
      </w:r>
    </w:p>
    <w:p w:rsidR="00F93509" w:rsidRDefault="00F93509" w:rsidP="00F93509">
      <w:pPr>
        <w:pStyle w:val="aDefpara"/>
      </w:pPr>
      <w:r>
        <w:rPr>
          <w:rFonts w:ascii="Tms Rmn" w:hAnsi="Tms Rmn"/>
        </w:rPr>
        <w:tab/>
        <w:t>(e)</w:t>
      </w:r>
      <w:r>
        <w:rPr>
          <w:rFonts w:ascii="Tms Rmn" w:hAnsi="Tms Rmn"/>
        </w:rPr>
        <w:tab/>
      </w:r>
      <w:r>
        <w:t>an insectary;</w:t>
      </w:r>
    </w:p>
    <w:p w:rsidR="00F93509" w:rsidRDefault="00F93509" w:rsidP="00F93509">
      <w:pPr>
        <w:pStyle w:val="aDefpara"/>
      </w:pPr>
      <w:r>
        <w:rPr>
          <w:rFonts w:ascii="Tms Rmn" w:hAnsi="Tms Rmn"/>
        </w:rPr>
        <w:tab/>
        <w:t>(f)</w:t>
      </w:r>
      <w:r>
        <w:rPr>
          <w:rFonts w:ascii="Tms Rmn" w:hAnsi="Tms Rmn"/>
        </w:rPr>
        <w:tab/>
      </w:r>
      <w:r>
        <w:t>an animal house;</w:t>
      </w:r>
    </w:p>
    <w:p w:rsidR="00F93509" w:rsidRDefault="00F93509" w:rsidP="00F93509">
      <w:pPr>
        <w:pStyle w:val="aDefpara"/>
      </w:pPr>
      <w:r>
        <w:rPr>
          <w:rFonts w:ascii="Tms Rmn" w:hAnsi="Tms Rmn"/>
        </w:rPr>
        <w:tab/>
        <w:t>(g)</w:t>
      </w:r>
      <w:r>
        <w:rPr>
          <w:rFonts w:ascii="Tms Rmn" w:hAnsi="Tms Rmn"/>
        </w:rPr>
        <w:tab/>
      </w:r>
      <w:r>
        <w:t>an aquarium or tank.</w:t>
      </w:r>
    </w:p>
    <w:p w:rsidR="00F93509" w:rsidRDefault="00F93509" w:rsidP="00F93509">
      <w:pPr>
        <w:pStyle w:val="aDef"/>
        <w:keepNext/>
      </w:pPr>
      <w:r>
        <w:rPr>
          <w:rStyle w:val="charBoldItals"/>
        </w:rPr>
        <w:t>gene technology</w:t>
      </w:r>
      <w:r>
        <w:t xml:space="preserve"> means any technique for modifying genes or other genetic material, but does not include—</w:t>
      </w:r>
    </w:p>
    <w:p w:rsidR="00F93509" w:rsidRDefault="00F93509" w:rsidP="00F93509">
      <w:pPr>
        <w:pStyle w:val="aDefpara"/>
      </w:pPr>
      <w:r>
        <w:rPr>
          <w:rFonts w:ascii="Tms Rmn" w:hAnsi="Tms Rmn"/>
        </w:rPr>
        <w:tab/>
        <w:t>(a)</w:t>
      </w:r>
      <w:r>
        <w:rPr>
          <w:rFonts w:ascii="Tms Rmn" w:hAnsi="Tms Rmn"/>
        </w:rPr>
        <w:tab/>
      </w:r>
      <w:r>
        <w:t>sexual reproduction; or</w:t>
      </w:r>
    </w:p>
    <w:p w:rsidR="00F93509" w:rsidRDefault="00F93509" w:rsidP="00F93509">
      <w:pPr>
        <w:pStyle w:val="aDefpara"/>
      </w:pPr>
      <w:r>
        <w:rPr>
          <w:rFonts w:ascii="Tms Rmn" w:hAnsi="Tms Rmn"/>
        </w:rPr>
        <w:tab/>
        <w:t>(b)</w:t>
      </w:r>
      <w:r>
        <w:rPr>
          <w:rFonts w:ascii="Tms Rmn" w:hAnsi="Tms Rmn"/>
        </w:rPr>
        <w:tab/>
      </w:r>
      <w:r>
        <w:t>homologous recombination; or</w:t>
      </w:r>
    </w:p>
    <w:p w:rsidR="00F93509" w:rsidRDefault="00F93509" w:rsidP="00F93509">
      <w:pPr>
        <w:pStyle w:val="aDefpara"/>
      </w:pPr>
      <w:r>
        <w:rPr>
          <w:rFonts w:ascii="Tms Rmn" w:hAnsi="Tms Rmn"/>
        </w:rPr>
        <w:tab/>
        <w:t>(c)</w:t>
      </w:r>
      <w:r>
        <w:rPr>
          <w:rFonts w:ascii="Tms Rmn" w:hAnsi="Tms Rmn"/>
        </w:rPr>
        <w:tab/>
      </w:r>
      <w:r>
        <w:t>any other technique prescribed by regulation for this paragraph.</w:t>
      </w:r>
    </w:p>
    <w:p w:rsidR="00F93509" w:rsidRDefault="00F93509" w:rsidP="00F93509">
      <w:pPr>
        <w:pStyle w:val="aDef"/>
      </w:pPr>
      <w:r>
        <w:rPr>
          <w:rStyle w:val="charBoldItals"/>
        </w:rPr>
        <w:t>gene technology account</w:t>
      </w:r>
      <w:r>
        <w:t xml:space="preserve"> means the Gene Technology Account established under the</w:t>
      </w:r>
      <w:r w:rsidR="0023506A">
        <w:t xml:space="preserve"> </w:t>
      </w:r>
      <w:hyperlink r:id="rId223" w:tooltip="Gene Technology Act 2000" w:history="1">
        <w:r w:rsidR="0023506A" w:rsidRPr="0023506A">
          <w:rPr>
            <w:rStyle w:val="charCitHyperlinkAbbrev"/>
          </w:rPr>
          <w:t>Commonwealth Act</w:t>
        </w:r>
      </w:hyperlink>
      <w:r w:rsidR="0023506A">
        <w:t xml:space="preserve">, </w:t>
      </w:r>
      <w:r>
        <w:t>section 129.</w:t>
      </w:r>
    </w:p>
    <w:p w:rsidR="00F93509" w:rsidRDefault="00F93509" w:rsidP="00F93509">
      <w:pPr>
        <w:pStyle w:val="aDef"/>
      </w:pPr>
      <w:r>
        <w:rPr>
          <w:rStyle w:val="charBoldItals"/>
        </w:rPr>
        <w:t>gene technology agreement</w:t>
      </w:r>
      <w:r>
        <w:t xml:space="preserve"> means the </w:t>
      </w:r>
      <w:hyperlink r:id="rId224" w:tooltip="Gene Technology Agreement" w:history="1">
        <w:r w:rsidRPr="00EE014D">
          <w:rPr>
            <w:rStyle w:val="charCitHyperlinkAbbrev"/>
          </w:rPr>
          <w:t>Gene Technology Agreement</w:t>
        </w:r>
      </w:hyperlink>
      <w:r>
        <w:t xml:space="preserve"> made for this Act between the Commonwealth and at least 4 States, as in force from time to time.</w:t>
      </w:r>
    </w:p>
    <w:p w:rsidR="00F93509" w:rsidRDefault="00F93509" w:rsidP="00F93509">
      <w:pPr>
        <w:pStyle w:val="aDef"/>
      </w:pPr>
      <w:r>
        <w:rPr>
          <w:rStyle w:val="charBoldItals"/>
        </w:rPr>
        <w:t>gene technology community consultative committee</w:t>
      </w:r>
      <w:r>
        <w:t xml:space="preserve"> means the Gene Technology Community Consultative Committee established under the</w:t>
      </w:r>
      <w:r w:rsidR="0023506A">
        <w:t xml:space="preserve"> </w:t>
      </w:r>
      <w:hyperlink r:id="rId225" w:tooltip="Gene Technology Act 2000" w:history="1">
        <w:r w:rsidR="0023506A" w:rsidRPr="0023506A">
          <w:rPr>
            <w:rStyle w:val="charCitHyperlinkAbbrev"/>
          </w:rPr>
          <w:t>Commonwealth Act</w:t>
        </w:r>
      </w:hyperlink>
      <w:r w:rsidR="0023506A">
        <w:t xml:space="preserve">, </w:t>
      </w:r>
      <w:r>
        <w:t>section 106.</w:t>
      </w:r>
    </w:p>
    <w:p w:rsidR="00F93509" w:rsidRPr="00903C3C" w:rsidRDefault="00F93509" w:rsidP="00F93509">
      <w:pPr>
        <w:pStyle w:val="aDef"/>
      </w:pPr>
      <w:r>
        <w:rPr>
          <w:rStyle w:val="charBoldItals"/>
        </w:rPr>
        <w:t>gene technology ethics committee</w:t>
      </w:r>
      <w:r w:rsidRPr="00903C3C">
        <w:t xml:space="preserve"> means</w:t>
      </w:r>
      <w:r>
        <w:t xml:space="preserve"> the Gene Technology Ethics Committee established under the</w:t>
      </w:r>
      <w:r w:rsidR="0023506A">
        <w:t xml:space="preserve"> </w:t>
      </w:r>
      <w:hyperlink r:id="rId226" w:tooltip="Gene Technology Act 2000" w:history="1">
        <w:r w:rsidR="0023506A" w:rsidRPr="0023506A">
          <w:rPr>
            <w:rStyle w:val="charCitHyperlinkAbbrev"/>
          </w:rPr>
          <w:t>Commonwealth Act</w:t>
        </w:r>
      </w:hyperlink>
      <w:r w:rsidR="0023506A">
        <w:t xml:space="preserve">, </w:t>
      </w:r>
      <w:r>
        <w:t>section 111.</w:t>
      </w:r>
    </w:p>
    <w:p w:rsidR="00F93509" w:rsidRPr="00903C3C" w:rsidRDefault="00F93509" w:rsidP="00F93509">
      <w:pPr>
        <w:pStyle w:val="aDef"/>
      </w:pPr>
      <w:r>
        <w:rPr>
          <w:rStyle w:val="charBoldItals"/>
        </w:rPr>
        <w:t>gene technology regulator</w:t>
      </w:r>
      <w:r w:rsidRPr="00903C3C">
        <w:t xml:space="preserve"> means</w:t>
      </w:r>
      <w:r>
        <w:t xml:space="preserve"> the Gene Technology Regulator appointed under the</w:t>
      </w:r>
      <w:r w:rsidR="0023506A">
        <w:t xml:space="preserve"> </w:t>
      </w:r>
      <w:hyperlink r:id="rId227" w:tooltip="Gene Technology Act 2000" w:history="1">
        <w:r w:rsidR="0023506A" w:rsidRPr="0023506A">
          <w:rPr>
            <w:rStyle w:val="charCitHyperlinkAbbrev"/>
          </w:rPr>
          <w:t>Commonwealth Act</w:t>
        </w:r>
      </w:hyperlink>
      <w:r w:rsidR="0023506A">
        <w:t xml:space="preserve">, </w:t>
      </w:r>
      <w:r>
        <w:t>section 118.</w:t>
      </w:r>
    </w:p>
    <w:p w:rsidR="00F93509" w:rsidRDefault="00F93509" w:rsidP="00F93509">
      <w:pPr>
        <w:pStyle w:val="aDef"/>
      </w:pPr>
      <w:r>
        <w:rPr>
          <w:rStyle w:val="charBoldItals"/>
        </w:rPr>
        <w:t>gene technology technical advisory committee</w:t>
      </w:r>
      <w:r>
        <w:t xml:space="preserve"> means the Gene Technology Technical Advisory Committee established under the</w:t>
      </w:r>
      <w:r w:rsidR="0023506A">
        <w:t xml:space="preserve"> </w:t>
      </w:r>
      <w:hyperlink r:id="rId228" w:tooltip="Gene Technology Act 2000" w:history="1">
        <w:r w:rsidR="0023506A" w:rsidRPr="0023506A">
          <w:rPr>
            <w:rStyle w:val="charCitHyperlinkAbbrev"/>
          </w:rPr>
          <w:t>Commonwealth Act</w:t>
        </w:r>
      </w:hyperlink>
      <w:r w:rsidR="0023506A">
        <w:t xml:space="preserve">, </w:t>
      </w:r>
      <w:r>
        <w:t>section 100.</w:t>
      </w:r>
    </w:p>
    <w:p w:rsidR="00F93509" w:rsidRDefault="00F93509" w:rsidP="00F93509">
      <w:pPr>
        <w:pStyle w:val="aDef"/>
        <w:keepNext/>
      </w:pPr>
      <w:r>
        <w:rPr>
          <w:rStyle w:val="charBoldItals"/>
        </w:rPr>
        <w:t>genetically modified organism</w:t>
      </w:r>
      <w:r>
        <w:t xml:space="preserve"> means—</w:t>
      </w:r>
    </w:p>
    <w:p w:rsidR="00F93509" w:rsidRDefault="00F93509" w:rsidP="00F93509">
      <w:pPr>
        <w:pStyle w:val="aDefpara"/>
      </w:pPr>
      <w:r>
        <w:rPr>
          <w:rFonts w:ascii="Tms Rmn" w:hAnsi="Tms Rmn"/>
        </w:rPr>
        <w:tab/>
        <w:t>(a)</w:t>
      </w:r>
      <w:r>
        <w:rPr>
          <w:rFonts w:ascii="Tms Rmn" w:hAnsi="Tms Rmn"/>
        </w:rPr>
        <w:tab/>
      </w:r>
      <w:r>
        <w:t>an organism that has been modified by gene technology; or</w:t>
      </w:r>
    </w:p>
    <w:p w:rsidR="00F93509" w:rsidRDefault="00F93509" w:rsidP="00F93509">
      <w:pPr>
        <w:pStyle w:val="aDefpara"/>
      </w:pPr>
      <w:r>
        <w:rPr>
          <w:rFonts w:ascii="Tms Rmn" w:hAnsi="Tms Rmn"/>
        </w:rPr>
        <w:tab/>
        <w:t>(b)</w:t>
      </w:r>
      <w:r>
        <w:rPr>
          <w:rFonts w:ascii="Tms Rmn" w:hAnsi="Tms Rmn"/>
        </w:rPr>
        <w:tab/>
      </w:r>
      <w:r>
        <w:t>an organism that has inherited particular traits from an organism (the</w:t>
      </w:r>
      <w:r w:rsidRPr="00903C3C">
        <w:rPr>
          <w:rStyle w:val="charBoldItals"/>
        </w:rPr>
        <w:t xml:space="preserve"> initial organism</w:t>
      </w:r>
      <w:r>
        <w:t>), if the traits occurred in the initial organism because of gene technology; or</w:t>
      </w:r>
    </w:p>
    <w:p w:rsidR="00F93509" w:rsidRDefault="00F93509" w:rsidP="00F93509">
      <w:pPr>
        <w:pStyle w:val="aDefpara"/>
      </w:pPr>
      <w:r>
        <w:rPr>
          <w:rFonts w:ascii="Tms Rmn" w:hAnsi="Tms Rmn"/>
        </w:rPr>
        <w:tab/>
        <w:t>(c)</w:t>
      </w:r>
      <w:r>
        <w:rPr>
          <w:rFonts w:ascii="Tms Rmn" w:hAnsi="Tms Rmn"/>
        </w:rPr>
        <w:tab/>
      </w:r>
      <w:r>
        <w:t>anything declared by regulation to be a genetically modified organism;</w:t>
      </w:r>
    </w:p>
    <w:p w:rsidR="00F93509" w:rsidRDefault="00F93509" w:rsidP="00F93509">
      <w:pPr>
        <w:pStyle w:val="Amainreturn"/>
        <w:keepNext/>
      </w:pPr>
      <w:r>
        <w:t>but does not include—</w:t>
      </w:r>
    </w:p>
    <w:p w:rsidR="00F93509" w:rsidRDefault="00F93509" w:rsidP="00F93509">
      <w:pPr>
        <w:pStyle w:val="aDefpara"/>
      </w:pPr>
      <w:r>
        <w:rPr>
          <w:rFonts w:ascii="Tms Rmn" w:hAnsi="Tms Rmn"/>
        </w:rPr>
        <w:tab/>
        <w:t>(d)</w:t>
      </w:r>
      <w:r>
        <w:rPr>
          <w:rFonts w:ascii="Tms Rmn" w:hAnsi="Tms Rmn"/>
        </w:rPr>
        <w:tab/>
      </w:r>
      <w:r>
        <w:t>a human being, if the human being is an organism mentioned in paragraph (a) only because the human being has undergone somatic cell gene therapy; or</w:t>
      </w:r>
    </w:p>
    <w:p w:rsidR="00F93509" w:rsidRDefault="00F93509" w:rsidP="00F93509">
      <w:pPr>
        <w:pStyle w:val="aDefpara"/>
      </w:pPr>
      <w:r>
        <w:rPr>
          <w:rFonts w:ascii="Tms Rmn" w:hAnsi="Tms Rmn"/>
        </w:rPr>
        <w:tab/>
        <w:t>(e)</w:t>
      </w:r>
      <w:r>
        <w:rPr>
          <w:rFonts w:ascii="Tms Rmn" w:hAnsi="Tms Rmn"/>
        </w:rPr>
        <w:tab/>
      </w:r>
      <w:r>
        <w:t>an organism declared by regulation not to be a genetically modified organism.</w:t>
      </w:r>
    </w:p>
    <w:p w:rsidR="00F93509" w:rsidRDefault="00F93509" w:rsidP="00F93509">
      <w:pPr>
        <w:pStyle w:val="aDef"/>
      </w:pPr>
      <w:r>
        <w:rPr>
          <w:rStyle w:val="charBoldItals"/>
        </w:rPr>
        <w:t>GMO</w:t>
      </w:r>
      <w:r>
        <w:t xml:space="preserve"> means a genetically modified organism.</w:t>
      </w:r>
    </w:p>
    <w:p w:rsidR="00F93509" w:rsidRDefault="00F93509" w:rsidP="00F93509">
      <w:pPr>
        <w:pStyle w:val="aDef"/>
      </w:pPr>
      <w:r>
        <w:rPr>
          <w:rStyle w:val="charBoldItals"/>
        </w:rPr>
        <w:t>GMO licence</w:t>
      </w:r>
      <w:r>
        <w:t xml:space="preserve"> means a licence issued under section 55.</w:t>
      </w:r>
    </w:p>
    <w:p w:rsidR="00F93509" w:rsidRDefault="00F93509" w:rsidP="00F93509">
      <w:pPr>
        <w:pStyle w:val="aDef"/>
      </w:pPr>
      <w:r>
        <w:rPr>
          <w:rStyle w:val="charBoldItals"/>
        </w:rPr>
        <w:t>GMO register</w:t>
      </w:r>
      <w:r>
        <w:t xml:space="preserve"> means the GMO Register established under the</w:t>
      </w:r>
      <w:r w:rsidR="0023506A">
        <w:t xml:space="preserve"> </w:t>
      </w:r>
      <w:hyperlink r:id="rId229" w:tooltip="Gene Technology Act 2000" w:history="1">
        <w:r w:rsidR="0023506A" w:rsidRPr="0023506A">
          <w:rPr>
            <w:rStyle w:val="charCitHyperlinkAbbrev"/>
          </w:rPr>
          <w:t>Commonwealth Act</w:t>
        </w:r>
      </w:hyperlink>
      <w:r w:rsidR="0023506A">
        <w:t xml:space="preserve">, </w:t>
      </w:r>
      <w:r>
        <w:t>section 76.</w:t>
      </w:r>
    </w:p>
    <w:p w:rsidR="00F93509" w:rsidRDefault="00F93509" w:rsidP="00F93509">
      <w:pPr>
        <w:pStyle w:val="aDef"/>
      </w:pPr>
      <w:r>
        <w:rPr>
          <w:rStyle w:val="charBoldItals"/>
        </w:rPr>
        <w:t>GM product</w:t>
      </w:r>
      <w:r>
        <w:t xml:space="preserve"> means a thing (other than a GMO) derived or produced from a GMO.</w:t>
      </w:r>
    </w:p>
    <w:p w:rsidR="00F93509" w:rsidRDefault="00F93509" w:rsidP="00F93509">
      <w:pPr>
        <w:pStyle w:val="aDef"/>
      </w:pPr>
      <w:r>
        <w:rPr>
          <w:rStyle w:val="charBoldItals"/>
        </w:rPr>
        <w:t>GM record</w:t>
      </w:r>
      <w:r>
        <w:t xml:space="preserve"> means </w:t>
      </w:r>
      <w:r w:rsidR="00673752">
        <w:t>the Record of GMO</w:t>
      </w:r>
      <w:r>
        <w:t xml:space="preserve"> Dealings mentioned in the</w:t>
      </w:r>
      <w:r w:rsidR="0023506A">
        <w:t xml:space="preserve"> </w:t>
      </w:r>
      <w:hyperlink r:id="rId230" w:tooltip="Gene Technology Act 2000" w:history="1">
        <w:r w:rsidR="0023506A" w:rsidRPr="0023506A">
          <w:rPr>
            <w:rStyle w:val="charCitHyperlinkAbbrev"/>
          </w:rPr>
          <w:t>Commonwealth Act</w:t>
        </w:r>
      </w:hyperlink>
      <w:r w:rsidR="0023506A">
        <w:t xml:space="preserve">, </w:t>
      </w:r>
      <w:r>
        <w:t>section 138.</w:t>
      </w:r>
    </w:p>
    <w:p w:rsidR="00F93509" w:rsidRDefault="00F93509" w:rsidP="00F93509">
      <w:pPr>
        <w:pStyle w:val="aDef"/>
      </w:pPr>
      <w:r>
        <w:rPr>
          <w:rStyle w:val="charBoldItals"/>
        </w:rPr>
        <w:t xml:space="preserve">inadvertent dealings application </w:t>
      </w:r>
      <w:r>
        <w:t>means an application for a GMO licence to which division 5.3 or division 5.4 does not apply because of the operation of section 46A or section 49.</w:t>
      </w:r>
    </w:p>
    <w:p w:rsidR="00F93509" w:rsidRDefault="00F93509" w:rsidP="00F93509">
      <w:pPr>
        <w:pStyle w:val="aDef"/>
      </w:pPr>
      <w:r>
        <w:rPr>
          <w:rStyle w:val="charBoldItals"/>
        </w:rPr>
        <w:t>institutional biosafety committee</w:t>
      </w:r>
      <w:r>
        <w:t xml:space="preserve"> means a committee established as an institutional biosafety committee in accordance with the guidelines issued by the regulator under section 98.</w:t>
      </w:r>
    </w:p>
    <w:p w:rsidR="00F93509" w:rsidRPr="00903C3C" w:rsidRDefault="00F93509" w:rsidP="00F93509">
      <w:pPr>
        <w:pStyle w:val="aDef"/>
      </w:pPr>
      <w:r>
        <w:rPr>
          <w:rStyle w:val="charBoldItals"/>
        </w:rPr>
        <w:t>intentional release of a GMO into the environment</w:t>
      </w:r>
      <w:r w:rsidRPr="00903C3C">
        <w:t>—see section 11.</w:t>
      </w:r>
    </w:p>
    <w:p w:rsidR="00F93509" w:rsidRDefault="00F93509" w:rsidP="00F93509">
      <w:pPr>
        <w:pStyle w:val="aDef"/>
      </w:pPr>
      <w:r>
        <w:rPr>
          <w:rStyle w:val="charBoldItals"/>
        </w:rPr>
        <w:t>licence holder</w:t>
      </w:r>
      <w:r>
        <w:t xml:space="preserve"> means the holder of a GMO licence.</w:t>
      </w:r>
    </w:p>
    <w:p w:rsidR="00F93509" w:rsidRDefault="00F93509" w:rsidP="00F93509">
      <w:pPr>
        <w:pStyle w:val="aDef"/>
      </w:pPr>
      <w:r>
        <w:rPr>
          <w:rStyle w:val="charBoldItals"/>
        </w:rPr>
        <w:t>ministerial council</w:t>
      </w:r>
      <w:r>
        <w:t xml:space="preserve"> means the Ministerial Council within the meaning of the gene technology agreement.</w:t>
      </w:r>
    </w:p>
    <w:p w:rsidR="00F93509" w:rsidRDefault="00F93509" w:rsidP="00F93509">
      <w:pPr>
        <w:pStyle w:val="aDef"/>
      </w:pPr>
      <w:r>
        <w:rPr>
          <w:rStyle w:val="charBoldItals"/>
        </w:rPr>
        <w:t>notifiable low risk dealing</w:t>
      </w:r>
      <w:r>
        <w:t xml:space="preserve"> means a dealing declared to be a notifiable low risk dealing under section 74.</w:t>
      </w:r>
    </w:p>
    <w:p w:rsidR="00F93509" w:rsidRDefault="00F93509" w:rsidP="00F93509">
      <w:pPr>
        <w:pStyle w:val="aDef"/>
        <w:keepNext/>
      </w:pPr>
      <w:r>
        <w:rPr>
          <w:rStyle w:val="charBoldItals"/>
        </w:rPr>
        <w:t>officer</w:t>
      </w:r>
      <w:r>
        <w:t>, of the Commonwealth, includes the following:</w:t>
      </w:r>
    </w:p>
    <w:p w:rsidR="00F93509" w:rsidRDefault="00F93509" w:rsidP="00F93509">
      <w:pPr>
        <w:pStyle w:val="aDefpara"/>
      </w:pPr>
      <w:r>
        <w:rPr>
          <w:rFonts w:ascii="Tms Rmn" w:hAnsi="Tms Rmn"/>
        </w:rPr>
        <w:tab/>
        <w:t>(a)</w:t>
      </w:r>
      <w:r>
        <w:rPr>
          <w:rFonts w:ascii="Tms Rmn" w:hAnsi="Tms Rmn"/>
        </w:rPr>
        <w:tab/>
      </w:r>
      <w:r>
        <w:t>a Commonwealth Minister;</w:t>
      </w:r>
    </w:p>
    <w:p w:rsidR="00F93509" w:rsidRDefault="00F93509" w:rsidP="00F93509">
      <w:pPr>
        <w:pStyle w:val="aDefpara"/>
      </w:pPr>
      <w:r>
        <w:rPr>
          <w:rFonts w:ascii="Tms Rmn" w:hAnsi="Tms Rmn"/>
        </w:rPr>
        <w:tab/>
        <w:t>(b)</w:t>
      </w:r>
      <w:r>
        <w:rPr>
          <w:rFonts w:ascii="Tms Rmn" w:hAnsi="Tms Rmn"/>
        </w:rPr>
        <w:tab/>
      </w:r>
      <w:r>
        <w:t>a person who holds—</w:t>
      </w:r>
    </w:p>
    <w:p w:rsidR="00F93509" w:rsidRDefault="00F93509" w:rsidP="00F93509">
      <w:pPr>
        <w:pStyle w:val="aDefsubpara"/>
      </w:pPr>
      <w:r>
        <w:rPr>
          <w:rFonts w:ascii="Tms Rmn" w:hAnsi="Tms Rmn"/>
        </w:rPr>
        <w:tab/>
        <w:t>(i)</w:t>
      </w:r>
      <w:r>
        <w:rPr>
          <w:rFonts w:ascii="Tms Rmn" w:hAnsi="Tms Rmn"/>
        </w:rPr>
        <w:tab/>
      </w:r>
      <w:r>
        <w:t>an office established under a Commonwealth Act; or</w:t>
      </w:r>
    </w:p>
    <w:p w:rsidR="00F93509" w:rsidRDefault="00F93509" w:rsidP="00F93509">
      <w:pPr>
        <w:pStyle w:val="aDefsubpara"/>
      </w:pPr>
      <w:r>
        <w:rPr>
          <w:rFonts w:ascii="Tms Rmn" w:hAnsi="Tms Rmn"/>
        </w:rPr>
        <w:tab/>
        <w:t>(ii)</w:t>
      </w:r>
      <w:r>
        <w:rPr>
          <w:rFonts w:ascii="Tms Rmn" w:hAnsi="Tms Rmn"/>
        </w:rPr>
        <w:tab/>
      </w:r>
      <w:r>
        <w:t>an appointment made under a Commonwealth Act; or</w:t>
      </w:r>
    </w:p>
    <w:p w:rsidR="00F93509" w:rsidRDefault="00F93509" w:rsidP="002F4A19">
      <w:pPr>
        <w:pStyle w:val="aDefsubpara"/>
      </w:pPr>
      <w:r>
        <w:rPr>
          <w:rFonts w:ascii="Tms Rmn" w:hAnsi="Tms Rmn"/>
        </w:rPr>
        <w:tab/>
        <w:t>(iii)</w:t>
      </w:r>
      <w:r>
        <w:rPr>
          <w:rFonts w:ascii="Tms Rmn" w:hAnsi="Tms Rmn"/>
        </w:rPr>
        <w:tab/>
      </w:r>
      <w:r>
        <w:t>an appointment made by the Governor-General or a Commonwealth Minister other than under a Commonwealth Act;</w:t>
      </w:r>
    </w:p>
    <w:p w:rsidR="00F93509" w:rsidRDefault="00F93509" w:rsidP="00F93509">
      <w:pPr>
        <w:pStyle w:val="aDefpara"/>
      </w:pPr>
      <w:r>
        <w:rPr>
          <w:rFonts w:ascii="Tms Rmn" w:hAnsi="Tms Rmn"/>
        </w:rPr>
        <w:tab/>
        <w:t>(c)</w:t>
      </w:r>
      <w:r>
        <w:rPr>
          <w:rFonts w:ascii="Tms Rmn" w:hAnsi="Tms Rmn"/>
        </w:rPr>
        <w:tab/>
      </w:r>
      <w:r>
        <w:t>a person who is a member or officer of a Commonwealth authority;</w:t>
      </w:r>
    </w:p>
    <w:p w:rsidR="00F93509" w:rsidRDefault="00F93509" w:rsidP="00F93509">
      <w:pPr>
        <w:pStyle w:val="aDefpara"/>
      </w:pPr>
      <w:r>
        <w:rPr>
          <w:rFonts w:ascii="Tms Rmn" w:hAnsi="Tms Rmn"/>
        </w:rPr>
        <w:tab/>
        <w:t>(d)</w:t>
      </w:r>
      <w:r>
        <w:rPr>
          <w:rFonts w:ascii="Tms Rmn" w:hAnsi="Tms Rmn"/>
        </w:rPr>
        <w:tab/>
      </w:r>
      <w:r>
        <w:t>a person who is in the service or employment of the Commonwealth or of a Commonwealth authority, or is employed or engaged under a Commonwealth Act.</w:t>
      </w:r>
    </w:p>
    <w:p w:rsidR="00F93509" w:rsidRDefault="00F93509" w:rsidP="00F93509">
      <w:pPr>
        <w:pStyle w:val="aDef"/>
        <w:keepNext/>
      </w:pPr>
      <w:r>
        <w:rPr>
          <w:rStyle w:val="charBoldItals"/>
        </w:rPr>
        <w:t>organism</w:t>
      </w:r>
      <w:r>
        <w:t xml:space="preserve"> means any biological entity that is—</w:t>
      </w:r>
    </w:p>
    <w:p w:rsidR="00F93509" w:rsidRDefault="00F93509" w:rsidP="00F93509">
      <w:pPr>
        <w:pStyle w:val="aDefpara"/>
      </w:pPr>
      <w:r>
        <w:rPr>
          <w:rFonts w:ascii="Tms Rmn" w:hAnsi="Tms Rmn"/>
        </w:rPr>
        <w:tab/>
        <w:t>(a)</w:t>
      </w:r>
      <w:r>
        <w:rPr>
          <w:rFonts w:ascii="Tms Rmn" w:hAnsi="Tms Rmn"/>
        </w:rPr>
        <w:tab/>
      </w:r>
      <w:r>
        <w:t>viable; or</w:t>
      </w:r>
    </w:p>
    <w:p w:rsidR="00F93509" w:rsidRDefault="00F93509" w:rsidP="00F93509">
      <w:pPr>
        <w:pStyle w:val="aDefpara"/>
      </w:pPr>
      <w:r>
        <w:rPr>
          <w:rFonts w:ascii="Tms Rmn" w:hAnsi="Tms Rmn"/>
        </w:rPr>
        <w:tab/>
        <w:t>(b)</w:t>
      </w:r>
      <w:r>
        <w:rPr>
          <w:rFonts w:ascii="Tms Rmn" w:hAnsi="Tms Rmn"/>
        </w:rPr>
        <w:tab/>
      </w:r>
      <w:r>
        <w:t>capable of reproduction; or</w:t>
      </w:r>
    </w:p>
    <w:p w:rsidR="00F93509" w:rsidRDefault="00F93509" w:rsidP="00F93509">
      <w:pPr>
        <w:pStyle w:val="aDefpara"/>
      </w:pPr>
      <w:r>
        <w:rPr>
          <w:rFonts w:ascii="Tms Rmn" w:hAnsi="Tms Rmn"/>
        </w:rPr>
        <w:tab/>
        <w:t>(c)</w:t>
      </w:r>
      <w:r>
        <w:rPr>
          <w:rFonts w:ascii="Tms Rmn" w:hAnsi="Tms Rmn"/>
        </w:rPr>
        <w:tab/>
      </w:r>
      <w:r>
        <w:t>capable of transferring genetic material.</w:t>
      </w:r>
    </w:p>
    <w:p w:rsidR="00F93509" w:rsidRDefault="00F93509" w:rsidP="00F93509">
      <w:pPr>
        <w:pStyle w:val="aDef"/>
      </w:pPr>
      <w:r>
        <w:rPr>
          <w:rStyle w:val="charBoldItals"/>
        </w:rPr>
        <w:t>person covered by a GMO licence</w:t>
      </w:r>
      <w:r>
        <w:t xml:space="preserve"> means a person authorised by a GMO licence to deal with a GMO.</w:t>
      </w:r>
    </w:p>
    <w:p w:rsidR="00F93509" w:rsidRDefault="00F93509" w:rsidP="00F93509">
      <w:pPr>
        <w:pStyle w:val="aDef"/>
        <w:keepNext/>
      </w:pPr>
      <w:r>
        <w:rPr>
          <w:rStyle w:val="charBoldItals"/>
        </w:rPr>
        <w:t>premises</w:t>
      </w:r>
      <w:r>
        <w:t xml:space="preserve"> includes the following:</w:t>
      </w:r>
    </w:p>
    <w:p w:rsidR="00F93509" w:rsidRDefault="00F93509" w:rsidP="00F93509">
      <w:pPr>
        <w:pStyle w:val="aDefpara"/>
      </w:pPr>
      <w:r>
        <w:rPr>
          <w:rFonts w:ascii="Tms Rmn" w:hAnsi="Tms Rmn"/>
        </w:rPr>
        <w:tab/>
        <w:t>(a)</w:t>
      </w:r>
      <w:r>
        <w:rPr>
          <w:rFonts w:ascii="Tms Rmn" w:hAnsi="Tms Rmn"/>
        </w:rPr>
        <w:tab/>
      </w:r>
      <w:r>
        <w:t>a building;</w:t>
      </w:r>
    </w:p>
    <w:p w:rsidR="00F93509" w:rsidRDefault="00F93509" w:rsidP="00F93509">
      <w:pPr>
        <w:pStyle w:val="aDefpara"/>
      </w:pPr>
      <w:r>
        <w:rPr>
          <w:rFonts w:ascii="Tms Rmn" w:hAnsi="Tms Rmn"/>
        </w:rPr>
        <w:tab/>
        <w:t>(b)</w:t>
      </w:r>
      <w:r>
        <w:rPr>
          <w:rFonts w:ascii="Tms Rmn" w:hAnsi="Tms Rmn"/>
        </w:rPr>
        <w:tab/>
      </w:r>
      <w:r>
        <w:t>a place, including an area of land;</w:t>
      </w:r>
    </w:p>
    <w:p w:rsidR="00F93509" w:rsidRDefault="00F93509" w:rsidP="00F93509">
      <w:pPr>
        <w:pStyle w:val="aDefpara"/>
      </w:pPr>
      <w:r>
        <w:rPr>
          <w:rFonts w:ascii="Tms Rmn" w:hAnsi="Tms Rmn"/>
        </w:rPr>
        <w:tab/>
        <w:t>(c)</w:t>
      </w:r>
      <w:r>
        <w:rPr>
          <w:rFonts w:ascii="Tms Rmn" w:hAnsi="Tms Rmn"/>
        </w:rPr>
        <w:tab/>
      </w:r>
      <w:r>
        <w:t>a vehicle;</w:t>
      </w:r>
    </w:p>
    <w:p w:rsidR="00F93509" w:rsidRDefault="00F93509" w:rsidP="00F93509">
      <w:pPr>
        <w:pStyle w:val="aDefpara"/>
      </w:pPr>
      <w:r>
        <w:rPr>
          <w:rFonts w:ascii="Tms Rmn" w:hAnsi="Tms Rmn"/>
        </w:rPr>
        <w:tab/>
        <w:t>(d)</w:t>
      </w:r>
      <w:r>
        <w:rPr>
          <w:rFonts w:ascii="Tms Rmn" w:hAnsi="Tms Rmn"/>
        </w:rPr>
        <w:tab/>
      </w:r>
      <w:r>
        <w:t>a vessel;</w:t>
      </w:r>
    </w:p>
    <w:p w:rsidR="00F93509" w:rsidRDefault="00F93509" w:rsidP="00F93509">
      <w:pPr>
        <w:pStyle w:val="aDefpara"/>
      </w:pPr>
      <w:r>
        <w:rPr>
          <w:rFonts w:ascii="Tms Rmn" w:hAnsi="Tms Rmn"/>
        </w:rPr>
        <w:tab/>
        <w:t>(e)</w:t>
      </w:r>
      <w:r>
        <w:rPr>
          <w:rFonts w:ascii="Tms Rmn" w:hAnsi="Tms Rmn"/>
        </w:rPr>
        <w:tab/>
      </w:r>
      <w:r>
        <w:t>an aircraft;</w:t>
      </w:r>
    </w:p>
    <w:p w:rsidR="00F93509" w:rsidRDefault="00F93509" w:rsidP="00F93509">
      <w:pPr>
        <w:pStyle w:val="aDefpara"/>
      </w:pPr>
      <w:r>
        <w:rPr>
          <w:rFonts w:ascii="Tms Rmn" w:hAnsi="Tms Rmn"/>
        </w:rPr>
        <w:tab/>
        <w:t>(f)</w:t>
      </w:r>
      <w:r>
        <w:rPr>
          <w:rFonts w:ascii="Tms Rmn" w:hAnsi="Tms Rmn"/>
        </w:rPr>
        <w:tab/>
      </w:r>
      <w:r>
        <w:t>a facility;</w:t>
      </w:r>
    </w:p>
    <w:p w:rsidR="00F93509" w:rsidRDefault="00F93509" w:rsidP="00F93509">
      <w:pPr>
        <w:pStyle w:val="aDefpara"/>
      </w:pPr>
      <w:r>
        <w:rPr>
          <w:rFonts w:ascii="Tms Rmn" w:hAnsi="Tms Rmn"/>
        </w:rPr>
        <w:tab/>
        <w:t>(g)</w:t>
      </w:r>
      <w:r>
        <w:rPr>
          <w:rFonts w:ascii="Tms Rmn" w:hAnsi="Tms Rmn"/>
        </w:rPr>
        <w:tab/>
      </w:r>
      <w:r>
        <w:t>any part of premises, including premises mentioned in paragraphs (a) to (f).</w:t>
      </w:r>
    </w:p>
    <w:p w:rsidR="00F93509" w:rsidRDefault="00F93509" w:rsidP="00F93509">
      <w:pPr>
        <w:pStyle w:val="aDef"/>
      </w:pPr>
      <w:r>
        <w:rPr>
          <w:rStyle w:val="charBoldItals"/>
        </w:rPr>
        <w:t>regulator</w:t>
      </w:r>
      <w:r>
        <w:t xml:space="preserve"> means the gene technology regulator.</w:t>
      </w:r>
    </w:p>
    <w:p w:rsidR="00F93509" w:rsidRDefault="00F93509" w:rsidP="00F93509">
      <w:pPr>
        <w:pStyle w:val="aDef"/>
      </w:pPr>
      <w:r>
        <w:rPr>
          <w:rStyle w:val="charBoldItals"/>
        </w:rPr>
        <w:t>reviewable decision</w:t>
      </w:r>
      <w:r>
        <w:t>—see section 179.</w:t>
      </w:r>
    </w:p>
    <w:p w:rsidR="00F93509" w:rsidRPr="00903C3C" w:rsidRDefault="00F93509" w:rsidP="00F93509">
      <w:pPr>
        <w:pStyle w:val="aDef"/>
        <w:keepNext/>
      </w:pPr>
      <w:r>
        <w:rPr>
          <w:rStyle w:val="charBoldItals"/>
        </w:rPr>
        <w:t>State</w:t>
      </w:r>
      <w:r w:rsidRPr="00903C3C">
        <w:t xml:space="preserve"> includes the Territory.</w:t>
      </w:r>
    </w:p>
    <w:p w:rsidR="00F93509" w:rsidRPr="00903C3C" w:rsidRDefault="00F93509" w:rsidP="00F93509">
      <w:pPr>
        <w:pStyle w:val="aNote"/>
      </w:pPr>
      <w:r w:rsidRPr="00903C3C">
        <w:rPr>
          <w:rStyle w:val="charItals"/>
        </w:rPr>
        <w:t>Note</w:t>
      </w:r>
      <w:r w:rsidRPr="00903C3C">
        <w:tab/>
      </w:r>
      <w:r>
        <w:rPr>
          <w:rStyle w:val="charBoldItals"/>
        </w:rPr>
        <w:t>State</w:t>
      </w:r>
      <w:r w:rsidRPr="00903C3C">
        <w:t xml:space="preserve"> also includes the Northern Territory (see </w:t>
      </w:r>
      <w:hyperlink r:id="rId231" w:tooltip="A2001-14" w:history="1">
        <w:r w:rsidRPr="00903C3C">
          <w:rPr>
            <w:rStyle w:val="charCitHyperlinkAbbrev"/>
          </w:rPr>
          <w:t>Legislation Act</w:t>
        </w:r>
      </w:hyperlink>
      <w:r w:rsidRPr="00903C3C">
        <w:t>, dict, pt 1).</w:t>
      </w:r>
    </w:p>
    <w:p w:rsidR="00F93509" w:rsidRDefault="00F93509" w:rsidP="00F93509">
      <w:pPr>
        <w:pStyle w:val="aDef"/>
        <w:keepNext/>
      </w:pPr>
      <w:r>
        <w:rPr>
          <w:rStyle w:val="charBoldItals"/>
        </w:rPr>
        <w:t>territory agency</w:t>
      </w:r>
      <w:r>
        <w:t xml:space="preserve"> means—</w:t>
      </w:r>
    </w:p>
    <w:p w:rsidR="00F93509" w:rsidRDefault="00F93509" w:rsidP="00F93509">
      <w:pPr>
        <w:pStyle w:val="aDefpara"/>
      </w:pPr>
      <w:r>
        <w:rPr>
          <w:rFonts w:ascii="Tms Rmn" w:hAnsi="Tms Rmn"/>
        </w:rPr>
        <w:tab/>
        <w:t>(a)</w:t>
      </w:r>
      <w:r>
        <w:rPr>
          <w:rFonts w:ascii="Tms Rmn" w:hAnsi="Tms Rmn"/>
        </w:rPr>
        <w:tab/>
      </w:r>
      <w:r>
        <w:t>the Territory; or</w:t>
      </w:r>
    </w:p>
    <w:p w:rsidR="00F93509" w:rsidRDefault="00F93509" w:rsidP="00F93509">
      <w:pPr>
        <w:pStyle w:val="aDefpara"/>
      </w:pPr>
      <w:r>
        <w:rPr>
          <w:rFonts w:ascii="Tms Rmn" w:hAnsi="Tms Rmn"/>
        </w:rPr>
        <w:tab/>
        <w:t>(b)</w:t>
      </w:r>
      <w:r>
        <w:rPr>
          <w:rFonts w:ascii="Tms Rmn" w:hAnsi="Tms Rmn"/>
        </w:rPr>
        <w:tab/>
      </w:r>
      <w:r>
        <w:t>a Minister; or</w:t>
      </w:r>
    </w:p>
    <w:p w:rsidR="00F93509" w:rsidRDefault="00F93509" w:rsidP="00F93509">
      <w:pPr>
        <w:pStyle w:val="aDefpara"/>
      </w:pPr>
      <w:r>
        <w:rPr>
          <w:rFonts w:ascii="Tms Rmn" w:hAnsi="Tms Rmn"/>
        </w:rPr>
        <w:tab/>
        <w:t>(c)</w:t>
      </w:r>
      <w:r>
        <w:rPr>
          <w:rFonts w:ascii="Tms Rmn" w:hAnsi="Tms Rmn"/>
        </w:rPr>
        <w:tab/>
      </w:r>
      <w:r>
        <w:t>an administrative unit; or</w:t>
      </w:r>
    </w:p>
    <w:p w:rsidR="00F93509" w:rsidRDefault="00F93509" w:rsidP="00F93509">
      <w:pPr>
        <w:pStyle w:val="aDefpara"/>
      </w:pPr>
      <w:r>
        <w:rPr>
          <w:rFonts w:ascii="Tms Rmn" w:hAnsi="Tms Rmn"/>
        </w:rPr>
        <w:tab/>
        <w:t>(d)</w:t>
      </w:r>
      <w:r>
        <w:rPr>
          <w:rFonts w:ascii="Tms Rmn" w:hAnsi="Tms Rmn"/>
        </w:rPr>
        <w:tab/>
      </w:r>
      <w:r>
        <w:t>a territory instrumentality, and any other corporation established for a public purpose under a territory law; or</w:t>
      </w:r>
    </w:p>
    <w:p w:rsidR="00F93509" w:rsidRDefault="00F93509" w:rsidP="00F93509">
      <w:pPr>
        <w:pStyle w:val="aDefpara"/>
        <w:keepNext/>
      </w:pPr>
      <w:r>
        <w:rPr>
          <w:rFonts w:ascii="Tms Rmn" w:hAnsi="Tms Rmn"/>
        </w:rPr>
        <w:tab/>
        <w:t>(e)</w:t>
      </w:r>
      <w:r>
        <w:rPr>
          <w:rFonts w:ascii="Tms Rmn" w:hAnsi="Tms Rmn"/>
        </w:rPr>
        <w:tab/>
      </w:r>
      <w:r>
        <w:t>a company in which a controlling interest is held by any 1 of the following, or by 2 or more of the following together:</w:t>
      </w:r>
    </w:p>
    <w:p w:rsidR="00F93509" w:rsidRDefault="00F93509" w:rsidP="00F93509">
      <w:pPr>
        <w:pStyle w:val="aDefsubpara"/>
      </w:pPr>
      <w:r>
        <w:rPr>
          <w:rFonts w:ascii="Tms Rmn" w:hAnsi="Tms Rmn"/>
        </w:rPr>
        <w:tab/>
        <w:t>(i)</w:t>
      </w:r>
      <w:r>
        <w:rPr>
          <w:rFonts w:ascii="Tms Rmn" w:hAnsi="Tms Rmn"/>
        </w:rPr>
        <w:tab/>
      </w:r>
      <w:r>
        <w:t>the Territory;</w:t>
      </w:r>
    </w:p>
    <w:p w:rsidR="00F93509" w:rsidRDefault="00F93509" w:rsidP="00F93509">
      <w:pPr>
        <w:pStyle w:val="aDefsubpara"/>
      </w:pPr>
      <w:r>
        <w:rPr>
          <w:rFonts w:ascii="Tms Rmn" w:hAnsi="Tms Rmn"/>
        </w:rPr>
        <w:tab/>
        <w:t>(ii)</w:t>
      </w:r>
      <w:r>
        <w:rPr>
          <w:rFonts w:ascii="Tms Rmn" w:hAnsi="Tms Rmn"/>
        </w:rPr>
        <w:tab/>
      </w:r>
      <w:r>
        <w:t xml:space="preserve">a Minister; </w:t>
      </w:r>
    </w:p>
    <w:p w:rsidR="00F93509" w:rsidRDefault="00F93509" w:rsidP="00F93509">
      <w:pPr>
        <w:pStyle w:val="aDefsubpara"/>
      </w:pPr>
      <w:r>
        <w:tab/>
        <w:t>(iii)</w:t>
      </w:r>
      <w:r>
        <w:tab/>
        <w:t>a corporation mentioned in paragraph (d);</w:t>
      </w:r>
    </w:p>
    <w:p w:rsidR="00F93509" w:rsidRDefault="00F93509" w:rsidP="00F93509">
      <w:pPr>
        <w:pStyle w:val="aDefsubpara"/>
      </w:pPr>
      <w:r>
        <w:rPr>
          <w:rFonts w:ascii="Tms Rmn" w:hAnsi="Tms Rmn"/>
        </w:rPr>
        <w:tab/>
        <w:t>(iv)</w:t>
      </w:r>
      <w:r>
        <w:rPr>
          <w:rFonts w:ascii="Tms Rmn" w:hAnsi="Tms Rmn"/>
        </w:rPr>
        <w:tab/>
      </w:r>
      <w:r>
        <w:t>an entity mentioned in subparagraphs (i) to (iii).</w:t>
      </w:r>
    </w:p>
    <w:p w:rsidR="00F93509" w:rsidRDefault="00F93509" w:rsidP="00F93509">
      <w:pPr>
        <w:pStyle w:val="aDef"/>
      </w:pPr>
      <w:r>
        <w:rPr>
          <w:rStyle w:val="charBoldItals"/>
        </w:rPr>
        <w:t>thing</w:t>
      </w:r>
      <w:r>
        <w:t xml:space="preserve"> includes a substance, and a thing in electronic or magnetic form.</w:t>
      </w:r>
    </w:p>
    <w:p w:rsidR="00F93509" w:rsidRDefault="00F93509" w:rsidP="00F93509">
      <w:pPr>
        <w:pStyle w:val="04Dictionary"/>
        <w:sectPr w:rsidR="00F93509">
          <w:headerReference w:type="even" r:id="rId232"/>
          <w:headerReference w:type="default" r:id="rId233"/>
          <w:footerReference w:type="even" r:id="rId234"/>
          <w:footerReference w:type="default" r:id="rId235"/>
          <w:type w:val="continuous"/>
          <w:pgSz w:w="11907" w:h="16839" w:code="9"/>
          <w:pgMar w:top="3000" w:right="1900" w:bottom="2500" w:left="2300" w:header="2480" w:footer="2100" w:gutter="0"/>
          <w:cols w:space="720"/>
          <w:docGrid w:linePitch="254"/>
        </w:sectPr>
      </w:pPr>
    </w:p>
    <w:p w:rsidR="00F93509" w:rsidRDefault="00F93509" w:rsidP="00F93509">
      <w:pPr>
        <w:pStyle w:val="Endnote1"/>
      </w:pPr>
      <w:bookmarkStart w:id="284" w:name="_Toc526844761"/>
      <w:r>
        <w:t>Endnotes</w:t>
      </w:r>
      <w:bookmarkEnd w:id="284"/>
    </w:p>
    <w:p w:rsidR="00F93509" w:rsidRPr="00325B6A" w:rsidRDefault="00F93509" w:rsidP="00F93509">
      <w:pPr>
        <w:pStyle w:val="Endnote20"/>
      </w:pPr>
      <w:bookmarkStart w:id="285" w:name="_Toc526844762"/>
      <w:r w:rsidRPr="00325B6A">
        <w:rPr>
          <w:rStyle w:val="charTableNo"/>
        </w:rPr>
        <w:t>1</w:t>
      </w:r>
      <w:r>
        <w:tab/>
      </w:r>
      <w:r w:rsidRPr="00325B6A">
        <w:rPr>
          <w:rStyle w:val="charTableText"/>
        </w:rPr>
        <w:t>About the endnotes</w:t>
      </w:r>
      <w:bookmarkEnd w:id="285"/>
    </w:p>
    <w:p w:rsidR="00F93509" w:rsidRDefault="00F93509" w:rsidP="00F93509">
      <w:pPr>
        <w:pStyle w:val="EndNoteTextPub"/>
      </w:pPr>
      <w:r>
        <w:t>Amending and modifying laws are annotated in the legislation history and the amendment history.  Current modifications are not included in the republished law but are set out in the endnotes.</w:t>
      </w:r>
    </w:p>
    <w:p w:rsidR="00F93509" w:rsidRDefault="00F93509" w:rsidP="00F93509">
      <w:pPr>
        <w:pStyle w:val="EndNoteTextPub"/>
      </w:pPr>
      <w:r>
        <w:t xml:space="preserve">Not all editorial amendments made under the </w:t>
      </w:r>
      <w:hyperlink r:id="rId236" w:tooltip="A2001-14" w:history="1">
        <w:r w:rsidRPr="00903C3C">
          <w:rPr>
            <w:rStyle w:val="charCitHyperlinkItal"/>
          </w:rPr>
          <w:t>Legislation Act 2001</w:t>
        </w:r>
      </w:hyperlink>
      <w:r>
        <w:t>, part 11.3 are annotated in the amendment history.  Full details of any amendments can be obtained from the Parliamentary Counsel’s Office.</w:t>
      </w:r>
    </w:p>
    <w:p w:rsidR="00F93509" w:rsidRDefault="00F93509" w:rsidP="00F935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93509" w:rsidRDefault="00F93509" w:rsidP="00F93509">
      <w:pPr>
        <w:pStyle w:val="EndNoteTextPub"/>
      </w:pPr>
      <w:r>
        <w:t xml:space="preserve">If all the provisions of the law have been renumbered, a table of renumbered provisions gives details of previous and current numbering.  </w:t>
      </w:r>
    </w:p>
    <w:p w:rsidR="00F93509" w:rsidRDefault="00F93509" w:rsidP="00F93509">
      <w:pPr>
        <w:pStyle w:val="EndNoteTextPub"/>
      </w:pPr>
      <w:r>
        <w:t>The endnotes also include a table of earlier republications.</w:t>
      </w:r>
    </w:p>
    <w:p w:rsidR="00F93509" w:rsidRPr="00325B6A" w:rsidRDefault="00F93509" w:rsidP="00F93509">
      <w:pPr>
        <w:pStyle w:val="Endnote20"/>
      </w:pPr>
      <w:bookmarkStart w:id="286" w:name="_Toc526844763"/>
      <w:r w:rsidRPr="00325B6A">
        <w:rPr>
          <w:rStyle w:val="charTableNo"/>
        </w:rPr>
        <w:t>2</w:t>
      </w:r>
      <w:r>
        <w:tab/>
      </w:r>
      <w:r w:rsidRPr="00325B6A">
        <w:rPr>
          <w:rStyle w:val="charTableText"/>
        </w:rPr>
        <w:t>Abbreviation key</w:t>
      </w:r>
      <w:bookmarkEnd w:id="286"/>
    </w:p>
    <w:p w:rsidR="00F93509" w:rsidRDefault="00F93509" w:rsidP="00F93509">
      <w:pPr>
        <w:rPr>
          <w:sz w:val="4"/>
        </w:rPr>
      </w:pPr>
    </w:p>
    <w:tbl>
      <w:tblPr>
        <w:tblW w:w="7372" w:type="dxa"/>
        <w:tblInd w:w="1100" w:type="dxa"/>
        <w:tblLayout w:type="fixed"/>
        <w:tblLook w:val="0000" w:firstRow="0" w:lastRow="0" w:firstColumn="0" w:lastColumn="0" w:noHBand="0" w:noVBand="0"/>
      </w:tblPr>
      <w:tblGrid>
        <w:gridCol w:w="3720"/>
        <w:gridCol w:w="3652"/>
      </w:tblGrid>
      <w:tr w:rsidR="00F93509" w:rsidTr="00FD2B77">
        <w:tc>
          <w:tcPr>
            <w:tcW w:w="3720" w:type="dxa"/>
          </w:tcPr>
          <w:p w:rsidR="00F93509" w:rsidRDefault="00F93509" w:rsidP="00FD2B77">
            <w:pPr>
              <w:pStyle w:val="EndnotesAbbrev"/>
            </w:pPr>
            <w:r>
              <w:t>A = Act</w:t>
            </w:r>
          </w:p>
        </w:tc>
        <w:tc>
          <w:tcPr>
            <w:tcW w:w="3652" w:type="dxa"/>
          </w:tcPr>
          <w:p w:rsidR="00F93509" w:rsidRDefault="00F93509" w:rsidP="00FD2B77">
            <w:pPr>
              <w:pStyle w:val="EndnotesAbbrev"/>
            </w:pPr>
            <w:r>
              <w:t>NI = Notifiable instrument</w:t>
            </w:r>
          </w:p>
        </w:tc>
      </w:tr>
      <w:tr w:rsidR="00F93509" w:rsidTr="00FD2B77">
        <w:tc>
          <w:tcPr>
            <w:tcW w:w="3720" w:type="dxa"/>
          </w:tcPr>
          <w:p w:rsidR="00F93509" w:rsidRDefault="00F93509" w:rsidP="00FD2B77">
            <w:pPr>
              <w:pStyle w:val="EndnotesAbbrev"/>
            </w:pPr>
            <w:r>
              <w:t>AF = Approved form</w:t>
            </w:r>
          </w:p>
        </w:tc>
        <w:tc>
          <w:tcPr>
            <w:tcW w:w="3652" w:type="dxa"/>
          </w:tcPr>
          <w:p w:rsidR="00F93509" w:rsidRDefault="00F93509" w:rsidP="00FD2B77">
            <w:pPr>
              <w:pStyle w:val="EndnotesAbbrev"/>
            </w:pPr>
            <w:r>
              <w:t>o = order</w:t>
            </w:r>
          </w:p>
        </w:tc>
      </w:tr>
      <w:tr w:rsidR="00F93509" w:rsidTr="00FD2B77">
        <w:tc>
          <w:tcPr>
            <w:tcW w:w="3720" w:type="dxa"/>
          </w:tcPr>
          <w:p w:rsidR="00F93509" w:rsidRDefault="00F93509" w:rsidP="00FD2B77">
            <w:pPr>
              <w:pStyle w:val="EndnotesAbbrev"/>
            </w:pPr>
            <w:r>
              <w:t>am = amended</w:t>
            </w:r>
          </w:p>
        </w:tc>
        <w:tc>
          <w:tcPr>
            <w:tcW w:w="3652" w:type="dxa"/>
          </w:tcPr>
          <w:p w:rsidR="00F93509" w:rsidRDefault="00F93509" w:rsidP="00FD2B77">
            <w:pPr>
              <w:pStyle w:val="EndnotesAbbrev"/>
            </w:pPr>
            <w:r>
              <w:t>om = omitted/repealed</w:t>
            </w:r>
          </w:p>
        </w:tc>
      </w:tr>
      <w:tr w:rsidR="00F93509" w:rsidTr="00FD2B77">
        <w:tc>
          <w:tcPr>
            <w:tcW w:w="3720" w:type="dxa"/>
          </w:tcPr>
          <w:p w:rsidR="00F93509" w:rsidRDefault="00F93509" w:rsidP="00FD2B77">
            <w:pPr>
              <w:pStyle w:val="EndnotesAbbrev"/>
            </w:pPr>
            <w:r>
              <w:t>amdt = amendment</w:t>
            </w:r>
          </w:p>
        </w:tc>
        <w:tc>
          <w:tcPr>
            <w:tcW w:w="3652" w:type="dxa"/>
          </w:tcPr>
          <w:p w:rsidR="00F93509" w:rsidRDefault="00F93509" w:rsidP="00FD2B77">
            <w:pPr>
              <w:pStyle w:val="EndnotesAbbrev"/>
            </w:pPr>
            <w:r>
              <w:t>ord = ordinance</w:t>
            </w:r>
          </w:p>
        </w:tc>
      </w:tr>
      <w:tr w:rsidR="00F93509" w:rsidTr="00FD2B77">
        <w:tc>
          <w:tcPr>
            <w:tcW w:w="3720" w:type="dxa"/>
          </w:tcPr>
          <w:p w:rsidR="00F93509" w:rsidRDefault="00F93509" w:rsidP="00FD2B77">
            <w:pPr>
              <w:pStyle w:val="EndnotesAbbrev"/>
            </w:pPr>
            <w:r>
              <w:t>AR = Assembly resolution</w:t>
            </w:r>
          </w:p>
        </w:tc>
        <w:tc>
          <w:tcPr>
            <w:tcW w:w="3652" w:type="dxa"/>
          </w:tcPr>
          <w:p w:rsidR="00F93509" w:rsidRDefault="00F93509" w:rsidP="00FD2B77">
            <w:pPr>
              <w:pStyle w:val="EndnotesAbbrev"/>
            </w:pPr>
            <w:r>
              <w:t>orig = original</w:t>
            </w:r>
          </w:p>
        </w:tc>
      </w:tr>
      <w:tr w:rsidR="00F93509" w:rsidTr="00FD2B77">
        <w:tc>
          <w:tcPr>
            <w:tcW w:w="3720" w:type="dxa"/>
          </w:tcPr>
          <w:p w:rsidR="00F93509" w:rsidRDefault="00F93509" w:rsidP="00FD2B77">
            <w:pPr>
              <w:pStyle w:val="EndnotesAbbrev"/>
            </w:pPr>
            <w:r>
              <w:t>ch = chapter</w:t>
            </w:r>
          </w:p>
        </w:tc>
        <w:tc>
          <w:tcPr>
            <w:tcW w:w="3652" w:type="dxa"/>
          </w:tcPr>
          <w:p w:rsidR="00F93509" w:rsidRDefault="00F93509" w:rsidP="00FD2B77">
            <w:pPr>
              <w:pStyle w:val="EndnotesAbbrev"/>
            </w:pPr>
            <w:r>
              <w:t>par = paragraph/subparagraph</w:t>
            </w:r>
          </w:p>
        </w:tc>
      </w:tr>
      <w:tr w:rsidR="00F93509" w:rsidTr="00FD2B77">
        <w:tc>
          <w:tcPr>
            <w:tcW w:w="3720" w:type="dxa"/>
          </w:tcPr>
          <w:p w:rsidR="00F93509" w:rsidRDefault="00F93509" w:rsidP="00FD2B77">
            <w:pPr>
              <w:pStyle w:val="EndnotesAbbrev"/>
            </w:pPr>
            <w:r>
              <w:t>CN = Commencement notice</w:t>
            </w:r>
          </w:p>
        </w:tc>
        <w:tc>
          <w:tcPr>
            <w:tcW w:w="3652" w:type="dxa"/>
          </w:tcPr>
          <w:p w:rsidR="00F93509" w:rsidRDefault="00F93509" w:rsidP="00FD2B77">
            <w:pPr>
              <w:pStyle w:val="EndnotesAbbrev"/>
            </w:pPr>
            <w:r>
              <w:t>pres = present</w:t>
            </w:r>
          </w:p>
        </w:tc>
      </w:tr>
      <w:tr w:rsidR="00F93509" w:rsidTr="00FD2B77">
        <w:tc>
          <w:tcPr>
            <w:tcW w:w="3720" w:type="dxa"/>
          </w:tcPr>
          <w:p w:rsidR="00F93509" w:rsidRDefault="00F93509" w:rsidP="00FD2B77">
            <w:pPr>
              <w:pStyle w:val="EndnotesAbbrev"/>
            </w:pPr>
            <w:r>
              <w:t>def = definition</w:t>
            </w:r>
          </w:p>
        </w:tc>
        <w:tc>
          <w:tcPr>
            <w:tcW w:w="3652" w:type="dxa"/>
          </w:tcPr>
          <w:p w:rsidR="00F93509" w:rsidRDefault="00F93509" w:rsidP="00FD2B77">
            <w:pPr>
              <w:pStyle w:val="EndnotesAbbrev"/>
            </w:pPr>
            <w:r>
              <w:t>prev = previous</w:t>
            </w:r>
          </w:p>
        </w:tc>
      </w:tr>
      <w:tr w:rsidR="00F93509" w:rsidTr="00FD2B77">
        <w:tc>
          <w:tcPr>
            <w:tcW w:w="3720" w:type="dxa"/>
          </w:tcPr>
          <w:p w:rsidR="00F93509" w:rsidRDefault="00F93509" w:rsidP="00FD2B77">
            <w:pPr>
              <w:pStyle w:val="EndnotesAbbrev"/>
            </w:pPr>
            <w:r>
              <w:t>DI = Disallowable instrument</w:t>
            </w:r>
          </w:p>
        </w:tc>
        <w:tc>
          <w:tcPr>
            <w:tcW w:w="3652" w:type="dxa"/>
          </w:tcPr>
          <w:p w:rsidR="00F93509" w:rsidRDefault="00F93509" w:rsidP="00FD2B77">
            <w:pPr>
              <w:pStyle w:val="EndnotesAbbrev"/>
            </w:pPr>
            <w:r>
              <w:t>(prev...) = previously</w:t>
            </w:r>
          </w:p>
        </w:tc>
      </w:tr>
      <w:tr w:rsidR="00F93509" w:rsidTr="00FD2B77">
        <w:tc>
          <w:tcPr>
            <w:tcW w:w="3720" w:type="dxa"/>
          </w:tcPr>
          <w:p w:rsidR="00F93509" w:rsidRDefault="00F93509" w:rsidP="00FD2B77">
            <w:pPr>
              <w:pStyle w:val="EndnotesAbbrev"/>
            </w:pPr>
            <w:r>
              <w:t>dict = dictionary</w:t>
            </w:r>
          </w:p>
        </w:tc>
        <w:tc>
          <w:tcPr>
            <w:tcW w:w="3652" w:type="dxa"/>
          </w:tcPr>
          <w:p w:rsidR="00F93509" w:rsidRDefault="00F93509" w:rsidP="00FD2B77">
            <w:pPr>
              <w:pStyle w:val="EndnotesAbbrev"/>
            </w:pPr>
            <w:r>
              <w:t>pt = part</w:t>
            </w:r>
          </w:p>
        </w:tc>
      </w:tr>
      <w:tr w:rsidR="00F93509" w:rsidTr="00FD2B77">
        <w:tc>
          <w:tcPr>
            <w:tcW w:w="3720" w:type="dxa"/>
          </w:tcPr>
          <w:p w:rsidR="00F93509" w:rsidRDefault="00F93509" w:rsidP="00FD2B77">
            <w:pPr>
              <w:pStyle w:val="EndnotesAbbrev"/>
            </w:pPr>
            <w:r>
              <w:t xml:space="preserve">disallowed = disallowed by the Legislative </w:t>
            </w:r>
          </w:p>
        </w:tc>
        <w:tc>
          <w:tcPr>
            <w:tcW w:w="3652" w:type="dxa"/>
          </w:tcPr>
          <w:p w:rsidR="00F93509" w:rsidRDefault="00F93509" w:rsidP="00FD2B77">
            <w:pPr>
              <w:pStyle w:val="EndnotesAbbrev"/>
            </w:pPr>
            <w:r>
              <w:t>r = rule/subrule</w:t>
            </w:r>
          </w:p>
        </w:tc>
      </w:tr>
      <w:tr w:rsidR="00F93509" w:rsidTr="00FD2B77">
        <w:tc>
          <w:tcPr>
            <w:tcW w:w="3720" w:type="dxa"/>
          </w:tcPr>
          <w:p w:rsidR="00F93509" w:rsidRDefault="00F93509" w:rsidP="00FD2B77">
            <w:pPr>
              <w:pStyle w:val="EndnotesAbbrev"/>
              <w:ind w:left="972"/>
            </w:pPr>
            <w:r>
              <w:t>Assembly</w:t>
            </w:r>
          </w:p>
        </w:tc>
        <w:tc>
          <w:tcPr>
            <w:tcW w:w="3652" w:type="dxa"/>
          </w:tcPr>
          <w:p w:rsidR="00F93509" w:rsidRDefault="00F93509" w:rsidP="00FD2B77">
            <w:pPr>
              <w:pStyle w:val="EndnotesAbbrev"/>
            </w:pPr>
            <w:r>
              <w:t>reloc = relocated</w:t>
            </w:r>
          </w:p>
        </w:tc>
      </w:tr>
      <w:tr w:rsidR="00F93509" w:rsidTr="00FD2B77">
        <w:tc>
          <w:tcPr>
            <w:tcW w:w="3720" w:type="dxa"/>
          </w:tcPr>
          <w:p w:rsidR="00F93509" w:rsidRDefault="00F93509" w:rsidP="00FD2B77">
            <w:pPr>
              <w:pStyle w:val="EndnotesAbbrev"/>
            </w:pPr>
            <w:r>
              <w:t>div = division</w:t>
            </w:r>
          </w:p>
        </w:tc>
        <w:tc>
          <w:tcPr>
            <w:tcW w:w="3652" w:type="dxa"/>
          </w:tcPr>
          <w:p w:rsidR="00F93509" w:rsidRDefault="00F93509" w:rsidP="00FD2B77">
            <w:pPr>
              <w:pStyle w:val="EndnotesAbbrev"/>
            </w:pPr>
            <w:r>
              <w:t>renum = renumbered</w:t>
            </w:r>
          </w:p>
        </w:tc>
      </w:tr>
      <w:tr w:rsidR="00F93509" w:rsidTr="00FD2B77">
        <w:tc>
          <w:tcPr>
            <w:tcW w:w="3720" w:type="dxa"/>
          </w:tcPr>
          <w:p w:rsidR="00F93509" w:rsidRDefault="00F93509" w:rsidP="00FD2B77">
            <w:pPr>
              <w:pStyle w:val="EndnotesAbbrev"/>
            </w:pPr>
            <w:r>
              <w:t>exp = expires/expired</w:t>
            </w:r>
          </w:p>
        </w:tc>
        <w:tc>
          <w:tcPr>
            <w:tcW w:w="3652" w:type="dxa"/>
          </w:tcPr>
          <w:p w:rsidR="00F93509" w:rsidRDefault="00F93509" w:rsidP="00FD2B77">
            <w:pPr>
              <w:pStyle w:val="EndnotesAbbrev"/>
            </w:pPr>
            <w:r>
              <w:t>R[X] = Republication No</w:t>
            </w:r>
          </w:p>
        </w:tc>
      </w:tr>
      <w:tr w:rsidR="00F93509" w:rsidTr="00FD2B77">
        <w:tc>
          <w:tcPr>
            <w:tcW w:w="3720" w:type="dxa"/>
          </w:tcPr>
          <w:p w:rsidR="00F93509" w:rsidRDefault="00F93509" w:rsidP="00FD2B77">
            <w:pPr>
              <w:pStyle w:val="EndnotesAbbrev"/>
            </w:pPr>
            <w:r>
              <w:t>Gaz = gazette</w:t>
            </w:r>
          </w:p>
        </w:tc>
        <w:tc>
          <w:tcPr>
            <w:tcW w:w="3652" w:type="dxa"/>
          </w:tcPr>
          <w:p w:rsidR="00F93509" w:rsidRDefault="00F93509" w:rsidP="00FD2B77">
            <w:pPr>
              <w:pStyle w:val="EndnotesAbbrev"/>
            </w:pPr>
            <w:r>
              <w:t>RI = reissue</w:t>
            </w:r>
          </w:p>
        </w:tc>
      </w:tr>
      <w:tr w:rsidR="00F93509" w:rsidTr="00FD2B77">
        <w:tc>
          <w:tcPr>
            <w:tcW w:w="3720" w:type="dxa"/>
          </w:tcPr>
          <w:p w:rsidR="00F93509" w:rsidRDefault="00F93509" w:rsidP="00FD2B77">
            <w:pPr>
              <w:pStyle w:val="EndnotesAbbrev"/>
            </w:pPr>
            <w:r>
              <w:t>hdg = heading</w:t>
            </w:r>
          </w:p>
        </w:tc>
        <w:tc>
          <w:tcPr>
            <w:tcW w:w="3652" w:type="dxa"/>
          </w:tcPr>
          <w:p w:rsidR="00F93509" w:rsidRDefault="00F93509" w:rsidP="00FD2B77">
            <w:pPr>
              <w:pStyle w:val="EndnotesAbbrev"/>
            </w:pPr>
            <w:r>
              <w:t>s = section/subsection</w:t>
            </w:r>
          </w:p>
        </w:tc>
      </w:tr>
      <w:tr w:rsidR="00F93509" w:rsidTr="00FD2B77">
        <w:tc>
          <w:tcPr>
            <w:tcW w:w="3720" w:type="dxa"/>
          </w:tcPr>
          <w:p w:rsidR="00F93509" w:rsidRDefault="00F93509" w:rsidP="00FD2B77">
            <w:pPr>
              <w:pStyle w:val="EndnotesAbbrev"/>
            </w:pPr>
            <w:r>
              <w:t>IA = Interpretation Act 1967</w:t>
            </w:r>
          </w:p>
        </w:tc>
        <w:tc>
          <w:tcPr>
            <w:tcW w:w="3652" w:type="dxa"/>
          </w:tcPr>
          <w:p w:rsidR="00F93509" w:rsidRDefault="00F93509" w:rsidP="00FD2B77">
            <w:pPr>
              <w:pStyle w:val="EndnotesAbbrev"/>
            </w:pPr>
            <w:r>
              <w:t>sch = schedule</w:t>
            </w:r>
          </w:p>
        </w:tc>
      </w:tr>
      <w:tr w:rsidR="00F93509" w:rsidTr="00FD2B77">
        <w:tc>
          <w:tcPr>
            <w:tcW w:w="3720" w:type="dxa"/>
          </w:tcPr>
          <w:p w:rsidR="00F93509" w:rsidRDefault="00F93509" w:rsidP="00FD2B77">
            <w:pPr>
              <w:pStyle w:val="EndnotesAbbrev"/>
            </w:pPr>
            <w:r>
              <w:t>ins = inserted/added</w:t>
            </w:r>
          </w:p>
        </w:tc>
        <w:tc>
          <w:tcPr>
            <w:tcW w:w="3652" w:type="dxa"/>
          </w:tcPr>
          <w:p w:rsidR="00F93509" w:rsidRDefault="00F93509" w:rsidP="00FD2B77">
            <w:pPr>
              <w:pStyle w:val="EndnotesAbbrev"/>
            </w:pPr>
            <w:r>
              <w:t>sdiv = subdivision</w:t>
            </w:r>
          </w:p>
        </w:tc>
      </w:tr>
      <w:tr w:rsidR="00F93509" w:rsidTr="00FD2B77">
        <w:tc>
          <w:tcPr>
            <w:tcW w:w="3720" w:type="dxa"/>
          </w:tcPr>
          <w:p w:rsidR="00F93509" w:rsidRDefault="00F93509" w:rsidP="00FD2B77">
            <w:pPr>
              <w:pStyle w:val="EndnotesAbbrev"/>
            </w:pPr>
            <w:r>
              <w:t>LA = Legislation Act 2001</w:t>
            </w:r>
          </w:p>
        </w:tc>
        <w:tc>
          <w:tcPr>
            <w:tcW w:w="3652" w:type="dxa"/>
          </w:tcPr>
          <w:p w:rsidR="00F93509" w:rsidRDefault="00F93509" w:rsidP="00FD2B77">
            <w:pPr>
              <w:pStyle w:val="EndnotesAbbrev"/>
            </w:pPr>
            <w:r>
              <w:t>SL = Subordinate law</w:t>
            </w:r>
          </w:p>
        </w:tc>
      </w:tr>
      <w:tr w:rsidR="00F93509" w:rsidTr="00FD2B77">
        <w:tc>
          <w:tcPr>
            <w:tcW w:w="3720" w:type="dxa"/>
          </w:tcPr>
          <w:p w:rsidR="00F93509" w:rsidRDefault="00F93509" w:rsidP="00FD2B77">
            <w:pPr>
              <w:pStyle w:val="EndnotesAbbrev"/>
            </w:pPr>
            <w:r>
              <w:t>LR = legislation register</w:t>
            </w:r>
          </w:p>
        </w:tc>
        <w:tc>
          <w:tcPr>
            <w:tcW w:w="3652" w:type="dxa"/>
          </w:tcPr>
          <w:p w:rsidR="00F93509" w:rsidRDefault="00F93509" w:rsidP="00FD2B77">
            <w:pPr>
              <w:pStyle w:val="EndnotesAbbrev"/>
            </w:pPr>
            <w:r>
              <w:t>sub = substituted</w:t>
            </w:r>
          </w:p>
        </w:tc>
      </w:tr>
      <w:tr w:rsidR="00F93509" w:rsidTr="00FD2B77">
        <w:tc>
          <w:tcPr>
            <w:tcW w:w="3720" w:type="dxa"/>
          </w:tcPr>
          <w:p w:rsidR="00F93509" w:rsidRDefault="00F93509" w:rsidP="00FD2B77">
            <w:pPr>
              <w:pStyle w:val="EndnotesAbbrev"/>
            </w:pPr>
            <w:r>
              <w:t>LRA = Legislation (Republication) Act 1996</w:t>
            </w:r>
          </w:p>
        </w:tc>
        <w:tc>
          <w:tcPr>
            <w:tcW w:w="3652" w:type="dxa"/>
          </w:tcPr>
          <w:p w:rsidR="00F93509" w:rsidRDefault="00F93509" w:rsidP="00FD2B77">
            <w:pPr>
              <w:pStyle w:val="EndnotesAbbrev"/>
            </w:pPr>
            <w:r w:rsidRPr="00903C3C">
              <w:rPr>
                <w:rStyle w:val="charUnderline"/>
              </w:rPr>
              <w:t>underlining</w:t>
            </w:r>
            <w:r>
              <w:t xml:space="preserve"> = whole or part not commenced</w:t>
            </w:r>
          </w:p>
        </w:tc>
      </w:tr>
      <w:tr w:rsidR="00F93509" w:rsidTr="00FD2B77">
        <w:tc>
          <w:tcPr>
            <w:tcW w:w="3720" w:type="dxa"/>
          </w:tcPr>
          <w:p w:rsidR="00F93509" w:rsidRDefault="00F93509" w:rsidP="00FD2B77">
            <w:pPr>
              <w:pStyle w:val="EndnotesAbbrev"/>
            </w:pPr>
            <w:r>
              <w:t>mod = modified/modification</w:t>
            </w:r>
          </w:p>
        </w:tc>
        <w:tc>
          <w:tcPr>
            <w:tcW w:w="3652" w:type="dxa"/>
          </w:tcPr>
          <w:p w:rsidR="00F93509" w:rsidRDefault="00F93509" w:rsidP="00FD2B77">
            <w:pPr>
              <w:pStyle w:val="EndnotesAbbrev"/>
              <w:ind w:left="1073"/>
            </w:pPr>
            <w:r>
              <w:t>or to be expired</w:t>
            </w:r>
          </w:p>
        </w:tc>
      </w:tr>
    </w:tbl>
    <w:p w:rsidR="00F93509" w:rsidRPr="00325B6A" w:rsidRDefault="00F93509" w:rsidP="00F93509">
      <w:pPr>
        <w:pStyle w:val="Endnote20"/>
      </w:pPr>
      <w:bookmarkStart w:id="287" w:name="_Toc526844764"/>
      <w:r w:rsidRPr="00325B6A">
        <w:rPr>
          <w:rStyle w:val="charTableNo"/>
        </w:rPr>
        <w:t>3</w:t>
      </w:r>
      <w:r>
        <w:tab/>
      </w:r>
      <w:r w:rsidRPr="00325B6A">
        <w:rPr>
          <w:rStyle w:val="charTableText"/>
        </w:rPr>
        <w:t>Legislation history</w:t>
      </w:r>
      <w:bookmarkEnd w:id="287"/>
    </w:p>
    <w:p w:rsidR="00F93509" w:rsidRDefault="00F93509" w:rsidP="00F93509">
      <w:pPr>
        <w:pStyle w:val="NewAct"/>
        <w:spacing w:before="160"/>
      </w:pPr>
      <w:r>
        <w:t>Gene Technology Act 2003 A2003-57</w:t>
      </w:r>
    </w:p>
    <w:p w:rsidR="00F93509" w:rsidRDefault="00F93509" w:rsidP="00F93509">
      <w:pPr>
        <w:pStyle w:val="Actdetails"/>
      </w:pPr>
      <w:r>
        <w:t>notified LR 5 December 2003</w:t>
      </w:r>
      <w:r>
        <w:br/>
        <w:t>s 1, s 2 commenced 5 December 2003 (LA s 75 (1))</w:t>
      </w:r>
      <w:r>
        <w:br/>
        <w:t>remainder commenced 5 June 2004 (s 2 and LA s 79)</w:t>
      </w:r>
    </w:p>
    <w:p w:rsidR="00F93509" w:rsidRDefault="00F93509" w:rsidP="00F93509">
      <w:pPr>
        <w:pStyle w:val="Asamby"/>
      </w:pPr>
      <w:r>
        <w:t>as amended by</w:t>
      </w:r>
    </w:p>
    <w:p w:rsidR="00F93509" w:rsidRDefault="00DC28D5" w:rsidP="00F93509">
      <w:pPr>
        <w:pStyle w:val="NewAct"/>
      </w:pPr>
      <w:hyperlink r:id="rId237" w:tooltip="A2004-15" w:history="1">
        <w:r w:rsidR="00F93509" w:rsidRPr="00902FDA">
          <w:rPr>
            <w:rStyle w:val="charCitHyperlinkAbbrev"/>
          </w:rPr>
          <w:t>Criminal Code (Theft, Fraud, Bribery and Related Offences) Amendment Act 2004</w:t>
        </w:r>
      </w:hyperlink>
      <w:r w:rsidR="00F93509">
        <w:t xml:space="preserve"> A2004-15 sch 1 pt 1.20</w:t>
      </w:r>
    </w:p>
    <w:p w:rsidR="00F93509" w:rsidRDefault="00F93509" w:rsidP="00F93509">
      <w:pPr>
        <w:pStyle w:val="Actdetails"/>
      </w:pPr>
      <w:r>
        <w:t>notified LR 26 March 2004</w:t>
      </w:r>
      <w:r>
        <w:br/>
        <w:t>s 1, s 2 commenced 26 March 2004 (LA s 75 (1))</w:t>
      </w:r>
      <w:r>
        <w:br/>
        <w:t>sch 1 pt 1.20 commenced 5 June 2004 (LA s 79A)</w:t>
      </w:r>
    </w:p>
    <w:p w:rsidR="00F93509" w:rsidRDefault="00DC28D5" w:rsidP="00F93509">
      <w:pPr>
        <w:pStyle w:val="NewAct"/>
      </w:pPr>
      <w:hyperlink r:id="rId238" w:tooltip="A2006-46" w:history="1">
        <w:r w:rsidR="00F93509" w:rsidRPr="00903C3C">
          <w:rPr>
            <w:rStyle w:val="charCitHyperlinkAbbrev"/>
          </w:rPr>
          <w:t>Health Legislation Amendment Act 2006 (No 2)</w:t>
        </w:r>
      </w:hyperlink>
      <w:r w:rsidR="00F93509">
        <w:t xml:space="preserve"> A2006-46 sch 2 pt 2.7</w:t>
      </w:r>
    </w:p>
    <w:p w:rsidR="00F93509" w:rsidRDefault="00F93509" w:rsidP="00F93509">
      <w:pPr>
        <w:pStyle w:val="Actdetails"/>
      </w:pPr>
      <w:r>
        <w:t>notified LR 17 November 2006</w:t>
      </w:r>
    </w:p>
    <w:p w:rsidR="00F93509" w:rsidRDefault="00F93509" w:rsidP="00F93509">
      <w:pPr>
        <w:pStyle w:val="Actdetails"/>
      </w:pPr>
      <w:r>
        <w:t>s 1, s 2 commenced 17 November 2006 (LA s 75 (1))</w:t>
      </w:r>
    </w:p>
    <w:p w:rsidR="00F93509" w:rsidRPr="00903C3C" w:rsidRDefault="00F93509" w:rsidP="00F93509">
      <w:pPr>
        <w:pStyle w:val="Actdetails"/>
        <w:rPr>
          <w:rFonts w:cs="Arial"/>
        </w:rPr>
      </w:pPr>
      <w:r w:rsidRPr="00903C3C">
        <w:rPr>
          <w:rFonts w:cs="Arial"/>
        </w:rPr>
        <w:t>sch 2 pt 2.7 commenced 18 November 2006 (s 2 (1))</w:t>
      </w:r>
    </w:p>
    <w:p w:rsidR="00F93509" w:rsidRDefault="00DC28D5" w:rsidP="00F93509">
      <w:pPr>
        <w:pStyle w:val="NewAct"/>
      </w:pPr>
      <w:hyperlink r:id="rId239" w:tooltip="A2008-10" w:history="1">
        <w:r w:rsidR="00F93509" w:rsidRPr="00903C3C">
          <w:rPr>
            <w:rStyle w:val="charCitHyperlinkAbbrev"/>
          </w:rPr>
          <w:t>Gene Technology Amendment Act 2008</w:t>
        </w:r>
      </w:hyperlink>
      <w:r w:rsidR="00F93509">
        <w:t xml:space="preserve"> A2008-10</w:t>
      </w:r>
    </w:p>
    <w:p w:rsidR="00F93509" w:rsidRDefault="00F93509" w:rsidP="00F93509">
      <w:pPr>
        <w:pStyle w:val="Actdetails"/>
      </w:pPr>
      <w:r>
        <w:t>notified LR 21 April 2008</w:t>
      </w:r>
    </w:p>
    <w:p w:rsidR="00F93509" w:rsidRDefault="00F93509" w:rsidP="00F93509">
      <w:pPr>
        <w:pStyle w:val="Actdetails"/>
      </w:pPr>
      <w:r>
        <w:t>s 1, s 2 commenced 21 April 2008 (LA s 75 (1))</w:t>
      </w:r>
    </w:p>
    <w:p w:rsidR="00F93509" w:rsidRPr="00903C3C" w:rsidRDefault="00F93509" w:rsidP="00F93509">
      <w:pPr>
        <w:pStyle w:val="Actdetails"/>
        <w:rPr>
          <w:rFonts w:cs="Arial"/>
        </w:rPr>
      </w:pPr>
      <w:r w:rsidRPr="00903C3C">
        <w:rPr>
          <w:rFonts w:cs="Arial"/>
        </w:rPr>
        <w:t xml:space="preserve">remainder commenced 1 May 2008 (s 2 and </w:t>
      </w:r>
      <w:hyperlink r:id="rId240" w:tooltip="CN2008-5" w:history="1">
        <w:r w:rsidRPr="00903C3C">
          <w:rPr>
            <w:rStyle w:val="charCitHyperlinkAbbrev"/>
          </w:rPr>
          <w:t>CN2008-5</w:t>
        </w:r>
      </w:hyperlink>
      <w:r w:rsidRPr="00903C3C">
        <w:rPr>
          <w:rFonts w:cs="Arial"/>
        </w:rPr>
        <w:t>)</w:t>
      </w:r>
    </w:p>
    <w:p w:rsidR="00F93509" w:rsidRDefault="00DC28D5" w:rsidP="00F93509">
      <w:pPr>
        <w:pStyle w:val="NewAct"/>
      </w:pPr>
      <w:hyperlink r:id="rId241" w:tooltip="A2009-20" w:history="1">
        <w:r w:rsidR="00F93509" w:rsidRPr="00903C3C">
          <w:rPr>
            <w:rStyle w:val="charCitHyperlinkAbbrev"/>
          </w:rPr>
          <w:t>Statute Law Amendment Act 2009</w:t>
        </w:r>
      </w:hyperlink>
      <w:r w:rsidR="00F93509">
        <w:t xml:space="preserve"> A2009-20 sch 3 pt 3.35</w:t>
      </w:r>
    </w:p>
    <w:p w:rsidR="00F93509" w:rsidRDefault="00F93509" w:rsidP="00F93509">
      <w:pPr>
        <w:pStyle w:val="Actdetails"/>
        <w:keepNext/>
      </w:pPr>
      <w:r>
        <w:t>notified LR 1 September 2009</w:t>
      </w:r>
    </w:p>
    <w:p w:rsidR="00F93509" w:rsidRDefault="00F93509" w:rsidP="00F93509">
      <w:pPr>
        <w:pStyle w:val="Actdetails"/>
        <w:keepNext/>
      </w:pPr>
      <w:r>
        <w:t>s 1, s 2 commenced 1 September 2009 (LA s 75 (1))</w:t>
      </w:r>
    </w:p>
    <w:p w:rsidR="00F93509" w:rsidRDefault="00F93509" w:rsidP="00F93509">
      <w:pPr>
        <w:pStyle w:val="Actdetails"/>
      </w:pPr>
      <w:r>
        <w:t>sch 3 pt 3.35 commenced 22 September 2009 (s 2)</w:t>
      </w:r>
    </w:p>
    <w:p w:rsidR="00F93509" w:rsidRDefault="00DC28D5" w:rsidP="00F93509">
      <w:pPr>
        <w:pStyle w:val="NewAct"/>
      </w:pPr>
      <w:hyperlink r:id="rId242" w:tooltip="A2011-52" w:history="1">
        <w:r w:rsidR="00F93509" w:rsidRPr="00903C3C">
          <w:rPr>
            <w:rStyle w:val="charCitHyperlinkAbbrev"/>
          </w:rPr>
          <w:t>Statute Law Amendment Act 2011 (No 3)</w:t>
        </w:r>
      </w:hyperlink>
      <w:r w:rsidR="00F93509">
        <w:t xml:space="preserve"> A2011-52 sch 3 pt 3.29</w:t>
      </w:r>
    </w:p>
    <w:p w:rsidR="00F93509" w:rsidRDefault="00F93509" w:rsidP="00F93509">
      <w:pPr>
        <w:pStyle w:val="Actdetails"/>
        <w:keepNext/>
      </w:pPr>
      <w:r>
        <w:t>notified LR 28 November 2011</w:t>
      </w:r>
    </w:p>
    <w:p w:rsidR="00F93509" w:rsidRDefault="00F93509" w:rsidP="00F93509">
      <w:pPr>
        <w:pStyle w:val="Actdetails"/>
        <w:keepNext/>
      </w:pPr>
      <w:r>
        <w:t>s 1, s 2 commenced 28 November 2011 (LA s 75 (1))</w:t>
      </w:r>
    </w:p>
    <w:p w:rsidR="00F93509" w:rsidRDefault="00F93509" w:rsidP="00F93509">
      <w:pPr>
        <w:pStyle w:val="Actdetails"/>
      </w:pPr>
      <w:r w:rsidRPr="00D6142D">
        <w:t xml:space="preserve">sch </w:t>
      </w:r>
      <w:r>
        <w:t>3 pt 3.29</w:t>
      </w:r>
      <w:r w:rsidRPr="00D6142D">
        <w:t xml:space="preserve"> </w:t>
      </w:r>
      <w:r>
        <w:t>commenced 12 December 2011</w:t>
      </w:r>
      <w:r w:rsidRPr="00D6142D">
        <w:t xml:space="preserve"> (s 2</w:t>
      </w:r>
      <w:r>
        <w:t>)</w:t>
      </w:r>
    </w:p>
    <w:p w:rsidR="00F93509" w:rsidRDefault="00DC28D5" w:rsidP="00F93509">
      <w:pPr>
        <w:pStyle w:val="NewAct"/>
      </w:pPr>
      <w:hyperlink r:id="rId243" w:tooltip="A2015-33" w:history="1">
        <w:r w:rsidR="00F93509" w:rsidRPr="000A645B">
          <w:rPr>
            <w:rStyle w:val="charCitHyperlinkAbbrev"/>
          </w:rPr>
          <w:t>Red Tape Reduction Legislation Amendment Act 2015</w:t>
        </w:r>
      </w:hyperlink>
      <w:r w:rsidR="00F93509">
        <w:t xml:space="preserve"> </w:t>
      </w:r>
      <w:r w:rsidR="00F93509" w:rsidRPr="000A645B">
        <w:t xml:space="preserve">A2015-33 </w:t>
      </w:r>
      <w:r w:rsidR="00F93509">
        <w:t>sch 1 pt 1.33</w:t>
      </w:r>
    </w:p>
    <w:p w:rsidR="00F93509" w:rsidRDefault="00F93509" w:rsidP="00F93509">
      <w:pPr>
        <w:pStyle w:val="Actdetails"/>
      </w:pPr>
      <w:r>
        <w:t>notified LR 30 September 2015</w:t>
      </w:r>
    </w:p>
    <w:p w:rsidR="00F93509" w:rsidRDefault="00F93509" w:rsidP="00F93509">
      <w:pPr>
        <w:pStyle w:val="Actdetails"/>
      </w:pPr>
      <w:r>
        <w:t>s 1, s 2 commenced 30 September 2015 (LA s 75 (1))</w:t>
      </w:r>
    </w:p>
    <w:p w:rsidR="00F93509" w:rsidRDefault="00F93509" w:rsidP="00F93509">
      <w:pPr>
        <w:pStyle w:val="Actdetails"/>
      </w:pPr>
      <w:r>
        <w:t>sch 1 pt 1.33 commenced 14 October 2015 (s 2)</w:t>
      </w:r>
    </w:p>
    <w:p w:rsidR="00F93509" w:rsidRDefault="00DC28D5" w:rsidP="00F93509">
      <w:pPr>
        <w:pStyle w:val="NewAct"/>
      </w:pPr>
      <w:hyperlink r:id="rId244" w:tooltip="A2016-52" w:history="1">
        <w:r w:rsidR="00F93509">
          <w:rPr>
            <w:rStyle w:val="charCitHyperlinkAbbrev"/>
          </w:rPr>
          <w:t>Public Sector Management Amendment Act 2016</w:t>
        </w:r>
      </w:hyperlink>
      <w:r w:rsidR="00F93509">
        <w:t xml:space="preserve"> A2016-52 sch 1 pt 1.31</w:t>
      </w:r>
    </w:p>
    <w:p w:rsidR="00F93509" w:rsidRDefault="00F93509" w:rsidP="00F93509">
      <w:pPr>
        <w:pStyle w:val="Actdetails"/>
      </w:pPr>
      <w:r>
        <w:t>notified LR 25 August 2016</w:t>
      </w:r>
    </w:p>
    <w:p w:rsidR="00F93509" w:rsidRDefault="00F93509" w:rsidP="00F93509">
      <w:pPr>
        <w:pStyle w:val="Actdetails"/>
      </w:pPr>
      <w:r>
        <w:t>s 1, s 2 commenced 25 August 2016 (LA s 75 (1))</w:t>
      </w:r>
    </w:p>
    <w:p w:rsidR="00F93509" w:rsidRDefault="00F93509" w:rsidP="00F93509">
      <w:pPr>
        <w:pStyle w:val="Actdetails"/>
      </w:pPr>
      <w:r>
        <w:t>sch 1 pt 1.31 commenced 1 September 2016 (s 2)</w:t>
      </w:r>
    </w:p>
    <w:p w:rsidR="002B74E7" w:rsidRDefault="00DC28D5" w:rsidP="002B74E7">
      <w:pPr>
        <w:pStyle w:val="NewAct"/>
      </w:pPr>
      <w:hyperlink r:id="rId245" w:tooltip="A2016-55" w:history="1">
        <w:r w:rsidR="002B74E7" w:rsidRPr="00C0253D">
          <w:rPr>
            <w:rStyle w:val="charCitHyperlinkAbbrev"/>
          </w:rPr>
          <w:t>Freedom of Information Act 2016</w:t>
        </w:r>
      </w:hyperlink>
      <w:r w:rsidR="002B74E7">
        <w:t xml:space="preserve"> A2016-55 sch 4 pt 4.11 (as am by </w:t>
      </w:r>
      <w:hyperlink r:id="rId246" w:tooltip="Justice and Community Safety Legislation Amendment Act 2017 (No 2)" w:history="1">
        <w:r w:rsidR="002B74E7" w:rsidRPr="00EF1FBF">
          <w:rPr>
            <w:rStyle w:val="charCitHyperlinkAbbrev"/>
          </w:rPr>
          <w:t>A2017-14</w:t>
        </w:r>
      </w:hyperlink>
      <w:r w:rsidR="002B74E7" w:rsidRPr="00EF1FBF">
        <w:rPr>
          <w:rStyle w:val="charCitHyperlinkAbbrev"/>
        </w:rPr>
        <w:t xml:space="preserve"> </w:t>
      </w:r>
      <w:r w:rsidR="002B74E7">
        <w:t>s 19)</w:t>
      </w:r>
    </w:p>
    <w:p w:rsidR="002B74E7" w:rsidRDefault="002B74E7" w:rsidP="002B74E7">
      <w:pPr>
        <w:pStyle w:val="Actdetails"/>
      </w:pPr>
      <w:r>
        <w:t>notified LR 26 August 2016</w:t>
      </w:r>
    </w:p>
    <w:p w:rsidR="002B74E7" w:rsidRDefault="002B74E7" w:rsidP="002B74E7">
      <w:pPr>
        <w:pStyle w:val="Actdetails"/>
      </w:pPr>
      <w:r>
        <w:t>s 1, s 2 commenced 26 August 2016 (LA s 75 (1))</w:t>
      </w:r>
    </w:p>
    <w:p w:rsidR="002B74E7" w:rsidRPr="00A717D4" w:rsidRDefault="002B74E7" w:rsidP="00F93509">
      <w:pPr>
        <w:pStyle w:val="Actdetails"/>
      </w:pPr>
      <w:r w:rsidRPr="00A717D4">
        <w:t>sch 4 pt 4.11 commence</w:t>
      </w:r>
      <w:r w:rsidR="00A717D4">
        <w:t>d</w:t>
      </w:r>
      <w:r w:rsidRPr="00A717D4">
        <w:t xml:space="preserve"> 1 January 2018 (s 2 as am by </w:t>
      </w:r>
      <w:hyperlink r:id="rId247" w:tooltip="Justice and Community Safety Legislation Amendment Act 2017 (No 2)" w:history="1">
        <w:r w:rsidRPr="00A717D4">
          <w:rPr>
            <w:rStyle w:val="Hyperlink"/>
            <w:u w:val="none"/>
          </w:rPr>
          <w:t>A2017-14</w:t>
        </w:r>
      </w:hyperlink>
      <w:r w:rsidRPr="00A717D4">
        <w:t xml:space="preserve"> s</w:t>
      </w:r>
      <w:r w:rsidR="00F709D2" w:rsidRPr="00A717D4">
        <w:t> </w:t>
      </w:r>
      <w:r w:rsidRPr="00A717D4">
        <w:t>19)</w:t>
      </w:r>
    </w:p>
    <w:p w:rsidR="00160373" w:rsidRDefault="00DC28D5" w:rsidP="00160373">
      <w:pPr>
        <w:pStyle w:val="NewAct"/>
      </w:pPr>
      <w:hyperlink r:id="rId248" w:tooltip="A2017-14" w:history="1">
        <w:r w:rsidR="00160373">
          <w:rPr>
            <w:rStyle w:val="charCitHyperlinkAbbrev"/>
          </w:rPr>
          <w:t>Justice and Community Safety Legislation Amendment Act 2017 (No 2)</w:t>
        </w:r>
      </w:hyperlink>
      <w:r w:rsidR="00160373">
        <w:t xml:space="preserve"> A2017-14 s 19</w:t>
      </w:r>
    </w:p>
    <w:p w:rsidR="00160373" w:rsidRDefault="00160373" w:rsidP="00160373">
      <w:pPr>
        <w:pStyle w:val="Actdetails"/>
      </w:pPr>
      <w:r>
        <w:t>notified LR 17 May 2017</w:t>
      </w:r>
    </w:p>
    <w:p w:rsidR="00160373" w:rsidRDefault="00160373" w:rsidP="00160373">
      <w:pPr>
        <w:pStyle w:val="Actdetails"/>
      </w:pPr>
      <w:r>
        <w:t>s 1, s 2 commenced 17 May 2017 (LA s 75 (1))</w:t>
      </w:r>
    </w:p>
    <w:p w:rsidR="00160373" w:rsidRDefault="00160373" w:rsidP="00160373">
      <w:pPr>
        <w:pStyle w:val="Actdetails"/>
      </w:pPr>
      <w:r>
        <w:t>s 19 commenced 24 May 2017 (s 2 (1))</w:t>
      </w:r>
    </w:p>
    <w:p w:rsidR="00160373" w:rsidRPr="00160373" w:rsidRDefault="00160373" w:rsidP="00160373">
      <w:pPr>
        <w:pStyle w:val="LegHistNote"/>
      </w:pPr>
      <w:r>
        <w:rPr>
          <w:i/>
        </w:rPr>
        <w:t>Note</w:t>
      </w:r>
      <w:r>
        <w:rPr>
          <w:i/>
        </w:rPr>
        <w:tab/>
      </w:r>
      <w:r>
        <w:t xml:space="preserve">This Act only amends the Freedom of Information Act 2016 </w:t>
      </w:r>
      <w:hyperlink r:id="rId249" w:tooltip="Freedom of Information Act 2016" w:history="1">
        <w:r w:rsidRPr="0026030E">
          <w:rPr>
            <w:rStyle w:val="charCitHyperlinkAbbrev"/>
          </w:rPr>
          <w:t>A2016-55</w:t>
        </w:r>
      </w:hyperlink>
      <w:r>
        <w:t>.</w:t>
      </w:r>
    </w:p>
    <w:p w:rsidR="00006B7B" w:rsidRDefault="00DC28D5" w:rsidP="00006B7B">
      <w:pPr>
        <w:pStyle w:val="NewAct"/>
      </w:pPr>
      <w:hyperlink r:id="rId250" w:tooltip="A2017-15" w:history="1">
        <w:r w:rsidR="00006B7B">
          <w:rPr>
            <w:rStyle w:val="charCitHyperlinkAbbrev"/>
          </w:rPr>
          <w:t>Gene Technology Amendment Act 2017</w:t>
        </w:r>
      </w:hyperlink>
      <w:r w:rsidR="00006B7B">
        <w:t xml:space="preserve"> A2017-15 pt 2</w:t>
      </w:r>
    </w:p>
    <w:p w:rsidR="00006B7B" w:rsidRDefault="00006B7B" w:rsidP="00006B7B">
      <w:pPr>
        <w:pStyle w:val="Actdetails"/>
      </w:pPr>
      <w:r>
        <w:t xml:space="preserve">notified LR </w:t>
      </w:r>
      <w:r w:rsidR="00CB1D8C">
        <w:t>14 June 2017</w:t>
      </w:r>
    </w:p>
    <w:p w:rsidR="00006B7B" w:rsidRDefault="00006B7B" w:rsidP="00006B7B">
      <w:pPr>
        <w:pStyle w:val="Actdetails"/>
      </w:pPr>
      <w:r>
        <w:t xml:space="preserve">s 1, s 2 commenced </w:t>
      </w:r>
      <w:r w:rsidR="00CB1D8C">
        <w:t>14 June 2017</w:t>
      </w:r>
      <w:r>
        <w:t xml:space="preserve"> (LA s 75 (1))</w:t>
      </w:r>
    </w:p>
    <w:p w:rsidR="00006B7B" w:rsidRPr="00CB1D8C" w:rsidRDefault="00CB1D8C" w:rsidP="00006B7B">
      <w:pPr>
        <w:pStyle w:val="Actdetails"/>
      </w:pPr>
      <w:r w:rsidRPr="00CB1D8C">
        <w:t>pt 2 commenced 15 June 2017</w:t>
      </w:r>
      <w:r>
        <w:t xml:space="preserve"> (s 2)</w:t>
      </w:r>
    </w:p>
    <w:p w:rsidR="00F93509" w:rsidRPr="00466EB6" w:rsidRDefault="00F93509" w:rsidP="00F93509">
      <w:pPr>
        <w:pStyle w:val="PageBreak"/>
      </w:pPr>
      <w:r w:rsidRPr="00466EB6">
        <w:br w:type="page"/>
      </w:r>
    </w:p>
    <w:p w:rsidR="00F93509" w:rsidRPr="00325B6A" w:rsidRDefault="00F93509" w:rsidP="00F93509">
      <w:pPr>
        <w:pStyle w:val="Endnote20"/>
      </w:pPr>
      <w:bookmarkStart w:id="288" w:name="_Toc526844765"/>
      <w:r w:rsidRPr="00325B6A">
        <w:rPr>
          <w:rStyle w:val="charTableNo"/>
        </w:rPr>
        <w:t>4</w:t>
      </w:r>
      <w:r>
        <w:tab/>
      </w:r>
      <w:r w:rsidRPr="00325B6A">
        <w:rPr>
          <w:rStyle w:val="charTableText"/>
        </w:rPr>
        <w:t>Amendment history</w:t>
      </w:r>
      <w:bookmarkEnd w:id="288"/>
    </w:p>
    <w:p w:rsidR="00F93509" w:rsidRDefault="00F93509" w:rsidP="00F93509">
      <w:pPr>
        <w:pStyle w:val="AmdtsEntryHd"/>
      </w:pPr>
      <w:r>
        <w:t>Commencement</w:t>
      </w:r>
    </w:p>
    <w:p w:rsidR="00F93509" w:rsidRDefault="00F93509" w:rsidP="00F93509">
      <w:pPr>
        <w:pStyle w:val="AmdtsEntries"/>
      </w:pPr>
      <w:r>
        <w:t>s 2</w:t>
      </w:r>
      <w:r>
        <w:tab/>
        <w:t>om LA s 89 (4)</w:t>
      </w:r>
    </w:p>
    <w:p w:rsidR="00A35680" w:rsidRDefault="00A35680" w:rsidP="00A35680">
      <w:pPr>
        <w:pStyle w:val="AmdtsEntryHd"/>
      </w:pPr>
      <w:r w:rsidRPr="00E2623C">
        <w:t>Independence of regulator</w:t>
      </w:r>
    </w:p>
    <w:p w:rsidR="00A35680" w:rsidRDefault="00A35680" w:rsidP="00F93509">
      <w:pPr>
        <w:pStyle w:val="AmdtsEntries"/>
      </w:pPr>
      <w:r>
        <w:t>s 30</w:t>
      </w:r>
      <w:r>
        <w:tab/>
        <w:t xml:space="preserve">am </w:t>
      </w:r>
      <w:hyperlink r:id="rId251" w:tooltip="Gene Technology Amendment Act 2017" w:history="1">
        <w:r>
          <w:rPr>
            <w:rStyle w:val="charCitHyperlinkAbbrev"/>
          </w:rPr>
          <w:t>A2017-15</w:t>
        </w:r>
      </w:hyperlink>
      <w:r>
        <w:t xml:space="preserve"> s 4</w:t>
      </w:r>
    </w:p>
    <w:p w:rsidR="00F93509" w:rsidRDefault="00F93509" w:rsidP="00F93509">
      <w:pPr>
        <w:pStyle w:val="AmdtsEntryHd"/>
      </w:pPr>
      <w:r>
        <w:t>Simplified outline—pt 4</w:t>
      </w:r>
    </w:p>
    <w:p w:rsidR="00F93509" w:rsidRDefault="00F93509" w:rsidP="00F93509">
      <w:pPr>
        <w:pStyle w:val="AmdtsEntries"/>
      </w:pPr>
      <w:r>
        <w:t>s 31</w:t>
      </w:r>
      <w:r>
        <w:tab/>
        <w:t xml:space="preserve">am </w:t>
      </w:r>
      <w:hyperlink r:id="rId252" w:tooltip="Gene Technology Amendment Act 2008" w:history="1">
        <w:r w:rsidRPr="00903C3C">
          <w:rPr>
            <w:rStyle w:val="charCitHyperlinkAbbrev"/>
          </w:rPr>
          <w:t>A2008</w:t>
        </w:r>
        <w:r w:rsidRPr="00903C3C">
          <w:rPr>
            <w:rStyle w:val="charCitHyperlinkAbbrev"/>
          </w:rPr>
          <w:noBreakHyphen/>
          <w:t>10</w:t>
        </w:r>
      </w:hyperlink>
      <w:r>
        <w:t xml:space="preserve"> s 4</w:t>
      </w:r>
    </w:p>
    <w:p w:rsidR="00F93509" w:rsidRDefault="00F93509" w:rsidP="00F93509">
      <w:pPr>
        <w:pStyle w:val="AmdtsEntryHd"/>
      </w:pPr>
      <w:r>
        <w:t>Person not to deal with GMO without licence</w:t>
      </w:r>
    </w:p>
    <w:p w:rsidR="00F93509" w:rsidRDefault="00F93509" w:rsidP="00F93509">
      <w:pPr>
        <w:pStyle w:val="AmdtsEntries"/>
      </w:pPr>
      <w:r>
        <w:t>s 32</w:t>
      </w:r>
      <w:r>
        <w:tab/>
        <w:t xml:space="preserve">sub </w:t>
      </w:r>
      <w:hyperlink r:id="rId253" w:tooltip="Gene Technology Amendment Act 2008" w:history="1">
        <w:r w:rsidRPr="00903C3C">
          <w:rPr>
            <w:rStyle w:val="charCitHyperlinkAbbrev"/>
          </w:rPr>
          <w:t>A2008</w:t>
        </w:r>
        <w:r w:rsidRPr="00903C3C">
          <w:rPr>
            <w:rStyle w:val="charCitHyperlinkAbbrev"/>
          </w:rPr>
          <w:noBreakHyphen/>
          <w:t>10</w:t>
        </w:r>
      </w:hyperlink>
      <w:r>
        <w:t xml:space="preserve"> s 5</w:t>
      </w:r>
    </w:p>
    <w:p w:rsidR="00F93509" w:rsidRDefault="00F93509" w:rsidP="00F93509">
      <w:pPr>
        <w:pStyle w:val="AmdtsEntryHd"/>
      </w:pPr>
      <w:r>
        <w:t>Person not to deal with GMO without licence—strict liability offence</w:t>
      </w:r>
    </w:p>
    <w:p w:rsidR="00F93509" w:rsidRDefault="00F93509" w:rsidP="00F93509">
      <w:pPr>
        <w:pStyle w:val="AmdtsEntries"/>
      </w:pPr>
      <w:r>
        <w:t>s 33</w:t>
      </w:r>
      <w:r>
        <w:tab/>
        <w:t xml:space="preserve">am </w:t>
      </w:r>
      <w:hyperlink r:id="rId254" w:tooltip="Gene Technology Amendment Act 2008" w:history="1">
        <w:r w:rsidRPr="00903C3C">
          <w:rPr>
            <w:rStyle w:val="charCitHyperlinkAbbrev"/>
          </w:rPr>
          <w:t>A2008</w:t>
        </w:r>
        <w:r w:rsidRPr="00903C3C">
          <w:rPr>
            <w:rStyle w:val="charCitHyperlinkAbbrev"/>
          </w:rPr>
          <w:noBreakHyphen/>
          <w:t>10</w:t>
        </w:r>
      </w:hyperlink>
      <w:r>
        <w:t xml:space="preserve"> s 6, s 7</w:t>
      </w:r>
    </w:p>
    <w:p w:rsidR="00F93509" w:rsidRDefault="00F93509" w:rsidP="00F93509">
      <w:pPr>
        <w:pStyle w:val="AmdtsEntryHd"/>
      </w:pPr>
      <w:r>
        <w:t>Person must not breach conditions of GMO licence</w:t>
      </w:r>
    </w:p>
    <w:p w:rsidR="00F93509" w:rsidRDefault="00F93509" w:rsidP="00F93509">
      <w:pPr>
        <w:pStyle w:val="AmdtsEntries"/>
      </w:pPr>
      <w:r>
        <w:t>s 34</w:t>
      </w:r>
      <w:r>
        <w:tab/>
        <w:t xml:space="preserve">am </w:t>
      </w:r>
      <w:hyperlink r:id="rId255" w:tooltip="Gene Technology Amendment Act 2008" w:history="1">
        <w:r w:rsidRPr="00903C3C">
          <w:rPr>
            <w:rStyle w:val="charCitHyperlinkAbbrev"/>
          </w:rPr>
          <w:t>A2008</w:t>
        </w:r>
        <w:r w:rsidRPr="00903C3C">
          <w:rPr>
            <w:rStyle w:val="charCitHyperlinkAbbrev"/>
          </w:rPr>
          <w:noBreakHyphen/>
          <w:t>10</w:t>
        </w:r>
      </w:hyperlink>
      <w:r>
        <w:t xml:space="preserve"> s 8, s 9</w:t>
      </w:r>
    </w:p>
    <w:p w:rsidR="00F93509" w:rsidRDefault="00F93509" w:rsidP="00F93509">
      <w:pPr>
        <w:pStyle w:val="AmdtsEntryHd"/>
      </w:pPr>
      <w:r>
        <w:t>Person must not breach conditions of emergency dealing determination</w:t>
      </w:r>
    </w:p>
    <w:p w:rsidR="00F93509" w:rsidRDefault="00F93509" w:rsidP="00F93509">
      <w:pPr>
        <w:pStyle w:val="AmdtsEntries"/>
      </w:pPr>
      <w:r>
        <w:t>s 35A</w:t>
      </w:r>
      <w:r>
        <w:tab/>
        <w:t xml:space="preserve">ins </w:t>
      </w:r>
      <w:hyperlink r:id="rId256" w:tooltip="Gene Technology Amendment Act 2008" w:history="1">
        <w:r w:rsidRPr="00903C3C">
          <w:rPr>
            <w:rStyle w:val="charCitHyperlinkAbbrev"/>
          </w:rPr>
          <w:t>A2008</w:t>
        </w:r>
        <w:r w:rsidRPr="00903C3C">
          <w:rPr>
            <w:rStyle w:val="charCitHyperlinkAbbrev"/>
          </w:rPr>
          <w:noBreakHyphen/>
          <w:t>10</w:t>
        </w:r>
      </w:hyperlink>
      <w:r>
        <w:t xml:space="preserve"> s 10</w:t>
      </w:r>
    </w:p>
    <w:p w:rsidR="00F93509" w:rsidRDefault="00F93509" w:rsidP="00F93509">
      <w:pPr>
        <w:pStyle w:val="AmdtsEntryHd"/>
      </w:pPr>
      <w:r>
        <w:t>Person must not breach conditions of emergency dealing determination—strict liability offence</w:t>
      </w:r>
    </w:p>
    <w:p w:rsidR="00F93509" w:rsidRDefault="00F93509" w:rsidP="00F93509">
      <w:pPr>
        <w:pStyle w:val="AmdtsEntries"/>
      </w:pPr>
      <w:r>
        <w:t>s 35B</w:t>
      </w:r>
      <w:r>
        <w:tab/>
        <w:t xml:space="preserve">ins </w:t>
      </w:r>
      <w:hyperlink r:id="rId257" w:tooltip="Gene Technology Amendment Act 2008" w:history="1">
        <w:r w:rsidRPr="00903C3C">
          <w:rPr>
            <w:rStyle w:val="charCitHyperlinkAbbrev"/>
          </w:rPr>
          <w:t>A2008</w:t>
        </w:r>
        <w:r w:rsidRPr="00903C3C">
          <w:rPr>
            <w:rStyle w:val="charCitHyperlinkAbbrev"/>
          </w:rPr>
          <w:noBreakHyphen/>
          <w:t>10</w:t>
        </w:r>
      </w:hyperlink>
      <w:r>
        <w:t xml:space="preserve"> s 10</w:t>
      </w:r>
    </w:p>
    <w:p w:rsidR="00F93509" w:rsidRDefault="00F93509" w:rsidP="00F93509">
      <w:pPr>
        <w:pStyle w:val="AmdtsEntryHd"/>
      </w:pPr>
      <w:r>
        <w:t>Licences relating to inadvertent dealings</w:t>
      </w:r>
    </w:p>
    <w:p w:rsidR="00F93509" w:rsidRDefault="00F93509" w:rsidP="00F93509">
      <w:pPr>
        <w:pStyle w:val="AmdtsEntries"/>
      </w:pPr>
      <w:r>
        <w:t>s 40A</w:t>
      </w:r>
      <w:r>
        <w:tab/>
        <w:t xml:space="preserve">ins </w:t>
      </w:r>
      <w:hyperlink r:id="rId258" w:tooltip="Gene Technology Amendment Act 2008" w:history="1">
        <w:r w:rsidRPr="00903C3C">
          <w:rPr>
            <w:rStyle w:val="charCitHyperlinkAbbrev"/>
          </w:rPr>
          <w:t>A2008</w:t>
        </w:r>
        <w:r w:rsidRPr="00903C3C">
          <w:rPr>
            <w:rStyle w:val="charCitHyperlinkAbbrev"/>
          </w:rPr>
          <w:noBreakHyphen/>
          <w:t>10</w:t>
        </w:r>
      </w:hyperlink>
      <w:r>
        <w:t xml:space="preserve"> s 11</w:t>
      </w:r>
    </w:p>
    <w:p w:rsidR="00F93509" w:rsidRDefault="00F93509" w:rsidP="00F93509">
      <w:pPr>
        <w:pStyle w:val="AmdtsEntryHd"/>
      </w:pPr>
      <w:r>
        <w:t>Regulator may require applicant to give further information</w:t>
      </w:r>
    </w:p>
    <w:p w:rsidR="00F93509" w:rsidRDefault="00F93509" w:rsidP="00F93509">
      <w:pPr>
        <w:pStyle w:val="AmdtsEntries"/>
      </w:pPr>
      <w:r>
        <w:t>s 42</w:t>
      </w:r>
      <w:r>
        <w:tab/>
        <w:t xml:space="preserve">am </w:t>
      </w:r>
      <w:hyperlink r:id="rId259" w:tooltip="Gene Technology Amendment Act 2008" w:history="1">
        <w:r w:rsidRPr="00903C3C">
          <w:rPr>
            <w:rStyle w:val="charCitHyperlinkAbbrev"/>
          </w:rPr>
          <w:t>A2008</w:t>
        </w:r>
        <w:r w:rsidRPr="00903C3C">
          <w:rPr>
            <w:rStyle w:val="charCitHyperlinkAbbrev"/>
          </w:rPr>
          <w:noBreakHyphen/>
          <w:t>10</w:t>
        </w:r>
      </w:hyperlink>
      <w:r>
        <w:t xml:space="preserve"> s 12</w:t>
      </w:r>
    </w:p>
    <w:p w:rsidR="00F93509" w:rsidRDefault="00F93509" w:rsidP="00F93509">
      <w:pPr>
        <w:pStyle w:val="AmdtsEntryHd"/>
      </w:pPr>
      <w:r>
        <w:t>Regulator must consider applications except in certain circumstances</w:t>
      </w:r>
    </w:p>
    <w:p w:rsidR="00F93509" w:rsidRDefault="00F93509" w:rsidP="00F93509">
      <w:pPr>
        <w:pStyle w:val="AmdtsEntries"/>
      </w:pPr>
      <w:r>
        <w:t>s 43</w:t>
      </w:r>
      <w:r>
        <w:tab/>
        <w:t xml:space="preserve">am </w:t>
      </w:r>
      <w:hyperlink r:id="rId260" w:tooltip="Gene Technology Amendment Act 2008" w:history="1">
        <w:r w:rsidRPr="00903C3C">
          <w:rPr>
            <w:rStyle w:val="charCitHyperlinkAbbrev"/>
          </w:rPr>
          <w:t>A2008</w:t>
        </w:r>
        <w:r w:rsidRPr="00903C3C">
          <w:rPr>
            <w:rStyle w:val="charCitHyperlinkAbbrev"/>
          </w:rPr>
          <w:noBreakHyphen/>
          <w:t>10</w:t>
        </w:r>
      </w:hyperlink>
      <w:r>
        <w:t xml:space="preserve"> s 13, s 14</w:t>
      </w:r>
    </w:p>
    <w:p w:rsidR="00F93509" w:rsidRDefault="00F93509" w:rsidP="00F93509">
      <w:pPr>
        <w:pStyle w:val="AmdtsEntryHd"/>
      </w:pPr>
      <w:r>
        <w:t>Division does not apply to an application relating to inadvertent dealings</w:t>
      </w:r>
    </w:p>
    <w:p w:rsidR="00F93509" w:rsidRDefault="00F93509" w:rsidP="00F93509">
      <w:pPr>
        <w:pStyle w:val="AmdtsEntries"/>
      </w:pPr>
      <w:r>
        <w:t>s 46A</w:t>
      </w:r>
      <w:r>
        <w:tab/>
        <w:t xml:space="preserve">ins </w:t>
      </w:r>
      <w:hyperlink r:id="rId261" w:tooltip="Gene Technology Amendment Act 2008" w:history="1">
        <w:r w:rsidRPr="00903C3C">
          <w:rPr>
            <w:rStyle w:val="charCitHyperlinkAbbrev"/>
          </w:rPr>
          <w:t>A2008</w:t>
        </w:r>
        <w:r w:rsidRPr="00903C3C">
          <w:rPr>
            <w:rStyle w:val="charCitHyperlinkAbbrev"/>
          </w:rPr>
          <w:noBreakHyphen/>
          <w:t>10</w:t>
        </w:r>
      </w:hyperlink>
      <w:r>
        <w:t xml:space="preserve"> s 15</w:t>
      </w:r>
    </w:p>
    <w:p w:rsidR="00966FB8" w:rsidRDefault="00966FB8" w:rsidP="00F93509">
      <w:pPr>
        <w:pStyle w:val="AmdtsEntries"/>
      </w:pPr>
      <w:r>
        <w:tab/>
        <w:t xml:space="preserve">am </w:t>
      </w:r>
      <w:hyperlink r:id="rId262" w:tooltip="Gene Technology Amendment Act 2017" w:history="1">
        <w:r>
          <w:rPr>
            <w:rStyle w:val="charCitHyperlinkAbbrev"/>
          </w:rPr>
          <w:t>A2017-15</w:t>
        </w:r>
      </w:hyperlink>
      <w:r w:rsidR="001E6F5F">
        <w:t xml:space="preserve"> s 5</w:t>
      </w:r>
    </w:p>
    <w:p w:rsidR="00F93509" w:rsidRDefault="00F93509" w:rsidP="00F93509">
      <w:pPr>
        <w:pStyle w:val="AmdtsEntryHd"/>
      </w:pPr>
      <w:r>
        <w:t>Division does not apply to an application relating to inadvertent dealings</w:t>
      </w:r>
    </w:p>
    <w:p w:rsidR="00F93509" w:rsidRDefault="00F93509" w:rsidP="00F93509">
      <w:pPr>
        <w:pStyle w:val="AmdtsEntries"/>
      </w:pPr>
      <w:r>
        <w:t>s 49</w:t>
      </w:r>
      <w:r>
        <w:tab/>
        <w:t xml:space="preserve">sub </w:t>
      </w:r>
      <w:hyperlink r:id="rId263" w:tooltip="Gene Technology Amendment Act 2008" w:history="1">
        <w:r w:rsidRPr="00903C3C">
          <w:rPr>
            <w:rStyle w:val="charCitHyperlinkAbbrev"/>
          </w:rPr>
          <w:t>A2008</w:t>
        </w:r>
        <w:r w:rsidRPr="00903C3C">
          <w:rPr>
            <w:rStyle w:val="charCitHyperlinkAbbrev"/>
          </w:rPr>
          <w:noBreakHyphen/>
          <w:t>10</w:t>
        </w:r>
      </w:hyperlink>
      <w:r>
        <w:t xml:space="preserve"> s 16</w:t>
      </w:r>
    </w:p>
    <w:p w:rsidR="002746D3" w:rsidRDefault="002746D3" w:rsidP="00F93509">
      <w:pPr>
        <w:pStyle w:val="AmdtsEntries"/>
      </w:pPr>
      <w:r>
        <w:tab/>
        <w:t xml:space="preserve">am </w:t>
      </w:r>
      <w:hyperlink r:id="rId264" w:tooltip="Gene Technology Amendment Act 2017" w:history="1">
        <w:r>
          <w:rPr>
            <w:rStyle w:val="charCitHyperlinkAbbrev"/>
          </w:rPr>
          <w:t>A2017-15</w:t>
        </w:r>
      </w:hyperlink>
      <w:r>
        <w:t xml:space="preserve"> s 6</w:t>
      </w:r>
    </w:p>
    <w:p w:rsidR="00F93509" w:rsidRDefault="00F93509" w:rsidP="00F93509">
      <w:pPr>
        <w:pStyle w:val="AmdtsEntryHd"/>
      </w:pPr>
      <w:r>
        <w:t>Regulator must prepare risk assessment and risk management plan</w:t>
      </w:r>
    </w:p>
    <w:p w:rsidR="00F93509" w:rsidRDefault="00F93509" w:rsidP="00F93509">
      <w:pPr>
        <w:pStyle w:val="AmdtsEntries"/>
      </w:pPr>
      <w:r>
        <w:t>s 50</w:t>
      </w:r>
      <w:r>
        <w:tab/>
        <w:t xml:space="preserve">am </w:t>
      </w:r>
      <w:hyperlink r:id="rId265" w:tooltip="Gene Technology Amendment Act 2008" w:history="1">
        <w:r w:rsidRPr="00903C3C">
          <w:rPr>
            <w:rStyle w:val="charCitHyperlinkAbbrev"/>
          </w:rPr>
          <w:t>A2008</w:t>
        </w:r>
        <w:r w:rsidRPr="00903C3C">
          <w:rPr>
            <w:rStyle w:val="charCitHyperlinkAbbrev"/>
          </w:rPr>
          <w:noBreakHyphen/>
          <w:t>10</w:t>
        </w:r>
      </w:hyperlink>
      <w:r>
        <w:t xml:space="preserve"> s 17, s 18</w:t>
      </w:r>
    </w:p>
    <w:p w:rsidR="00F93509" w:rsidRDefault="00F93509" w:rsidP="00F93509">
      <w:pPr>
        <w:pStyle w:val="AmdtsEntryHd"/>
      </w:pPr>
      <w:r>
        <w:t>Limited and controlled release applications</w:t>
      </w:r>
    </w:p>
    <w:p w:rsidR="00F93509" w:rsidRDefault="00F93509" w:rsidP="00F93509">
      <w:pPr>
        <w:pStyle w:val="AmdtsEntries"/>
      </w:pPr>
      <w:r>
        <w:t>s 50A</w:t>
      </w:r>
      <w:r>
        <w:tab/>
        <w:t xml:space="preserve">ins </w:t>
      </w:r>
      <w:hyperlink r:id="rId266" w:tooltip="Gene Technology Amendment Act 2008" w:history="1">
        <w:r w:rsidRPr="00903C3C">
          <w:rPr>
            <w:rStyle w:val="charCitHyperlinkAbbrev"/>
          </w:rPr>
          <w:t>A2008</w:t>
        </w:r>
        <w:r w:rsidRPr="00903C3C">
          <w:rPr>
            <w:rStyle w:val="charCitHyperlinkAbbrev"/>
          </w:rPr>
          <w:noBreakHyphen/>
          <w:t>10</w:t>
        </w:r>
      </w:hyperlink>
      <w:r>
        <w:t xml:space="preserve"> s 19</w:t>
      </w:r>
    </w:p>
    <w:p w:rsidR="00F93509" w:rsidRDefault="00F93509" w:rsidP="00F93509">
      <w:pPr>
        <w:pStyle w:val="AmdtsEntryHd"/>
      </w:pPr>
      <w:r>
        <w:t>Matters regulator must take into account in preparing risk assessment and risk management plan</w:t>
      </w:r>
    </w:p>
    <w:p w:rsidR="00F93509" w:rsidRDefault="00F93509" w:rsidP="00F93509">
      <w:pPr>
        <w:pStyle w:val="AmdtsEntries"/>
      </w:pPr>
      <w:r>
        <w:t>s 51</w:t>
      </w:r>
      <w:r>
        <w:tab/>
        <w:t xml:space="preserve">am </w:t>
      </w:r>
      <w:hyperlink r:id="rId267" w:tooltip="Gene Technology Amendment Act 2008" w:history="1">
        <w:r w:rsidRPr="00903C3C">
          <w:rPr>
            <w:rStyle w:val="charCitHyperlinkAbbrev"/>
          </w:rPr>
          <w:t>A2008</w:t>
        </w:r>
        <w:r w:rsidRPr="00903C3C">
          <w:rPr>
            <w:rStyle w:val="charCitHyperlinkAbbrev"/>
          </w:rPr>
          <w:noBreakHyphen/>
          <w:t>10</w:t>
        </w:r>
      </w:hyperlink>
      <w:r>
        <w:t xml:space="preserve"> ss 20-22</w:t>
      </w:r>
    </w:p>
    <w:p w:rsidR="00F93509" w:rsidRDefault="00F93509" w:rsidP="00F93509">
      <w:pPr>
        <w:pStyle w:val="AmdtsEntryHd"/>
      </w:pPr>
      <w:r>
        <w:t>Public notification of risk assessment and risk management plan</w:t>
      </w:r>
    </w:p>
    <w:p w:rsidR="00F93509" w:rsidRPr="009D18EA" w:rsidRDefault="00F93509" w:rsidP="00F93509">
      <w:pPr>
        <w:pStyle w:val="AmdtsEntries"/>
      </w:pPr>
      <w:r>
        <w:t>s 52</w:t>
      </w:r>
      <w:r>
        <w:tab/>
        <w:t xml:space="preserve">am </w:t>
      </w:r>
      <w:hyperlink r:id="rId268" w:tooltip="Gene Technology Amendment Act 2008" w:history="1">
        <w:r w:rsidRPr="00903C3C">
          <w:rPr>
            <w:rStyle w:val="charCitHyperlinkAbbrev"/>
          </w:rPr>
          <w:t>A2008</w:t>
        </w:r>
        <w:r w:rsidRPr="00903C3C">
          <w:rPr>
            <w:rStyle w:val="charCitHyperlinkAbbrev"/>
          </w:rPr>
          <w:noBreakHyphen/>
          <w:t>10</w:t>
        </w:r>
      </w:hyperlink>
      <w:r>
        <w:t xml:space="preserve"> ss 23-25; </w:t>
      </w:r>
      <w:hyperlink r:id="rId269" w:tooltip="Red Tape Reduction Legislation Amendment Act 2015" w:history="1">
        <w:r w:rsidRPr="009D18EA">
          <w:rPr>
            <w:rStyle w:val="charCitHyperlinkAbbrev"/>
          </w:rPr>
          <w:t>A2015</w:t>
        </w:r>
        <w:r w:rsidRPr="009D18EA">
          <w:rPr>
            <w:rStyle w:val="charCitHyperlinkAbbrev"/>
          </w:rPr>
          <w:noBreakHyphen/>
          <w:t>33</w:t>
        </w:r>
      </w:hyperlink>
      <w:r>
        <w:t xml:space="preserve"> amdt 1.104</w:t>
      </w:r>
    </w:p>
    <w:p w:rsidR="00F93509" w:rsidRDefault="00F93509" w:rsidP="00F93509">
      <w:pPr>
        <w:pStyle w:val="AmdtsEntryHd"/>
      </w:pPr>
      <w:r>
        <w:t>Regulator must not issue the licence unless satisfied as to risk management</w:t>
      </w:r>
    </w:p>
    <w:p w:rsidR="00F93509" w:rsidRDefault="00F93509" w:rsidP="00F93509">
      <w:pPr>
        <w:pStyle w:val="AmdtsEntries"/>
      </w:pPr>
      <w:r>
        <w:t>s 56</w:t>
      </w:r>
      <w:r>
        <w:tab/>
        <w:t xml:space="preserve">am </w:t>
      </w:r>
      <w:hyperlink r:id="rId270" w:tooltip="Gene Technology Amendment Act 2008" w:history="1">
        <w:r w:rsidRPr="00903C3C">
          <w:rPr>
            <w:rStyle w:val="charCitHyperlinkAbbrev"/>
          </w:rPr>
          <w:t>A2008</w:t>
        </w:r>
        <w:r w:rsidRPr="00903C3C">
          <w:rPr>
            <w:rStyle w:val="charCitHyperlinkAbbrev"/>
          </w:rPr>
          <w:noBreakHyphen/>
          <w:t>10</w:t>
        </w:r>
      </w:hyperlink>
      <w:r>
        <w:t xml:space="preserve"> s 26, s 27</w:t>
      </w:r>
    </w:p>
    <w:p w:rsidR="00F93509" w:rsidRDefault="00F93509" w:rsidP="00F93509">
      <w:pPr>
        <w:pStyle w:val="AmdtsEntryHd"/>
      </w:pPr>
      <w:r>
        <w:t>Other circumstances in which regulator must not issue the licence</w:t>
      </w:r>
    </w:p>
    <w:p w:rsidR="00F93509" w:rsidRDefault="00F93509" w:rsidP="00F93509">
      <w:pPr>
        <w:pStyle w:val="AmdtsEntries"/>
      </w:pPr>
      <w:r>
        <w:t>s 57</w:t>
      </w:r>
      <w:r>
        <w:tab/>
        <w:t xml:space="preserve">am </w:t>
      </w:r>
      <w:hyperlink r:id="rId271" w:tooltip="Gene Technology Amendment Act 2008" w:history="1">
        <w:r w:rsidRPr="00903C3C">
          <w:rPr>
            <w:rStyle w:val="charCitHyperlinkAbbrev"/>
          </w:rPr>
          <w:t>A2008</w:t>
        </w:r>
        <w:r w:rsidRPr="00903C3C">
          <w:rPr>
            <w:rStyle w:val="charCitHyperlinkAbbrev"/>
          </w:rPr>
          <w:noBreakHyphen/>
          <w:t>10</w:t>
        </w:r>
      </w:hyperlink>
      <w:r>
        <w:t xml:space="preserve"> s 28</w:t>
      </w:r>
    </w:p>
    <w:p w:rsidR="00F93509" w:rsidRDefault="00F93509" w:rsidP="00F93509">
      <w:pPr>
        <w:pStyle w:val="AmdtsEntryHd"/>
      </w:pPr>
      <w:r>
        <w:t>Period of licence</w:t>
      </w:r>
    </w:p>
    <w:p w:rsidR="00F93509" w:rsidRDefault="00F93509" w:rsidP="00F93509">
      <w:pPr>
        <w:pStyle w:val="AmdtsEntries"/>
      </w:pPr>
      <w:r>
        <w:t>s 60</w:t>
      </w:r>
      <w:r>
        <w:tab/>
        <w:t xml:space="preserve">am </w:t>
      </w:r>
      <w:hyperlink r:id="rId272" w:tooltip="Gene Technology Amendment Act 2008" w:history="1">
        <w:r w:rsidRPr="00903C3C">
          <w:rPr>
            <w:rStyle w:val="charCitHyperlinkAbbrev"/>
          </w:rPr>
          <w:t>A2008</w:t>
        </w:r>
        <w:r w:rsidRPr="00903C3C">
          <w:rPr>
            <w:rStyle w:val="charCitHyperlinkAbbrev"/>
          </w:rPr>
          <w:noBreakHyphen/>
          <w:t>10</w:t>
        </w:r>
      </w:hyperlink>
      <w:r>
        <w:t xml:space="preserve"> s 29</w:t>
      </w:r>
    </w:p>
    <w:p w:rsidR="00F93509" w:rsidRDefault="00F93509" w:rsidP="00F93509">
      <w:pPr>
        <w:pStyle w:val="AmdtsEntryHd"/>
      </w:pPr>
      <w:r>
        <w:t>Protection of persons who give information</w:t>
      </w:r>
    </w:p>
    <w:p w:rsidR="00F93509" w:rsidRDefault="00F93509" w:rsidP="00F93509">
      <w:pPr>
        <w:pStyle w:val="AmdtsEntries"/>
      </w:pPr>
      <w:r>
        <w:t>s 67</w:t>
      </w:r>
      <w:r>
        <w:tab/>
        <w:t xml:space="preserve">am </w:t>
      </w:r>
      <w:hyperlink r:id="rId273" w:tooltip="Gene Technology Amendment Act 2008" w:history="1">
        <w:r w:rsidRPr="00903C3C">
          <w:rPr>
            <w:rStyle w:val="charCitHyperlinkAbbrev"/>
          </w:rPr>
          <w:t>A2008</w:t>
        </w:r>
        <w:r w:rsidRPr="00903C3C">
          <w:rPr>
            <w:rStyle w:val="charCitHyperlinkAbbrev"/>
          </w:rPr>
          <w:noBreakHyphen/>
          <w:t>10</w:t>
        </w:r>
      </w:hyperlink>
      <w:r>
        <w:t xml:space="preserve"> s 30</w:t>
      </w:r>
    </w:p>
    <w:p w:rsidR="00F93509" w:rsidRDefault="00F93509" w:rsidP="00F93509">
      <w:pPr>
        <w:pStyle w:val="AmdtsEntryHd"/>
      </w:pPr>
      <w:r>
        <w:t>Variation of licence</w:t>
      </w:r>
    </w:p>
    <w:p w:rsidR="00F93509" w:rsidRDefault="00F93509" w:rsidP="00F93509">
      <w:pPr>
        <w:pStyle w:val="AmdtsEntries"/>
      </w:pPr>
      <w:r>
        <w:t>s 71</w:t>
      </w:r>
      <w:r>
        <w:tab/>
        <w:t xml:space="preserve">am </w:t>
      </w:r>
      <w:hyperlink r:id="rId274" w:tooltip="Gene Technology Amendment Act 2008" w:history="1">
        <w:r w:rsidRPr="00903C3C">
          <w:rPr>
            <w:rStyle w:val="charCitHyperlinkAbbrev"/>
          </w:rPr>
          <w:t>A2008</w:t>
        </w:r>
        <w:r w:rsidRPr="00903C3C">
          <w:rPr>
            <w:rStyle w:val="charCitHyperlinkAbbrev"/>
          </w:rPr>
          <w:noBreakHyphen/>
          <w:t>10</w:t>
        </w:r>
      </w:hyperlink>
      <w:r>
        <w:t xml:space="preserve"> ss 31-35</w:t>
      </w:r>
      <w:r w:rsidR="003A2017">
        <w:t xml:space="preserve">; </w:t>
      </w:r>
      <w:hyperlink r:id="rId275" w:tooltip="Gene Technology Amendment Act 2017" w:history="1">
        <w:r w:rsidR="003A2017">
          <w:rPr>
            <w:rStyle w:val="charCitHyperlinkAbbrev"/>
          </w:rPr>
          <w:t>A2017-15</w:t>
        </w:r>
      </w:hyperlink>
      <w:r w:rsidR="003A2017">
        <w:t xml:space="preserve"> s 7</w:t>
      </w:r>
    </w:p>
    <w:p w:rsidR="00F93509" w:rsidRDefault="00F93509" w:rsidP="00F93509">
      <w:pPr>
        <w:pStyle w:val="AmdtsEntryHd"/>
      </w:pPr>
      <w:r>
        <w:t>Regulator to notify of proposed suspension, cancellation or variation</w:t>
      </w:r>
    </w:p>
    <w:p w:rsidR="00F93509" w:rsidRDefault="00F93509" w:rsidP="00F93509">
      <w:pPr>
        <w:pStyle w:val="AmdtsEntries"/>
      </w:pPr>
      <w:r>
        <w:t>s 72</w:t>
      </w:r>
      <w:r>
        <w:tab/>
        <w:t xml:space="preserve">am </w:t>
      </w:r>
      <w:hyperlink r:id="rId276" w:tooltip="Gene Technology Amendment Act 2008" w:history="1">
        <w:r w:rsidRPr="00903C3C">
          <w:rPr>
            <w:rStyle w:val="charCitHyperlinkAbbrev"/>
          </w:rPr>
          <w:t>A2008</w:t>
        </w:r>
        <w:r w:rsidRPr="00903C3C">
          <w:rPr>
            <w:rStyle w:val="charCitHyperlinkAbbrev"/>
          </w:rPr>
          <w:noBreakHyphen/>
          <w:t>10</w:t>
        </w:r>
      </w:hyperlink>
      <w:r>
        <w:t xml:space="preserve"> s 36</w:t>
      </w:r>
    </w:p>
    <w:p w:rsidR="00F93509" w:rsidRDefault="00F93509" w:rsidP="00F93509">
      <w:pPr>
        <w:pStyle w:val="AmdtsEntryHd"/>
      </w:pPr>
      <w:r>
        <w:t>GMO licence—annual charge</w:t>
      </w:r>
    </w:p>
    <w:p w:rsidR="00F93509" w:rsidRDefault="00F93509" w:rsidP="00F93509">
      <w:pPr>
        <w:pStyle w:val="AmdtsEntries"/>
      </w:pPr>
      <w:r>
        <w:t>s 72AA</w:t>
      </w:r>
      <w:r>
        <w:tab/>
        <w:t xml:space="preserve">(prev s 72A) renum as s 72AA R4 LA (see </w:t>
      </w:r>
      <w:hyperlink r:id="rId277" w:tooltip="Gene Technology Amendment Act 2008" w:history="1">
        <w:r w:rsidRPr="00903C3C">
          <w:rPr>
            <w:rStyle w:val="charCitHyperlinkAbbrev"/>
          </w:rPr>
          <w:t>A2008</w:t>
        </w:r>
        <w:r w:rsidRPr="00903C3C">
          <w:rPr>
            <w:rStyle w:val="charCitHyperlinkAbbrev"/>
          </w:rPr>
          <w:noBreakHyphen/>
          <w:t>10</w:t>
        </w:r>
      </w:hyperlink>
      <w:r>
        <w:t xml:space="preserve"> s 37)</w:t>
      </w:r>
    </w:p>
    <w:p w:rsidR="00F93509" w:rsidRDefault="00F93509" w:rsidP="00F93509">
      <w:pPr>
        <w:pStyle w:val="AmdtsEntryHd"/>
      </w:pPr>
      <w:r>
        <w:t>Emergency dealing determinations</w:t>
      </w:r>
    </w:p>
    <w:p w:rsidR="00F93509" w:rsidRDefault="00F93509" w:rsidP="00F93509">
      <w:pPr>
        <w:pStyle w:val="AmdtsEntries"/>
      </w:pPr>
      <w:r>
        <w:t>pt 5A hdg</w:t>
      </w:r>
      <w:r>
        <w:tab/>
        <w:t xml:space="preserve">ins </w:t>
      </w:r>
      <w:hyperlink r:id="rId278"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Application of Commonwealth emergency dealing determinations</w:t>
      </w:r>
    </w:p>
    <w:p w:rsidR="00F93509" w:rsidRDefault="00F93509" w:rsidP="00F93509">
      <w:pPr>
        <w:pStyle w:val="AmdtsEntries"/>
      </w:pPr>
      <w:r>
        <w:t>s 72A</w:t>
      </w:r>
      <w:r>
        <w:tab/>
      </w:r>
      <w:r>
        <w:rPr>
          <w:b/>
          <w:bCs/>
        </w:rPr>
        <w:t>orig s 72A</w:t>
      </w:r>
    </w:p>
    <w:p w:rsidR="00F93509" w:rsidRDefault="00F93509" w:rsidP="00F93509">
      <w:pPr>
        <w:pStyle w:val="AmdtsEntries"/>
      </w:pPr>
      <w:r>
        <w:tab/>
        <w:t>renum as s 72AA</w:t>
      </w:r>
    </w:p>
    <w:p w:rsidR="00F93509" w:rsidRDefault="00F93509" w:rsidP="00F93509">
      <w:pPr>
        <w:pStyle w:val="AmdtsEntries"/>
        <w:rPr>
          <w:b/>
          <w:bCs/>
        </w:rPr>
      </w:pPr>
      <w:r>
        <w:tab/>
      </w:r>
      <w:r>
        <w:rPr>
          <w:b/>
          <w:bCs/>
        </w:rPr>
        <w:t>pres s 72A</w:t>
      </w:r>
    </w:p>
    <w:p w:rsidR="00F93509" w:rsidRDefault="00F93509" w:rsidP="00F93509">
      <w:pPr>
        <w:pStyle w:val="AmdtsEntries"/>
      </w:pPr>
      <w:r>
        <w:tab/>
        <w:t xml:space="preserve">ins </w:t>
      </w:r>
      <w:hyperlink r:id="rId279"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Minister may make emergency dealing determination</w:t>
      </w:r>
    </w:p>
    <w:p w:rsidR="00F93509" w:rsidRDefault="00F93509" w:rsidP="00F93509">
      <w:pPr>
        <w:pStyle w:val="AmdtsEntries"/>
      </w:pPr>
      <w:r>
        <w:t>s 72B</w:t>
      </w:r>
      <w:r>
        <w:tab/>
        <w:t xml:space="preserve">ins </w:t>
      </w:r>
      <w:hyperlink r:id="rId280"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Period of effect of emergency dealing determination</w:t>
      </w:r>
    </w:p>
    <w:p w:rsidR="00F93509" w:rsidRDefault="00F93509" w:rsidP="00F93509">
      <w:pPr>
        <w:pStyle w:val="AmdtsEntries"/>
      </w:pPr>
      <w:r>
        <w:t>s 72C</w:t>
      </w:r>
      <w:r>
        <w:tab/>
        <w:t xml:space="preserve">ins </w:t>
      </w:r>
      <w:hyperlink r:id="rId281"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Effect and conditions of emergency dealing determination</w:t>
      </w:r>
    </w:p>
    <w:p w:rsidR="00F93509" w:rsidRDefault="00F93509" w:rsidP="00F93509">
      <w:pPr>
        <w:pStyle w:val="AmdtsEntries"/>
      </w:pPr>
      <w:r>
        <w:t>div 5A.3 hdg</w:t>
      </w:r>
      <w:r>
        <w:tab/>
        <w:t xml:space="preserve">ins </w:t>
      </w:r>
      <w:hyperlink r:id="rId282"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ies"/>
      </w:pPr>
      <w:r>
        <w:tab/>
        <w:t xml:space="preserve">om </w:t>
      </w:r>
      <w:hyperlink r:id="rId283" w:tooltip="Statute Law Amendment Act 2009" w:history="1">
        <w:r w:rsidRPr="00903C3C">
          <w:rPr>
            <w:rStyle w:val="charCitHyperlinkAbbrev"/>
          </w:rPr>
          <w:t>A2009</w:t>
        </w:r>
        <w:r w:rsidRPr="00903C3C">
          <w:rPr>
            <w:rStyle w:val="charCitHyperlinkAbbrev"/>
          </w:rPr>
          <w:noBreakHyphen/>
          <w:t>20</w:t>
        </w:r>
      </w:hyperlink>
      <w:r>
        <w:t xml:space="preserve"> amdt 3.83</w:t>
      </w:r>
    </w:p>
    <w:p w:rsidR="00F93509" w:rsidRDefault="00F93509" w:rsidP="00F93509">
      <w:pPr>
        <w:pStyle w:val="AmdtsEntryHd"/>
      </w:pPr>
      <w:r>
        <w:t>Period of effect of emergency dealing determination</w:t>
      </w:r>
    </w:p>
    <w:p w:rsidR="00F93509" w:rsidRDefault="00F93509" w:rsidP="00F93509">
      <w:pPr>
        <w:pStyle w:val="AmdtsEntries"/>
      </w:pPr>
      <w:r>
        <w:t>s 72D</w:t>
      </w:r>
      <w:r>
        <w:tab/>
        <w:t xml:space="preserve">ins </w:t>
      </w:r>
      <w:hyperlink r:id="rId284"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Variation, suspension and revocation of emergency dealing determination</w:t>
      </w:r>
    </w:p>
    <w:p w:rsidR="00F93509" w:rsidRDefault="00F93509" w:rsidP="00F93509">
      <w:pPr>
        <w:pStyle w:val="AmdtsEntries"/>
      </w:pPr>
      <w:r>
        <w:t>div 5A.4 hdg</w:t>
      </w:r>
      <w:r>
        <w:tab/>
        <w:t xml:space="preserve">ins </w:t>
      </w:r>
      <w:hyperlink r:id="rId285"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ies"/>
      </w:pPr>
      <w:r>
        <w:tab/>
        <w:t xml:space="preserve">om </w:t>
      </w:r>
      <w:hyperlink r:id="rId286" w:tooltip="Statute Law Amendment Act 2009" w:history="1">
        <w:r w:rsidRPr="00903C3C">
          <w:rPr>
            <w:rStyle w:val="charCitHyperlinkAbbrev"/>
          </w:rPr>
          <w:t>A2009</w:t>
        </w:r>
        <w:r w:rsidRPr="00903C3C">
          <w:rPr>
            <w:rStyle w:val="charCitHyperlinkAbbrev"/>
          </w:rPr>
          <w:noBreakHyphen/>
          <w:t>20</w:t>
        </w:r>
      </w:hyperlink>
      <w:r>
        <w:t xml:space="preserve"> amdt 3.83</w:t>
      </w:r>
    </w:p>
    <w:p w:rsidR="00F93509" w:rsidRDefault="00F93509" w:rsidP="00F93509">
      <w:pPr>
        <w:pStyle w:val="AmdtsEntryHd"/>
      </w:pPr>
      <w:r>
        <w:t>Variation, suspension and revocation of emergency dealing determination</w:t>
      </w:r>
    </w:p>
    <w:p w:rsidR="00F93509" w:rsidRDefault="00F93509" w:rsidP="00F93509">
      <w:pPr>
        <w:pStyle w:val="AmdtsEntries"/>
      </w:pPr>
      <w:r>
        <w:t>s 72E</w:t>
      </w:r>
      <w:r>
        <w:tab/>
        <w:t xml:space="preserve">ins </w:t>
      </w:r>
      <w:hyperlink r:id="rId287"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E12BA9" w:rsidRDefault="00E12BA9" w:rsidP="00F93509">
      <w:pPr>
        <w:pStyle w:val="AmdtsEntryHd"/>
      </w:pPr>
      <w:r w:rsidRPr="00E2623C">
        <w:t>Notifiable low risk dealings</w:t>
      </w:r>
    </w:p>
    <w:p w:rsidR="00E12BA9" w:rsidRPr="00E12BA9" w:rsidRDefault="0039535B" w:rsidP="00E12BA9">
      <w:pPr>
        <w:pStyle w:val="AmdtsEntries"/>
      </w:pPr>
      <w:r>
        <w:t>s 74</w:t>
      </w:r>
      <w:r>
        <w:tab/>
        <w:t>am</w:t>
      </w:r>
      <w:r w:rsidR="00E12BA9">
        <w:t xml:space="preserve"> </w:t>
      </w:r>
      <w:hyperlink r:id="rId288" w:tooltip="Gene Technology Amendment Act 2017" w:history="1">
        <w:r w:rsidR="00E12BA9">
          <w:rPr>
            <w:rStyle w:val="charCitHyperlinkAbbrev"/>
          </w:rPr>
          <w:t>A2017-15</w:t>
        </w:r>
      </w:hyperlink>
      <w:r w:rsidR="00E12BA9">
        <w:t xml:space="preserve"> s 8</w:t>
      </w:r>
    </w:p>
    <w:p w:rsidR="00F93509" w:rsidRDefault="00F93509" w:rsidP="00F93509">
      <w:pPr>
        <w:pStyle w:val="AmdtsEntryHd"/>
      </w:pPr>
      <w:r>
        <w:t>Regulator may include dealings with GMOs on GMO register</w:t>
      </w:r>
    </w:p>
    <w:p w:rsidR="00F93509" w:rsidRDefault="00F93509" w:rsidP="00F93509">
      <w:pPr>
        <w:pStyle w:val="AmdtsEntries"/>
      </w:pPr>
      <w:r>
        <w:t>s 78</w:t>
      </w:r>
      <w:r>
        <w:tab/>
        <w:t xml:space="preserve">am </w:t>
      </w:r>
      <w:hyperlink r:id="rId289" w:tooltip="Gene Technology Amendment Act 2008" w:history="1">
        <w:r w:rsidRPr="00903C3C">
          <w:rPr>
            <w:rStyle w:val="charCitHyperlinkAbbrev"/>
          </w:rPr>
          <w:t>A2008</w:t>
        </w:r>
        <w:r w:rsidRPr="00903C3C">
          <w:rPr>
            <w:rStyle w:val="charCitHyperlinkAbbrev"/>
          </w:rPr>
          <w:noBreakHyphen/>
          <w:t>10</w:t>
        </w:r>
      </w:hyperlink>
      <w:r>
        <w:t xml:space="preserve"> s 39</w:t>
      </w:r>
    </w:p>
    <w:p w:rsidR="00F93509" w:rsidRDefault="00F93509" w:rsidP="00F93509">
      <w:pPr>
        <w:pStyle w:val="AmdtsEntryHd"/>
      </w:pPr>
      <w:r>
        <w:t>Simplified outline—pt 7</w:t>
      </w:r>
    </w:p>
    <w:p w:rsidR="00F93509" w:rsidRDefault="00F93509" w:rsidP="00F93509">
      <w:pPr>
        <w:pStyle w:val="AmdtsEntries"/>
      </w:pPr>
      <w:r>
        <w:t>s 82</w:t>
      </w:r>
      <w:r>
        <w:tab/>
        <w:t xml:space="preserve">am </w:t>
      </w:r>
      <w:hyperlink r:id="rId290" w:tooltip="Gene Technology Amendment Act 2008" w:history="1">
        <w:r w:rsidRPr="00903C3C">
          <w:rPr>
            <w:rStyle w:val="charCitHyperlinkAbbrev"/>
          </w:rPr>
          <w:t>A2008</w:t>
        </w:r>
        <w:r w:rsidRPr="00903C3C">
          <w:rPr>
            <w:rStyle w:val="charCitHyperlinkAbbrev"/>
          </w:rPr>
          <w:noBreakHyphen/>
          <w:t>10</w:t>
        </w:r>
      </w:hyperlink>
      <w:r>
        <w:t xml:space="preserve"> s 40</w:t>
      </w:r>
    </w:p>
    <w:p w:rsidR="00F93509" w:rsidRDefault="00F93509" w:rsidP="00F93509">
      <w:pPr>
        <w:pStyle w:val="AmdtsEntryHd"/>
      </w:pPr>
      <w:r>
        <w:t>Application for certification</w:t>
      </w:r>
    </w:p>
    <w:p w:rsidR="00F93509" w:rsidRDefault="00F93509" w:rsidP="00F93509">
      <w:pPr>
        <w:pStyle w:val="AmdtsEntries"/>
      </w:pPr>
      <w:r>
        <w:t>s 83</w:t>
      </w:r>
      <w:r>
        <w:tab/>
        <w:t xml:space="preserve">am </w:t>
      </w:r>
      <w:hyperlink r:id="rId291" w:tooltip="Gene Technology Amendment Act 2008" w:history="1">
        <w:r w:rsidRPr="00903C3C">
          <w:rPr>
            <w:rStyle w:val="charCitHyperlinkAbbrev"/>
          </w:rPr>
          <w:t>A2008</w:t>
        </w:r>
        <w:r w:rsidRPr="00903C3C">
          <w:rPr>
            <w:rStyle w:val="charCitHyperlinkAbbrev"/>
          </w:rPr>
          <w:noBreakHyphen/>
          <w:t>10</w:t>
        </w:r>
      </w:hyperlink>
      <w:r>
        <w:t xml:space="preserve"> s 41</w:t>
      </w:r>
    </w:p>
    <w:p w:rsidR="00F93509" w:rsidRDefault="00F93509" w:rsidP="00F93509">
      <w:pPr>
        <w:pStyle w:val="AmdtsEntryHd"/>
      </w:pPr>
      <w:r>
        <w:t>Regulator to notify of proposed suspension, cancellation or variation</w:t>
      </w:r>
    </w:p>
    <w:p w:rsidR="00F93509" w:rsidRDefault="00F93509" w:rsidP="00F93509">
      <w:pPr>
        <w:pStyle w:val="AmdtsEntries"/>
      </w:pPr>
      <w:r>
        <w:t>s 89</w:t>
      </w:r>
      <w:r>
        <w:tab/>
        <w:t xml:space="preserve">am </w:t>
      </w:r>
      <w:hyperlink r:id="rId292" w:tooltip="Gene Technology Amendment Act 2008" w:history="1">
        <w:r w:rsidRPr="00903C3C">
          <w:rPr>
            <w:rStyle w:val="charCitHyperlinkAbbrev"/>
          </w:rPr>
          <w:t>A2008</w:t>
        </w:r>
        <w:r w:rsidRPr="00903C3C">
          <w:rPr>
            <w:rStyle w:val="charCitHyperlinkAbbrev"/>
          </w:rPr>
          <w:noBreakHyphen/>
          <w:t>10</w:t>
        </w:r>
      </w:hyperlink>
      <w:r>
        <w:t xml:space="preserve"> s 42</w:t>
      </w:r>
    </w:p>
    <w:p w:rsidR="00F93509" w:rsidRDefault="00F93509" w:rsidP="00F93509">
      <w:pPr>
        <w:pStyle w:val="AmdtsEntryHd"/>
      </w:pPr>
      <w:r>
        <w:t>Transfer of certification</w:t>
      </w:r>
    </w:p>
    <w:p w:rsidR="00F93509" w:rsidRDefault="00F93509" w:rsidP="00F93509">
      <w:pPr>
        <w:pStyle w:val="AmdtsEntries"/>
      </w:pPr>
      <w:r>
        <w:t>s 89A</w:t>
      </w:r>
      <w:r>
        <w:tab/>
        <w:t xml:space="preserve">ins </w:t>
      </w:r>
      <w:hyperlink r:id="rId293" w:tooltip="Gene Technology Amendment Act 2008" w:history="1">
        <w:r w:rsidRPr="00903C3C">
          <w:rPr>
            <w:rStyle w:val="charCitHyperlinkAbbrev"/>
          </w:rPr>
          <w:t>A2008</w:t>
        </w:r>
        <w:r w:rsidRPr="00903C3C">
          <w:rPr>
            <w:rStyle w:val="charCitHyperlinkAbbrev"/>
          </w:rPr>
          <w:noBreakHyphen/>
          <w:t>10</w:t>
        </w:r>
      </w:hyperlink>
      <w:r>
        <w:t xml:space="preserve"> s 43</w:t>
      </w:r>
    </w:p>
    <w:p w:rsidR="00F93509" w:rsidRDefault="00F93509" w:rsidP="00F93509">
      <w:pPr>
        <w:pStyle w:val="AmdtsEntryHd"/>
      </w:pPr>
      <w:r>
        <w:t>Application for accreditation</w:t>
      </w:r>
    </w:p>
    <w:p w:rsidR="00F93509" w:rsidRDefault="00F93509" w:rsidP="00F93509">
      <w:pPr>
        <w:pStyle w:val="AmdtsEntries"/>
      </w:pPr>
      <w:r>
        <w:t>s 91</w:t>
      </w:r>
      <w:r>
        <w:tab/>
        <w:t xml:space="preserve">am </w:t>
      </w:r>
      <w:hyperlink r:id="rId294" w:tooltip="Aboriginal and Torres Strait Islander Elected Body Act 2008" w:history="1">
        <w:r w:rsidRPr="00903C3C">
          <w:rPr>
            <w:rStyle w:val="charCitHyperlinkAbbrev"/>
          </w:rPr>
          <w:t>A2008</w:t>
        </w:r>
        <w:r w:rsidRPr="00903C3C">
          <w:rPr>
            <w:rStyle w:val="charCitHyperlinkAbbrev"/>
          </w:rPr>
          <w:noBreakHyphen/>
          <w:t>12</w:t>
        </w:r>
      </w:hyperlink>
      <w:r>
        <w:t xml:space="preserve"> s 44</w:t>
      </w:r>
    </w:p>
    <w:p w:rsidR="00F93509" w:rsidRDefault="00F93509" w:rsidP="00F93509">
      <w:pPr>
        <w:pStyle w:val="AmdtsEntryHd"/>
      </w:pPr>
      <w:r>
        <w:t>Regulator may accredit organisations</w:t>
      </w:r>
    </w:p>
    <w:p w:rsidR="00F93509" w:rsidRDefault="00F93509" w:rsidP="00F93509">
      <w:pPr>
        <w:pStyle w:val="AmdtsEntries"/>
      </w:pPr>
      <w:r>
        <w:t>s 92</w:t>
      </w:r>
      <w:r>
        <w:tab/>
        <w:t xml:space="preserve">am </w:t>
      </w:r>
      <w:hyperlink r:id="rId295" w:tooltip="Gene Technology Amendment Act 2008" w:history="1">
        <w:r w:rsidRPr="00903C3C">
          <w:rPr>
            <w:rStyle w:val="charCitHyperlinkAbbrev"/>
          </w:rPr>
          <w:t>A2008</w:t>
        </w:r>
        <w:r w:rsidRPr="00903C3C">
          <w:rPr>
            <w:rStyle w:val="charCitHyperlinkAbbrev"/>
          </w:rPr>
          <w:noBreakHyphen/>
          <w:t>10</w:t>
        </w:r>
      </w:hyperlink>
      <w:r>
        <w:t xml:space="preserve"> s 45, s 46</w:t>
      </w:r>
    </w:p>
    <w:p w:rsidR="00F93509" w:rsidRDefault="00F93509" w:rsidP="00F93509">
      <w:pPr>
        <w:pStyle w:val="AmdtsEntryHd"/>
      </w:pPr>
      <w:r>
        <w:t>Regulator to notify of proposed suspension, cancellation or variation</w:t>
      </w:r>
    </w:p>
    <w:p w:rsidR="00F93509" w:rsidRDefault="00F93509" w:rsidP="00F93509">
      <w:pPr>
        <w:pStyle w:val="AmdtsEntries"/>
      </w:pPr>
      <w:r>
        <w:t>s 97</w:t>
      </w:r>
      <w:r>
        <w:tab/>
        <w:t xml:space="preserve">am </w:t>
      </w:r>
      <w:hyperlink r:id="rId296" w:tooltip="Gene Technology Amendment Act 2008" w:history="1">
        <w:r w:rsidRPr="00903C3C">
          <w:rPr>
            <w:rStyle w:val="charCitHyperlinkAbbrev"/>
          </w:rPr>
          <w:t>A2008</w:t>
        </w:r>
        <w:r w:rsidRPr="00903C3C">
          <w:rPr>
            <w:rStyle w:val="charCitHyperlinkAbbrev"/>
          </w:rPr>
          <w:noBreakHyphen/>
          <w:t>10</w:t>
        </w:r>
      </w:hyperlink>
      <w:r>
        <w:t xml:space="preserve"> s 47</w:t>
      </w:r>
    </w:p>
    <w:p w:rsidR="00F93509" w:rsidRDefault="00F93509" w:rsidP="00F93509">
      <w:pPr>
        <w:pStyle w:val="AmdtsEntryHd"/>
      </w:pPr>
      <w:r>
        <w:t>Gene technology technical advisory committee and gene technology ethics and community consultative committee</w:t>
      </w:r>
    </w:p>
    <w:p w:rsidR="00F93509" w:rsidRDefault="00F93509" w:rsidP="00F93509">
      <w:pPr>
        <w:pStyle w:val="AmdtsEntries"/>
      </w:pPr>
      <w:r>
        <w:t>pt 8 hdg</w:t>
      </w:r>
      <w:r>
        <w:tab/>
        <w:t xml:space="preserve">sub </w:t>
      </w:r>
      <w:hyperlink r:id="rId297" w:tooltip="Gene Technology Amendment Act 2008" w:history="1">
        <w:r w:rsidRPr="00903C3C">
          <w:rPr>
            <w:rStyle w:val="charCitHyperlinkAbbrev"/>
          </w:rPr>
          <w:t>A2008</w:t>
        </w:r>
        <w:r w:rsidRPr="00903C3C">
          <w:rPr>
            <w:rStyle w:val="charCitHyperlinkAbbrev"/>
          </w:rPr>
          <w:noBreakHyphen/>
          <w:t>10</w:t>
        </w:r>
      </w:hyperlink>
      <w:r>
        <w:t xml:space="preserve"> s 48</w:t>
      </w:r>
    </w:p>
    <w:p w:rsidR="00F93509" w:rsidRDefault="00F93509" w:rsidP="00F93509">
      <w:pPr>
        <w:pStyle w:val="AmdtsEntryHd"/>
      </w:pPr>
      <w:r>
        <w:t>Simplified outline—pt 8</w:t>
      </w:r>
    </w:p>
    <w:p w:rsidR="00F93509" w:rsidRDefault="00F93509" w:rsidP="00F93509">
      <w:pPr>
        <w:pStyle w:val="AmdtsEntries"/>
      </w:pPr>
      <w:r>
        <w:t>s 99</w:t>
      </w:r>
      <w:r>
        <w:tab/>
        <w:t xml:space="preserve">am </w:t>
      </w:r>
      <w:hyperlink r:id="rId298" w:tooltip="Gene Technology Amendment Act 2008" w:history="1">
        <w:r w:rsidRPr="00903C3C">
          <w:rPr>
            <w:rStyle w:val="charCitHyperlinkAbbrev"/>
          </w:rPr>
          <w:t>A2008</w:t>
        </w:r>
        <w:r w:rsidRPr="00903C3C">
          <w:rPr>
            <w:rStyle w:val="charCitHyperlinkAbbrev"/>
          </w:rPr>
          <w:noBreakHyphen/>
          <w:t>10</w:t>
        </w:r>
      </w:hyperlink>
      <w:r>
        <w:t xml:space="preserve"> s 49</w:t>
      </w:r>
    </w:p>
    <w:p w:rsidR="00F93509" w:rsidRDefault="00F93509" w:rsidP="00F93509">
      <w:pPr>
        <w:pStyle w:val="AmdtsEntryHd"/>
      </w:pPr>
      <w:r>
        <w:t>Gene technology ethics and community consultative committee</w:t>
      </w:r>
    </w:p>
    <w:p w:rsidR="00F93509" w:rsidRDefault="00F93509" w:rsidP="00F93509">
      <w:pPr>
        <w:pStyle w:val="AmdtsEntries"/>
      </w:pPr>
      <w:r>
        <w:t>div 8.3 hdg</w:t>
      </w:r>
      <w:r>
        <w:tab/>
        <w:t xml:space="preserve">sub </w:t>
      </w:r>
      <w:hyperlink r:id="rId299" w:tooltip="Gene Technology Amendment Act 2008" w:history="1">
        <w:r w:rsidRPr="00903C3C">
          <w:rPr>
            <w:rStyle w:val="charCitHyperlinkAbbrev"/>
          </w:rPr>
          <w:t>A2008</w:t>
        </w:r>
        <w:r w:rsidRPr="00903C3C">
          <w:rPr>
            <w:rStyle w:val="charCitHyperlinkAbbrev"/>
          </w:rPr>
          <w:noBreakHyphen/>
          <w:t>10</w:t>
        </w:r>
      </w:hyperlink>
      <w:r>
        <w:t xml:space="preserve"> s 50</w:t>
      </w:r>
    </w:p>
    <w:p w:rsidR="00F93509" w:rsidRDefault="00F93509" w:rsidP="00F93509">
      <w:pPr>
        <w:pStyle w:val="AmdtsEntryHd"/>
      </w:pPr>
      <w:r>
        <w:t>Gene technology ethics and community consultative committee</w:t>
      </w:r>
    </w:p>
    <w:p w:rsidR="00F93509" w:rsidRDefault="00F93509" w:rsidP="00F93509">
      <w:pPr>
        <w:pStyle w:val="AmdtsEntries"/>
      </w:pPr>
      <w:r>
        <w:t>s 106 hdg</w:t>
      </w:r>
      <w:r>
        <w:tab/>
        <w:t xml:space="preserve">sub </w:t>
      </w:r>
      <w:hyperlink r:id="rId300" w:tooltip="Gene Technology Amendment Act 2008" w:history="1">
        <w:r w:rsidRPr="00903C3C">
          <w:rPr>
            <w:rStyle w:val="charCitHyperlinkAbbrev"/>
          </w:rPr>
          <w:t>A2008</w:t>
        </w:r>
        <w:r w:rsidRPr="00903C3C">
          <w:rPr>
            <w:rStyle w:val="charCitHyperlinkAbbrev"/>
          </w:rPr>
          <w:noBreakHyphen/>
          <w:t>10</w:t>
        </w:r>
      </w:hyperlink>
      <w:r>
        <w:t xml:space="preserve"> s 51</w:t>
      </w:r>
    </w:p>
    <w:p w:rsidR="00F93509" w:rsidRDefault="00F93509" w:rsidP="00F93509">
      <w:pPr>
        <w:pStyle w:val="AmdtsEntries"/>
      </w:pPr>
      <w:r>
        <w:t>s 106</w:t>
      </w:r>
      <w:r>
        <w:tab/>
        <w:t xml:space="preserve">am </w:t>
      </w:r>
      <w:hyperlink r:id="rId301" w:tooltip="Gene Technology Amendment Act 2008" w:history="1">
        <w:r w:rsidRPr="00903C3C">
          <w:rPr>
            <w:rStyle w:val="charCitHyperlinkAbbrev"/>
          </w:rPr>
          <w:t>A2008</w:t>
        </w:r>
        <w:r w:rsidRPr="00903C3C">
          <w:rPr>
            <w:rStyle w:val="charCitHyperlinkAbbrev"/>
          </w:rPr>
          <w:noBreakHyphen/>
          <w:t>10</w:t>
        </w:r>
      </w:hyperlink>
      <w:r>
        <w:t xml:space="preserve"> s 52</w:t>
      </w:r>
    </w:p>
    <w:p w:rsidR="00F93509" w:rsidRDefault="00F93509" w:rsidP="00F93509">
      <w:pPr>
        <w:pStyle w:val="AmdtsEntryHd"/>
      </w:pPr>
      <w:r>
        <w:t>Function of ethics and community committee</w:t>
      </w:r>
    </w:p>
    <w:p w:rsidR="00F93509" w:rsidRDefault="00F93509" w:rsidP="00F93509">
      <w:pPr>
        <w:pStyle w:val="AmdtsEntries"/>
      </w:pPr>
      <w:r>
        <w:t>s 107</w:t>
      </w:r>
      <w:r>
        <w:tab/>
        <w:t xml:space="preserve">sub </w:t>
      </w:r>
      <w:hyperlink r:id="rId302" w:tooltip="Gene Technology Amendment Act 2008" w:history="1">
        <w:r w:rsidRPr="00903C3C">
          <w:rPr>
            <w:rStyle w:val="charCitHyperlinkAbbrev"/>
          </w:rPr>
          <w:t>A2008</w:t>
        </w:r>
        <w:r w:rsidRPr="00903C3C">
          <w:rPr>
            <w:rStyle w:val="charCitHyperlinkAbbrev"/>
          </w:rPr>
          <w:noBreakHyphen/>
          <w:t>10</w:t>
        </w:r>
      </w:hyperlink>
      <w:r>
        <w:t xml:space="preserve"> s 53</w:t>
      </w:r>
    </w:p>
    <w:p w:rsidR="00F93509" w:rsidRDefault="00F93509" w:rsidP="00F93509">
      <w:pPr>
        <w:pStyle w:val="AmdtsEntryHd"/>
      </w:pPr>
      <w:r>
        <w:t>Membership</w:t>
      </w:r>
    </w:p>
    <w:p w:rsidR="00F93509" w:rsidRDefault="00F93509" w:rsidP="00F93509">
      <w:pPr>
        <w:pStyle w:val="AmdtsEntries"/>
      </w:pPr>
      <w:r>
        <w:t>s 108</w:t>
      </w:r>
      <w:r>
        <w:tab/>
        <w:t xml:space="preserve">am </w:t>
      </w:r>
      <w:hyperlink r:id="rId303" w:tooltip="Gene Technology Amendment Act 2008" w:history="1">
        <w:r w:rsidRPr="00903C3C">
          <w:rPr>
            <w:rStyle w:val="charCitHyperlinkAbbrev"/>
          </w:rPr>
          <w:t>A2008</w:t>
        </w:r>
        <w:r w:rsidRPr="00903C3C">
          <w:rPr>
            <w:rStyle w:val="charCitHyperlinkAbbrev"/>
          </w:rPr>
          <w:noBreakHyphen/>
          <w:t>10</w:t>
        </w:r>
      </w:hyperlink>
      <w:r>
        <w:t xml:space="preserve"> s 54</w:t>
      </w:r>
    </w:p>
    <w:p w:rsidR="00F93509" w:rsidRDefault="00F93509" w:rsidP="00F93509">
      <w:pPr>
        <w:pStyle w:val="AmdtsEntryHd"/>
      </w:pPr>
      <w:r>
        <w:t>Remuneration</w:t>
      </w:r>
    </w:p>
    <w:p w:rsidR="00F93509" w:rsidRDefault="00F93509" w:rsidP="00F93509">
      <w:pPr>
        <w:pStyle w:val="AmdtsEntries"/>
      </w:pPr>
      <w:r>
        <w:t>s 109</w:t>
      </w:r>
      <w:r>
        <w:tab/>
        <w:t xml:space="preserve">am </w:t>
      </w:r>
      <w:hyperlink r:id="rId304" w:tooltip="Gene Technology Amendment Act 2008" w:history="1">
        <w:r w:rsidRPr="00903C3C">
          <w:rPr>
            <w:rStyle w:val="charCitHyperlinkAbbrev"/>
          </w:rPr>
          <w:t>A2008</w:t>
        </w:r>
        <w:r w:rsidRPr="00903C3C">
          <w:rPr>
            <w:rStyle w:val="charCitHyperlinkAbbrev"/>
          </w:rPr>
          <w:noBreakHyphen/>
          <w:t>10</w:t>
        </w:r>
      </w:hyperlink>
      <w:r>
        <w:t xml:space="preserve"> s 54</w:t>
      </w:r>
    </w:p>
    <w:p w:rsidR="00F93509" w:rsidRDefault="00F93509" w:rsidP="00F93509">
      <w:pPr>
        <w:pStyle w:val="AmdtsEntryHd"/>
      </w:pPr>
      <w:r>
        <w:t>Regulations</w:t>
      </w:r>
    </w:p>
    <w:p w:rsidR="00F93509" w:rsidRDefault="00F93509" w:rsidP="00F93509">
      <w:pPr>
        <w:pStyle w:val="AmdtsEntries"/>
      </w:pPr>
      <w:r>
        <w:t>s 110</w:t>
      </w:r>
      <w:r>
        <w:tab/>
        <w:t xml:space="preserve">am </w:t>
      </w:r>
      <w:hyperlink r:id="rId305" w:tooltip="Gene Technology Amendment Act 2008" w:history="1">
        <w:r w:rsidRPr="00903C3C">
          <w:rPr>
            <w:rStyle w:val="charCitHyperlinkAbbrev"/>
          </w:rPr>
          <w:t>A2008</w:t>
        </w:r>
        <w:r w:rsidRPr="00903C3C">
          <w:rPr>
            <w:rStyle w:val="charCitHyperlinkAbbrev"/>
          </w:rPr>
          <w:noBreakHyphen/>
          <w:t>10</w:t>
        </w:r>
      </w:hyperlink>
      <w:r>
        <w:t xml:space="preserve"> s 55</w:t>
      </w:r>
    </w:p>
    <w:p w:rsidR="00F93509" w:rsidRDefault="00F93509" w:rsidP="00F93509">
      <w:pPr>
        <w:pStyle w:val="AmdtsEntryHd"/>
      </w:pPr>
      <w:r>
        <w:t>Subcommittees</w:t>
      </w:r>
    </w:p>
    <w:p w:rsidR="00F93509" w:rsidRDefault="00F93509" w:rsidP="00F93509">
      <w:pPr>
        <w:pStyle w:val="AmdtsEntries"/>
      </w:pPr>
      <w:r>
        <w:t>s 110A</w:t>
      </w:r>
      <w:r>
        <w:tab/>
        <w:t xml:space="preserve">om </w:t>
      </w:r>
      <w:hyperlink r:id="rId306" w:tooltip="Gene Technology Amendment Act 2008" w:history="1">
        <w:r w:rsidRPr="00903C3C">
          <w:rPr>
            <w:rStyle w:val="charCitHyperlinkAbbrev"/>
          </w:rPr>
          <w:t>A2008</w:t>
        </w:r>
        <w:r w:rsidRPr="00903C3C">
          <w:rPr>
            <w:rStyle w:val="charCitHyperlinkAbbrev"/>
          </w:rPr>
          <w:noBreakHyphen/>
          <w:t>10</w:t>
        </w:r>
      </w:hyperlink>
      <w:r>
        <w:t xml:space="preserve"> s 56</w:t>
      </w:r>
    </w:p>
    <w:p w:rsidR="00F93509" w:rsidRDefault="00F93509" w:rsidP="00F93509">
      <w:pPr>
        <w:pStyle w:val="AmdtsEntryHd"/>
      </w:pPr>
      <w:r>
        <w:t>Subcommittees</w:t>
      </w:r>
    </w:p>
    <w:p w:rsidR="00F93509" w:rsidRDefault="00F93509" w:rsidP="00F93509">
      <w:pPr>
        <w:pStyle w:val="AmdtsEntries"/>
      </w:pPr>
      <w:r>
        <w:t>s 111</w:t>
      </w:r>
      <w:r>
        <w:tab/>
        <w:t xml:space="preserve">om </w:t>
      </w:r>
      <w:hyperlink r:id="rId307"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ies"/>
      </w:pPr>
      <w:r>
        <w:tab/>
        <w:t xml:space="preserve">ins </w:t>
      </w:r>
      <w:hyperlink r:id="rId308" w:tooltip="Gene Technology Amendment Act 2008" w:history="1">
        <w:r w:rsidRPr="00903C3C">
          <w:rPr>
            <w:rStyle w:val="charCitHyperlinkAbbrev"/>
          </w:rPr>
          <w:t>A2008</w:t>
        </w:r>
        <w:r w:rsidRPr="00903C3C">
          <w:rPr>
            <w:rStyle w:val="charCitHyperlinkAbbrev"/>
          </w:rPr>
          <w:noBreakHyphen/>
          <w:t>10</w:t>
        </w:r>
      </w:hyperlink>
      <w:r>
        <w:t xml:space="preserve"> s 57</w:t>
      </w:r>
    </w:p>
    <w:p w:rsidR="00F93509" w:rsidRDefault="00F93509" w:rsidP="00F93509">
      <w:pPr>
        <w:pStyle w:val="AmdtsEntryHd"/>
      </w:pPr>
      <w:r>
        <w:t>Expert advisers</w:t>
      </w:r>
    </w:p>
    <w:p w:rsidR="00F93509" w:rsidRDefault="00F93509" w:rsidP="00F93509">
      <w:pPr>
        <w:pStyle w:val="AmdtsEntries"/>
      </w:pPr>
      <w:r>
        <w:t>s 112</w:t>
      </w:r>
      <w:r>
        <w:tab/>
        <w:t xml:space="preserve">om </w:t>
      </w:r>
      <w:hyperlink r:id="rId309"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ies"/>
      </w:pPr>
      <w:r>
        <w:tab/>
        <w:t xml:space="preserve">ins </w:t>
      </w:r>
      <w:hyperlink r:id="rId310" w:tooltip="Gene Technology Amendment Act 2008" w:history="1">
        <w:r w:rsidRPr="00903C3C">
          <w:rPr>
            <w:rStyle w:val="charCitHyperlinkAbbrev"/>
          </w:rPr>
          <w:t>A2008</w:t>
        </w:r>
        <w:r w:rsidRPr="00903C3C">
          <w:rPr>
            <w:rStyle w:val="charCitHyperlinkAbbrev"/>
          </w:rPr>
          <w:noBreakHyphen/>
          <w:t>10</w:t>
        </w:r>
      </w:hyperlink>
      <w:r>
        <w:t xml:space="preserve"> s 57</w:t>
      </w:r>
    </w:p>
    <w:p w:rsidR="00F93509" w:rsidRDefault="00F93509" w:rsidP="00F93509">
      <w:pPr>
        <w:pStyle w:val="AmdtsEntryHd"/>
        <w:rPr>
          <w:rStyle w:val="CharDivText"/>
        </w:rPr>
      </w:pPr>
      <w:r>
        <w:rPr>
          <w:rStyle w:val="CharDivText"/>
        </w:rPr>
        <w:t>Gene technology ethics committee</w:t>
      </w:r>
    </w:p>
    <w:p w:rsidR="00F93509" w:rsidRDefault="00F93509" w:rsidP="00F93509">
      <w:pPr>
        <w:pStyle w:val="AmdtsEntries"/>
      </w:pPr>
      <w:r>
        <w:t>div 8.4 hdg</w:t>
      </w:r>
      <w:r>
        <w:tab/>
        <w:t xml:space="preserve">om </w:t>
      </w:r>
      <w:hyperlink r:id="rId311"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Expert advisers</w:t>
      </w:r>
    </w:p>
    <w:p w:rsidR="00F93509" w:rsidRDefault="00F93509" w:rsidP="00F93509">
      <w:pPr>
        <w:pStyle w:val="AmdtsEntries"/>
      </w:pPr>
      <w:r>
        <w:t>s 113</w:t>
      </w:r>
      <w:r>
        <w:tab/>
        <w:t xml:space="preserve">om </w:t>
      </w:r>
      <w:hyperlink r:id="rId312"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Remuneration</w:t>
      </w:r>
    </w:p>
    <w:p w:rsidR="00F93509" w:rsidRDefault="00F93509" w:rsidP="00F93509">
      <w:pPr>
        <w:pStyle w:val="AmdtsEntries"/>
      </w:pPr>
      <w:r>
        <w:t>s 114</w:t>
      </w:r>
      <w:r>
        <w:tab/>
        <w:t xml:space="preserve">om </w:t>
      </w:r>
      <w:hyperlink r:id="rId313"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Members and procedures</w:t>
      </w:r>
    </w:p>
    <w:p w:rsidR="00F93509" w:rsidRDefault="00F93509" w:rsidP="00F93509">
      <w:pPr>
        <w:pStyle w:val="AmdtsEntries"/>
      </w:pPr>
      <w:r>
        <w:t>s 115</w:t>
      </w:r>
      <w:r>
        <w:tab/>
        <w:t xml:space="preserve">om </w:t>
      </w:r>
      <w:hyperlink r:id="rId314"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Subcommittees</w:t>
      </w:r>
    </w:p>
    <w:p w:rsidR="00F93509" w:rsidRDefault="00F93509" w:rsidP="00F93509">
      <w:pPr>
        <w:pStyle w:val="AmdtsEntries"/>
      </w:pPr>
      <w:r>
        <w:t>s 116</w:t>
      </w:r>
      <w:r>
        <w:tab/>
        <w:t xml:space="preserve">om </w:t>
      </w:r>
      <w:hyperlink r:id="rId315"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83255B" w:rsidRDefault="00831B5F" w:rsidP="00831B5F">
      <w:pPr>
        <w:pStyle w:val="AmdtsEntryHd"/>
      </w:pPr>
      <w:r w:rsidRPr="00E2623C">
        <w:t>Simplified outline—pt 9</w:t>
      </w:r>
    </w:p>
    <w:p w:rsidR="0083255B" w:rsidRDefault="00831B5F" w:rsidP="00F93509">
      <w:pPr>
        <w:pStyle w:val="AmdtsEntries"/>
      </w:pPr>
      <w:r>
        <w:t>s 117</w:t>
      </w:r>
      <w:r w:rsidR="0083255B">
        <w:tab/>
        <w:t xml:space="preserve">am </w:t>
      </w:r>
      <w:hyperlink r:id="rId316" w:tooltip="Gene Technology Amendment Act 2017" w:history="1">
        <w:r w:rsidR="0083255B">
          <w:rPr>
            <w:rStyle w:val="charCitHyperlinkAbbrev"/>
          </w:rPr>
          <w:t>A2017-15</w:t>
        </w:r>
      </w:hyperlink>
      <w:r w:rsidR="0039786D">
        <w:t xml:space="preserve"> s 9</w:t>
      </w:r>
    </w:p>
    <w:p w:rsidR="0039786D" w:rsidRDefault="0039786D" w:rsidP="0039786D">
      <w:pPr>
        <w:pStyle w:val="AmdtsEntryHd"/>
      </w:pPr>
      <w:r>
        <w:t>Annual Report</w:t>
      </w:r>
    </w:p>
    <w:p w:rsidR="0039786D" w:rsidRDefault="0039786D" w:rsidP="00F93509">
      <w:pPr>
        <w:pStyle w:val="AmdtsEntries"/>
      </w:pPr>
      <w:r>
        <w:t>s 136</w:t>
      </w:r>
      <w:r>
        <w:tab/>
        <w:t xml:space="preserve">am </w:t>
      </w:r>
      <w:hyperlink r:id="rId317" w:tooltip="Gene Technology Amendment Act 2017" w:history="1">
        <w:r>
          <w:rPr>
            <w:rStyle w:val="charCitHyperlinkAbbrev"/>
          </w:rPr>
          <w:t>A2017-15</w:t>
        </w:r>
      </w:hyperlink>
      <w:r>
        <w:t xml:space="preserve"> s 10</w:t>
      </w:r>
    </w:p>
    <w:p w:rsidR="00F93509" w:rsidRDefault="00F93509" w:rsidP="00F93509">
      <w:pPr>
        <w:pStyle w:val="AmdtsEntryHd"/>
      </w:pPr>
      <w:r>
        <w:t>Quarterly reports</w:t>
      </w:r>
    </w:p>
    <w:p w:rsidR="00F93509" w:rsidRDefault="00F93509" w:rsidP="00F93509">
      <w:pPr>
        <w:pStyle w:val="AmdtsEntries"/>
      </w:pPr>
      <w:r>
        <w:t>s 136A</w:t>
      </w:r>
      <w:r>
        <w:tab/>
        <w:t xml:space="preserve">am </w:t>
      </w:r>
      <w:hyperlink r:id="rId318" w:tooltip="Gene Technology Amendment Act 2008" w:history="1">
        <w:r w:rsidRPr="00903C3C">
          <w:rPr>
            <w:rStyle w:val="charCitHyperlinkAbbrev"/>
          </w:rPr>
          <w:t>A2008</w:t>
        </w:r>
        <w:r w:rsidRPr="00903C3C">
          <w:rPr>
            <w:rStyle w:val="charCitHyperlinkAbbrev"/>
          </w:rPr>
          <w:noBreakHyphen/>
          <w:t>10</w:t>
        </w:r>
      </w:hyperlink>
      <w:r>
        <w:t xml:space="preserve"> s 59</w:t>
      </w:r>
    </w:p>
    <w:p w:rsidR="00B651F0" w:rsidRDefault="00B651F0" w:rsidP="00F93509">
      <w:pPr>
        <w:pStyle w:val="AmdtsEntries"/>
      </w:pPr>
      <w:r>
        <w:tab/>
        <w:t xml:space="preserve">om </w:t>
      </w:r>
      <w:hyperlink r:id="rId319" w:tooltip="Gene Technology Amendment Act 2017" w:history="1">
        <w:r>
          <w:rPr>
            <w:rStyle w:val="charCitHyperlinkAbbrev"/>
          </w:rPr>
          <w:t>A2017-15</w:t>
        </w:r>
      </w:hyperlink>
      <w:r>
        <w:t xml:space="preserve"> s 11</w:t>
      </w:r>
    </w:p>
    <w:p w:rsidR="000239FB" w:rsidRDefault="000239FB" w:rsidP="000239FB">
      <w:pPr>
        <w:pStyle w:val="AmdtsEntryHd"/>
      </w:pPr>
      <w:r w:rsidRPr="00E2623C">
        <w:t>Record of GMO dealings</w:t>
      </w:r>
    </w:p>
    <w:p w:rsidR="000239FB" w:rsidRDefault="000239FB" w:rsidP="00F93509">
      <w:pPr>
        <w:pStyle w:val="AmdtsEntries"/>
      </w:pPr>
      <w:r>
        <w:t>div 9.6 hdg</w:t>
      </w:r>
      <w:r>
        <w:tab/>
        <w:t xml:space="preserve">sub </w:t>
      </w:r>
      <w:hyperlink r:id="rId320" w:tooltip="Gene Technology Amendment Act 2017" w:history="1">
        <w:r>
          <w:rPr>
            <w:rStyle w:val="charCitHyperlinkAbbrev"/>
          </w:rPr>
          <w:t>A2017-15</w:t>
        </w:r>
      </w:hyperlink>
      <w:r>
        <w:t xml:space="preserve"> s 12</w:t>
      </w:r>
    </w:p>
    <w:p w:rsidR="00F93509" w:rsidRDefault="002826CC" w:rsidP="00F93509">
      <w:pPr>
        <w:pStyle w:val="AmdtsEntryHd"/>
      </w:pPr>
      <w:r>
        <w:t>Record of GMO</w:t>
      </w:r>
      <w:r w:rsidR="00F93509">
        <w:t xml:space="preserve"> dealings</w:t>
      </w:r>
    </w:p>
    <w:p w:rsidR="0082178F" w:rsidRPr="0082178F" w:rsidRDefault="0082178F" w:rsidP="0082178F">
      <w:pPr>
        <w:pStyle w:val="AmdtsEntries"/>
      </w:pPr>
      <w:r>
        <w:t>s 138 hdg</w:t>
      </w:r>
      <w:r>
        <w:tab/>
        <w:t xml:space="preserve">sub </w:t>
      </w:r>
      <w:hyperlink r:id="rId321" w:tooltip="Gene Technology Amendment Act 2017" w:history="1">
        <w:r>
          <w:rPr>
            <w:rStyle w:val="charCitHyperlinkAbbrev"/>
          </w:rPr>
          <w:t>A2017-15</w:t>
        </w:r>
      </w:hyperlink>
      <w:r>
        <w:t xml:space="preserve"> s 13</w:t>
      </w:r>
    </w:p>
    <w:p w:rsidR="002826CC" w:rsidRDefault="00F93509" w:rsidP="00F93509">
      <w:pPr>
        <w:pStyle w:val="AmdtsEntries"/>
      </w:pPr>
      <w:r>
        <w:t>s 138</w:t>
      </w:r>
      <w:r>
        <w:tab/>
        <w:t xml:space="preserve">am </w:t>
      </w:r>
      <w:hyperlink r:id="rId322" w:tooltip="Gene Technology Amendment Act 2008" w:history="1">
        <w:r w:rsidRPr="00903C3C">
          <w:rPr>
            <w:rStyle w:val="charCitHyperlinkAbbrev"/>
          </w:rPr>
          <w:t>A2008</w:t>
        </w:r>
        <w:r w:rsidRPr="00903C3C">
          <w:rPr>
            <w:rStyle w:val="charCitHyperlinkAbbrev"/>
          </w:rPr>
          <w:noBreakHyphen/>
          <w:t>10</w:t>
        </w:r>
      </w:hyperlink>
      <w:r>
        <w:t xml:space="preserve"> s 60, s 61</w:t>
      </w:r>
      <w:r w:rsidR="0082178F">
        <w:t xml:space="preserve">; </w:t>
      </w:r>
      <w:hyperlink r:id="rId323" w:tooltip="Gene Technology Amendment Act 2017" w:history="1">
        <w:r w:rsidR="0082178F">
          <w:rPr>
            <w:rStyle w:val="charCitHyperlinkAbbrev"/>
          </w:rPr>
          <w:t>A2017-15</w:t>
        </w:r>
      </w:hyperlink>
      <w:r w:rsidR="00B0620D">
        <w:t xml:space="preserve"> ss 14-16</w:t>
      </w:r>
    </w:p>
    <w:p w:rsidR="00F93509" w:rsidRDefault="00F93509" w:rsidP="00F93509">
      <w:pPr>
        <w:pStyle w:val="AmdtsEntryHd"/>
      </w:pPr>
      <w:r>
        <w:t>Simplified outline—pt 10</w:t>
      </w:r>
    </w:p>
    <w:p w:rsidR="00F93509" w:rsidRDefault="00F93509" w:rsidP="00F93509">
      <w:pPr>
        <w:pStyle w:val="AmdtsEntries"/>
      </w:pPr>
      <w:r>
        <w:t>s 145</w:t>
      </w:r>
      <w:r>
        <w:tab/>
        <w:t xml:space="preserve">am </w:t>
      </w:r>
      <w:hyperlink r:id="rId324" w:tooltip="Gene Technology Amendment Act 2008" w:history="1">
        <w:r w:rsidRPr="00903C3C">
          <w:rPr>
            <w:rStyle w:val="charCitHyperlinkAbbrev"/>
          </w:rPr>
          <w:t>A2008</w:t>
        </w:r>
        <w:r w:rsidRPr="00903C3C">
          <w:rPr>
            <w:rStyle w:val="charCitHyperlinkAbbrev"/>
          </w:rPr>
          <w:noBreakHyphen/>
          <w:t>10</w:t>
        </w:r>
      </w:hyperlink>
      <w:r>
        <w:t xml:space="preserve"> s 62, s 63</w:t>
      </w:r>
    </w:p>
    <w:p w:rsidR="00F93509" w:rsidRDefault="00F93509" w:rsidP="00F93509">
      <w:pPr>
        <w:pStyle w:val="AmdtsEntryHd"/>
      </w:pPr>
      <w:r>
        <w:t>Regulator may give directions</w:t>
      </w:r>
    </w:p>
    <w:p w:rsidR="00F93509" w:rsidRDefault="00F93509" w:rsidP="00F93509">
      <w:pPr>
        <w:pStyle w:val="AmdtsEntries"/>
      </w:pPr>
      <w:r>
        <w:t>s 146</w:t>
      </w:r>
      <w:r>
        <w:tab/>
        <w:t xml:space="preserve">am </w:t>
      </w:r>
      <w:hyperlink r:id="rId325" w:tooltip="Gene Technology Amendment Act 2008" w:history="1">
        <w:r w:rsidRPr="00903C3C">
          <w:rPr>
            <w:rStyle w:val="charCitHyperlinkAbbrev"/>
          </w:rPr>
          <w:t>A2008</w:t>
        </w:r>
        <w:r w:rsidRPr="00903C3C">
          <w:rPr>
            <w:rStyle w:val="charCitHyperlinkAbbrev"/>
          </w:rPr>
          <w:noBreakHyphen/>
          <w:t>10</w:t>
        </w:r>
      </w:hyperlink>
      <w:r>
        <w:t xml:space="preserve"> ss 64-67; </w:t>
      </w:r>
      <w:hyperlink r:id="rId326" w:tooltip="Statute Law Amendment Act 2011 (No 3)" w:history="1">
        <w:r w:rsidRPr="00903C3C">
          <w:rPr>
            <w:rStyle w:val="charCitHyperlinkAbbrev"/>
          </w:rPr>
          <w:t>A2011</w:t>
        </w:r>
        <w:r w:rsidRPr="00903C3C">
          <w:rPr>
            <w:rStyle w:val="charCitHyperlinkAbbrev"/>
          </w:rPr>
          <w:noBreakHyphen/>
          <w:t>52</w:t>
        </w:r>
      </w:hyperlink>
      <w:r>
        <w:t xml:space="preserve"> amdt 3.103</w:t>
      </w:r>
    </w:p>
    <w:p w:rsidR="00F93509" w:rsidRDefault="00F93509" w:rsidP="00F93509">
      <w:pPr>
        <w:pStyle w:val="AmdtsEntryHd"/>
      </w:pPr>
      <w:r>
        <w:t>Simplified outline—pt 11</w:t>
      </w:r>
    </w:p>
    <w:p w:rsidR="00F93509" w:rsidRDefault="00F93509" w:rsidP="00F93509">
      <w:pPr>
        <w:pStyle w:val="AmdtsEntries"/>
      </w:pPr>
      <w:r>
        <w:t>s 149</w:t>
      </w:r>
      <w:r>
        <w:tab/>
        <w:t xml:space="preserve">am </w:t>
      </w:r>
      <w:hyperlink r:id="rId327" w:tooltip="Gene Technology Amendment Act 2008" w:history="1">
        <w:r w:rsidRPr="00903C3C">
          <w:rPr>
            <w:rStyle w:val="charCitHyperlinkAbbrev"/>
          </w:rPr>
          <w:t>A2008</w:t>
        </w:r>
        <w:r w:rsidRPr="00903C3C">
          <w:rPr>
            <w:rStyle w:val="charCitHyperlinkAbbrev"/>
          </w:rPr>
          <w:noBreakHyphen/>
          <w:t>10</w:t>
        </w:r>
      </w:hyperlink>
      <w:r>
        <w:t xml:space="preserve"> s 68</w:t>
      </w:r>
    </w:p>
    <w:p w:rsidR="00F93509" w:rsidRDefault="00F93509" w:rsidP="00F93509">
      <w:pPr>
        <w:pStyle w:val="AmdtsEntryHd"/>
      </w:pPr>
      <w:r>
        <w:t>Powers available to inspectors for monitoring compliance</w:t>
      </w:r>
    </w:p>
    <w:p w:rsidR="00F93509" w:rsidRDefault="00F93509" w:rsidP="00F93509">
      <w:pPr>
        <w:pStyle w:val="AmdtsEntries"/>
      </w:pPr>
      <w:r>
        <w:t>s 152</w:t>
      </w:r>
      <w:r>
        <w:tab/>
        <w:t xml:space="preserve">am </w:t>
      </w:r>
      <w:hyperlink r:id="rId328" w:tooltip="Gene Technology Amendment Act 2008" w:history="1">
        <w:r w:rsidRPr="00903C3C">
          <w:rPr>
            <w:rStyle w:val="charCitHyperlinkAbbrev"/>
          </w:rPr>
          <w:t>A2008</w:t>
        </w:r>
        <w:r w:rsidRPr="00903C3C">
          <w:rPr>
            <w:rStyle w:val="charCitHyperlinkAbbrev"/>
          </w:rPr>
          <w:noBreakHyphen/>
          <w:t>10</w:t>
        </w:r>
      </w:hyperlink>
      <w:r>
        <w:t xml:space="preserve"> s 69, s 70</w:t>
      </w:r>
    </w:p>
    <w:p w:rsidR="00F93509" w:rsidRDefault="00F93509" w:rsidP="00F93509">
      <w:pPr>
        <w:pStyle w:val="AmdtsEntryHd"/>
      </w:pPr>
      <w:r>
        <w:t>Powers available to inspectors for dealing with dangerous situations</w:t>
      </w:r>
    </w:p>
    <w:p w:rsidR="00F93509" w:rsidRPr="00E62240" w:rsidRDefault="00F93509" w:rsidP="00F93509">
      <w:pPr>
        <w:pStyle w:val="AmdtsEntries"/>
      </w:pPr>
      <w:r>
        <w:t>s 158</w:t>
      </w:r>
      <w:r>
        <w:tab/>
        <w:t xml:space="preserve">am </w:t>
      </w:r>
      <w:hyperlink r:id="rId329" w:tooltip="Statute Law Amendment Act 2011 (No 3)" w:history="1">
        <w:r w:rsidRPr="00903C3C">
          <w:rPr>
            <w:rStyle w:val="charCitHyperlinkAbbrev"/>
          </w:rPr>
          <w:t>A2011</w:t>
        </w:r>
        <w:r w:rsidRPr="00903C3C">
          <w:rPr>
            <w:rStyle w:val="charCitHyperlinkAbbrev"/>
          </w:rPr>
          <w:noBreakHyphen/>
          <w:t>52</w:t>
        </w:r>
      </w:hyperlink>
      <w:r>
        <w:t xml:space="preserve"> amdt 3.104</w:t>
      </w:r>
    </w:p>
    <w:p w:rsidR="00F93509" w:rsidRDefault="00F93509" w:rsidP="00F93509">
      <w:pPr>
        <w:pStyle w:val="AmdtsEntryHd"/>
      </w:pPr>
      <w:r>
        <w:t>Acts and omissions of representatives</w:t>
      </w:r>
    </w:p>
    <w:p w:rsidR="00F93509" w:rsidRDefault="00F93509" w:rsidP="00F93509">
      <w:pPr>
        <w:pStyle w:val="AmdtsEntries"/>
      </w:pPr>
      <w:r>
        <w:t>div 12.4 hdg</w:t>
      </w:r>
      <w:r>
        <w:tab/>
        <w:t xml:space="preserve">sub </w:t>
      </w:r>
      <w:hyperlink r:id="rId330"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t>Monitoring warrants</w:t>
      </w:r>
    </w:p>
    <w:p w:rsidR="00F93509" w:rsidRDefault="00F93509" w:rsidP="00F93509">
      <w:pPr>
        <w:pStyle w:val="AmdtsEntries"/>
      </w:pPr>
      <w:r>
        <w:t>s 172</w:t>
      </w:r>
      <w:r>
        <w:tab/>
        <w:t xml:space="preserve">am </w:t>
      </w:r>
      <w:hyperlink r:id="rId331" w:tooltip="Health Legislation Amendment Act 2006 (No 2)" w:history="1">
        <w:r w:rsidRPr="00903C3C">
          <w:rPr>
            <w:rStyle w:val="charCitHyperlinkAbbrev"/>
          </w:rPr>
          <w:t>A2006</w:t>
        </w:r>
        <w:r w:rsidRPr="00903C3C">
          <w:rPr>
            <w:rStyle w:val="charCitHyperlinkAbbrev"/>
          </w:rPr>
          <w:noBreakHyphen/>
          <w:t>46</w:t>
        </w:r>
      </w:hyperlink>
      <w:r>
        <w:t xml:space="preserve"> amdt 2.22</w:t>
      </w:r>
    </w:p>
    <w:p w:rsidR="00F93509" w:rsidRDefault="00F93509" w:rsidP="00F93509">
      <w:pPr>
        <w:pStyle w:val="AmdtsEntryHd"/>
      </w:pPr>
      <w:r>
        <w:t>Pt 11 does not limit power to impose conditions</w:t>
      </w:r>
    </w:p>
    <w:p w:rsidR="00F93509" w:rsidRDefault="00F93509" w:rsidP="00F93509">
      <w:pPr>
        <w:pStyle w:val="AmdtsEntries"/>
      </w:pPr>
      <w:r>
        <w:t>s 177</w:t>
      </w:r>
      <w:r>
        <w:tab/>
        <w:t xml:space="preserve">sub </w:t>
      </w:r>
      <w:hyperlink r:id="rId332" w:tooltip="Gene Technology Amendment Act 2008" w:history="1">
        <w:r w:rsidRPr="00903C3C">
          <w:rPr>
            <w:rStyle w:val="charCitHyperlinkAbbrev"/>
          </w:rPr>
          <w:t>A2008</w:t>
        </w:r>
        <w:r w:rsidRPr="00903C3C">
          <w:rPr>
            <w:rStyle w:val="charCitHyperlinkAbbrev"/>
          </w:rPr>
          <w:noBreakHyphen/>
          <w:t>10</w:t>
        </w:r>
      </w:hyperlink>
      <w:r>
        <w:t xml:space="preserve"> s 71</w:t>
      </w:r>
    </w:p>
    <w:p w:rsidR="00F93509" w:rsidRPr="00903C3C" w:rsidRDefault="00F93509" w:rsidP="00F93509">
      <w:pPr>
        <w:pStyle w:val="AmdtsEntryHd"/>
        <w:rPr>
          <w:rStyle w:val="charItals"/>
        </w:rPr>
      </w:pPr>
      <w:r>
        <w:t xml:space="preserve">Meaning of </w:t>
      </w:r>
      <w:r w:rsidRPr="00903C3C">
        <w:rPr>
          <w:rStyle w:val="charItals"/>
        </w:rPr>
        <w:t>reviewable decision</w:t>
      </w:r>
      <w:r>
        <w:t xml:space="preserve"> and </w:t>
      </w:r>
      <w:r w:rsidRPr="00903C3C">
        <w:rPr>
          <w:rStyle w:val="charItals"/>
        </w:rPr>
        <w:t>eligible person</w:t>
      </w:r>
    </w:p>
    <w:p w:rsidR="00F93509" w:rsidRDefault="00F93509" w:rsidP="00F93509">
      <w:pPr>
        <w:pStyle w:val="AmdtsEntries"/>
      </w:pPr>
      <w:r>
        <w:t>s 179</w:t>
      </w:r>
      <w:r>
        <w:tab/>
        <w:t xml:space="preserve">am </w:t>
      </w:r>
      <w:hyperlink r:id="rId333" w:tooltip="Aboriginal and Torres Strait Islander Elected Body Act 2008" w:history="1">
        <w:r w:rsidRPr="00903C3C">
          <w:rPr>
            <w:rStyle w:val="charCitHyperlinkAbbrev"/>
          </w:rPr>
          <w:t>A2008</w:t>
        </w:r>
        <w:r w:rsidRPr="00903C3C">
          <w:rPr>
            <w:rStyle w:val="charCitHyperlinkAbbrev"/>
          </w:rPr>
          <w:noBreakHyphen/>
          <w:t>12</w:t>
        </w:r>
      </w:hyperlink>
      <w:r>
        <w:t xml:space="preserve"> ss 72-74</w:t>
      </w:r>
    </w:p>
    <w:p w:rsidR="00F93509" w:rsidRDefault="00F93509" w:rsidP="00F93509">
      <w:pPr>
        <w:pStyle w:val="AmdtsEntryHd"/>
      </w:pPr>
      <w:r>
        <w:t>Deadlines for making reviewable decisions</w:t>
      </w:r>
    </w:p>
    <w:p w:rsidR="00F93509" w:rsidRDefault="00F93509" w:rsidP="00F93509">
      <w:pPr>
        <w:pStyle w:val="AmdtsEntries"/>
      </w:pPr>
      <w:r>
        <w:t>s 182</w:t>
      </w:r>
      <w:r>
        <w:tab/>
        <w:t xml:space="preserve">am </w:t>
      </w:r>
      <w:hyperlink r:id="rId334" w:tooltip="Gene Technology Amendment Act 2008" w:history="1">
        <w:r w:rsidRPr="00903C3C">
          <w:rPr>
            <w:rStyle w:val="charCitHyperlinkAbbrev"/>
          </w:rPr>
          <w:t>A2008</w:t>
        </w:r>
        <w:r w:rsidRPr="00903C3C">
          <w:rPr>
            <w:rStyle w:val="charCitHyperlinkAbbrev"/>
          </w:rPr>
          <w:noBreakHyphen/>
          <w:t>10</w:t>
        </w:r>
      </w:hyperlink>
      <w:r>
        <w:t xml:space="preserve"> s 75, s 76</w:t>
      </w:r>
    </w:p>
    <w:p w:rsidR="00F93509" w:rsidRDefault="00F93509" w:rsidP="00F93509">
      <w:pPr>
        <w:pStyle w:val="AmdtsEntryHd"/>
      </w:pPr>
      <w:r>
        <w:t>Regulator may declare information is confidential commercial information</w:t>
      </w:r>
    </w:p>
    <w:p w:rsidR="00F93509" w:rsidRDefault="00F93509" w:rsidP="00F93509">
      <w:pPr>
        <w:pStyle w:val="AmdtsEntries"/>
      </w:pPr>
      <w:r>
        <w:t>s 185</w:t>
      </w:r>
      <w:r>
        <w:tab/>
        <w:t xml:space="preserve">am </w:t>
      </w:r>
      <w:hyperlink r:id="rId335" w:tooltip="Gene Technology Amendment Act 2008" w:history="1">
        <w:r w:rsidRPr="00903C3C">
          <w:rPr>
            <w:rStyle w:val="charCitHyperlinkAbbrev"/>
          </w:rPr>
          <w:t>A2008</w:t>
        </w:r>
        <w:r w:rsidRPr="00903C3C">
          <w:rPr>
            <w:rStyle w:val="charCitHyperlinkAbbrev"/>
          </w:rPr>
          <w:noBreakHyphen/>
          <w:t>10</w:t>
        </w:r>
      </w:hyperlink>
      <w:r>
        <w:t xml:space="preserve"> s 77</w:t>
      </w:r>
    </w:p>
    <w:p w:rsidR="00A717D4" w:rsidRDefault="00A717D4" w:rsidP="00A717D4">
      <w:pPr>
        <w:pStyle w:val="AmdtsEntryHd"/>
      </w:pPr>
      <w:r w:rsidRPr="00A717D4">
        <w:t>Confidential commercial information must not be disclosed</w:t>
      </w:r>
    </w:p>
    <w:p w:rsidR="00A717D4" w:rsidRPr="00A717D4" w:rsidRDefault="00A717D4" w:rsidP="00A717D4">
      <w:pPr>
        <w:pStyle w:val="AmdtsEntries"/>
      </w:pPr>
      <w:r>
        <w:t>s 187</w:t>
      </w:r>
      <w:r>
        <w:tab/>
        <w:t xml:space="preserve">am </w:t>
      </w:r>
      <w:hyperlink r:id="rId336" w:tooltip="Freedom of Information Act 2016" w:history="1">
        <w:r>
          <w:rPr>
            <w:rStyle w:val="charCitHyperlinkAbbrev"/>
          </w:rPr>
          <w:t>A2016-55</w:t>
        </w:r>
      </w:hyperlink>
      <w:r w:rsidR="00592E5B">
        <w:t xml:space="preserve"> amdt 4.13</w:t>
      </w:r>
    </w:p>
    <w:p w:rsidR="00F93509" w:rsidRDefault="00F93509" w:rsidP="00F93509">
      <w:pPr>
        <w:pStyle w:val="AmdtsEntryHd"/>
      </w:pPr>
      <w:r>
        <w:t>Acts and omissions of representatives</w:t>
      </w:r>
    </w:p>
    <w:p w:rsidR="00F93509" w:rsidRDefault="00F93509" w:rsidP="00F93509">
      <w:pPr>
        <w:pStyle w:val="AmdtsEntries"/>
      </w:pPr>
      <w:r>
        <w:t>s 188</w:t>
      </w:r>
      <w:r>
        <w:tab/>
        <w:t xml:space="preserve">sub </w:t>
      </w:r>
      <w:hyperlink r:id="rId337"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t>Meaning of terms in s 188</w:t>
      </w:r>
    </w:p>
    <w:p w:rsidR="00F93509" w:rsidRDefault="00F93509" w:rsidP="00F93509">
      <w:pPr>
        <w:pStyle w:val="AmdtsEntries"/>
      </w:pPr>
      <w:r>
        <w:t>s 189</w:t>
      </w:r>
      <w:r>
        <w:tab/>
        <w:t xml:space="preserve">om </w:t>
      </w:r>
      <w:hyperlink r:id="rId338"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rPr>
          <w:rStyle w:val="CharDivText"/>
        </w:rPr>
        <w:t>Transitional provisions</w:t>
      </w:r>
    </w:p>
    <w:p w:rsidR="00F93509" w:rsidRPr="00903C3C" w:rsidRDefault="00F93509" w:rsidP="00F93509">
      <w:pPr>
        <w:pStyle w:val="AmdtsEntries"/>
      </w:pPr>
      <w:r>
        <w:t>div 12.5 hdg</w:t>
      </w:r>
      <w:r>
        <w:tab/>
      </w:r>
      <w:r w:rsidRPr="00903C3C">
        <w:rPr>
          <w:rFonts w:cs="Arial"/>
        </w:rPr>
        <w:t>exp 5 June 2006 (s 191A (1))</w:t>
      </w:r>
    </w:p>
    <w:p w:rsidR="00F93509" w:rsidRDefault="00F93509" w:rsidP="00F93509">
      <w:pPr>
        <w:pStyle w:val="AmdtsEntryHd"/>
      </w:pPr>
      <w:r>
        <w:t>Transitional provision—dealings covered by genetic manipulation advisory committee advice to proceed</w:t>
      </w:r>
    </w:p>
    <w:p w:rsidR="00F93509" w:rsidRPr="00903C3C" w:rsidRDefault="00F93509" w:rsidP="00F93509">
      <w:pPr>
        <w:pStyle w:val="AmdtsEntries"/>
      </w:pPr>
      <w:r>
        <w:t>s 190</w:t>
      </w:r>
      <w:r>
        <w:tab/>
      </w:r>
      <w:r w:rsidRPr="00903C3C">
        <w:rPr>
          <w:rFonts w:cs="Arial"/>
        </w:rPr>
        <w:t>exp 5 June 2006 (s 191A (1) (LA s 88 declaration applies))</w:t>
      </w:r>
    </w:p>
    <w:p w:rsidR="00F93509" w:rsidRDefault="00F93509" w:rsidP="00F93509">
      <w:pPr>
        <w:pStyle w:val="AmdtsEntryHd"/>
      </w:pPr>
      <w:r>
        <w:t>Regulations may relate to transitional matters</w:t>
      </w:r>
    </w:p>
    <w:p w:rsidR="00F93509" w:rsidRPr="00903C3C" w:rsidRDefault="00F93509" w:rsidP="00F93509">
      <w:pPr>
        <w:pStyle w:val="AmdtsEntries"/>
      </w:pPr>
      <w:r>
        <w:t>s 191</w:t>
      </w:r>
      <w:r>
        <w:tab/>
      </w:r>
      <w:r w:rsidRPr="00903C3C">
        <w:rPr>
          <w:rFonts w:cs="Arial"/>
        </w:rPr>
        <w:t>exp 5 June 2006 (s 191A (1))</w:t>
      </w:r>
    </w:p>
    <w:p w:rsidR="00F93509" w:rsidRDefault="00F93509" w:rsidP="00F93509">
      <w:pPr>
        <w:pStyle w:val="AmdtsEntryHd"/>
      </w:pPr>
      <w:r>
        <w:t>Expiry of div 12.5</w:t>
      </w:r>
    </w:p>
    <w:p w:rsidR="00F93509" w:rsidRPr="00903C3C" w:rsidRDefault="00F93509" w:rsidP="00F93509">
      <w:pPr>
        <w:pStyle w:val="AmdtsEntries"/>
      </w:pPr>
      <w:r>
        <w:t>s 191A</w:t>
      </w:r>
      <w:r>
        <w:tab/>
      </w:r>
      <w:r w:rsidRPr="00903C3C">
        <w:rPr>
          <w:rFonts w:cs="Arial"/>
        </w:rPr>
        <w:t>exp 5 June 2006 (s 191A (1))</w:t>
      </w:r>
    </w:p>
    <w:p w:rsidR="00F93509" w:rsidRDefault="00F93509" w:rsidP="00F93509">
      <w:pPr>
        <w:pStyle w:val="AmdtsEntryHd"/>
      </w:pPr>
      <w:r>
        <w:t>Interference with dealings with GMOs</w:t>
      </w:r>
    </w:p>
    <w:p w:rsidR="00F93509" w:rsidRDefault="00F93509" w:rsidP="00F93509">
      <w:pPr>
        <w:pStyle w:val="AmdtsEntries"/>
      </w:pPr>
      <w:r>
        <w:t>s 192A</w:t>
      </w:r>
      <w:r>
        <w:tab/>
        <w:t xml:space="preserve">am </w:t>
      </w:r>
      <w:hyperlink r:id="rId339" w:tooltip="Gene Technology Amendment Act 2008" w:history="1">
        <w:r w:rsidRPr="00903C3C">
          <w:rPr>
            <w:rStyle w:val="charCitHyperlinkAbbrev"/>
          </w:rPr>
          <w:t>A2008</w:t>
        </w:r>
        <w:r w:rsidRPr="00903C3C">
          <w:rPr>
            <w:rStyle w:val="charCitHyperlinkAbbrev"/>
          </w:rPr>
          <w:noBreakHyphen/>
          <w:t>10</w:t>
        </w:r>
      </w:hyperlink>
      <w:r>
        <w:t xml:space="preserve"> s 78, s 79</w:t>
      </w:r>
    </w:p>
    <w:p w:rsidR="00F93509" w:rsidRDefault="00F93509" w:rsidP="00F93509">
      <w:pPr>
        <w:pStyle w:val="AmdtsEntryHd"/>
      </w:pPr>
      <w:r>
        <w:t>Review of operation of Act</w:t>
      </w:r>
    </w:p>
    <w:p w:rsidR="00F93509" w:rsidRDefault="00F93509" w:rsidP="00F93509">
      <w:pPr>
        <w:pStyle w:val="AmdtsEntries"/>
        <w:keepNext/>
      </w:pPr>
      <w:r>
        <w:t>s 194</w:t>
      </w:r>
      <w:r>
        <w:tab/>
        <w:t xml:space="preserve">am </w:t>
      </w:r>
      <w:hyperlink r:id="rId340" w:tooltip="Health Legislation Amendment Act 2006 (No 2)" w:history="1">
        <w:r w:rsidRPr="00903C3C">
          <w:rPr>
            <w:rStyle w:val="charCitHyperlinkAbbrev"/>
          </w:rPr>
          <w:t>A2006</w:t>
        </w:r>
        <w:r w:rsidRPr="00903C3C">
          <w:rPr>
            <w:rStyle w:val="charCitHyperlinkAbbrev"/>
          </w:rPr>
          <w:noBreakHyphen/>
          <w:t>46</w:t>
        </w:r>
      </w:hyperlink>
      <w:r>
        <w:t xml:space="preserve"> amdt 2.23, amdt 2.24; ss renum R3 LA</w:t>
      </w:r>
    </w:p>
    <w:p w:rsidR="00F93509" w:rsidRDefault="00F93509" w:rsidP="00F93509">
      <w:pPr>
        <w:pStyle w:val="AmdtsEntries"/>
      </w:pPr>
      <w:r w:rsidRPr="00E12EB2">
        <w:tab/>
        <w:t>exp 5 June 2009 (s 194 (6))</w:t>
      </w:r>
    </w:p>
    <w:p w:rsidR="000754B5" w:rsidRDefault="000754B5" w:rsidP="000754B5">
      <w:pPr>
        <w:pStyle w:val="AmdtsEntryHd"/>
      </w:pPr>
      <w:r>
        <w:t>Transitional—Gene Technology Amendment Act 2017</w:t>
      </w:r>
    </w:p>
    <w:p w:rsidR="000754B5" w:rsidRDefault="000754B5" w:rsidP="000754B5">
      <w:pPr>
        <w:pStyle w:val="AmdtsEntries"/>
      </w:pPr>
      <w:r>
        <w:t>pt 13 hdg</w:t>
      </w:r>
      <w:r>
        <w:tab/>
        <w:t xml:space="preserve">ins </w:t>
      </w:r>
      <w:hyperlink r:id="rId341" w:tooltip="Gene Technology Amendment Act 2017" w:history="1">
        <w:r>
          <w:rPr>
            <w:rStyle w:val="charCitHyperlinkAbbrev"/>
          </w:rPr>
          <w:t>A2017-15</w:t>
        </w:r>
      </w:hyperlink>
      <w:r>
        <w:t xml:space="preserve"> s 17</w:t>
      </w:r>
    </w:p>
    <w:p w:rsidR="000754B5" w:rsidRDefault="000754B5" w:rsidP="000754B5">
      <w:pPr>
        <w:pStyle w:val="AmdtsEntries"/>
      </w:pPr>
      <w:r>
        <w:tab/>
      </w:r>
      <w:r w:rsidRPr="0013419E">
        <w:rPr>
          <w:u w:val="single"/>
        </w:rPr>
        <w:t>exp 15 June 2019</w:t>
      </w:r>
      <w:r>
        <w:rPr>
          <w:u w:val="single"/>
        </w:rPr>
        <w:t xml:space="preserve"> (s 204)</w:t>
      </w:r>
    </w:p>
    <w:p w:rsidR="00E4494F" w:rsidRDefault="004F02A0" w:rsidP="004F02A0">
      <w:pPr>
        <w:pStyle w:val="AmdtsEntryHd"/>
      </w:pPr>
      <w:r w:rsidRPr="00E2623C">
        <w:t xml:space="preserve">Meaning of </w:t>
      </w:r>
      <w:r w:rsidRPr="004F02A0">
        <w:rPr>
          <w:i/>
        </w:rPr>
        <w:t>commencement day</w:t>
      </w:r>
      <w:r w:rsidRPr="00E2623C">
        <w:t>—pt 13</w:t>
      </w:r>
    </w:p>
    <w:p w:rsidR="004F02A0" w:rsidRDefault="004F02A0" w:rsidP="00F93509">
      <w:pPr>
        <w:pStyle w:val="AmdtsEntries"/>
      </w:pPr>
      <w:r>
        <w:t>s 200</w:t>
      </w:r>
      <w:r>
        <w:tab/>
        <w:t xml:space="preserve">ins </w:t>
      </w:r>
      <w:hyperlink r:id="rId342" w:tooltip="Gene Technology Amendment Act 2017" w:history="1">
        <w:r>
          <w:rPr>
            <w:rStyle w:val="charCitHyperlinkAbbrev"/>
          </w:rPr>
          <w:t>A2017-15</w:t>
        </w:r>
      </w:hyperlink>
      <w:r>
        <w:t xml:space="preserve"> s 17</w:t>
      </w:r>
    </w:p>
    <w:p w:rsidR="0013419E" w:rsidRPr="0013419E" w:rsidRDefault="0013419E" w:rsidP="00F93509">
      <w:pPr>
        <w:pStyle w:val="AmdtsEntries"/>
        <w:rPr>
          <w:u w:val="single"/>
        </w:rPr>
      </w:pPr>
      <w:r>
        <w:tab/>
      </w:r>
      <w:r w:rsidRPr="0013419E">
        <w:rPr>
          <w:u w:val="single"/>
        </w:rPr>
        <w:t>exp 15 June 2019</w:t>
      </w:r>
      <w:r w:rsidR="00B04061">
        <w:rPr>
          <w:u w:val="single"/>
        </w:rPr>
        <w:t xml:space="preserve"> (s 204)</w:t>
      </w:r>
    </w:p>
    <w:p w:rsidR="004F02A0" w:rsidRDefault="004F02A0" w:rsidP="004F02A0">
      <w:pPr>
        <w:pStyle w:val="AmdtsEntryHd"/>
      </w:pPr>
      <w:r w:rsidRPr="00E2623C">
        <w:t>Inadvertent dealings applications—s 46A (a) and s 49 (a)</w:t>
      </w:r>
    </w:p>
    <w:p w:rsidR="004F02A0" w:rsidRDefault="004F02A0" w:rsidP="00C37ACD">
      <w:pPr>
        <w:pStyle w:val="AmdtsEntries"/>
        <w:keepNext/>
      </w:pPr>
      <w:r>
        <w:t>s 201</w:t>
      </w:r>
      <w:r>
        <w:tab/>
        <w:t xml:space="preserve">ins </w:t>
      </w:r>
      <w:hyperlink r:id="rId343" w:tooltip="Gene Technology Amendment Act 2017" w:history="1">
        <w:r>
          <w:rPr>
            <w:rStyle w:val="charCitHyperlinkAbbrev"/>
          </w:rPr>
          <w:t>A2017-15</w:t>
        </w:r>
      </w:hyperlink>
      <w:r>
        <w:t xml:space="preserve"> s 17</w:t>
      </w:r>
    </w:p>
    <w:p w:rsidR="0013419E" w:rsidRDefault="0013419E" w:rsidP="00F93509">
      <w:pPr>
        <w:pStyle w:val="AmdtsEntries"/>
      </w:pPr>
      <w:r>
        <w:tab/>
      </w:r>
      <w:r w:rsidRPr="0013419E">
        <w:rPr>
          <w:u w:val="single"/>
        </w:rPr>
        <w:t>exp 15 June 2019</w:t>
      </w:r>
      <w:r w:rsidR="00B04061">
        <w:rPr>
          <w:u w:val="single"/>
        </w:rPr>
        <w:t xml:space="preserve"> (s 204)</w:t>
      </w:r>
    </w:p>
    <w:p w:rsidR="004F02A0" w:rsidRDefault="004F02A0" w:rsidP="0013419E">
      <w:pPr>
        <w:pStyle w:val="AmdtsEntryHd"/>
      </w:pPr>
      <w:r w:rsidRPr="00E2623C">
        <w:t>Variation of licence applications—s 71 (2B)</w:t>
      </w:r>
    </w:p>
    <w:p w:rsidR="004F02A0" w:rsidRDefault="004F02A0" w:rsidP="0013419E">
      <w:pPr>
        <w:pStyle w:val="AmdtsEntries"/>
        <w:keepNext/>
      </w:pPr>
      <w:r>
        <w:t>s 202</w:t>
      </w:r>
      <w:r>
        <w:tab/>
        <w:t xml:space="preserve">ins </w:t>
      </w:r>
      <w:hyperlink r:id="rId344" w:tooltip="Gene Technology Amendment Act 2017" w:history="1">
        <w:r>
          <w:rPr>
            <w:rStyle w:val="charCitHyperlinkAbbrev"/>
          </w:rPr>
          <w:t>A2017-15</w:t>
        </w:r>
      </w:hyperlink>
      <w:r>
        <w:t xml:space="preserve"> s 17</w:t>
      </w:r>
    </w:p>
    <w:p w:rsidR="0013419E" w:rsidRDefault="0013419E" w:rsidP="00F93509">
      <w:pPr>
        <w:pStyle w:val="AmdtsEntries"/>
      </w:pPr>
      <w:r>
        <w:tab/>
      </w:r>
      <w:r w:rsidRPr="0013419E">
        <w:rPr>
          <w:u w:val="single"/>
        </w:rPr>
        <w:t>exp 15 June 2019</w:t>
      </w:r>
      <w:r w:rsidR="00B04061">
        <w:rPr>
          <w:u w:val="single"/>
        </w:rPr>
        <w:t xml:space="preserve"> (s 204)</w:t>
      </w:r>
    </w:p>
    <w:p w:rsidR="004F02A0" w:rsidRDefault="004F02A0" w:rsidP="004F02A0">
      <w:pPr>
        <w:pStyle w:val="AmdtsEntryHd"/>
      </w:pPr>
      <w:r w:rsidRPr="00E2623C">
        <w:t>Record of GMO dealings—s 138</w:t>
      </w:r>
    </w:p>
    <w:p w:rsidR="004F02A0" w:rsidRDefault="004F02A0" w:rsidP="00F93509">
      <w:pPr>
        <w:pStyle w:val="AmdtsEntries"/>
      </w:pPr>
      <w:r>
        <w:t>s 203</w:t>
      </w:r>
      <w:r>
        <w:tab/>
        <w:t xml:space="preserve">ins </w:t>
      </w:r>
      <w:hyperlink r:id="rId345" w:tooltip="Gene Technology Amendment Act 2017" w:history="1">
        <w:r>
          <w:rPr>
            <w:rStyle w:val="charCitHyperlinkAbbrev"/>
          </w:rPr>
          <w:t>A2017-15</w:t>
        </w:r>
      </w:hyperlink>
      <w:r>
        <w:t xml:space="preserve"> s 17</w:t>
      </w:r>
    </w:p>
    <w:p w:rsidR="0013419E" w:rsidRDefault="0013419E" w:rsidP="00F93509">
      <w:pPr>
        <w:pStyle w:val="AmdtsEntries"/>
      </w:pPr>
      <w:r>
        <w:tab/>
      </w:r>
      <w:r w:rsidRPr="0013419E">
        <w:rPr>
          <w:u w:val="single"/>
        </w:rPr>
        <w:t>exp 15 June 2019</w:t>
      </w:r>
      <w:r w:rsidR="00B04061">
        <w:rPr>
          <w:u w:val="single"/>
        </w:rPr>
        <w:t xml:space="preserve"> (s 204)</w:t>
      </w:r>
    </w:p>
    <w:p w:rsidR="004F02A0" w:rsidRDefault="004F02A0" w:rsidP="004F02A0">
      <w:pPr>
        <w:pStyle w:val="AmdtsEntryHd"/>
      </w:pPr>
      <w:r w:rsidRPr="00E2623C">
        <w:t>Expiry—pt 13</w:t>
      </w:r>
    </w:p>
    <w:p w:rsidR="004F02A0" w:rsidRDefault="004F02A0" w:rsidP="00F93509">
      <w:pPr>
        <w:pStyle w:val="AmdtsEntries"/>
      </w:pPr>
      <w:r>
        <w:t>s 204</w:t>
      </w:r>
      <w:r>
        <w:tab/>
        <w:t xml:space="preserve">ins </w:t>
      </w:r>
      <w:hyperlink r:id="rId346" w:tooltip="Gene Technology Amendment Act 2017" w:history="1">
        <w:r>
          <w:rPr>
            <w:rStyle w:val="charCitHyperlinkAbbrev"/>
          </w:rPr>
          <w:t>A2017-15</w:t>
        </w:r>
      </w:hyperlink>
      <w:r>
        <w:t xml:space="preserve"> s 17</w:t>
      </w:r>
    </w:p>
    <w:p w:rsidR="0013419E" w:rsidRPr="00E12EB2" w:rsidRDefault="0013419E" w:rsidP="00F93509">
      <w:pPr>
        <w:pStyle w:val="AmdtsEntries"/>
      </w:pPr>
      <w:r>
        <w:tab/>
      </w:r>
      <w:r w:rsidRPr="0013419E">
        <w:rPr>
          <w:u w:val="single"/>
        </w:rPr>
        <w:t>exp 15 June 2019</w:t>
      </w:r>
      <w:r w:rsidR="00B04061">
        <w:rPr>
          <w:u w:val="single"/>
        </w:rPr>
        <w:t xml:space="preserve"> (s 204)</w:t>
      </w:r>
    </w:p>
    <w:p w:rsidR="00F93509" w:rsidRPr="00903C3C" w:rsidRDefault="00F93509" w:rsidP="00F93509">
      <w:pPr>
        <w:pStyle w:val="AmdtsEntryHd"/>
        <w:rPr>
          <w:rFonts w:cs="Arial"/>
        </w:rPr>
      </w:pPr>
      <w:r w:rsidRPr="00903C3C">
        <w:rPr>
          <w:rFonts w:cs="Arial"/>
        </w:rPr>
        <w:t>Dictionary</w:t>
      </w:r>
    </w:p>
    <w:p w:rsidR="00F93509" w:rsidRDefault="00F93509" w:rsidP="00F93509">
      <w:pPr>
        <w:pStyle w:val="AmdtsEntries"/>
      </w:pPr>
      <w:r>
        <w:t>dict</w:t>
      </w:r>
      <w:r>
        <w:tab/>
        <w:t xml:space="preserve">am </w:t>
      </w:r>
      <w:hyperlink r:id="rId347" w:tooltip="Public Sector Management Amendment Act 2016" w:history="1">
        <w:r>
          <w:rPr>
            <w:rStyle w:val="charCitHyperlinkAbbrev"/>
          </w:rPr>
          <w:t>A2016</w:t>
        </w:r>
        <w:r>
          <w:rPr>
            <w:rStyle w:val="charCitHyperlinkAbbrev"/>
          </w:rPr>
          <w:noBreakHyphen/>
          <w:t>52</w:t>
        </w:r>
      </w:hyperlink>
      <w:r>
        <w:t xml:space="preserve"> amdt 1.94</w:t>
      </w:r>
    </w:p>
    <w:p w:rsidR="00F93509" w:rsidRDefault="00F93509" w:rsidP="00F93509">
      <w:pPr>
        <w:pStyle w:val="AmdtsEntries"/>
      </w:pPr>
      <w:r>
        <w:tab/>
        <w:t xml:space="preserve">def </w:t>
      </w:r>
      <w:r>
        <w:rPr>
          <w:rStyle w:val="charBoldItals"/>
        </w:rPr>
        <w:t xml:space="preserve">consultative committee </w:t>
      </w:r>
      <w:r>
        <w:t xml:space="preserve">om </w:t>
      </w:r>
      <w:hyperlink r:id="rId348" w:tooltip="Gene Technology Amendment Act 2008" w:history="1">
        <w:r w:rsidRPr="00903C3C">
          <w:rPr>
            <w:rStyle w:val="charCitHyperlinkAbbrev"/>
          </w:rPr>
          <w:t>A2008</w:t>
        </w:r>
        <w:r w:rsidRPr="00903C3C">
          <w:rPr>
            <w:rStyle w:val="charCitHyperlinkAbbrev"/>
          </w:rPr>
          <w:noBreakHyphen/>
          <w:t>10</w:t>
        </w:r>
      </w:hyperlink>
      <w:r>
        <w:t xml:space="preserve"> s 80</w:t>
      </w:r>
    </w:p>
    <w:p w:rsidR="00F93509" w:rsidRDefault="00F93509" w:rsidP="00F93509">
      <w:pPr>
        <w:pStyle w:val="AmdtsEntries"/>
      </w:pPr>
      <w:r>
        <w:tab/>
        <w:t xml:space="preserve">def </w:t>
      </w:r>
      <w:r>
        <w:rPr>
          <w:rStyle w:val="charBoldItals"/>
        </w:rPr>
        <w:t xml:space="preserve">deal with </w:t>
      </w:r>
      <w:r>
        <w:t xml:space="preserve">am </w:t>
      </w:r>
      <w:hyperlink r:id="rId349" w:tooltip="Gene Technology Amendment Act 2008" w:history="1">
        <w:r w:rsidRPr="00903C3C">
          <w:rPr>
            <w:rStyle w:val="charCitHyperlinkAbbrev"/>
          </w:rPr>
          <w:t>A2008</w:t>
        </w:r>
        <w:r w:rsidRPr="00903C3C">
          <w:rPr>
            <w:rStyle w:val="charCitHyperlinkAbbrev"/>
          </w:rPr>
          <w:noBreakHyphen/>
          <w:t>10</w:t>
        </w:r>
      </w:hyperlink>
      <w:r>
        <w:t xml:space="preserve"> s 81</w:t>
      </w:r>
    </w:p>
    <w:p w:rsidR="00F93509" w:rsidRDefault="00F93509" w:rsidP="00F93509">
      <w:pPr>
        <w:pStyle w:val="AmdtsEntries"/>
      </w:pPr>
      <w:r>
        <w:tab/>
        <w:t xml:space="preserve">def </w:t>
      </w:r>
      <w:r>
        <w:rPr>
          <w:rStyle w:val="charBoldItals"/>
        </w:rPr>
        <w:t xml:space="preserve">ethics and community committee </w:t>
      </w:r>
      <w:r>
        <w:t xml:space="preserve">ins </w:t>
      </w:r>
      <w:hyperlink r:id="rId350" w:tooltip="Gene Technology Amendment Act 2008" w:history="1">
        <w:r w:rsidRPr="00903C3C">
          <w:rPr>
            <w:rStyle w:val="charCitHyperlinkAbbrev"/>
          </w:rPr>
          <w:t>A2008</w:t>
        </w:r>
        <w:r w:rsidRPr="00903C3C">
          <w:rPr>
            <w:rStyle w:val="charCitHyperlinkAbbrev"/>
          </w:rPr>
          <w:noBreakHyphen/>
          <w:t>10</w:t>
        </w:r>
      </w:hyperlink>
      <w:r>
        <w:t xml:space="preserve"> s 82</w:t>
      </w:r>
    </w:p>
    <w:p w:rsidR="00F93509" w:rsidRDefault="00F93509" w:rsidP="00F93509">
      <w:pPr>
        <w:pStyle w:val="AmdtsEntries"/>
      </w:pPr>
      <w:r>
        <w:tab/>
        <w:t xml:space="preserve">def </w:t>
      </w:r>
      <w:r>
        <w:rPr>
          <w:rStyle w:val="charBoldItals"/>
        </w:rPr>
        <w:t xml:space="preserve">ethics committee </w:t>
      </w:r>
      <w:r>
        <w:t xml:space="preserve">om </w:t>
      </w:r>
      <w:hyperlink r:id="rId351" w:tooltip="Gene Technology Amendment Act 2008" w:history="1">
        <w:r w:rsidRPr="00903C3C">
          <w:rPr>
            <w:rStyle w:val="charCitHyperlinkAbbrev"/>
          </w:rPr>
          <w:t>A2008</w:t>
        </w:r>
        <w:r w:rsidRPr="00903C3C">
          <w:rPr>
            <w:rStyle w:val="charCitHyperlinkAbbrev"/>
          </w:rPr>
          <w:noBreakHyphen/>
          <w:t>10</w:t>
        </w:r>
      </w:hyperlink>
      <w:r>
        <w:t xml:space="preserve"> s 83</w:t>
      </w:r>
    </w:p>
    <w:p w:rsidR="0005644E" w:rsidRDefault="0005644E" w:rsidP="00F93509">
      <w:pPr>
        <w:pStyle w:val="AmdtsEntries"/>
      </w:pPr>
      <w:r>
        <w:tab/>
        <w:t xml:space="preserve">def </w:t>
      </w:r>
      <w:r w:rsidR="002004AF">
        <w:rPr>
          <w:rStyle w:val="charBoldItals"/>
        </w:rPr>
        <w:t>GM r</w:t>
      </w:r>
      <w:r w:rsidRPr="0005644E">
        <w:rPr>
          <w:rStyle w:val="charBoldItals"/>
        </w:rPr>
        <w:t>ecord</w:t>
      </w:r>
      <w:r>
        <w:t xml:space="preserve"> am </w:t>
      </w:r>
      <w:hyperlink r:id="rId352" w:tooltip="Gene Technology Amendment Act 2017" w:history="1">
        <w:r>
          <w:rPr>
            <w:rStyle w:val="charCitHyperlinkAbbrev"/>
          </w:rPr>
          <w:t>A2017-15</w:t>
        </w:r>
      </w:hyperlink>
      <w:r w:rsidR="005E242E">
        <w:t xml:space="preserve"> s 18</w:t>
      </w:r>
    </w:p>
    <w:p w:rsidR="00F93509" w:rsidRDefault="00F93509" w:rsidP="00F93509">
      <w:pPr>
        <w:pStyle w:val="AmdtsEntries"/>
      </w:pPr>
      <w:r>
        <w:tab/>
        <w:t xml:space="preserve">def </w:t>
      </w:r>
      <w:r>
        <w:rPr>
          <w:rStyle w:val="charBoldItals"/>
        </w:rPr>
        <w:t xml:space="preserve">inadvertent dealings application </w:t>
      </w:r>
      <w:r>
        <w:t xml:space="preserve">ins </w:t>
      </w:r>
      <w:hyperlink r:id="rId353" w:tooltip="Gene Technology Amendment Act 2008" w:history="1">
        <w:r w:rsidRPr="00903C3C">
          <w:rPr>
            <w:rStyle w:val="charCitHyperlinkAbbrev"/>
          </w:rPr>
          <w:t>A2008</w:t>
        </w:r>
        <w:r w:rsidRPr="00903C3C">
          <w:rPr>
            <w:rStyle w:val="charCitHyperlinkAbbrev"/>
          </w:rPr>
          <w:noBreakHyphen/>
          <w:t>10</w:t>
        </w:r>
      </w:hyperlink>
      <w:r>
        <w:t xml:space="preserve"> s 84</w:t>
      </w:r>
    </w:p>
    <w:p w:rsidR="00F93509" w:rsidRDefault="00F93509" w:rsidP="00F93509">
      <w:pPr>
        <w:pStyle w:val="AmdtsEntries"/>
      </w:pPr>
      <w:r>
        <w:tab/>
        <w:t xml:space="preserve">def </w:t>
      </w:r>
      <w:r>
        <w:rPr>
          <w:rStyle w:val="charBoldItals"/>
        </w:rPr>
        <w:t xml:space="preserve">institutional biosafety committee </w:t>
      </w:r>
      <w:r>
        <w:t xml:space="preserve">sub </w:t>
      </w:r>
      <w:hyperlink r:id="rId354" w:tooltip="Gene Technology Amendment Act 2008" w:history="1">
        <w:r w:rsidRPr="00903C3C">
          <w:rPr>
            <w:rStyle w:val="charCitHyperlinkAbbrev"/>
          </w:rPr>
          <w:t>A2008</w:t>
        </w:r>
        <w:r w:rsidRPr="00903C3C">
          <w:rPr>
            <w:rStyle w:val="charCitHyperlinkAbbrev"/>
          </w:rPr>
          <w:noBreakHyphen/>
          <w:t>10</w:t>
        </w:r>
      </w:hyperlink>
      <w:r>
        <w:t xml:space="preserve"> s 85</w:t>
      </w:r>
    </w:p>
    <w:p w:rsidR="00F93509" w:rsidRPr="00466EB6" w:rsidRDefault="00F93509" w:rsidP="00F93509">
      <w:pPr>
        <w:pStyle w:val="PageBreak"/>
      </w:pPr>
      <w:r w:rsidRPr="00466EB6">
        <w:br w:type="page"/>
      </w:r>
    </w:p>
    <w:p w:rsidR="00F93509" w:rsidRPr="00325B6A" w:rsidRDefault="00F93509" w:rsidP="00F93509">
      <w:pPr>
        <w:pStyle w:val="Endnote20"/>
      </w:pPr>
      <w:bookmarkStart w:id="289" w:name="_Toc526844766"/>
      <w:r w:rsidRPr="00325B6A">
        <w:rPr>
          <w:rStyle w:val="charTableNo"/>
        </w:rPr>
        <w:t>5</w:t>
      </w:r>
      <w:r>
        <w:tab/>
      </w:r>
      <w:r w:rsidRPr="00325B6A">
        <w:rPr>
          <w:rStyle w:val="charTableText"/>
        </w:rPr>
        <w:t>Earlier republications</w:t>
      </w:r>
      <w:bookmarkEnd w:id="289"/>
    </w:p>
    <w:p w:rsidR="00F93509" w:rsidRDefault="00F93509" w:rsidP="00F93509">
      <w:pPr>
        <w:pStyle w:val="EndNoteTextPub"/>
      </w:pPr>
      <w:r>
        <w:t>Some earlier republications were not numbered. The number in column 1 refers to the publication order.</w:t>
      </w:r>
    </w:p>
    <w:p w:rsidR="00F93509" w:rsidRDefault="00F93509" w:rsidP="00F935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93509" w:rsidRDefault="00F93509" w:rsidP="00F935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3509" w:rsidTr="00FD2B77">
        <w:trPr>
          <w:tblHeader/>
        </w:trPr>
        <w:tc>
          <w:tcPr>
            <w:tcW w:w="1576" w:type="dxa"/>
            <w:tcBorders>
              <w:bottom w:val="single" w:sz="4" w:space="0" w:color="auto"/>
            </w:tcBorders>
          </w:tcPr>
          <w:p w:rsidR="00F93509" w:rsidRDefault="00F93509" w:rsidP="00FD2B77">
            <w:pPr>
              <w:pStyle w:val="EarlierRepubHdg"/>
            </w:pPr>
            <w:r>
              <w:t>Republication No and date</w:t>
            </w:r>
          </w:p>
        </w:tc>
        <w:tc>
          <w:tcPr>
            <w:tcW w:w="1681" w:type="dxa"/>
            <w:tcBorders>
              <w:bottom w:val="single" w:sz="4" w:space="0" w:color="auto"/>
            </w:tcBorders>
          </w:tcPr>
          <w:p w:rsidR="00F93509" w:rsidRDefault="00F93509" w:rsidP="00FD2B77">
            <w:pPr>
              <w:pStyle w:val="EarlierRepubHdg"/>
            </w:pPr>
            <w:r>
              <w:t>Effective</w:t>
            </w:r>
          </w:p>
        </w:tc>
        <w:tc>
          <w:tcPr>
            <w:tcW w:w="1783" w:type="dxa"/>
            <w:tcBorders>
              <w:bottom w:val="single" w:sz="4" w:space="0" w:color="auto"/>
            </w:tcBorders>
          </w:tcPr>
          <w:p w:rsidR="00F93509" w:rsidRDefault="00F93509" w:rsidP="00FD2B77">
            <w:pPr>
              <w:pStyle w:val="EarlierRepubHdg"/>
            </w:pPr>
            <w:r>
              <w:t>Last amendment made by</w:t>
            </w:r>
          </w:p>
        </w:tc>
        <w:tc>
          <w:tcPr>
            <w:tcW w:w="1783" w:type="dxa"/>
            <w:tcBorders>
              <w:bottom w:val="single" w:sz="4" w:space="0" w:color="auto"/>
            </w:tcBorders>
          </w:tcPr>
          <w:p w:rsidR="00F93509" w:rsidRDefault="00F93509" w:rsidP="00FD2B77">
            <w:pPr>
              <w:pStyle w:val="EarlierRepubHdg"/>
            </w:pPr>
            <w:r>
              <w:t>Republication for</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R1</w:t>
            </w:r>
            <w:r>
              <w:br/>
              <w:t>5 June 2004</w:t>
            </w:r>
          </w:p>
        </w:tc>
        <w:tc>
          <w:tcPr>
            <w:tcW w:w="1681" w:type="dxa"/>
            <w:tcBorders>
              <w:top w:val="single" w:sz="4" w:space="0" w:color="auto"/>
              <w:bottom w:val="single" w:sz="4" w:space="0" w:color="auto"/>
            </w:tcBorders>
          </w:tcPr>
          <w:p w:rsidR="00F93509" w:rsidRDefault="00F93509" w:rsidP="00FD2B77">
            <w:pPr>
              <w:pStyle w:val="EarlierRepubEntries"/>
            </w:pPr>
            <w:r>
              <w:t>5 June 2004–</w:t>
            </w:r>
            <w:r>
              <w:br/>
              <w:t>5 June 2006</w:t>
            </w:r>
          </w:p>
        </w:tc>
        <w:tc>
          <w:tcPr>
            <w:tcW w:w="1783" w:type="dxa"/>
            <w:tcBorders>
              <w:top w:val="single" w:sz="4" w:space="0" w:color="auto"/>
              <w:bottom w:val="single" w:sz="4" w:space="0" w:color="auto"/>
            </w:tcBorders>
          </w:tcPr>
          <w:p w:rsidR="00F93509" w:rsidRDefault="00DC28D5" w:rsidP="00FD2B77">
            <w:pPr>
              <w:pStyle w:val="EarlierRepubEntries"/>
            </w:pPr>
            <w:hyperlink r:id="rId355" w:tooltip="Criminal Code (Theft, Fraud, Bribery and Related Offences) Amendment Act 2004" w:history="1">
              <w:r w:rsidR="00F93509" w:rsidRPr="00903C3C">
                <w:rPr>
                  <w:rStyle w:val="charCitHyperlinkAbbrev"/>
                </w:rPr>
                <w:t>A2004</w:t>
              </w:r>
              <w:r w:rsidR="00F93509" w:rsidRPr="00903C3C">
                <w:rPr>
                  <w:rStyle w:val="charCitHyperlinkAbbrev"/>
                </w:rPr>
                <w:noBreakHyphen/>
                <w:t>15</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new Act and amendments by </w:t>
            </w:r>
            <w:hyperlink r:id="rId356" w:tooltip="Criminal Code (Theft, Fraud, Bribery and Related Offences) Amendment Act 2004" w:history="1">
              <w:r w:rsidRPr="00903C3C">
                <w:rPr>
                  <w:rStyle w:val="charCitHyperlinkAbbrev"/>
                </w:rPr>
                <w:t>A2004</w:t>
              </w:r>
              <w:r w:rsidRPr="00903C3C">
                <w:rPr>
                  <w:rStyle w:val="charCitHyperlinkAbbrev"/>
                </w:rPr>
                <w:noBreakHyphen/>
                <w:t>15</w:t>
              </w:r>
            </w:hyperlink>
          </w:p>
        </w:tc>
      </w:tr>
      <w:tr w:rsidR="00F93509" w:rsidTr="00FD2B77">
        <w:trPr>
          <w:cantSplit/>
        </w:trPr>
        <w:tc>
          <w:tcPr>
            <w:tcW w:w="1576" w:type="dxa"/>
            <w:tcBorders>
              <w:top w:val="single" w:sz="4" w:space="0" w:color="auto"/>
              <w:bottom w:val="single" w:sz="4" w:space="0" w:color="auto"/>
            </w:tcBorders>
          </w:tcPr>
          <w:p w:rsidR="00F93509" w:rsidRDefault="00F93509" w:rsidP="00FD2B77">
            <w:pPr>
              <w:pStyle w:val="EarlierRepubEntries"/>
            </w:pPr>
            <w:r>
              <w:t>R2</w:t>
            </w:r>
            <w:r>
              <w:br/>
              <w:t>6 June 2006</w:t>
            </w:r>
          </w:p>
        </w:tc>
        <w:tc>
          <w:tcPr>
            <w:tcW w:w="1681" w:type="dxa"/>
            <w:tcBorders>
              <w:top w:val="single" w:sz="4" w:space="0" w:color="auto"/>
              <w:bottom w:val="single" w:sz="4" w:space="0" w:color="auto"/>
            </w:tcBorders>
          </w:tcPr>
          <w:p w:rsidR="00F93509" w:rsidRDefault="00F93509" w:rsidP="00FD2B77">
            <w:pPr>
              <w:pStyle w:val="EarlierRepubEntries"/>
            </w:pPr>
            <w:r>
              <w:t>6 June 2006–</w:t>
            </w:r>
            <w:r>
              <w:br/>
              <w:t>17 Nov 2006</w:t>
            </w:r>
          </w:p>
        </w:tc>
        <w:tc>
          <w:tcPr>
            <w:tcW w:w="1783" w:type="dxa"/>
            <w:tcBorders>
              <w:top w:val="single" w:sz="4" w:space="0" w:color="auto"/>
              <w:bottom w:val="single" w:sz="4" w:space="0" w:color="auto"/>
            </w:tcBorders>
          </w:tcPr>
          <w:p w:rsidR="00F93509" w:rsidRDefault="00DC28D5" w:rsidP="00FD2B77">
            <w:pPr>
              <w:pStyle w:val="EarlierRepubEntries"/>
            </w:pPr>
            <w:hyperlink r:id="rId357" w:tooltip="Criminal Code (Theft, Fraud, Bribery and Related Offences) Amendment Act 2004" w:history="1">
              <w:r w:rsidR="00F93509" w:rsidRPr="00903C3C">
                <w:rPr>
                  <w:rStyle w:val="charCitHyperlinkAbbrev"/>
                </w:rPr>
                <w:t>A2004</w:t>
              </w:r>
              <w:r w:rsidR="00F93509" w:rsidRPr="00903C3C">
                <w:rPr>
                  <w:rStyle w:val="charCitHyperlinkAbbrev"/>
                </w:rPr>
                <w:noBreakHyphen/>
                <w:t>15</w:t>
              </w:r>
            </w:hyperlink>
          </w:p>
        </w:tc>
        <w:tc>
          <w:tcPr>
            <w:tcW w:w="1783" w:type="dxa"/>
            <w:tcBorders>
              <w:top w:val="single" w:sz="4" w:space="0" w:color="auto"/>
              <w:bottom w:val="single" w:sz="4" w:space="0" w:color="auto"/>
            </w:tcBorders>
          </w:tcPr>
          <w:p w:rsidR="00F93509" w:rsidRDefault="00F93509" w:rsidP="00FD2B77">
            <w:pPr>
              <w:pStyle w:val="EarlierRepubEntries"/>
            </w:pPr>
            <w:r>
              <w:t>commenced expiry</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R3</w:t>
            </w:r>
            <w:r>
              <w:br/>
              <w:t>18 Nov 2006</w:t>
            </w:r>
          </w:p>
        </w:tc>
        <w:tc>
          <w:tcPr>
            <w:tcW w:w="1681" w:type="dxa"/>
            <w:tcBorders>
              <w:top w:val="single" w:sz="4" w:space="0" w:color="auto"/>
              <w:bottom w:val="single" w:sz="4" w:space="0" w:color="auto"/>
            </w:tcBorders>
          </w:tcPr>
          <w:p w:rsidR="00F93509" w:rsidRDefault="00F93509" w:rsidP="00FD2B77">
            <w:pPr>
              <w:pStyle w:val="EarlierRepubEntries"/>
            </w:pPr>
            <w:r>
              <w:t>18 Nov 2006–</w:t>
            </w:r>
            <w:r>
              <w:br/>
              <w:t>30 Apr 2008</w:t>
            </w:r>
          </w:p>
        </w:tc>
        <w:tc>
          <w:tcPr>
            <w:tcW w:w="1783" w:type="dxa"/>
            <w:tcBorders>
              <w:top w:val="single" w:sz="4" w:space="0" w:color="auto"/>
              <w:bottom w:val="single" w:sz="4" w:space="0" w:color="auto"/>
            </w:tcBorders>
          </w:tcPr>
          <w:p w:rsidR="00F93509" w:rsidRDefault="00DC28D5" w:rsidP="00FD2B77">
            <w:pPr>
              <w:pStyle w:val="EarlierRepubEntries"/>
            </w:pPr>
            <w:hyperlink r:id="rId358" w:tooltip="Health Legislation Amendment Act 2006 (No 2)" w:history="1">
              <w:r w:rsidR="00F93509" w:rsidRPr="00903C3C">
                <w:rPr>
                  <w:rStyle w:val="charCitHyperlinkAbbrev"/>
                </w:rPr>
                <w:t>A2006</w:t>
              </w:r>
              <w:r w:rsidR="00F93509" w:rsidRPr="00903C3C">
                <w:rPr>
                  <w:rStyle w:val="charCitHyperlinkAbbrev"/>
                </w:rPr>
                <w:noBreakHyphen/>
                <w:t>46</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59" w:tooltip="Health Legislation Amendment Act 2006 (No 2)" w:history="1">
              <w:r w:rsidRPr="00903C3C">
                <w:rPr>
                  <w:rStyle w:val="charCitHyperlinkAbbrev"/>
                </w:rPr>
                <w:t>A2006</w:t>
              </w:r>
              <w:r w:rsidRPr="00903C3C">
                <w:rPr>
                  <w:rStyle w:val="charCitHyperlinkAbbrev"/>
                </w:rPr>
                <w:noBreakHyphen/>
                <w:t>46</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R4</w:t>
            </w:r>
            <w:r>
              <w:br/>
              <w:t>1 May 2008</w:t>
            </w:r>
          </w:p>
        </w:tc>
        <w:tc>
          <w:tcPr>
            <w:tcW w:w="1681" w:type="dxa"/>
            <w:tcBorders>
              <w:top w:val="single" w:sz="4" w:space="0" w:color="auto"/>
              <w:bottom w:val="single" w:sz="4" w:space="0" w:color="auto"/>
            </w:tcBorders>
          </w:tcPr>
          <w:p w:rsidR="00F93509" w:rsidRDefault="00F93509" w:rsidP="00FD2B77">
            <w:pPr>
              <w:pStyle w:val="EarlierRepubEntries"/>
            </w:pPr>
            <w:r>
              <w:t>1 May 2008–</w:t>
            </w:r>
            <w:r>
              <w:br/>
              <w:t>5 June 2009</w:t>
            </w:r>
          </w:p>
        </w:tc>
        <w:tc>
          <w:tcPr>
            <w:tcW w:w="1783" w:type="dxa"/>
            <w:tcBorders>
              <w:top w:val="single" w:sz="4" w:space="0" w:color="auto"/>
              <w:bottom w:val="single" w:sz="4" w:space="0" w:color="auto"/>
            </w:tcBorders>
          </w:tcPr>
          <w:p w:rsidR="00F93509" w:rsidRDefault="00DC28D5" w:rsidP="00FD2B77">
            <w:pPr>
              <w:pStyle w:val="EarlierRepubEntries"/>
            </w:pPr>
            <w:hyperlink r:id="rId360" w:tooltip="Gene Technology Amendment Act 2008" w:history="1">
              <w:r w:rsidR="00F93509" w:rsidRPr="00903C3C">
                <w:rPr>
                  <w:rStyle w:val="charCitHyperlinkAbbrev"/>
                </w:rPr>
                <w:t>A2008</w:t>
              </w:r>
              <w:r w:rsidR="00F93509" w:rsidRPr="00903C3C">
                <w:rPr>
                  <w:rStyle w:val="charCitHyperlinkAbbrev"/>
                </w:rPr>
                <w:noBreakHyphen/>
                <w:t>10</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1" w:tooltip="Gene Technology Amendment Act 2008" w:history="1">
              <w:r w:rsidRPr="00903C3C">
                <w:rPr>
                  <w:rStyle w:val="charCitHyperlinkAbbrev"/>
                </w:rPr>
                <w:t>A2008</w:t>
              </w:r>
              <w:r w:rsidRPr="00903C3C">
                <w:rPr>
                  <w:rStyle w:val="charCitHyperlinkAbbrev"/>
                </w:rPr>
                <w:noBreakHyphen/>
                <w:t>10</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R5</w:t>
            </w:r>
            <w:r>
              <w:br/>
              <w:t>6 June 2009</w:t>
            </w:r>
          </w:p>
        </w:tc>
        <w:tc>
          <w:tcPr>
            <w:tcW w:w="1681" w:type="dxa"/>
            <w:tcBorders>
              <w:top w:val="single" w:sz="4" w:space="0" w:color="auto"/>
              <w:bottom w:val="single" w:sz="4" w:space="0" w:color="auto"/>
            </w:tcBorders>
          </w:tcPr>
          <w:p w:rsidR="00F93509" w:rsidRDefault="00F93509" w:rsidP="00FD2B77">
            <w:pPr>
              <w:pStyle w:val="EarlierRepubEntries"/>
            </w:pPr>
            <w:r>
              <w:t>6 June 2009–</w:t>
            </w:r>
            <w:r>
              <w:br/>
              <w:t>21 Sept 2009</w:t>
            </w:r>
          </w:p>
        </w:tc>
        <w:tc>
          <w:tcPr>
            <w:tcW w:w="1783" w:type="dxa"/>
            <w:tcBorders>
              <w:top w:val="single" w:sz="4" w:space="0" w:color="auto"/>
              <w:bottom w:val="single" w:sz="4" w:space="0" w:color="auto"/>
            </w:tcBorders>
          </w:tcPr>
          <w:p w:rsidR="00F93509" w:rsidRDefault="00DC28D5" w:rsidP="00FD2B77">
            <w:pPr>
              <w:pStyle w:val="EarlierRepubEntries"/>
            </w:pPr>
            <w:hyperlink r:id="rId362" w:tooltip="Gene Technology Amendment Act 2008" w:history="1">
              <w:r w:rsidR="00F93509" w:rsidRPr="00903C3C">
                <w:rPr>
                  <w:rStyle w:val="charCitHyperlinkAbbrev"/>
                </w:rPr>
                <w:t>A2008</w:t>
              </w:r>
              <w:r w:rsidR="00F93509" w:rsidRPr="00903C3C">
                <w:rPr>
                  <w:rStyle w:val="charCitHyperlinkAbbrev"/>
                </w:rPr>
                <w:noBreakHyphen/>
                <w:t>10</w:t>
              </w:r>
            </w:hyperlink>
          </w:p>
        </w:tc>
        <w:tc>
          <w:tcPr>
            <w:tcW w:w="1783" w:type="dxa"/>
            <w:tcBorders>
              <w:top w:val="single" w:sz="4" w:space="0" w:color="auto"/>
              <w:bottom w:val="single" w:sz="4" w:space="0" w:color="auto"/>
            </w:tcBorders>
          </w:tcPr>
          <w:p w:rsidR="00F93509" w:rsidRDefault="00F93509" w:rsidP="00FD2B77">
            <w:pPr>
              <w:pStyle w:val="EarlierRepubEntries"/>
            </w:pPr>
            <w:r>
              <w:t>commenced expiry</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R6</w:t>
            </w:r>
            <w:r>
              <w:br/>
              <w:t>22 Sept 2009</w:t>
            </w:r>
          </w:p>
        </w:tc>
        <w:tc>
          <w:tcPr>
            <w:tcW w:w="1681" w:type="dxa"/>
            <w:tcBorders>
              <w:top w:val="single" w:sz="4" w:space="0" w:color="auto"/>
              <w:bottom w:val="single" w:sz="4" w:space="0" w:color="auto"/>
            </w:tcBorders>
          </w:tcPr>
          <w:p w:rsidR="00F93509" w:rsidRDefault="00F93509" w:rsidP="00FD2B77">
            <w:pPr>
              <w:pStyle w:val="EarlierRepubEntries"/>
            </w:pPr>
            <w:r>
              <w:t>22 Sept 2009</w:t>
            </w:r>
            <w:r>
              <w:noBreakHyphen/>
            </w:r>
            <w:r>
              <w:br/>
              <w:t>11 Dec 2011</w:t>
            </w:r>
          </w:p>
        </w:tc>
        <w:tc>
          <w:tcPr>
            <w:tcW w:w="1783" w:type="dxa"/>
            <w:tcBorders>
              <w:top w:val="single" w:sz="4" w:space="0" w:color="auto"/>
              <w:bottom w:val="single" w:sz="4" w:space="0" w:color="auto"/>
            </w:tcBorders>
          </w:tcPr>
          <w:p w:rsidR="00F93509" w:rsidRDefault="00DC28D5" w:rsidP="00FD2B77">
            <w:pPr>
              <w:pStyle w:val="EarlierRepubEntries"/>
            </w:pPr>
            <w:hyperlink r:id="rId363" w:tooltip="Statute Law Amendment Act 2009" w:history="1">
              <w:r w:rsidR="00F93509" w:rsidRPr="00903C3C">
                <w:rPr>
                  <w:rStyle w:val="charCitHyperlinkAbbrev"/>
                </w:rPr>
                <w:t>A2009</w:t>
              </w:r>
              <w:r w:rsidR="00F93509" w:rsidRPr="00903C3C">
                <w:rPr>
                  <w:rStyle w:val="charCitHyperlinkAbbrev"/>
                </w:rPr>
                <w:noBreakHyphen/>
                <w:t>20</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4" w:tooltip="Statute Law Amendment Act 2009" w:history="1">
              <w:r w:rsidRPr="00903C3C">
                <w:rPr>
                  <w:rStyle w:val="charCitHyperlinkAbbrev"/>
                </w:rPr>
                <w:t>A2009</w:t>
              </w:r>
              <w:r w:rsidRPr="00903C3C">
                <w:rPr>
                  <w:rStyle w:val="charCitHyperlinkAbbrev"/>
                </w:rPr>
                <w:noBreakHyphen/>
                <w:t>20</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R7</w:t>
            </w:r>
            <w:r>
              <w:br/>
              <w:t>12 Dec 2011</w:t>
            </w:r>
          </w:p>
        </w:tc>
        <w:tc>
          <w:tcPr>
            <w:tcW w:w="1681" w:type="dxa"/>
            <w:tcBorders>
              <w:top w:val="single" w:sz="4" w:space="0" w:color="auto"/>
              <w:bottom w:val="single" w:sz="4" w:space="0" w:color="auto"/>
            </w:tcBorders>
          </w:tcPr>
          <w:p w:rsidR="00F93509" w:rsidRDefault="00F93509" w:rsidP="00FD2B77">
            <w:pPr>
              <w:pStyle w:val="EarlierRepubEntries"/>
            </w:pPr>
            <w:r>
              <w:t>12 Dec 2011</w:t>
            </w:r>
            <w:r>
              <w:noBreakHyphen/>
            </w:r>
            <w:r>
              <w:br/>
              <w:t>13 Oct 2015</w:t>
            </w:r>
          </w:p>
        </w:tc>
        <w:tc>
          <w:tcPr>
            <w:tcW w:w="1783" w:type="dxa"/>
            <w:tcBorders>
              <w:top w:val="single" w:sz="4" w:space="0" w:color="auto"/>
              <w:bottom w:val="single" w:sz="4" w:space="0" w:color="auto"/>
            </w:tcBorders>
          </w:tcPr>
          <w:p w:rsidR="00F93509" w:rsidRDefault="00DC28D5" w:rsidP="00FD2B77">
            <w:pPr>
              <w:pStyle w:val="EarlierRepubEntries"/>
            </w:pPr>
            <w:hyperlink r:id="rId365" w:tooltip="Statute Law Amendment Act 2011 (No 3)" w:history="1">
              <w:r w:rsidR="00F93509" w:rsidRPr="00903C3C">
                <w:rPr>
                  <w:rStyle w:val="charCitHyperlinkAbbrev"/>
                </w:rPr>
                <w:t>A2011</w:t>
              </w:r>
              <w:r w:rsidR="00F93509" w:rsidRPr="00903C3C">
                <w:rPr>
                  <w:rStyle w:val="charCitHyperlinkAbbrev"/>
                </w:rPr>
                <w:noBreakHyphen/>
                <w:t>52</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6" w:tooltip="Statute Law Amendment Act 2011 (No 3)" w:history="1">
              <w:r w:rsidRPr="00903C3C">
                <w:rPr>
                  <w:rStyle w:val="charCitHyperlinkAbbrev"/>
                </w:rPr>
                <w:t>A2011</w:t>
              </w:r>
              <w:r w:rsidRPr="00903C3C">
                <w:rPr>
                  <w:rStyle w:val="charCitHyperlinkAbbrev"/>
                </w:rPr>
                <w:noBreakHyphen/>
                <w:t>52</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R8</w:t>
            </w:r>
            <w:r>
              <w:br/>
              <w:t>14 Oct 2015</w:t>
            </w:r>
          </w:p>
        </w:tc>
        <w:tc>
          <w:tcPr>
            <w:tcW w:w="1681" w:type="dxa"/>
            <w:tcBorders>
              <w:top w:val="single" w:sz="4" w:space="0" w:color="auto"/>
              <w:bottom w:val="single" w:sz="4" w:space="0" w:color="auto"/>
            </w:tcBorders>
          </w:tcPr>
          <w:p w:rsidR="00F93509" w:rsidRDefault="00F93509" w:rsidP="00FD2B77">
            <w:pPr>
              <w:pStyle w:val="EarlierRepubEntries"/>
            </w:pPr>
            <w:r>
              <w:t>14 Oct 2015</w:t>
            </w:r>
            <w:r>
              <w:noBreakHyphen/>
            </w:r>
            <w:r>
              <w:br/>
              <w:t>31 Aug 2016</w:t>
            </w:r>
          </w:p>
        </w:tc>
        <w:tc>
          <w:tcPr>
            <w:tcW w:w="1783" w:type="dxa"/>
            <w:tcBorders>
              <w:top w:val="single" w:sz="4" w:space="0" w:color="auto"/>
              <w:bottom w:val="single" w:sz="4" w:space="0" w:color="auto"/>
            </w:tcBorders>
          </w:tcPr>
          <w:p w:rsidR="00F93509" w:rsidRDefault="00DC28D5" w:rsidP="00FD2B77">
            <w:pPr>
              <w:pStyle w:val="EarlierRepubEntries"/>
            </w:pPr>
            <w:hyperlink r:id="rId367" w:tooltip="Red Tape Reduction Legislation Amendment Act 2015 " w:history="1">
              <w:r w:rsidR="00F93509" w:rsidRPr="00B35ABC">
                <w:rPr>
                  <w:rStyle w:val="charCitHyperlinkAbbrev"/>
                </w:rPr>
                <w:t>A2015-33</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8" w:tooltip="Red Tape Reduction Legislation Amendment Act 2015 " w:history="1">
              <w:r w:rsidRPr="00B35ABC">
                <w:rPr>
                  <w:rStyle w:val="charCitHyperlinkAbbrev"/>
                </w:rPr>
                <w:t>A2015-33</w:t>
              </w:r>
            </w:hyperlink>
          </w:p>
        </w:tc>
      </w:tr>
      <w:tr w:rsidR="006C23AA" w:rsidTr="00FD2B77">
        <w:tc>
          <w:tcPr>
            <w:tcW w:w="1576" w:type="dxa"/>
            <w:tcBorders>
              <w:top w:val="single" w:sz="4" w:space="0" w:color="auto"/>
              <w:bottom w:val="single" w:sz="4" w:space="0" w:color="auto"/>
            </w:tcBorders>
          </w:tcPr>
          <w:p w:rsidR="006C23AA" w:rsidRDefault="006C23AA" w:rsidP="00FD2B77">
            <w:pPr>
              <w:pStyle w:val="EarlierRepubEntries"/>
            </w:pPr>
            <w:r>
              <w:t>R9</w:t>
            </w:r>
            <w:r>
              <w:br/>
              <w:t>1 Sept 2016</w:t>
            </w:r>
          </w:p>
        </w:tc>
        <w:tc>
          <w:tcPr>
            <w:tcW w:w="1681" w:type="dxa"/>
            <w:tcBorders>
              <w:top w:val="single" w:sz="4" w:space="0" w:color="auto"/>
              <w:bottom w:val="single" w:sz="4" w:space="0" w:color="auto"/>
            </w:tcBorders>
          </w:tcPr>
          <w:p w:rsidR="006C23AA" w:rsidRDefault="006C23AA" w:rsidP="00FD2B77">
            <w:pPr>
              <w:pStyle w:val="EarlierRepubEntries"/>
            </w:pPr>
            <w:r>
              <w:t>1 Sept 2016</w:t>
            </w:r>
            <w:r>
              <w:noBreakHyphen/>
            </w:r>
            <w:r>
              <w:br/>
              <w:t>14 June 2017</w:t>
            </w:r>
          </w:p>
        </w:tc>
        <w:tc>
          <w:tcPr>
            <w:tcW w:w="1783" w:type="dxa"/>
            <w:tcBorders>
              <w:top w:val="single" w:sz="4" w:space="0" w:color="auto"/>
              <w:bottom w:val="single" w:sz="4" w:space="0" w:color="auto"/>
            </w:tcBorders>
          </w:tcPr>
          <w:p w:rsidR="006C23AA" w:rsidRDefault="00DC28D5" w:rsidP="00FD2B77">
            <w:pPr>
              <w:pStyle w:val="EarlierRepubEntries"/>
            </w:pPr>
            <w:hyperlink r:id="rId369" w:tooltip="Public Sector Management Amendment Act 2016" w:history="1">
              <w:r w:rsidR="006C23AA">
                <w:rPr>
                  <w:rStyle w:val="charCitHyperlinkAbbrev"/>
                </w:rPr>
                <w:t>A2016-52</w:t>
              </w:r>
            </w:hyperlink>
          </w:p>
        </w:tc>
        <w:tc>
          <w:tcPr>
            <w:tcW w:w="1783" w:type="dxa"/>
            <w:tcBorders>
              <w:top w:val="single" w:sz="4" w:space="0" w:color="auto"/>
              <w:bottom w:val="single" w:sz="4" w:space="0" w:color="auto"/>
            </w:tcBorders>
          </w:tcPr>
          <w:p w:rsidR="006C23AA" w:rsidRDefault="006C23AA" w:rsidP="00FD2B77">
            <w:pPr>
              <w:pStyle w:val="EarlierRepubEntries"/>
            </w:pPr>
            <w:r>
              <w:t xml:space="preserve">amendments by </w:t>
            </w:r>
            <w:hyperlink r:id="rId370" w:tooltip="Public Sector Management Amendment Act 2016" w:history="1">
              <w:r>
                <w:rPr>
                  <w:rStyle w:val="charCitHyperlinkAbbrev"/>
                </w:rPr>
                <w:t>A2016-52</w:t>
              </w:r>
            </w:hyperlink>
          </w:p>
        </w:tc>
      </w:tr>
      <w:tr w:rsidR="0045086D" w:rsidTr="00FD2B77">
        <w:tc>
          <w:tcPr>
            <w:tcW w:w="1576" w:type="dxa"/>
            <w:tcBorders>
              <w:top w:val="single" w:sz="4" w:space="0" w:color="auto"/>
              <w:bottom w:val="single" w:sz="4" w:space="0" w:color="auto"/>
            </w:tcBorders>
          </w:tcPr>
          <w:p w:rsidR="0045086D" w:rsidRDefault="0045086D" w:rsidP="00FD2B77">
            <w:pPr>
              <w:pStyle w:val="EarlierRepubEntries"/>
            </w:pPr>
            <w:r>
              <w:t>R10</w:t>
            </w:r>
            <w:r>
              <w:br/>
              <w:t>15 June 2017</w:t>
            </w:r>
          </w:p>
        </w:tc>
        <w:tc>
          <w:tcPr>
            <w:tcW w:w="1681" w:type="dxa"/>
            <w:tcBorders>
              <w:top w:val="single" w:sz="4" w:space="0" w:color="auto"/>
              <w:bottom w:val="single" w:sz="4" w:space="0" w:color="auto"/>
            </w:tcBorders>
          </w:tcPr>
          <w:p w:rsidR="0045086D" w:rsidRDefault="0045086D" w:rsidP="00FD2B77">
            <w:pPr>
              <w:pStyle w:val="EarlierRepubEntries"/>
            </w:pPr>
            <w:r>
              <w:t>15 June 2017</w:t>
            </w:r>
            <w:r>
              <w:noBreakHyphen/>
            </w:r>
            <w:r>
              <w:br/>
              <w:t>31 Dec 2017</w:t>
            </w:r>
          </w:p>
        </w:tc>
        <w:tc>
          <w:tcPr>
            <w:tcW w:w="1783" w:type="dxa"/>
            <w:tcBorders>
              <w:top w:val="single" w:sz="4" w:space="0" w:color="auto"/>
              <w:bottom w:val="single" w:sz="4" w:space="0" w:color="auto"/>
            </w:tcBorders>
          </w:tcPr>
          <w:p w:rsidR="0045086D" w:rsidRDefault="00DC28D5" w:rsidP="00FD2B77">
            <w:pPr>
              <w:pStyle w:val="EarlierRepubEntries"/>
            </w:pPr>
            <w:hyperlink r:id="rId371" w:tooltip="Gene Technology Amendment Act 2017" w:history="1">
              <w:r w:rsidR="000B04C5">
                <w:rPr>
                  <w:rStyle w:val="charCitHyperlinkAbbrev"/>
                </w:rPr>
                <w:t>A2017-15</w:t>
              </w:r>
            </w:hyperlink>
          </w:p>
        </w:tc>
        <w:tc>
          <w:tcPr>
            <w:tcW w:w="1783" w:type="dxa"/>
            <w:tcBorders>
              <w:top w:val="single" w:sz="4" w:space="0" w:color="auto"/>
              <w:bottom w:val="single" w:sz="4" w:space="0" w:color="auto"/>
            </w:tcBorders>
          </w:tcPr>
          <w:p w:rsidR="0045086D" w:rsidRDefault="000B04C5" w:rsidP="00FD2B77">
            <w:pPr>
              <w:pStyle w:val="EarlierRepubEntries"/>
            </w:pPr>
            <w:r>
              <w:t xml:space="preserve">amendments by </w:t>
            </w:r>
            <w:hyperlink r:id="rId372" w:tooltip="Gene Technology Amendment Act 2017" w:history="1">
              <w:r>
                <w:rPr>
                  <w:rStyle w:val="charCitHyperlinkAbbrev"/>
                </w:rPr>
                <w:t>A2017-15</w:t>
              </w:r>
            </w:hyperlink>
          </w:p>
        </w:tc>
      </w:tr>
    </w:tbl>
    <w:p w:rsidR="00F93509" w:rsidRDefault="00F93509" w:rsidP="00F93509">
      <w:pPr>
        <w:pStyle w:val="05EndNote"/>
        <w:sectPr w:rsidR="00F93509">
          <w:headerReference w:type="even" r:id="rId373"/>
          <w:headerReference w:type="default" r:id="rId374"/>
          <w:footerReference w:type="even" r:id="rId375"/>
          <w:footerReference w:type="default" r:id="rId376"/>
          <w:pgSz w:w="11907" w:h="16839" w:code="9"/>
          <w:pgMar w:top="3000" w:right="1900" w:bottom="2500" w:left="2300" w:header="2480" w:footer="2100" w:gutter="0"/>
          <w:cols w:space="720"/>
          <w:docGrid w:linePitch="254"/>
        </w:sectPr>
      </w:pPr>
    </w:p>
    <w:p w:rsidR="00F93509" w:rsidRDefault="00F93509" w:rsidP="00F93509">
      <w:pPr>
        <w:rPr>
          <w:color w:val="000000"/>
          <w:sz w:val="22"/>
        </w:rPr>
      </w:pPr>
    </w:p>
    <w:p w:rsidR="00F93509" w:rsidRPr="00136761" w:rsidRDefault="00F93509" w:rsidP="00136761">
      <w:pPr>
        <w:rPr>
          <w:color w:val="000000"/>
          <w:sz w:val="22"/>
        </w:rPr>
        <w:sectPr w:rsidR="00F93509" w:rsidRPr="00136761">
          <w:headerReference w:type="even" r:id="rId377"/>
          <w:headerReference w:type="default" r:id="rId378"/>
          <w:footerReference w:type="even" r:id="rId379"/>
          <w:footerReference w:type="default" r:id="rId380"/>
          <w:headerReference w:type="first" r:id="rId381"/>
          <w:footerReference w:type="first" r:id="rId382"/>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136761">
        <w:rPr>
          <w:noProof/>
          <w:color w:val="000000"/>
          <w:sz w:val="22"/>
        </w:rPr>
        <w:t>2018</w:t>
      </w:r>
    </w:p>
    <w:p w:rsidR="00A33675" w:rsidRPr="00F93509" w:rsidRDefault="00A33675" w:rsidP="00F93509"/>
    <w:sectPr w:rsidR="00A33675" w:rsidRPr="00F93509" w:rsidSect="00AE1CED">
      <w:headerReference w:type="even" r:id="rId383"/>
      <w:headerReference w:type="default" r:id="rId384"/>
      <w:footerReference w:type="even" r:id="rId385"/>
      <w:footerReference w:type="default" r:id="rId386"/>
      <w:headerReference w:type="first" r:id="rId387"/>
      <w:footerReference w:type="first" r:id="rId38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44" w:rsidRDefault="00B71B44">
      <w:r>
        <w:separator/>
      </w:r>
    </w:p>
  </w:endnote>
  <w:endnote w:type="continuationSeparator" w:id="0">
    <w:p w:rsidR="00B71B44" w:rsidRDefault="00B7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Pr="00B13E87" w:rsidRDefault="00A717D4" w:rsidP="00B13E87">
    <w:pPr>
      <w:pStyle w:val="Footer"/>
      <w:jc w:val="center"/>
      <w:rPr>
        <w:rFonts w:cs="Arial"/>
        <w:sz w:val="14"/>
      </w:rPr>
    </w:pPr>
    <w:r w:rsidRPr="00B13E87">
      <w:rPr>
        <w:rFonts w:cs="Arial"/>
        <w:sz w:val="14"/>
      </w:rPr>
      <w:fldChar w:fldCharType="begin"/>
    </w:r>
    <w:r w:rsidRPr="00B13E87">
      <w:rPr>
        <w:rFonts w:cs="Arial"/>
        <w:sz w:val="14"/>
      </w:rPr>
      <w:instrText xml:space="preserve"> DOCPROPERTY "Status" </w:instrText>
    </w:r>
    <w:r w:rsidRPr="00B13E87">
      <w:rPr>
        <w:rFonts w:cs="Arial"/>
        <w:sz w:val="14"/>
      </w:rPr>
      <w:fldChar w:fldCharType="separate"/>
    </w:r>
    <w:r w:rsidR="00136761" w:rsidRPr="00B13E87">
      <w:rPr>
        <w:rFonts w:cs="Arial"/>
        <w:sz w:val="14"/>
      </w:rPr>
      <w:t xml:space="preserve"> </w:t>
    </w:r>
    <w:r w:rsidRPr="00B13E87">
      <w:rPr>
        <w:rFonts w:cs="Arial"/>
        <w:sz w:val="14"/>
      </w:rPr>
      <w:fldChar w:fldCharType="end"/>
    </w:r>
    <w:r w:rsidR="00B13E87" w:rsidRPr="00B13E8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7D4">
      <w:tc>
        <w:tcPr>
          <w:tcW w:w="847" w:type="pct"/>
        </w:tcPr>
        <w:p w:rsidR="00A717D4" w:rsidRDefault="00A71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66</w:t>
          </w:r>
          <w:r>
            <w:rPr>
              <w:rStyle w:val="PageNumber"/>
            </w:rP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1061" w:type="pct"/>
        </w:tcPr>
        <w:p w:rsidR="00A717D4" w:rsidRDefault="00DC28D5">
          <w:pPr>
            <w:pStyle w:val="Footer"/>
            <w:jc w:val="right"/>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7D4">
      <w:tc>
        <w:tcPr>
          <w:tcW w:w="1061" w:type="pct"/>
        </w:tcPr>
        <w:p w:rsidR="00A717D4" w:rsidRDefault="00DC28D5">
          <w:pPr>
            <w:pStyle w:val="Footer"/>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847" w:type="pct"/>
        </w:tcPr>
        <w:p w:rsidR="00A717D4" w:rsidRDefault="00A71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65</w:t>
          </w:r>
          <w:r>
            <w:rPr>
              <w:rStyle w:val="PageNumber"/>
            </w:rP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717D4">
      <w:tc>
        <w:tcPr>
          <w:tcW w:w="1061" w:type="pct"/>
        </w:tcPr>
        <w:p w:rsidR="00A717D4" w:rsidRDefault="00DC28D5">
          <w:pPr>
            <w:pStyle w:val="Footer"/>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847" w:type="pct"/>
        </w:tcPr>
        <w:p w:rsidR="00A717D4" w:rsidRDefault="00A71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6761">
            <w:rPr>
              <w:rStyle w:val="PageNumber"/>
              <w:noProof/>
            </w:rPr>
            <w:t>66</w:t>
          </w:r>
          <w:r>
            <w:rPr>
              <w:rStyle w:val="PageNumber"/>
            </w:rPr>
            <w:fldChar w:fldCharType="end"/>
          </w:r>
        </w:p>
      </w:tc>
    </w:tr>
  </w:tbl>
  <w:p w:rsidR="00A717D4" w:rsidRDefault="00DC28D5">
    <w:pPr>
      <w:pStyle w:val="Status"/>
    </w:pPr>
    <w:r>
      <w:fldChar w:fldCharType="begin"/>
    </w:r>
    <w:r>
      <w:instrText xml:space="preserve"> DOCPROPERTY "Status" </w:instrText>
    </w:r>
    <w:r>
      <w:fldChar w:fldCharType="separate"/>
    </w:r>
    <w:r w:rsidR="00136761">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7D4">
      <w:tc>
        <w:tcPr>
          <w:tcW w:w="847" w:type="pct"/>
        </w:tcPr>
        <w:p w:rsidR="00A717D4" w:rsidRDefault="00A71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116</w:t>
          </w:r>
          <w:r>
            <w:rPr>
              <w:rStyle w:val="PageNumber"/>
            </w:rP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1061" w:type="pct"/>
        </w:tcPr>
        <w:p w:rsidR="00A717D4" w:rsidRDefault="00DC28D5">
          <w:pPr>
            <w:pStyle w:val="Footer"/>
            <w:jc w:val="right"/>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7D4">
      <w:tc>
        <w:tcPr>
          <w:tcW w:w="1061" w:type="pct"/>
        </w:tcPr>
        <w:p w:rsidR="00A717D4" w:rsidRDefault="00DC28D5">
          <w:pPr>
            <w:pStyle w:val="Footer"/>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847" w:type="pct"/>
        </w:tcPr>
        <w:p w:rsidR="00A717D4" w:rsidRDefault="00A71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117</w:t>
          </w:r>
          <w:r>
            <w:rPr>
              <w:rStyle w:val="PageNumber"/>
            </w:rP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717D4">
      <w:tc>
        <w:tcPr>
          <w:tcW w:w="1061" w:type="pct"/>
        </w:tcPr>
        <w:p w:rsidR="00A717D4" w:rsidRDefault="00DC28D5">
          <w:pPr>
            <w:pStyle w:val="Footer"/>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w:instrText>
          </w:r>
          <w:r>
            <w:instrText xml:space="preserve">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847" w:type="pct"/>
        </w:tcPr>
        <w:p w:rsidR="00A717D4" w:rsidRDefault="00A71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6761">
            <w:rPr>
              <w:rStyle w:val="PageNumber"/>
              <w:noProof/>
            </w:rPr>
            <w:t>134</w:t>
          </w:r>
          <w:r>
            <w:rPr>
              <w:rStyle w:val="PageNumber"/>
            </w:rPr>
            <w:fldChar w:fldCharType="end"/>
          </w:r>
        </w:p>
      </w:tc>
    </w:tr>
  </w:tbl>
  <w:p w:rsidR="00A717D4" w:rsidRDefault="00DC28D5">
    <w:pPr>
      <w:pStyle w:val="Status"/>
    </w:pPr>
    <w:r>
      <w:fldChar w:fldCharType="begin"/>
    </w:r>
    <w:r>
      <w:instrText xml:space="preserve"> DOCPROPERTY "Status" </w:instrText>
    </w:r>
    <w:r>
      <w:fldChar w:fldCharType="separate"/>
    </w:r>
    <w:r w:rsidR="00136761">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7D4">
      <w:tc>
        <w:tcPr>
          <w:tcW w:w="847" w:type="pct"/>
        </w:tcPr>
        <w:p w:rsidR="00A717D4" w:rsidRDefault="00A71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124</w:t>
          </w:r>
          <w:r>
            <w:rPr>
              <w:rStyle w:val="PageNumber"/>
            </w:rP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1061" w:type="pct"/>
        </w:tcPr>
        <w:p w:rsidR="00A717D4" w:rsidRDefault="00DC28D5">
          <w:pPr>
            <w:pStyle w:val="Footer"/>
            <w:jc w:val="right"/>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7D4">
      <w:tc>
        <w:tcPr>
          <w:tcW w:w="1061" w:type="pct"/>
        </w:tcPr>
        <w:p w:rsidR="00A717D4" w:rsidRDefault="00DC28D5">
          <w:pPr>
            <w:pStyle w:val="Footer"/>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w:instrText>
          </w:r>
          <w:r>
            <w:instrText xml:space="preserve">RTY "EndDt"  *\charformat </w:instrText>
          </w:r>
          <w:r>
            <w:fldChar w:fldCharType="separate"/>
          </w:r>
          <w:r w:rsidR="00136761">
            <w:t>-22/10/18</w:t>
          </w:r>
          <w:r>
            <w:fldChar w:fldCharType="end"/>
          </w:r>
        </w:p>
      </w:tc>
      <w:tc>
        <w:tcPr>
          <w:tcW w:w="847" w:type="pct"/>
        </w:tcPr>
        <w:p w:rsidR="00A717D4" w:rsidRDefault="00A71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123</w:t>
          </w:r>
          <w:r>
            <w:rPr>
              <w:rStyle w:val="PageNumber"/>
            </w:rP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7D4">
      <w:tc>
        <w:tcPr>
          <w:tcW w:w="847" w:type="pct"/>
        </w:tcPr>
        <w:p w:rsidR="00A717D4" w:rsidRDefault="00A71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134</w:t>
          </w:r>
          <w:r>
            <w:rPr>
              <w:rStyle w:val="PageNumber"/>
            </w:rP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w:instrText>
          </w:r>
          <w:r>
            <w:instrText xml:space="preserve">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1061" w:type="pct"/>
        </w:tcPr>
        <w:p w:rsidR="00A717D4" w:rsidRDefault="00DC28D5">
          <w:pPr>
            <w:pStyle w:val="Footer"/>
            <w:jc w:val="right"/>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7D4">
      <w:tc>
        <w:tcPr>
          <w:tcW w:w="1061" w:type="pct"/>
        </w:tcPr>
        <w:p w:rsidR="00A717D4" w:rsidRDefault="00DC28D5">
          <w:pPr>
            <w:pStyle w:val="Footer"/>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847" w:type="pct"/>
        </w:tcPr>
        <w:p w:rsidR="00A717D4" w:rsidRDefault="00A71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133</w:t>
          </w:r>
          <w:r>
            <w:rPr>
              <w:rStyle w:val="PageNumber"/>
            </w:rP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Pr="00B13E87" w:rsidRDefault="00A717D4" w:rsidP="00B13E87">
    <w:pPr>
      <w:pStyle w:val="Footer"/>
      <w:jc w:val="center"/>
      <w:rPr>
        <w:rFonts w:cs="Arial"/>
        <w:sz w:val="14"/>
      </w:rPr>
    </w:pPr>
    <w:r w:rsidRPr="00B13E87">
      <w:rPr>
        <w:rFonts w:cs="Arial"/>
        <w:sz w:val="14"/>
      </w:rPr>
      <w:fldChar w:fldCharType="begin"/>
    </w:r>
    <w:r w:rsidRPr="00B13E87">
      <w:rPr>
        <w:rFonts w:cs="Arial"/>
        <w:sz w:val="14"/>
      </w:rPr>
      <w:instrText xml:space="preserve"> DOCPROPERTY "Status" </w:instrText>
    </w:r>
    <w:r w:rsidRPr="00B13E87">
      <w:rPr>
        <w:rFonts w:cs="Arial"/>
        <w:sz w:val="14"/>
      </w:rPr>
      <w:fldChar w:fldCharType="separate"/>
    </w:r>
    <w:r w:rsidR="00136761" w:rsidRPr="00B13E87">
      <w:rPr>
        <w:rFonts w:cs="Arial"/>
        <w:sz w:val="14"/>
      </w:rPr>
      <w:t xml:space="preserve"> </w:t>
    </w:r>
    <w:r w:rsidRPr="00B13E87">
      <w:rPr>
        <w:rFonts w:cs="Arial"/>
        <w:sz w:val="14"/>
      </w:rPr>
      <w:fldChar w:fldCharType="end"/>
    </w:r>
    <w:r w:rsidRPr="00B13E87">
      <w:rPr>
        <w:rFonts w:cs="Arial"/>
        <w:sz w:val="14"/>
      </w:rPr>
      <w:fldChar w:fldCharType="begin"/>
    </w:r>
    <w:r w:rsidRPr="00B13E87">
      <w:rPr>
        <w:rFonts w:cs="Arial"/>
        <w:sz w:val="14"/>
      </w:rPr>
      <w:instrText xml:space="preserve"> COMMENTS  \* MERGEFORMAT </w:instrText>
    </w:r>
    <w:r w:rsidRPr="00B13E87">
      <w:rPr>
        <w:rFonts w:cs="Arial"/>
        <w:sz w:val="14"/>
      </w:rPr>
      <w:fldChar w:fldCharType="end"/>
    </w:r>
    <w:r w:rsidR="00B13E87" w:rsidRPr="00B13E87">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Pr="00B13E87" w:rsidRDefault="00B13E87" w:rsidP="00B13E87">
    <w:pPr>
      <w:pStyle w:val="Footer"/>
      <w:jc w:val="center"/>
      <w:rPr>
        <w:rFonts w:cs="Arial"/>
        <w:sz w:val="14"/>
      </w:rPr>
    </w:pPr>
    <w:r w:rsidRPr="00B13E87">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Pr="00B13E87" w:rsidRDefault="00A717D4" w:rsidP="00B13E87">
    <w:pPr>
      <w:pStyle w:val="Footer"/>
      <w:jc w:val="center"/>
      <w:rPr>
        <w:rFonts w:cs="Arial"/>
        <w:sz w:val="14"/>
      </w:rPr>
    </w:pPr>
    <w:r w:rsidRPr="00B13E87">
      <w:rPr>
        <w:rFonts w:cs="Arial"/>
        <w:sz w:val="14"/>
      </w:rPr>
      <w:fldChar w:fldCharType="begin"/>
    </w:r>
    <w:r w:rsidRPr="00B13E87">
      <w:rPr>
        <w:rFonts w:cs="Arial"/>
        <w:sz w:val="14"/>
      </w:rPr>
      <w:instrText xml:space="preserve"> COMMENTS  \* MERGEFORMAT </w:instrText>
    </w:r>
    <w:r w:rsidRPr="00B13E87">
      <w:rPr>
        <w:rFonts w:cs="Arial"/>
        <w:sz w:val="14"/>
      </w:rPr>
      <w:fldChar w:fldCharType="end"/>
    </w:r>
    <w:r w:rsidR="00B13E87" w:rsidRPr="00B13E87">
      <w:rPr>
        <w:rFonts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Pr="00B13E87" w:rsidRDefault="00B13E87" w:rsidP="00B13E87">
    <w:pPr>
      <w:pStyle w:val="Footer"/>
      <w:jc w:val="center"/>
      <w:rPr>
        <w:rFonts w:cs="Arial"/>
        <w:sz w:val="14"/>
      </w:rPr>
    </w:pPr>
    <w:r w:rsidRPr="00B13E87">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Pr="00B13E87" w:rsidRDefault="00B13E87" w:rsidP="00B13E87">
    <w:pPr>
      <w:pStyle w:val="Footer"/>
      <w:jc w:val="center"/>
      <w:rPr>
        <w:rFonts w:cs="Arial"/>
        <w:sz w:val="14"/>
      </w:rPr>
    </w:pPr>
    <w:r w:rsidRPr="00B13E87">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Pr="00B13E87" w:rsidRDefault="00A717D4" w:rsidP="00B13E87">
    <w:pPr>
      <w:pStyle w:val="Footer"/>
      <w:jc w:val="center"/>
      <w:rPr>
        <w:rFonts w:cs="Arial"/>
        <w:sz w:val="14"/>
      </w:rPr>
    </w:pPr>
    <w:r w:rsidRPr="00B13E87">
      <w:rPr>
        <w:rFonts w:cs="Arial"/>
        <w:sz w:val="14"/>
      </w:rPr>
      <w:fldChar w:fldCharType="begin"/>
    </w:r>
    <w:r w:rsidRPr="00B13E87">
      <w:rPr>
        <w:rFonts w:cs="Arial"/>
        <w:sz w:val="14"/>
      </w:rPr>
      <w:instrText xml:space="preserve"> COMMENTS  \* MERGEFORMAT </w:instrText>
    </w:r>
    <w:r w:rsidRPr="00B13E87">
      <w:rPr>
        <w:rFonts w:cs="Arial"/>
        <w:sz w:val="14"/>
      </w:rPr>
      <w:fldChar w:fldCharType="end"/>
    </w:r>
    <w:r w:rsidR="00B13E87" w:rsidRPr="00B13E87">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87" w:rsidRPr="00B13E87" w:rsidRDefault="00B13E87" w:rsidP="00B13E87">
    <w:pPr>
      <w:pStyle w:val="Footer"/>
      <w:jc w:val="center"/>
      <w:rPr>
        <w:rFonts w:cs="Arial"/>
        <w:sz w:val="14"/>
      </w:rPr>
    </w:pPr>
    <w:r w:rsidRPr="00B13E8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17D4">
      <w:tc>
        <w:tcPr>
          <w:tcW w:w="846" w:type="pct"/>
        </w:tcPr>
        <w:p w:rsidR="00A717D4" w:rsidRDefault="00A717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13E87">
            <w:rPr>
              <w:rStyle w:val="PageNumber"/>
              <w:noProof/>
            </w:rPr>
            <w:t>2</w:t>
          </w:r>
          <w:r>
            <w:rPr>
              <w:rStyle w:val="PageNumber"/>
            </w:rPr>
            <w:fldChar w:fldCharType="end"/>
          </w:r>
        </w:p>
      </w:tc>
      <w:tc>
        <w:tcPr>
          <w:tcW w:w="3093"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w:instrText>
          </w:r>
          <w:r>
            <w:fldChar w:fldCharType="separate"/>
          </w:r>
          <w:r w:rsidR="00136761">
            <w:t xml:space="preserve">Effective:  </w:t>
          </w:r>
          <w:r>
            <w:fldChar w:fldCharType="end"/>
          </w:r>
          <w:r>
            <w:fldChar w:fldCharType="begin"/>
          </w:r>
          <w:r>
            <w:instrText xml:space="preserve"> DOCPROPERTY "StartDt"   </w:instrText>
          </w:r>
          <w:r>
            <w:fldChar w:fldCharType="separate"/>
          </w:r>
          <w:r w:rsidR="00136761">
            <w:t>01/01/18</w:t>
          </w:r>
          <w:r>
            <w:fldChar w:fldCharType="end"/>
          </w:r>
          <w:r>
            <w:fldChar w:fldCharType="begin"/>
          </w:r>
          <w:r>
            <w:instrText xml:space="preserve"> DOCPROPERTY "EndDt"  </w:instrText>
          </w:r>
          <w:r>
            <w:fldChar w:fldCharType="separate"/>
          </w:r>
          <w:r w:rsidR="00136761">
            <w:t>-22/10/18</w:t>
          </w:r>
          <w:r>
            <w:fldChar w:fldCharType="end"/>
          </w:r>
        </w:p>
      </w:tc>
      <w:tc>
        <w:tcPr>
          <w:tcW w:w="1061" w:type="pct"/>
        </w:tcPr>
        <w:p w:rsidR="00A717D4" w:rsidRDefault="00DC28D5">
          <w:pPr>
            <w:pStyle w:val="Footer"/>
            <w:jc w:val="right"/>
          </w:pPr>
          <w:r>
            <w:fldChar w:fldCharType="begin"/>
          </w:r>
          <w:r>
            <w:instrText xml:space="preserve"> DOCPROPERTY "Category"  </w:instrText>
          </w:r>
          <w:r>
            <w:fldChar w:fldCharType="separate"/>
          </w:r>
          <w:r w:rsidR="00136761">
            <w:t>R11</w:t>
          </w:r>
          <w:r>
            <w:fldChar w:fldCharType="end"/>
          </w:r>
          <w:r w:rsidR="00A717D4">
            <w:br/>
          </w:r>
          <w:r>
            <w:fldChar w:fldCharType="begin"/>
          </w:r>
          <w:r>
            <w:instrText xml:space="preserve"> DOCPROPERTY "RepubDt"  </w:instrText>
          </w:r>
          <w:r>
            <w:fldChar w:fldCharType="separate"/>
          </w:r>
          <w:r w:rsidR="00136761">
            <w:t>01/01/18</w:t>
          </w:r>
          <w: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7D4">
      <w:tc>
        <w:tcPr>
          <w:tcW w:w="1061" w:type="pct"/>
        </w:tcPr>
        <w:p w:rsidR="00A717D4" w:rsidRDefault="00DC28D5">
          <w:pPr>
            <w:pStyle w:val="Footer"/>
          </w:pPr>
          <w:r>
            <w:fldChar w:fldCharType="begin"/>
          </w:r>
          <w:r>
            <w:instrText xml:space="preserve"> DOCPROPERTY "Category"  </w:instrText>
          </w:r>
          <w:r>
            <w:fldChar w:fldCharType="separate"/>
          </w:r>
          <w:r w:rsidR="00136761">
            <w:t>R11</w:t>
          </w:r>
          <w:r>
            <w:fldChar w:fldCharType="end"/>
          </w:r>
          <w:r w:rsidR="00A717D4">
            <w:br/>
          </w:r>
          <w:r>
            <w:fldChar w:fldCharType="begin"/>
          </w:r>
          <w:r>
            <w:instrText xml:space="preserve"> DOCPROPERTY "RepubDt"  </w:instrText>
          </w:r>
          <w:r>
            <w:fldChar w:fldCharType="separate"/>
          </w:r>
          <w:r w:rsidR="00136761">
            <w:t>01/01/18</w:t>
          </w:r>
          <w:r>
            <w:fldChar w:fldCharType="end"/>
          </w:r>
        </w:p>
      </w:tc>
      <w:tc>
        <w:tcPr>
          <w:tcW w:w="3093"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w:instrText>
          </w:r>
          <w:r>
            <w:fldChar w:fldCharType="separate"/>
          </w:r>
          <w:r w:rsidR="00136761">
            <w:t xml:space="preserve">Effective:  </w:t>
          </w:r>
          <w:r>
            <w:fldChar w:fldCharType="end"/>
          </w:r>
          <w:r>
            <w:fldChar w:fldCharType="begin"/>
          </w:r>
          <w:r>
            <w:instrText xml:space="preserve"> DOCPROPERTY "StartDt"  </w:instrText>
          </w:r>
          <w:r>
            <w:fldChar w:fldCharType="separate"/>
          </w:r>
          <w:r w:rsidR="00136761">
            <w:t>01/01/18</w:t>
          </w:r>
          <w:r>
            <w:fldChar w:fldCharType="end"/>
          </w:r>
          <w:r>
            <w:fldChar w:fldCharType="begin"/>
          </w:r>
          <w:r>
            <w:instrText xml:space="preserve"> DOCPROPERTY "EndDt"  </w:instrText>
          </w:r>
          <w:r>
            <w:fldChar w:fldCharType="separate"/>
          </w:r>
          <w:r w:rsidR="00136761">
            <w:t>-22/10/18</w:t>
          </w:r>
          <w:r>
            <w:fldChar w:fldCharType="end"/>
          </w:r>
        </w:p>
      </w:tc>
      <w:tc>
        <w:tcPr>
          <w:tcW w:w="846" w:type="pct"/>
        </w:tcPr>
        <w:p w:rsidR="00A717D4" w:rsidRDefault="00A717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13E87">
            <w:rPr>
              <w:rStyle w:val="PageNumber"/>
              <w:noProof/>
            </w:rPr>
            <w:t>3</w:t>
          </w:r>
          <w:r>
            <w:rPr>
              <w:rStyle w:val="PageNumber"/>
            </w:rP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7D4">
      <w:tc>
        <w:tcPr>
          <w:tcW w:w="1061" w:type="pct"/>
        </w:tcPr>
        <w:p w:rsidR="00A717D4" w:rsidRDefault="00DC28D5">
          <w:pPr>
            <w:pStyle w:val="Footer"/>
          </w:pPr>
          <w:r>
            <w:fldChar w:fldCharType="begin"/>
          </w:r>
          <w:r>
            <w:instrText xml:space="preserve"> DOCPROPERTY "Category"  </w:instrText>
          </w:r>
          <w:r>
            <w:fldChar w:fldCharType="separate"/>
          </w:r>
          <w:r w:rsidR="00136761">
            <w:t>R11</w:t>
          </w:r>
          <w:r>
            <w:fldChar w:fldCharType="end"/>
          </w:r>
          <w:r w:rsidR="00A717D4">
            <w:br/>
          </w:r>
          <w:r>
            <w:fldChar w:fldCharType="begin"/>
          </w:r>
          <w:r>
            <w:instrText xml:space="preserve"> DOCPROPERTY "RepubDt"  </w:instrText>
          </w:r>
          <w:r>
            <w:fldChar w:fldCharType="separate"/>
          </w:r>
          <w:r w:rsidR="00136761">
            <w:t>01/01/18</w:t>
          </w:r>
          <w:r>
            <w:fldChar w:fldCharType="end"/>
          </w:r>
        </w:p>
      </w:tc>
      <w:tc>
        <w:tcPr>
          <w:tcW w:w="3093"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w:instrText>
          </w:r>
          <w:r>
            <w:fldChar w:fldCharType="separate"/>
          </w:r>
          <w:r w:rsidR="00136761">
            <w:t xml:space="preserve">Effective:  </w:t>
          </w:r>
          <w:r>
            <w:fldChar w:fldCharType="end"/>
          </w:r>
          <w:r>
            <w:fldChar w:fldCharType="begin"/>
          </w:r>
          <w:r>
            <w:instrText xml:space="preserve"> DOCPROPERTY "StartDt"   </w:instrText>
          </w:r>
          <w:r>
            <w:fldChar w:fldCharType="separate"/>
          </w:r>
          <w:r w:rsidR="00136761">
            <w:t>01/01/18</w:t>
          </w:r>
          <w:r>
            <w:fldChar w:fldCharType="end"/>
          </w:r>
          <w:r>
            <w:fldChar w:fldCharType="begin"/>
          </w:r>
          <w:r>
            <w:instrText xml:space="preserve"> DOCPROPERTY "EndDt"  </w:instrText>
          </w:r>
          <w:r>
            <w:fldChar w:fldCharType="separate"/>
          </w:r>
          <w:r w:rsidR="00136761">
            <w:t>-22/10/18</w:t>
          </w:r>
          <w:r>
            <w:fldChar w:fldCharType="end"/>
          </w:r>
        </w:p>
      </w:tc>
      <w:tc>
        <w:tcPr>
          <w:tcW w:w="846" w:type="pct"/>
        </w:tcPr>
        <w:p w:rsidR="00A717D4" w:rsidRDefault="00A717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13E87">
            <w:rPr>
              <w:rStyle w:val="PageNumber"/>
              <w:noProof/>
            </w:rPr>
            <w:t>1</w:t>
          </w:r>
          <w:r>
            <w:rPr>
              <w:rStyle w:val="PageNumber"/>
            </w:rP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7D4">
      <w:tc>
        <w:tcPr>
          <w:tcW w:w="847" w:type="pct"/>
        </w:tcPr>
        <w:p w:rsidR="00A717D4" w:rsidRDefault="00A71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62</w:t>
          </w:r>
          <w:r>
            <w:rPr>
              <w:rStyle w:val="PageNumber"/>
            </w:rP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1061" w:type="pct"/>
        </w:tcPr>
        <w:p w:rsidR="00A717D4" w:rsidRDefault="00DC28D5">
          <w:pPr>
            <w:pStyle w:val="Footer"/>
            <w:jc w:val="right"/>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7D4">
      <w:tc>
        <w:tcPr>
          <w:tcW w:w="1061" w:type="pct"/>
        </w:tcPr>
        <w:p w:rsidR="00A717D4" w:rsidRDefault="00DC28D5">
          <w:pPr>
            <w:pStyle w:val="Footer"/>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847" w:type="pct"/>
        </w:tcPr>
        <w:p w:rsidR="00A717D4" w:rsidRDefault="00A71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61</w:t>
          </w:r>
          <w:r>
            <w:rPr>
              <w:rStyle w:val="PageNumber"/>
            </w:rP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17D4">
      <w:tc>
        <w:tcPr>
          <w:tcW w:w="1061" w:type="pct"/>
        </w:tcPr>
        <w:p w:rsidR="00A717D4" w:rsidRDefault="00DC28D5">
          <w:pPr>
            <w:pStyle w:val="Footer"/>
          </w:pPr>
          <w:r>
            <w:fldChar w:fldCharType="begin"/>
          </w:r>
          <w:r>
            <w:instrText xml:space="preserve"> DOCPROPERTY "Category"  *\charformat  </w:instrText>
          </w:r>
          <w:r>
            <w:fldChar w:fldCharType="separate"/>
          </w:r>
          <w:r w:rsidR="00136761">
            <w:t>R11</w:t>
          </w:r>
          <w:r>
            <w:fldChar w:fldCharType="end"/>
          </w:r>
          <w:r w:rsidR="00A717D4">
            <w:br/>
          </w:r>
          <w:r>
            <w:fldChar w:fldCharType="begin"/>
          </w:r>
          <w:r>
            <w:instrText xml:space="preserve"> DOCPROPERTY "RepubDt"  *\charformat  </w:instrText>
          </w:r>
          <w:r>
            <w:fldChar w:fldCharType="separate"/>
          </w:r>
          <w:r w:rsidR="00136761">
            <w:t>01/01/18</w:t>
          </w:r>
          <w:r>
            <w:fldChar w:fldCharType="end"/>
          </w:r>
        </w:p>
      </w:tc>
      <w:tc>
        <w:tcPr>
          <w:tcW w:w="3092" w:type="pct"/>
        </w:tcPr>
        <w:p w:rsidR="00A717D4" w:rsidRDefault="00DC28D5">
          <w:pPr>
            <w:pStyle w:val="Footer"/>
            <w:jc w:val="center"/>
          </w:pPr>
          <w:r>
            <w:fldChar w:fldCharType="begin"/>
          </w:r>
          <w:r>
            <w:instrText xml:space="preserve"> REF Citation *\charformat </w:instrText>
          </w:r>
          <w:r>
            <w:fldChar w:fldCharType="separate"/>
          </w:r>
          <w:r w:rsidR="00136761">
            <w:t>Gene Technology Act 2003</w:t>
          </w:r>
          <w:r>
            <w:fldChar w:fldCharType="end"/>
          </w:r>
        </w:p>
        <w:p w:rsidR="00A717D4" w:rsidRDefault="00DC28D5">
          <w:pPr>
            <w:pStyle w:val="FooterInfoCentre"/>
          </w:pPr>
          <w:r>
            <w:fldChar w:fldCharType="begin"/>
          </w:r>
          <w:r>
            <w:instrText xml:space="preserve"> DOCPROPERTY "Eff"  *\charformat </w:instrText>
          </w:r>
          <w:r>
            <w:fldChar w:fldCharType="separate"/>
          </w:r>
          <w:r w:rsidR="00136761">
            <w:t xml:space="preserve">Effective:  </w:t>
          </w:r>
          <w:r>
            <w:fldChar w:fldCharType="end"/>
          </w:r>
          <w:r>
            <w:fldChar w:fldCharType="begin"/>
          </w:r>
          <w:r>
            <w:instrText xml:space="preserve"> DOCPROPERTY "StartDt"  *\charformat </w:instrText>
          </w:r>
          <w:r>
            <w:fldChar w:fldCharType="separate"/>
          </w:r>
          <w:r w:rsidR="00136761">
            <w:t>01/01/18</w:t>
          </w:r>
          <w:r>
            <w:fldChar w:fldCharType="end"/>
          </w:r>
          <w:r>
            <w:fldChar w:fldCharType="begin"/>
          </w:r>
          <w:r>
            <w:instrText xml:space="preserve"> DOCPROPERTY "EndDt"  *\charformat </w:instrText>
          </w:r>
          <w:r>
            <w:fldChar w:fldCharType="separate"/>
          </w:r>
          <w:r w:rsidR="00136761">
            <w:t>-22/10/18</w:t>
          </w:r>
          <w:r>
            <w:fldChar w:fldCharType="end"/>
          </w:r>
        </w:p>
      </w:tc>
      <w:tc>
        <w:tcPr>
          <w:tcW w:w="847" w:type="pct"/>
        </w:tcPr>
        <w:p w:rsidR="00A717D4" w:rsidRDefault="00A71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2669">
            <w:rPr>
              <w:rStyle w:val="PageNumber"/>
              <w:noProof/>
            </w:rPr>
            <w:t>1</w:t>
          </w:r>
          <w:r>
            <w:rPr>
              <w:rStyle w:val="PageNumber"/>
            </w:rPr>
            <w:fldChar w:fldCharType="end"/>
          </w:r>
        </w:p>
      </w:tc>
    </w:tr>
  </w:tbl>
  <w:p w:rsidR="00A717D4" w:rsidRPr="00B13E87" w:rsidRDefault="00DC28D5" w:rsidP="00B13E87">
    <w:pPr>
      <w:pStyle w:val="Status"/>
      <w:rPr>
        <w:rFonts w:cs="Arial"/>
      </w:rPr>
    </w:pPr>
    <w:r w:rsidRPr="00B13E87">
      <w:rPr>
        <w:rFonts w:cs="Arial"/>
      </w:rPr>
      <w:fldChar w:fldCharType="begin"/>
    </w:r>
    <w:r w:rsidRPr="00B13E87">
      <w:rPr>
        <w:rFonts w:cs="Arial"/>
      </w:rPr>
      <w:instrText xml:space="preserve"> DOCPROPERTY "Status" </w:instrText>
    </w:r>
    <w:r w:rsidRPr="00B13E87">
      <w:rPr>
        <w:rFonts w:cs="Arial"/>
      </w:rPr>
      <w:fldChar w:fldCharType="separate"/>
    </w:r>
    <w:r w:rsidR="00136761" w:rsidRPr="00B13E87">
      <w:rPr>
        <w:rFonts w:cs="Arial"/>
      </w:rPr>
      <w:t xml:space="preserve"> </w:t>
    </w:r>
    <w:r w:rsidRPr="00B13E87">
      <w:rPr>
        <w:rFonts w:cs="Arial"/>
      </w:rPr>
      <w:fldChar w:fldCharType="end"/>
    </w:r>
    <w:r w:rsidR="00B13E87" w:rsidRPr="00B13E8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44" w:rsidRDefault="00B71B44">
      <w:r>
        <w:separator/>
      </w:r>
    </w:p>
  </w:footnote>
  <w:footnote w:type="continuationSeparator" w:id="0">
    <w:p w:rsidR="00B71B44" w:rsidRDefault="00B7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87" w:rsidRDefault="00B13E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717D4">
      <w:tc>
        <w:tcPr>
          <w:tcW w:w="900" w:type="pct"/>
        </w:tcPr>
        <w:p w:rsidR="00A717D4" w:rsidRDefault="00A717D4">
          <w:pPr>
            <w:pStyle w:val="HeaderEven"/>
            <w:rPr>
              <w:b/>
            </w:rPr>
          </w:pPr>
          <w:r>
            <w:rPr>
              <w:b/>
            </w:rPr>
            <w:fldChar w:fldCharType="begin"/>
          </w:r>
          <w:r>
            <w:rPr>
              <w:b/>
            </w:rPr>
            <w:instrText xml:space="preserve"> STYLEREF CharPartNo \*charformat </w:instrText>
          </w:r>
          <w:r>
            <w:rPr>
              <w:b/>
            </w:rPr>
            <w:fldChar w:fldCharType="separate"/>
          </w:r>
          <w:r w:rsidR="005F2669">
            <w:rPr>
              <w:b/>
              <w:noProof/>
            </w:rPr>
            <w:t>Part 13</w:t>
          </w:r>
          <w:r>
            <w:rPr>
              <w:b/>
            </w:rPr>
            <w:fldChar w:fldCharType="end"/>
          </w:r>
        </w:p>
      </w:tc>
      <w:tc>
        <w:tcPr>
          <w:tcW w:w="4100" w:type="pct"/>
        </w:tcPr>
        <w:p w:rsidR="00A717D4" w:rsidRDefault="00DC28D5">
          <w:pPr>
            <w:pStyle w:val="HeaderEven"/>
          </w:pPr>
          <w:r>
            <w:rPr>
              <w:noProof/>
            </w:rPr>
            <w:fldChar w:fldCharType="begin"/>
          </w:r>
          <w:r>
            <w:rPr>
              <w:noProof/>
            </w:rPr>
            <w:instrText xml:space="preserve"> STYLEREF CharPartText \*charformat </w:instrText>
          </w:r>
          <w:r>
            <w:rPr>
              <w:noProof/>
            </w:rPr>
            <w:fldChar w:fldCharType="separate"/>
          </w:r>
          <w:r w:rsidR="005F2669">
            <w:rPr>
              <w:noProof/>
            </w:rPr>
            <w:t>Transitional—Gene Technology Amendment Act 2017</w:t>
          </w:r>
          <w:r>
            <w:rPr>
              <w:noProof/>
            </w:rPr>
            <w:fldChar w:fldCharType="end"/>
          </w:r>
        </w:p>
      </w:tc>
    </w:tr>
    <w:tr w:rsidR="00A717D4">
      <w:tc>
        <w:tcPr>
          <w:tcW w:w="900" w:type="pct"/>
        </w:tcPr>
        <w:p w:rsidR="00A717D4" w:rsidRDefault="00A717D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717D4" w:rsidRDefault="00CF5AAC">
          <w:pPr>
            <w:pStyle w:val="HeaderEven"/>
          </w:pPr>
          <w:r>
            <w:fldChar w:fldCharType="begin"/>
          </w:r>
          <w:r>
            <w:instrText xml:space="preserve"> STYLEREF CharDivText \*charformat </w:instrText>
          </w:r>
          <w:r>
            <w:rPr>
              <w:noProof/>
            </w:rPr>
            <w:fldChar w:fldCharType="end"/>
          </w:r>
        </w:p>
      </w:tc>
    </w:tr>
    <w:tr w:rsidR="00A717D4">
      <w:trPr>
        <w:cantSplit/>
      </w:trPr>
      <w:tc>
        <w:tcPr>
          <w:tcW w:w="4997" w:type="pct"/>
          <w:gridSpan w:val="2"/>
          <w:tcBorders>
            <w:bottom w:val="single" w:sz="4" w:space="0" w:color="auto"/>
          </w:tcBorders>
        </w:tcPr>
        <w:p w:rsidR="00A717D4" w:rsidRDefault="00DC28D5">
          <w:pPr>
            <w:pStyle w:val="HeaderEven6"/>
          </w:pPr>
          <w:r>
            <w:fldChar w:fldCharType="begin"/>
          </w:r>
          <w:r>
            <w:instrText xml:space="preserve"> DOCPROPERTY "Company"  \* MERGEFORMAT </w:instrText>
          </w:r>
          <w:r>
            <w:fldChar w:fldCharType="separate"/>
          </w:r>
          <w:r w:rsidR="00136761">
            <w:t>Section</w:t>
          </w:r>
          <w:r>
            <w:fldChar w:fldCharType="end"/>
          </w:r>
          <w:r w:rsidR="00A717D4">
            <w:t xml:space="preserve"> </w:t>
          </w:r>
          <w:r>
            <w:rPr>
              <w:noProof/>
            </w:rPr>
            <w:fldChar w:fldCharType="begin"/>
          </w:r>
          <w:r>
            <w:rPr>
              <w:noProof/>
            </w:rPr>
            <w:instrText xml:space="preserve"> STYLEREF CharSectNo \*charformat </w:instrText>
          </w:r>
          <w:r>
            <w:rPr>
              <w:noProof/>
            </w:rPr>
            <w:fldChar w:fldCharType="separate"/>
          </w:r>
          <w:r w:rsidR="005F2669">
            <w:rPr>
              <w:noProof/>
            </w:rPr>
            <w:t>200</w:t>
          </w:r>
          <w:r>
            <w:rPr>
              <w:noProof/>
            </w:rPr>
            <w:fldChar w:fldCharType="end"/>
          </w:r>
        </w:p>
      </w:tc>
    </w:tr>
  </w:tbl>
  <w:p w:rsidR="00A717D4" w:rsidRDefault="00A717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717D4">
      <w:tc>
        <w:tcPr>
          <w:tcW w:w="4100" w:type="pct"/>
        </w:tcPr>
        <w:p w:rsidR="00A717D4" w:rsidRDefault="00DC28D5">
          <w:pPr>
            <w:pStyle w:val="HeaderEven"/>
            <w:jc w:val="right"/>
          </w:pPr>
          <w:r>
            <w:rPr>
              <w:noProof/>
            </w:rPr>
            <w:fldChar w:fldCharType="begin"/>
          </w:r>
          <w:r>
            <w:rPr>
              <w:noProof/>
            </w:rPr>
            <w:instrText xml:space="preserve"> STYLEREF CharPartText \*charformat </w:instrText>
          </w:r>
          <w:r>
            <w:rPr>
              <w:noProof/>
            </w:rPr>
            <w:fldChar w:fldCharType="separate"/>
          </w:r>
          <w:r w:rsidR="005F2669">
            <w:rPr>
              <w:noProof/>
            </w:rPr>
            <w:t>Transitional—Gene Technology Amendment Act 2017</w:t>
          </w:r>
          <w:r>
            <w:rPr>
              <w:noProof/>
            </w:rPr>
            <w:fldChar w:fldCharType="end"/>
          </w:r>
        </w:p>
      </w:tc>
      <w:tc>
        <w:tcPr>
          <w:tcW w:w="900" w:type="pct"/>
        </w:tcPr>
        <w:p w:rsidR="00A717D4" w:rsidRDefault="00A717D4">
          <w:pPr>
            <w:pStyle w:val="HeaderEven"/>
            <w:jc w:val="right"/>
            <w:rPr>
              <w:b/>
            </w:rPr>
          </w:pPr>
          <w:r>
            <w:rPr>
              <w:b/>
            </w:rPr>
            <w:fldChar w:fldCharType="begin"/>
          </w:r>
          <w:r>
            <w:rPr>
              <w:b/>
            </w:rPr>
            <w:instrText xml:space="preserve"> STYLEREF CharPartNo \*charformat </w:instrText>
          </w:r>
          <w:r>
            <w:rPr>
              <w:b/>
            </w:rPr>
            <w:fldChar w:fldCharType="separate"/>
          </w:r>
          <w:r w:rsidR="005F2669">
            <w:rPr>
              <w:b/>
              <w:noProof/>
            </w:rPr>
            <w:t>Part 13</w:t>
          </w:r>
          <w:r>
            <w:rPr>
              <w:b/>
            </w:rPr>
            <w:fldChar w:fldCharType="end"/>
          </w:r>
        </w:p>
      </w:tc>
    </w:tr>
    <w:tr w:rsidR="00A717D4">
      <w:tc>
        <w:tcPr>
          <w:tcW w:w="4100" w:type="pct"/>
        </w:tcPr>
        <w:p w:rsidR="00A717D4" w:rsidRDefault="00CF5AAC">
          <w:pPr>
            <w:pStyle w:val="HeaderEven"/>
            <w:jc w:val="right"/>
          </w:pPr>
          <w:r>
            <w:fldChar w:fldCharType="begin"/>
          </w:r>
          <w:r>
            <w:instrText xml:space="preserve"> STYLEREF CharDivText \*charformat </w:instrText>
          </w:r>
          <w:r>
            <w:rPr>
              <w:noProof/>
            </w:rPr>
            <w:fldChar w:fldCharType="end"/>
          </w:r>
        </w:p>
      </w:tc>
      <w:tc>
        <w:tcPr>
          <w:tcW w:w="900" w:type="pct"/>
        </w:tcPr>
        <w:p w:rsidR="00A717D4" w:rsidRDefault="00A717D4">
          <w:pPr>
            <w:pStyle w:val="HeaderEven"/>
            <w:jc w:val="right"/>
            <w:rPr>
              <w:b/>
            </w:rPr>
          </w:pPr>
          <w:r>
            <w:rPr>
              <w:b/>
            </w:rPr>
            <w:fldChar w:fldCharType="begin"/>
          </w:r>
          <w:r>
            <w:rPr>
              <w:b/>
            </w:rPr>
            <w:instrText xml:space="preserve"> STYLEREF CharDivNo \*charformat </w:instrText>
          </w:r>
          <w:r>
            <w:rPr>
              <w:b/>
            </w:rPr>
            <w:fldChar w:fldCharType="end"/>
          </w:r>
        </w:p>
      </w:tc>
    </w:tr>
    <w:tr w:rsidR="00A717D4">
      <w:trPr>
        <w:cantSplit/>
      </w:trPr>
      <w:tc>
        <w:tcPr>
          <w:tcW w:w="5000" w:type="pct"/>
          <w:gridSpan w:val="2"/>
          <w:tcBorders>
            <w:bottom w:val="single" w:sz="4" w:space="0" w:color="auto"/>
          </w:tcBorders>
        </w:tcPr>
        <w:p w:rsidR="00A717D4" w:rsidRDefault="00DC28D5">
          <w:pPr>
            <w:pStyle w:val="HeaderOdd6"/>
          </w:pPr>
          <w:r>
            <w:fldChar w:fldCharType="begin"/>
          </w:r>
          <w:r>
            <w:instrText xml:space="preserve"> DOCP</w:instrText>
          </w:r>
          <w:r>
            <w:instrText xml:space="preserve">ROPERTY "Company"  \* MERGEFORMAT </w:instrText>
          </w:r>
          <w:r>
            <w:fldChar w:fldCharType="separate"/>
          </w:r>
          <w:r w:rsidR="00136761">
            <w:t>Section</w:t>
          </w:r>
          <w:r>
            <w:fldChar w:fldCharType="end"/>
          </w:r>
          <w:r w:rsidR="00A717D4">
            <w:t xml:space="preserve"> </w:t>
          </w:r>
          <w:r>
            <w:rPr>
              <w:noProof/>
            </w:rPr>
            <w:fldChar w:fldCharType="begin"/>
          </w:r>
          <w:r>
            <w:rPr>
              <w:noProof/>
            </w:rPr>
            <w:instrText xml:space="preserve"> STYLEREF CharSectNo \*charformat </w:instrText>
          </w:r>
          <w:r>
            <w:rPr>
              <w:noProof/>
            </w:rPr>
            <w:fldChar w:fldCharType="separate"/>
          </w:r>
          <w:r w:rsidR="005F2669">
            <w:rPr>
              <w:noProof/>
            </w:rPr>
            <w:t>203</w:t>
          </w:r>
          <w:r>
            <w:rPr>
              <w:noProof/>
            </w:rPr>
            <w:fldChar w:fldCharType="end"/>
          </w:r>
        </w:p>
      </w:tc>
    </w:tr>
  </w:tbl>
  <w:p w:rsidR="00A717D4" w:rsidRDefault="00A717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717D4">
      <w:trPr>
        <w:jc w:val="center"/>
      </w:trPr>
      <w:tc>
        <w:tcPr>
          <w:tcW w:w="1340" w:type="dxa"/>
        </w:tcPr>
        <w:p w:rsidR="00A717D4" w:rsidRDefault="00A717D4">
          <w:pPr>
            <w:pStyle w:val="HeaderEven"/>
          </w:pPr>
        </w:p>
      </w:tc>
      <w:tc>
        <w:tcPr>
          <w:tcW w:w="6583" w:type="dxa"/>
        </w:tcPr>
        <w:p w:rsidR="00A717D4" w:rsidRDefault="00A717D4">
          <w:pPr>
            <w:pStyle w:val="HeaderEven"/>
          </w:pPr>
        </w:p>
      </w:tc>
    </w:tr>
    <w:tr w:rsidR="00A717D4">
      <w:trPr>
        <w:jc w:val="center"/>
      </w:trPr>
      <w:tc>
        <w:tcPr>
          <w:tcW w:w="7923" w:type="dxa"/>
          <w:gridSpan w:val="2"/>
          <w:tcBorders>
            <w:bottom w:val="single" w:sz="4" w:space="0" w:color="auto"/>
          </w:tcBorders>
        </w:tcPr>
        <w:p w:rsidR="00A717D4" w:rsidRDefault="00A717D4">
          <w:pPr>
            <w:pStyle w:val="HeaderEven6"/>
          </w:pPr>
          <w:r>
            <w:t>Dictionary</w:t>
          </w:r>
        </w:p>
      </w:tc>
    </w:tr>
  </w:tbl>
  <w:p w:rsidR="00A717D4" w:rsidRDefault="00A717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717D4">
      <w:trPr>
        <w:jc w:val="center"/>
      </w:trPr>
      <w:tc>
        <w:tcPr>
          <w:tcW w:w="6583" w:type="dxa"/>
        </w:tcPr>
        <w:p w:rsidR="00A717D4" w:rsidRDefault="00A717D4">
          <w:pPr>
            <w:pStyle w:val="HeaderOdd"/>
          </w:pPr>
        </w:p>
      </w:tc>
      <w:tc>
        <w:tcPr>
          <w:tcW w:w="1340" w:type="dxa"/>
        </w:tcPr>
        <w:p w:rsidR="00A717D4" w:rsidRDefault="00A717D4">
          <w:pPr>
            <w:pStyle w:val="HeaderOdd"/>
          </w:pPr>
        </w:p>
      </w:tc>
    </w:tr>
    <w:tr w:rsidR="00A717D4">
      <w:trPr>
        <w:jc w:val="center"/>
      </w:trPr>
      <w:tc>
        <w:tcPr>
          <w:tcW w:w="7923" w:type="dxa"/>
          <w:gridSpan w:val="2"/>
          <w:tcBorders>
            <w:bottom w:val="single" w:sz="4" w:space="0" w:color="auto"/>
          </w:tcBorders>
        </w:tcPr>
        <w:p w:rsidR="00A717D4" w:rsidRDefault="00A717D4">
          <w:pPr>
            <w:pStyle w:val="HeaderOdd6"/>
          </w:pPr>
          <w:r>
            <w:t>Dictionary</w:t>
          </w:r>
        </w:p>
      </w:tc>
    </w:tr>
  </w:tbl>
  <w:p w:rsidR="00A717D4" w:rsidRDefault="00A717D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717D4">
      <w:trPr>
        <w:jc w:val="center"/>
      </w:trPr>
      <w:tc>
        <w:tcPr>
          <w:tcW w:w="1234" w:type="dxa"/>
          <w:gridSpan w:val="2"/>
        </w:tcPr>
        <w:p w:rsidR="00A717D4" w:rsidRDefault="00A717D4">
          <w:pPr>
            <w:pStyle w:val="HeaderEven"/>
            <w:rPr>
              <w:b/>
            </w:rPr>
          </w:pPr>
          <w:r>
            <w:rPr>
              <w:b/>
            </w:rPr>
            <w:t>Endnotes</w:t>
          </w:r>
        </w:p>
      </w:tc>
      <w:tc>
        <w:tcPr>
          <w:tcW w:w="6062" w:type="dxa"/>
        </w:tcPr>
        <w:p w:rsidR="00A717D4" w:rsidRDefault="00A717D4">
          <w:pPr>
            <w:pStyle w:val="HeaderEven"/>
          </w:pPr>
        </w:p>
      </w:tc>
    </w:tr>
    <w:tr w:rsidR="00A717D4">
      <w:trPr>
        <w:cantSplit/>
        <w:jc w:val="center"/>
      </w:trPr>
      <w:tc>
        <w:tcPr>
          <w:tcW w:w="7296" w:type="dxa"/>
          <w:gridSpan w:val="3"/>
        </w:tcPr>
        <w:p w:rsidR="00A717D4" w:rsidRDefault="00A717D4">
          <w:pPr>
            <w:pStyle w:val="HeaderEven"/>
          </w:pPr>
        </w:p>
      </w:tc>
    </w:tr>
    <w:tr w:rsidR="00A717D4">
      <w:trPr>
        <w:cantSplit/>
        <w:jc w:val="center"/>
      </w:trPr>
      <w:tc>
        <w:tcPr>
          <w:tcW w:w="700" w:type="dxa"/>
          <w:tcBorders>
            <w:bottom w:val="single" w:sz="4" w:space="0" w:color="auto"/>
          </w:tcBorders>
        </w:tcPr>
        <w:p w:rsidR="00A717D4" w:rsidRDefault="00DC28D5">
          <w:pPr>
            <w:pStyle w:val="HeaderEven6"/>
          </w:pPr>
          <w:r>
            <w:rPr>
              <w:noProof/>
            </w:rPr>
            <w:fldChar w:fldCharType="begin"/>
          </w:r>
          <w:r>
            <w:rPr>
              <w:noProof/>
            </w:rPr>
            <w:instrText xml:space="preserve"> STYLEREF charTableNo \*charformat </w:instrText>
          </w:r>
          <w:r>
            <w:rPr>
              <w:noProof/>
            </w:rPr>
            <w:fldChar w:fldCharType="separate"/>
          </w:r>
          <w:r w:rsidR="005F2669">
            <w:rPr>
              <w:noProof/>
            </w:rPr>
            <w:t>5</w:t>
          </w:r>
          <w:r>
            <w:rPr>
              <w:noProof/>
            </w:rPr>
            <w:fldChar w:fldCharType="end"/>
          </w:r>
        </w:p>
      </w:tc>
      <w:tc>
        <w:tcPr>
          <w:tcW w:w="6600" w:type="dxa"/>
          <w:gridSpan w:val="2"/>
          <w:tcBorders>
            <w:bottom w:val="single" w:sz="4" w:space="0" w:color="auto"/>
          </w:tcBorders>
        </w:tcPr>
        <w:p w:rsidR="00A717D4" w:rsidRDefault="00DC28D5">
          <w:pPr>
            <w:pStyle w:val="HeaderEven6"/>
          </w:pPr>
          <w:r>
            <w:rPr>
              <w:noProof/>
            </w:rPr>
            <w:fldChar w:fldCharType="begin"/>
          </w:r>
          <w:r>
            <w:rPr>
              <w:noProof/>
            </w:rPr>
            <w:instrText xml:space="preserve"> STYLEREF charTableText \*charformat </w:instrText>
          </w:r>
          <w:r>
            <w:rPr>
              <w:noProof/>
            </w:rPr>
            <w:fldChar w:fldCharType="separate"/>
          </w:r>
          <w:r w:rsidR="005F2669">
            <w:rPr>
              <w:noProof/>
            </w:rPr>
            <w:t>Earlier republications</w:t>
          </w:r>
          <w:r>
            <w:rPr>
              <w:noProof/>
            </w:rPr>
            <w:fldChar w:fldCharType="end"/>
          </w:r>
        </w:p>
      </w:tc>
    </w:tr>
  </w:tbl>
  <w:p w:rsidR="00A717D4" w:rsidRDefault="00A717D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717D4">
      <w:trPr>
        <w:jc w:val="center"/>
      </w:trPr>
      <w:tc>
        <w:tcPr>
          <w:tcW w:w="5741" w:type="dxa"/>
        </w:tcPr>
        <w:p w:rsidR="00A717D4" w:rsidRDefault="00A717D4">
          <w:pPr>
            <w:pStyle w:val="HeaderEven"/>
            <w:jc w:val="right"/>
          </w:pPr>
        </w:p>
      </w:tc>
      <w:tc>
        <w:tcPr>
          <w:tcW w:w="1560" w:type="dxa"/>
          <w:gridSpan w:val="2"/>
        </w:tcPr>
        <w:p w:rsidR="00A717D4" w:rsidRDefault="00A717D4">
          <w:pPr>
            <w:pStyle w:val="HeaderEven"/>
            <w:jc w:val="right"/>
            <w:rPr>
              <w:b/>
            </w:rPr>
          </w:pPr>
          <w:r>
            <w:rPr>
              <w:b/>
            </w:rPr>
            <w:t>Endnotes</w:t>
          </w:r>
        </w:p>
      </w:tc>
    </w:tr>
    <w:tr w:rsidR="00A717D4">
      <w:trPr>
        <w:jc w:val="center"/>
      </w:trPr>
      <w:tc>
        <w:tcPr>
          <w:tcW w:w="7301" w:type="dxa"/>
          <w:gridSpan w:val="3"/>
        </w:tcPr>
        <w:p w:rsidR="00A717D4" w:rsidRDefault="00A717D4">
          <w:pPr>
            <w:pStyle w:val="HeaderEven"/>
            <w:jc w:val="right"/>
            <w:rPr>
              <w:b/>
            </w:rPr>
          </w:pPr>
        </w:p>
      </w:tc>
    </w:tr>
    <w:tr w:rsidR="00A717D4">
      <w:trPr>
        <w:jc w:val="center"/>
      </w:trPr>
      <w:tc>
        <w:tcPr>
          <w:tcW w:w="6600" w:type="dxa"/>
          <w:gridSpan w:val="2"/>
          <w:tcBorders>
            <w:bottom w:val="single" w:sz="4" w:space="0" w:color="auto"/>
          </w:tcBorders>
        </w:tcPr>
        <w:p w:rsidR="00A717D4" w:rsidRDefault="00DC28D5">
          <w:pPr>
            <w:pStyle w:val="HeaderOdd6"/>
          </w:pPr>
          <w:r>
            <w:rPr>
              <w:noProof/>
            </w:rPr>
            <w:fldChar w:fldCharType="begin"/>
          </w:r>
          <w:r>
            <w:rPr>
              <w:noProof/>
            </w:rPr>
            <w:instrText xml:space="preserve"> STYLEREF charTableText \*charformat </w:instrText>
          </w:r>
          <w:r>
            <w:rPr>
              <w:noProof/>
            </w:rPr>
            <w:fldChar w:fldCharType="separate"/>
          </w:r>
          <w:r w:rsidR="005F2669">
            <w:rPr>
              <w:noProof/>
            </w:rPr>
            <w:t>Amendment history</w:t>
          </w:r>
          <w:r>
            <w:rPr>
              <w:noProof/>
            </w:rPr>
            <w:fldChar w:fldCharType="end"/>
          </w:r>
        </w:p>
      </w:tc>
      <w:tc>
        <w:tcPr>
          <w:tcW w:w="700" w:type="dxa"/>
          <w:tcBorders>
            <w:bottom w:val="single" w:sz="4" w:space="0" w:color="auto"/>
          </w:tcBorders>
        </w:tcPr>
        <w:p w:rsidR="00A717D4" w:rsidRDefault="00DC28D5">
          <w:pPr>
            <w:pStyle w:val="HeaderOdd6"/>
          </w:pPr>
          <w:r>
            <w:rPr>
              <w:noProof/>
            </w:rPr>
            <w:fldChar w:fldCharType="begin"/>
          </w:r>
          <w:r>
            <w:rPr>
              <w:noProof/>
            </w:rPr>
            <w:instrText xml:space="preserve"> STYLEREF charTableNo \*charformat </w:instrText>
          </w:r>
          <w:r>
            <w:rPr>
              <w:noProof/>
            </w:rPr>
            <w:fldChar w:fldCharType="separate"/>
          </w:r>
          <w:r w:rsidR="005F2669">
            <w:rPr>
              <w:noProof/>
            </w:rPr>
            <w:t>4</w:t>
          </w:r>
          <w:r>
            <w:rPr>
              <w:noProof/>
            </w:rPr>
            <w:fldChar w:fldCharType="end"/>
          </w:r>
        </w:p>
      </w:tc>
    </w:tr>
  </w:tbl>
  <w:p w:rsidR="00A717D4" w:rsidRDefault="00A717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87" w:rsidRDefault="00B13E8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D4" w:rsidRDefault="00A71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87" w:rsidRDefault="00B13E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717D4">
      <w:tc>
        <w:tcPr>
          <w:tcW w:w="900" w:type="pct"/>
        </w:tcPr>
        <w:p w:rsidR="00A717D4" w:rsidRDefault="00A717D4">
          <w:pPr>
            <w:pStyle w:val="HeaderEven"/>
          </w:pPr>
        </w:p>
      </w:tc>
      <w:tc>
        <w:tcPr>
          <w:tcW w:w="4100" w:type="pct"/>
        </w:tcPr>
        <w:p w:rsidR="00A717D4" w:rsidRDefault="00A717D4">
          <w:pPr>
            <w:pStyle w:val="HeaderEven"/>
          </w:pPr>
        </w:p>
      </w:tc>
    </w:tr>
    <w:tr w:rsidR="00A717D4">
      <w:tc>
        <w:tcPr>
          <w:tcW w:w="4100" w:type="pct"/>
          <w:gridSpan w:val="2"/>
          <w:tcBorders>
            <w:bottom w:val="single" w:sz="4" w:space="0" w:color="auto"/>
          </w:tcBorders>
        </w:tcPr>
        <w:p w:rsidR="00A717D4" w:rsidRDefault="00DC28D5">
          <w:pPr>
            <w:pStyle w:val="HeaderEven6"/>
          </w:pPr>
          <w:r>
            <w:rPr>
              <w:noProof/>
            </w:rPr>
            <w:fldChar w:fldCharType="begin"/>
          </w:r>
          <w:r>
            <w:rPr>
              <w:noProof/>
            </w:rPr>
            <w:instrText xml:space="preserve"> STYLEREF charContents \* MERGEFORMAT </w:instrText>
          </w:r>
          <w:r>
            <w:rPr>
              <w:noProof/>
            </w:rPr>
            <w:fldChar w:fldCharType="separate"/>
          </w:r>
          <w:r w:rsidR="00B13E87">
            <w:rPr>
              <w:noProof/>
            </w:rPr>
            <w:t>Contents</w:t>
          </w:r>
          <w:r>
            <w:rPr>
              <w:noProof/>
            </w:rPr>
            <w:fldChar w:fldCharType="end"/>
          </w:r>
        </w:p>
      </w:tc>
    </w:tr>
  </w:tbl>
  <w:p w:rsidR="00A717D4" w:rsidRDefault="00A717D4">
    <w:pPr>
      <w:pStyle w:val="N-9pt"/>
    </w:pPr>
    <w:r>
      <w:tab/>
    </w:r>
    <w:r w:rsidR="00DC28D5">
      <w:rPr>
        <w:noProof/>
      </w:rPr>
      <w:fldChar w:fldCharType="begin"/>
    </w:r>
    <w:r w:rsidR="00DC28D5">
      <w:rPr>
        <w:noProof/>
      </w:rPr>
      <w:instrText xml:space="preserve"> STYLEREF charPage \* MERGEFORMAT </w:instrText>
    </w:r>
    <w:r w:rsidR="00DC28D5">
      <w:rPr>
        <w:noProof/>
      </w:rPr>
      <w:fldChar w:fldCharType="separate"/>
    </w:r>
    <w:r w:rsidR="00B13E87">
      <w:rPr>
        <w:noProof/>
      </w:rPr>
      <w:t>Page</w:t>
    </w:r>
    <w:r w:rsidR="00DC28D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717D4">
      <w:tc>
        <w:tcPr>
          <w:tcW w:w="4100" w:type="pct"/>
        </w:tcPr>
        <w:p w:rsidR="00A717D4" w:rsidRDefault="00A717D4">
          <w:pPr>
            <w:pStyle w:val="HeaderOdd"/>
          </w:pPr>
        </w:p>
      </w:tc>
      <w:tc>
        <w:tcPr>
          <w:tcW w:w="900" w:type="pct"/>
        </w:tcPr>
        <w:p w:rsidR="00A717D4" w:rsidRDefault="00A717D4">
          <w:pPr>
            <w:pStyle w:val="HeaderOdd"/>
          </w:pPr>
        </w:p>
      </w:tc>
    </w:tr>
    <w:tr w:rsidR="00A717D4">
      <w:tc>
        <w:tcPr>
          <w:tcW w:w="900" w:type="pct"/>
          <w:gridSpan w:val="2"/>
          <w:tcBorders>
            <w:bottom w:val="single" w:sz="4" w:space="0" w:color="auto"/>
          </w:tcBorders>
        </w:tcPr>
        <w:p w:rsidR="00A717D4" w:rsidRDefault="00DC28D5">
          <w:pPr>
            <w:pStyle w:val="HeaderOdd6"/>
          </w:pPr>
          <w:r>
            <w:rPr>
              <w:noProof/>
            </w:rPr>
            <w:fldChar w:fldCharType="begin"/>
          </w:r>
          <w:r>
            <w:rPr>
              <w:noProof/>
            </w:rPr>
            <w:instrText xml:space="preserve"> STYLEREF charContents \* MERGEFORMAT </w:instrText>
          </w:r>
          <w:r>
            <w:rPr>
              <w:noProof/>
            </w:rPr>
            <w:fldChar w:fldCharType="separate"/>
          </w:r>
          <w:r w:rsidR="00B13E87">
            <w:rPr>
              <w:noProof/>
            </w:rPr>
            <w:t>Contents</w:t>
          </w:r>
          <w:r>
            <w:rPr>
              <w:noProof/>
            </w:rPr>
            <w:fldChar w:fldCharType="end"/>
          </w:r>
        </w:p>
      </w:tc>
    </w:tr>
  </w:tbl>
  <w:p w:rsidR="00A717D4" w:rsidRDefault="00A717D4">
    <w:pPr>
      <w:pStyle w:val="N-9pt"/>
    </w:pPr>
    <w:r>
      <w:tab/>
    </w:r>
    <w:r w:rsidR="00DC28D5">
      <w:rPr>
        <w:noProof/>
      </w:rPr>
      <w:fldChar w:fldCharType="begin"/>
    </w:r>
    <w:r w:rsidR="00DC28D5">
      <w:rPr>
        <w:noProof/>
      </w:rPr>
      <w:instrText xml:space="preserve"> STYLEREF charPage \* MERGEFORMAT </w:instrText>
    </w:r>
    <w:r w:rsidR="00DC28D5">
      <w:rPr>
        <w:noProof/>
      </w:rPr>
      <w:fldChar w:fldCharType="separate"/>
    </w:r>
    <w:r w:rsidR="00B13E87">
      <w:rPr>
        <w:noProof/>
      </w:rPr>
      <w:t>Page</w:t>
    </w:r>
    <w:r w:rsidR="00DC28D5">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717D4">
      <w:tc>
        <w:tcPr>
          <w:tcW w:w="900" w:type="pct"/>
        </w:tcPr>
        <w:p w:rsidR="00A717D4" w:rsidRDefault="00A717D4">
          <w:pPr>
            <w:pStyle w:val="HeaderEven"/>
            <w:rPr>
              <w:b/>
            </w:rPr>
          </w:pPr>
          <w:r>
            <w:rPr>
              <w:b/>
            </w:rPr>
            <w:fldChar w:fldCharType="begin"/>
          </w:r>
          <w:r>
            <w:rPr>
              <w:b/>
            </w:rPr>
            <w:instrText xml:space="preserve"> STYLEREF CharPartNo \*charformat </w:instrText>
          </w:r>
          <w:r>
            <w:rPr>
              <w:b/>
            </w:rPr>
            <w:fldChar w:fldCharType="separate"/>
          </w:r>
          <w:r w:rsidR="005F2669">
            <w:rPr>
              <w:b/>
              <w:noProof/>
            </w:rPr>
            <w:t>Part 7</w:t>
          </w:r>
          <w:r>
            <w:rPr>
              <w:b/>
            </w:rPr>
            <w:fldChar w:fldCharType="end"/>
          </w:r>
        </w:p>
      </w:tc>
      <w:tc>
        <w:tcPr>
          <w:tcW w:w="4100" w:type="pct"/>
        </w:tcPr>
        <w:p w:rsidR="00A717D4" w:rsidRDefault="00DC28D5">
          <w:pPr>
            <w:pStyle w:val="HeaderEven"/>
          </w:pPr>
          <w:r>
            <w:rPr>
              <w:noProof/>
            </w:rPr>
            <w:fldChar w:fldCharType="begin"/>
          </w:r>
          <w:r>
            <w:rPr>
              <w:noProof/>
            </w:rPr>
            <w:instrText xml:space="preserve"> STYLEREF CharPartText \*charformat </w:instrText>
          </w:r>
          <w:r>
            <w:rPr>
              <w:noProof/>
            </w:rPr>
            <w:fldChar w:fldCharType="separate"/>
          </w:r>
          <w:r w:rsidR="005F2669">
            <w:rPr>
              <w:noProof/>
            </w:rPr>
            <w:t>Certification and accreditation</w:t>
          </w:r>
          <w:r>
            <w:rPr>
              <w:noProof/>
            </w:rPr>
            <w:fldChar w:fldCharType="end"/>
          </w:r>
        </w:p>
      </w:tc>
    </w:tr>
    <w:tr w:rsidR="00A717D4">
      <w:tc>
        <w:tcPr>
          <w:tcW w:w="900" w:type="pct"/>
        </w:tcPr>
        <w:p w:rsidR="00A717D4" w:rsidRDefault="00A717D4">
          <w:pPr>
            <w:pStyle w:val="HeaderEven"/>
            <w:rPr>
              <w:b/>
            </w:rPr>
          </w:pPr>
          <w:r>
            <w:rPr>
              <w:b/>
            </w:rPr>
            <w:fldChar w:fldCharType="begin"/>
          </w:r>
          <w:r>
            <w:rPr>
              <w:b/>
            </w:rPr>
            <w:instrText xml:space="preserve"> STYLEREF CharDivNo \*charformat </w:instrText>
          </w:r>
          <w:r>
            <w:rPr>
              <w:b/>
            </w:rPr>
            <w:fldChar w:fldCharType="separate"/>
          </w:r>
          <w:r w:rsidR="005F2669">
            <w:rPr>
              <w:b/>
              <w:noProof/>
            </w:rPr>
            <w:t>Division 7.3</w:t>
          </w:r>
          <w:r>
            <w:rPr>
              <w:b/>
            </w:rPr>
            <w:fldChar w:fldCharType="end"/>
          </w:r>
        </w:p>
      </w:tc>
      <w:tc>
        <w:tcPr>
          <w:tcW w:w="4100" w:type="pct"/>
        </w:tcPr>
        <w:p w:rsidR="00A717D4" w:rsidRDefault="00DC28D5">
          <w:pPr>
            <w:pStyle w:val="HeaderEven"/>
          </w:pPr>
          <w:r>
            <w:rPr>
              <w:noProof/>
            </w:rPr>
            <w:fldChar w:fldCharType="begin"/>
          </w:r>
          <w:r>
            <w:rPr>
              <w:noProof/>
            </w:rPr>
            <w:instrText xml:space="preserve"> STYLEREF CharDivText \*charformat </w:instrText>
          </w:r>
          <w:r>
            <w:rPr>
              <w:noProof/>
            </w:rPr>
            <w:fldChar w:fldCharType="separate"/>
          </w:r>
          <w:r w:rsidR="005F2669">
            <w:rPr>
              <w:noProof/>
            </w:rPr>
            <w:t>Accredited organisations</w:t>
          </w:r>
          <w:r>
            <w:rPr>
              <w:noProof/>
            </w:rPr>
            <w:fldChar w:fldCharType="end"/>
          </w:r>
        </w:p>
      </w:tc>
    </w:tr>
    <w:tr w:rsidR="00A717D4">
      <w:trPr>
        <w:cantSplit/>
      </w:trPr>
      <w:tc>
        <w:tcPr>
          <w:tcW w:w="4997" w:type="pct"/>
          <w:gridSpan w:val="2"/>
          <w:tcBorders>
            <w:bottom w:val="single" w:sz="4" w:space="0" w:color="auto"/>
          </w:tcBorders>
        </w:tcPr>
        <w:p w:rsidR="00A717D4" w:rsidRDefault="00DC28D5">
          <w:pPr>
            <w:pStyle w:val="HeaderEven6"/>
          </w:pPr>
          <w:r>
            <w:fldChar w:fldCharType="begin"/>
          </w:r>
          <w:r>
            <w:instrText xml:space="preserve"> DOCPROPERTY "Company"  \* MERGEFORMAT </w:instrText>
          </w:r>
          <w:r>
            <w:fldChar w:fldCharType="separate"/>
          </w:r>
          <w:r w:rsidR="00136761">
            <w:t>Section</w:t>
          </w:r>
          <w:r>
            <w:fldChar w:fldCharType="end"/>
          </w:r>
          <w:r w:rsidR="00A717D4">
            <w:t xml:space="preserve"> </w:t>
          </w:r>
          <w:r>
            <w:rPr>
              <w:noProof/>
            </w:rPr>
            <w:fldChar w:fldCharType="begin"/>
          </w:r>
          <w:r>
            <w:rPr>
              <w:noProof/>
            </w:rPr>
            <w:instrText xml:space="preserve"> STYLEREF CharSectNo \*charformat </w:instrText>
          </w:r>
          <w:r>
            <w:rPr>
              <w:noProof/>
            </w:rPr>
            <w:fldChar w:fldCharType="separate"/>
          </w:r>
          <w:r w:rsidR="005F2669">
            <w:rPr>
              <w:noProof/>
            </w:rPr>
            <w:t>98</w:t>
          </w:r>
          <w:r>
            <w:rPr>
              <w:noProof/>
            </w:rPr>
            <w:fldChar w:fldCharType="end"/>
          </w:r>
        </w:p>
      </w:tc>
    </w:tr>
  </w:tbl>
  <w:p w:rsidR="00A717D4" w:rsidRDefault="00A717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717D4">
      <w:tc>
        <w:tcPr>
          <w:tcW w:w="4100" w:type="pct"/>
        </w:tcPr>
        <w:p w:rsidR="00A717D4" w:rsidRDefault="00DC28D5">
          <w:pPr>
            <w:pStyle w:val="HeaderEven"/>
            <w:jc w:val="right"/>
          </w:pPr>
          <w:r>
            <w:rPr>
              <w:noProof/>
            </w:rPr>
            <w:fldChar w:fldCharType="begin"/>
          </w:r>
          <w:r>
            <w:rPr>
              <w:noProof/>
            </w:rPr>
            <w:instrText xml:space="preserve"> STYLEREF CharPartText \*charformat </w:instrText>
          </w:r>
          <w:r>
            <w:rPr>
              <w:noProof/>
            </w:rPr>
            <w:fldChar w:fldCharType="separate"/>
          </w:r>
          <w:r w:rsidR="005F2669">
            <w:rPr>
              <w:noProof/>
            </w:rPr>
            <w:t>Certification and accreditation</w:t>
          </w:r>
          <w:r>
            <w:rPr>
              <w:noProof/>
            </w:rPr>
            <w:fldChar w:fldCharType="end"/>
          </w:r>
        </w:p>
      </w:tc>
      <w:tc>
        <w:tcPr>
          <w:tcW w:w="900" w:type="pct"/>
        </w:tcPr>
        <w:p w:rsidR="00A717D4" w:rsidRDefault="00A717D4">
          <w:pPr>
            <w:pStyle w:val="HeaderEven"/>
            <w:jc w:val="right"/>
            <w:rPr>
              <w:b/>
            </w:rPr>
          </w:pPr>
          <w:r>
            <w:rPr>
              <w:b/>
            </w:rPr>
            <w:fldChar w:fldCharType="begin"/>
          </w:r>
          <w:r>
            <w:rPr>
              <w:b/>
            </w:rPr>
            <w:instrText xml:space="preserve"> STYLEREF CharPartNo \*charformat </w:instrText>
          </w:r>
          <w:r>
            <w:rPr>
              <w:b/>
            </w:rPr>
            <w:fldChar w:fldCharType="separate"/>
          </w:r>
          <w:r w:rsidR="005F2669">
            <w:rPr>
              <w:b/>
              <w:noProof/>
            </w:rPr>
            <w:t>Part 7</w:t>
          </w:r>
          <w:r>
            <w:rPr>
              <w:b/>
            </w:rPr>
            <w:fldChar w:fldCharType="end"/>
          </w:r>
        </w:p>
      </w:tc>
    </w:tr>
    <w:tr w:rsidR="00A717D4">
      <w:tc>
        <w:tcPr>
          <w:tcW w:w="4100" w:type="pct"/>
        </w:tcPr>
        <w:p w:rsidR="00A717D4" w:rsidRDefault="00DC28D5">
          <w:pPr>
            <w:pStyle w:val="HeaderEven"/>
            <w:jc w:val="right"/>
          </w:pPr>
          <w:r>
            <w:rPr>
              <w:noProof/>
            </w:rPr>
            <w:fldChar w:fldCharType="begin"/>
          </w:r>
          <w:r>
            <w:rPr>
              <w:noProof/>
            </w:rPr>
            <w:instrText xml:space="preserve"> STYLEREF CharDivText \*charformat </w:instrText>
          </w:r>
          <w:r>
            <w:rPr>
              <w:noProof/>
            </w:rPr>
            <w:fldChar w:fldCharType="separate"/>
          </w:r>
          <w:r w:rsidR="005F2669">
            <w:rPr>
              <w:noProof/>
            </w:rPr>
            <w:t>Accredited organisations</w:t>
          </w:r>
          <w:r>
            <w:rPr>
              <w:noProof/>
            </w:rPr>
            <w:fldChar w:fldCharType="end"/>
          </w:r>
        </w:p>
      </w:tc>
      <w:tc>
        <w:tcPr>
          <w:tcW w:w="900" w:type="pct"/>
        </w:tcPr>
        <w:p w:rsidR="00A717D4" w:rsidRDefault="00A717D4">
          <w:pPr>
            <w:pStyle w:val="HeaderEven"/>
            <w:jc w:val="right"/>
            <w:rPr>
              <w:b/>
            </w:rPr>
          </w:pPr>
          <w:r>
            <w:rPr>
              <w:b/>
            </w:rPr>
            <w:fldChar w:fldCharType="begin"/>
          </w:r>
          <w:r>
            <w:rPr>
              <w:b/>
            </w:rPr>
            <w:instrText xml:space="preserve"> STYLEREF CharDivNo \*charformat </w:instrText>
          </w:r>
          <w:r>
            <w:rPr>
              <w:b/>
            </w:rPr>
            <w:fldChar w:fldCharType="separate"/>
          </w:r>
          <w:r w:rsidR="005F2669">
            <w:rPr>
              <w:b/>
              <w:noProof/>
            </w:rPr>
            <w:t>Division 7.3</w:t>
          </w:r>
          <w:r>
            <w:rPr>
              <w:b/>
            </w:rPr>
            <w:fldChar w:fldCharType="end"/>
          </w:r>
        </w:p>
      </w:tc>
    </w:tr>
    <w:tr w:rsidR="00A717D4">
      <w:trPr>
        <w:cantSplit/>
      </w:trPr>
      <w:tc>
        <w:tcPr>
          <w:tcW w:w="5000" w:type="pct"/>
          <w:gridSpan w:val="2"/>
          <w:tcBorders>
            <w:bottom w:val="single" w:sz="4" w:space="0" w:color="auto"/>
          </w:tcBorders>
        </w:tcPr>
        <w:p w:rsidR="00A717D4" w:rsidRDefault="00DC28D5">
          <w:pPr>
            <w:pStyle w:val="HeaderOdd6"/>
          </w:pPr>
          <w:r>
            <w:fldChar w:fldCharType="begin"/>
          </w:r>
          <w:r>
            <w:instrText xml:space="preserve"> DOCPROPERTY "Company"  \* MERGEFORMAT </w:instrText>
          </w:r>
          <w:r>
            <w:fldChar w:fldCharType="separate"/>
          </w:r>
          <w:r w:rsidR="00136761">
            <w:t>Section</w:t>
          </w:r>
          <w:r>
            <w:fldChar w:fldCharType="end"/>
          </w:r>
          <w:r w:rsidR="00A717D4">
            <w:t xml:space="preserve"> </w:t>
          </w:r>
          <w:r>
            <w:rPr>
              <w:noProof/>
            </w:rPr>
            <w:fldChar w:fldCharType="begin"/>
          </w:r>
          <w:r>
            <w:rPr>
              <w:noProof/>
            </w:rPr>
            <w:instrText xml:space="preserve"> STYLEREF CharSectNo \*charformat </w:instrText>
          </w:r>
          <w:r>
            <w:rPr>
              <w:noProof/>
            </w:rPr>
            <w:fldChar w:fldCharType="separate"/>
          </w:r>
          <w:r w:rsidR="005F2669">
            <w:rPr>
              <w:noProof/>
            </w:rPr>
            <w:t>95</w:t>
          </w:r>
          <w:r>
            <w:rPr>
              <w:noProof/>
            </w:rPr>
            <w:fldChar w:fldCharType="end"/>
          </w:r>
        </w:p>
      </w:tc>
    </w:tr>
  </w:tbl>
  <w:p w:rsidR="00A717D4" w:rsidRDefault="00A717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717D4">
      <w:tc>
        <w:tcPr>
          <w:tcW w:w="900" w:type="pct"/>
        </w:tcPr>
        <w:p w:rsidR="00A717D4" w:rsidRDefault="00A717D4">
          <w:pPr>
            <w:pStyle w:val="HeaderEven"/>
            <w:rPr>
              <w:b/>
            </w:rPr>
          </w:pPr>
          <w:r>
            <w:rPr>
              <w:b/>
            </w:rPr>
            <w:fldChar w:fldCharType="begin"/>
          </w:r>
          <w:r>
            <w:rPr>
              <w:b/>
            </w:rPr>
            <w:instrText xml:space="preserve"> STYLEREF CharPartNo \*charformat </w:instrText>
          </w:r>
          <w:r>
            <w:rPr>
              <w:b/>
            </w:rPr>
            <w:fldChar w:fldCharType="separate"/>
          </w:r>
          <w:r w:rsidR="005F2669">
            <w:rPr>
              <w:b/>
              <w:noProof/>
            </w:rPr>
            <w:t>Part 8</w:t>
          </w:r>
          <w:r>
            <w:rPr>
              <w:b/>
            </w:rPr>
            <w:fldChar w:fldCharType="end"/>
          </w:r>
        </w:p>
      </w:tc>
      <w:tc>
        <w:tcPr>
          <w:tcW w:w="4100" w:type="pct"/>
        </w:tcPr>
        <w:p w:rsidR="00A717D4" w:rsidRDefault="00DC28D5">
          <w:pPr>
            <w:pStyle w:val="HeaderEven"/>
          </w:pPr>
          <w:r>
            <w:rPr>
              <w:noProof/>
            </w:rPr>
            <w:fldChar w:fldCharType="begin"/>
          </w:r>
          <w:r>
            <w:rPr>
              <w:noProof/>
            </w:rPr>
            <w:instrText xml:space="preserve"> STYLEREF CharPartText \*cha</w:instrText>
          </w:r>
          <w:r>
            <w:rPr>
              <w:noProof/>
            </w:rPr>
            <w:instrText xml:space="preserve">rformat </w:instrText>
          </w:r>
          <w:r>
            <w:rPr>
              <w:noProof/>
            </w:rPr>
            <w:fldChar w:fldCharType="separate"/>
          </w:r>
          <w:r w:rsidR="005F2669">
            <w:rPr>
              <w:noProof/>
            </w:rPr>
            <w:t>Gene technology technical advisory committee and gene technology ethics and community consultative committee</w:t>
          </w:r>
          <w:r>
            <w:rPr>
              <w:noProof/>
            </w:rPr>
            <w:fldChar w:fldCharType="end"/>
          </w:r>
        </w:p>
      </w:tc>
    </w:tr>
    <w:tr w:rsidR="00A717D4">
      <w:tc>
        <w:tcPr>
          <w:tcW w:w="900" w:type="pct"/>
        </w:tcPr>
        <w:p w:rsidR="00A717D4" w:rsidRDefault="00A717D4">
          <w:pPr>
            <w:pStyle w:val="HeaderEven"/>
            <w:rPr>
              <w:b/>
            </w:rPr>
          </w:pPr>
          <w:r>
            <w:rPr>
              <w:b/>
            </w:rPr>
            <w:fldChar w:fldCharType="begin"/>
          </w:r>
          <w:r>
            <w:rPr>
              <w:b/>
            </w:rPr>
            <w:instrText xml:space="preserve"> STYLEREF CharDivNo \*charformat </w:instrText>
          </w:r>
          <w:r>
            <w:rPr>
              <w:b/>
            </w:rPr>
            <w:fldChar w:fldCharType="separate"/>
          </w:r>
          <w:r w:rsidR="005F2669">
            <w:rPr>
              <w:b/>
              <w:noProof/>
            </w:rPr>
            <w:t>Division 8.3</w:t>
          </w:r>
          <w:r>
            <w:rPr>
              <w:b/>
            </w:rPr>
            <w:fldChar w:fldCharType="end"/>
          </w:r>
        </w:p>
      </w:tc>
      <w:tc>
        <w:tcPr>
          <w:tcW w:w="4100" w:type="pct"/>
        </w:tcPr>
        <w:p w:rsidR="00A717D4" w:rsidRDefault="00DC28D5">
          <w:pPr>
            <w:pStyle w:val="HeaderEven"/>
          </w:pPr>
          <w:r>
            <w:rPr>
              <w:noProof/>
            </w:rPr>
            <w:fldChar w:fldCharType="begin"/>
          </w:r>
          <w:r>
            <w:rPr>
              <w:noProof/>
            </w:rPr>
            <w:instrText xml:space="preserve"> STYLEREF CharDivText \*charformat </w:instrText>
          </w:r>
          <w:r>
            <w:rPr>
              <w:noProof/>
            </w:rPr>
            <w:fldChar w:fldCharType="separate"/>
          </w:r>
          <w:r w:rsidR="005F2669">
            <w:rPr>
              <w:noProof/>
            </w:rPr>
            <w:t>Gene technology ethics and community consultative committee</w:t>
          </w:r>
          <w:r>
            <w:rPr>
              <w:noProof/>
            </w:rPr>
            <w:fldChar w:fldCharType="end"/>
          </w:r>
        </w:p>
      </w:tc>
    </w:tr>
    <w:tr w:rsidR="00A717D4">
      <w:trPr>
        <w:cantSplit/>
      </w:trPr>
      <w:tc>
        <w:tcPr>
          <w:tcW w:w="4997" w:type="pct"/>
          <w:gridSpan w:val="2"/>
          <w:tcBorders>
            <w:bottom w:val="single" w:sz="4" w:space="0" w:color="auto"/>
          </w:tcBorders>
        </w:tcPr>
        <w:p w:rsidR="00A717D4" w:rsidRDefault="00DC28D5">
          <w:pPr>
            <w:pStyle w:val="HeaderEven6"/>
          </w:pPr>
          <w:r>
            <w:fldChar w:fldCharType="begin"/>
          </w:r>
          <w:r>
            <w:instrText xml:space="preserve"> DOCPROPERTY "Company"  \* MERGEFORMAT </w:instrText>
          </w:r>
          <w:r>
            <w:fldChar w:fldCharType="separate"/>
          </w:r>
          <w:r w:rsidR="00136761">
            <w:t>Section</w:t>
          </w:r>
          <w:r>
            <w:fldChar w:fldCharType="end"/>
          </w:r>
          <w:r w:rsidR="00A717D4">
            <w:t xml:space="preserve"> </w:t>
          </w:r>
          <w:r>
            <w:rPr>
              <w:noProof/>
            </w:rPr>
            <w:fldChar w:fldCharType="begin"/>
          </w:r>
          <w:r>
            <w:rPr>
              <w:noProof/>
            </w:rPr>
            <w:instrText xml:space="preserve"> STYLEREF CharSectNo \*charformat </w:instrText>
          </w:r>
          <w:r>
            <w:rPr>
              <w:noProof/>
            </w:rPr>
            <w:fldChar w:fldCharType="separate"/>
          </w:r>
          <w:r w:rsidR="005F2669">
            <w:rPr>
              <w:noProof/>
            </w:rPr>
            <w:t>110</w:t>
          </w:r>
          <w:r>
            <w:rPr>
              <w:noProof/>
            </w:rPr>
            <w:fldChar w:fldCharType="end"/>
          </w:r>
        </w:p>
      </w:tc>
    </w:tr>
  </w:tbl>
  <w:p w:rsidR="00A717D4" w:rsidRDefault="00A717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717D4">
      <w:tc>
        <w:tcPr>
          <w:tcW w:w="4100" w:type="pct"/>
        </w:tcPr>
        <w:p w:rsidR="00A717D4" w:rsidRDefault="00DC28D5">
          <w:pPr>
            <w:pStyle w:val="HeaderEven"/>
            <w:jc w:val="right"/>
          </w:pPr>
          <w:r>
            <w:rPr>
              <w:noProof/>
            </w:rPr>
            <w:fldChar w:fldCharType="begin"/>
          </w:r>
          <w:r>
            <w:rPr>
              <w:noProof/>
            </w:rPr>
            <w:instrText xml:space="preserve"> STYLEREF CharPartText \*charformat </w:instrText>
          </w:r>
          <w:r>
            <w:rPr>
              <w:noProof/>
            </w:rPr>
            <w:fldChar w:fldCharType="separate"/>
          </w:r>
          <w:r w:rsidR="005F2669">
            <w:rPr>
              <w:noProof/>
            </w:rPr>
            <w:t>Gene technology technical advisory committee and gene technology ethics and community consultative committee</w:t>
          </w:r>
          <w:r>
            <w:rPr>
              <w:noProof/>
            </w:rPr>
            <w:fldChar w:fldCharType="end"/>
          </w:r>
        </w:p>
      </w:tc>
      <w:tc>
        <w:tcPr>
          <w:tcW w:w="900" w:type="pct"/>
        </w:tcPr>
        <w:p w:rsidR="00A717D4" w:rsidRDefault="00A717D4">
          <w:pPr>
            <w:pStyle w:val="HeaderEven"/>
            <w:jc w:val="right"/>
            <w:rPr>
              <w:b/>
            </w:rPr>
          </w:pPr>
          <w:r>
            <w:rPr>
              <w:b/>
            </w:rPr>
            <w:fldChar w:fldCharType="begin"/>
          </w:r>
          <w:r>
            <w:rPr>
              <w:b/>
            </w:rPr>
            <w:instrText xml:space="preserve"> STYLEREF CharPartNo \*charformat </w:instrText>
          </w:r>
          <w:r>
            <w:rPr>
              <w:b/>
            </w:rPr>
            <w:fldChar w:fldCharType="separate"/>
          </w:r>
          <w:r w:rsidR="005F2669">
            <w:rPr>
              <w:b/>
              <w:noProof/>
            </w:rPr>
            <w:t>Part 8</w:t>
          </w:r>
          <w:r>
            <w:rPr>
              <w:b/>
            </w:rPr>
            <w:fldChar w:fldCharType="end"/>
          </w:r>
        </w:p>
      </w:tc>
    </w:tr>
    <w:tr w:rsidR="00A717D4">
      <w:tc>
        <w:tcPr>
          <w:tcW w:w="4100" w:type="pct"/>
        </w:tcPr>
        <w:p w:rsidR="00A717D4" w:rsidRDefault="00DC28D5">
          <w:pPr>
            <w:pStyle w:val="HeaderEven"/>
            <w:jc w:val="right"/>
          </w:pPr>
          <w:r>
            <w:rPr>
              <w:noProof/>
            </w:rPr>
            <w:fldChar w:fldCharType="begin"/>
          </w:r>
          <w:r>
            <w:rPr>
              <w:noProof/>
            </w:rPr>
            <w:instrText xml:space="preserve"> STYLEREF CharDivText \*charformat </w:instrText>
          </w:r>
          <w:r>
            <w:rPr>
              <w:noProof/>
            </w:rPr>
            <w:fldChar w:fldCharType="separate"/>
          </w:r>
          <w:r w:rsidR="005F2669">
            <w:rPr>
              <w:noProof/>
            </w:rPr>
            <w:t>Gene technology ethics and community consultative committee</w:t>
          </w:r>
          <w:r>
            <w:rPr>
              <w:noProof/>
            </w:rPr>
            <w:fldChar w:fldCharType="end"/>
          </w:r>
        </w:p>
      </w:tc>
      <w:tc>
        <w:tcPr>
          <w:tcW w:w="900" w:type="pct"/>
        </w:tcPr>
        <w:p w:rsidR="00A717D4" w:rsidRDefault="00A717D4">
          <w:pPr>
            <w:pStyle w:val="HeaderEven"/>
            <w:jc w:val="right"/>
            <w:rPr>
              <w:b/>
            </w:rPr>
          </w:pPr>
          <w:r>
            <w:rPr>
              <w:b/>
            </w:rPr>
            <w:fldChar w:fldCharType="begin"/>
          </w:r>
          <w:r>
            <w:rPr>
              <w:b/>
            </w:rPr>
            <w:instrText xml:space="preserve"> STYLEREF CharDivNo \*charformat </w:instrText>
          </w:r>
          <w:r>
            <w:rPr>
              <w:b/>
            </w:rPr>
            <w:fldChar w:fldCharType="separate"/>
          </w:r>
          <w:r w:rsidR="005F2669">
            <w:rPr>
              <w:b/>
              <w:noProof/>
            </w:rPr>
            <w:t>Division 8.3</w:t>
          </w:r>
          <w:r>
            <w:rPr>
              <w:b/>
            </w:rPr>
            <w:fldChar w:fldCharType="end"/>
          </w:r>
        </w:p>
      </w:tc>
    </w:tr>
    <w:tr w:rsidR="00A717D4">
      <w:trPr>
        <w:cantSplit/>
      </w:trPr>
      <w:tc>
        <w:tcPr>
          <w:tcW w:w="5000" w:type="pct"/>
          <w:gridSpan w:val="2"/>
          <w:tcBorders>
            <w:bottom w:val="single" w:sz="4" w:space="0" w:color="auto"/>
          </w:tcBorders>
        </w:tcPr>
        <w:p w:rsidR="00A717D4" w:rsidRDefault="00DC28D5">
          <w:pPr>
            <w:pStyle w:val="HeaderOdd6"/>
          </w:pPr>
          <w:r>
            <w:fldChar w:fldCharType="begin"/>
          </w:r>
          <w:r>
            <w:instrText xml:space="preserve"> DOCPROPERTY "Company"  \* MERGEFORMAT </w:instrText>
          </w:r>
          <w:r>
            <w:fldChar w:fldCharType="separate"/>
          </w:r>
          <w:r w:rsidR="00136761">
            <w:t>Section</w:t>
          </w:r>
          <w:r>
            <w:fldChar w:fldCharType="end"/>
          </w:r>
          <w:r w:rsidR="00A717D4">
            <w:t xml:space="preserve"> </w:t>
          </w:r>
          <w:r>
            <w:rPr>
              <w:noProof/>
            </w:rPr>
            <w:fldChar w:fldCharType="begin"/>
          </w:r>
          <w:r>
            <w:rPr>
              <w:noProof/>
            </w:rPr>
            <w:instrText xml:space="preserve"> STYLEREF C</w:instrText>
          </w:r>
          <w:r>
            <w:rPr>
              <w:noProof/>
            </w:rPr>
            <w:instrText xml:space="preserve">harSectNo \*charformat </w:instrText>
          </w:r>
          <w:r>
            <w:rPr>
              <w:noProof/>
            </w:rPr>
            <w:fldChar w:fldCharType="separate"/>
          </w:r>
          <w:r w:rsidR="005F2669">
            <w:rPr>
              <w:noProof/>
            </w:rPr>
            <w:t>107</w:t>
          </w:r>
          <w:r>
            <w:rPr>
              <w:noProof/>
            </w:rPr>
            <w:fldChar w:fldCharType="end"/>
          </w:r>
        </w:p>
      </w:tc>
    </w:tr>
  </w:tbl>
  <w:p w:rsidR="00A717D4" w:rsidRDefault="00A71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1840374"/>
    <w:multiLevelType w:val="singleLevel"/>
    <w:tmpl w:val="8A36CFAC"/>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14"/>
  </w:num>
  <w:num w:numId="5">
    <w:abstractNumId w:val="11"/>
  </w:num>
  <w:num w:numId="6">
    <w:abstractNumId w:val="15"/>
  </w:num>
  <w:num w:numId="7">
    <w:abstractNumId w:val="17"/>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75"/>
    <w:rsid w:val="00003843"/>
    <w:rsid w:val="00003AAF"/>
    <w:rsid w:val="00006B7B"/>
    <w:rsid w:val="000239FB"/>
    <w:rsid w:val="0005644E"/>
    <w:rsid w:val="000754B5"/>
    <w:rsid w:val="000928E1"/>
    <w:rsid w:val="000944F6"/>
    <w:rsid w:val="000A658E"/>
    <w:rsid w:val="000B04C5"/>
    <w:rsid w:val="000B43B4"/>
    <w:rsid w:val="000C073F"/>
    <w:rsid w:val="000C0C7F"/>
    <w:rsid w:val="000C5E30"/>
    <w:rsid w:val="000C79AD"/>
    <w:rsid w:val="000D0ED2"/>
    <w:rsid w:val="00104553"/>
    <w:rsid w:val="001056DA"/>
    <w:rsid w:val="001131B0"/>
    <w:rsid w:val="001146F6"/>
    <w:rsid w:val="00115B40"/>
    <w:rsid w:val="00130398"/>
    <w:rsid w:val="0013419E"/>
    <w:rsid w:val="00136761"/>
    <w:rsid w:val="00140022"/>
    <w:rsid w:val="00147CC2"/>
    <w:rsid w:val="00160373"/>
    <w:rsid w:val="00184681"/>
    <w:rsid w:val="001A1DE6"/>
    <w:rsid w:val="001B65CB"/>
    <w:rsid w:val="001C13A7"/>
    <w:rsid w:val="001C7419"/>
    <w:rsid w:val="001D3094"/>
    <w:rsid w:val="001D7507"/>
    <w:rsid w:val="001E0973"/>
    <w:rsid w:val="001E6F5F"/>
    <w:rsid w:val="001F0B1D"/>
    <w:rsid w:val="002004AF"/>
    <w:rsid w:val="00203474"/>
    <w:rsid w:val="00210EAE"/>
    <w:rsid w:val="0021119D"/>
    <w:rsid w:val="00213F68"/>
    <w:rsid w:val="00222650"/>
    <w:rsid w:val="00225B57"/>
    <w:rsid w:val="00226B08"/>
    <w:rsid w:val="002278D5"/>
    <w:rsid w:val="00233529"/>
    <w:rsid w:val="0023506A"/>
    <w:rsid w:val="00236159"/>
    <w:rsid w:val="00244AF5"/>
    <w:rsid w:val="00254316"/>
    <w:rsid w:val="00255916"/>
    <w:rsid w:val="00261B7D"/>
    <w:rsid w:val="00271409"/>
    <w:rsid w:val="002746D3"/>
    <w:rsid w:val="00280B60"/>
    <w:rsid w:val="002826CC"/>
    <w:rsid w:val="00290294"/>
    <w:rsid w:val="00292BD3"/>
    <w:rsid w:val="002A0AB2"/>
    <w:rsid w:val="002A0DFE"/>
    <w:rsid w:val="002A1693"/>
    <w:rsid w:val="002A3EB2"/>
    <w:rsid w:val="002A724F"/>
    <w:rsid w:val="002B3C04"/>
    <w:rsid w:val="002B74E7"/>
    <w:rsid w:val="002C7537"/>
    <w:rsid w:val="002D6137"/>
    <w:rsid w:val="002F4A19"/>
    <w:rsid w:val="002F69DA"/>
    <w:rsid w:val="00304292"/>
    <w:rsid w:val="0030472C"/>
    <w:rsid w:val="0031300E"/>
    <w:rsid w:val="00314836"/>
    <w:rsid w:val="00322811"/>
    <w:rsid w:val="00325B6A"/>
    <w:rsid w:val="00334FC1"/>
    <w:rsid w:val="00335418"/>
    <w:rsid w:val="0034274B"/>
    <w:rsid w:val="003471C0"/>
    <w:rsid w:val="00360AA8"/>
    <w:rsid w:val="00374819"/>
    <w:rsid w:val="003758A6"/>
    <w:rsid w:val="00375C24"/>
    <w:rsid w:val="0038614A"/>
    <w:rsid w:val="0039535B"/>
    <w:rsid w:val="003977B1"/>
    <w:rsid w:val="0039786D"/>
    <w:rsid w:val="003A2017"/>
    <w:rsid w:val="003A6634"/>
    <w:rsid w:val="003A7289"/>
    <w:rsid w:val="003C30DC"/>
    <w:rsid w:val="003C6388"/>
    <w:rsid w:val="003D5A31"/>
    <w:rsid w:val="0041257B"/>
    <w:rsid w:val="0041387D"/>
    <w:rsid w:val="00415B16"/>
    <w:rsid w:val="004315F6"/>
    <w:rsid w:val="0044107A"/>
    <w:rsid w:val="00447D9C"/>
    <w:rsid w:val="0045086D"/>
    <w:rsid w:val="00466EB6"/>
    <w:rsid w:val="00476C73"/>
    <w:rsid w:val="004972F5"/>
    <w:rsid w:val="004A2405"/>
    <w:rsid w:val="004A5A65"/>
    <w:rsid w:val="004D63FF"/>
    <w:rsid w:val="004E547D"/>
    <w:rsid w:val="004E651D"/>
    <w:rsid w:val="004F02A0"/>
    <w:rsid w:val="00502B06"/>
    <w:rsid w:val="00503785"/>
    <w:rsid w:val="00504CDD"/>
    <w:rsid w:val="005078E6"/>
    <w:rsid w:val="00533768"/>
    <w:rsid w:val="00546A1F"/>
    <w:rsid w:val="00561421"/>
    <w:rsid w:val="00561B75"/>
    <w:rsid w:val="00566DC1"/>
    <w:rsid w:val="00574E95"/>
    <w:rsid w:val="00584D91"/>
    <w:rsid w:val="00592E5B"/>
    <w:rsid w:val="00597E0C"/>
    <w:rsid w:val="005A1335"/>
    <w:rsid w:val="005A51CA"/>
    <w:rsid w:val="005C1B33"/>
    <w:rsid w:val="005E242E"/>
    <w:rsid w:val="005F2669"/>
    <w:rsid w:val="005F4094"/>
    <w:rsid w:val="006043B7"/>
    <w:rsid w:val="00621266"/>
    <w:rsid w:val="00622BBD"/>
    <w:rsid w:val="006250D5"/>
    <w:rsid w:val="00625E79"/>
    <w:rsid w:val="0063064A"/>
    <w:rsid w:val="00647FE0"/>
    <w:rsid w:val="0065444A"/>
    <w:rsid w:val="006610CE"/>
    <w:rsid w:val="00673752"/>
    <w:rsid w:val="0069277C"/>
    <w:rsid w:val="006A7BCF"/>
    <w:rsid w:val="006C0393"/>
    <w:rsid w:val="006C23AA"/>
    <w:rsid w:val="006C34EF"/>
    <w:rsid w:val="006D3766"/>
    <w:rsid w:val="006D38EB"/>
    <w:rsid w:val="006D5A5E"/>
    <w:rsid w:val="006E2FC4"/>
    <w:rsid w:val="006F0BA6"/>
    <w:rsid w:val="007053C7"/>
    <w:rsid w:val="00710300"/>
    <w:rsid w:val="00724767"/>
    <w:rsid w:val="007250CD"/>
    <w:rsid w:val="0075337D"/>
    <w:rsid w:val="007539B7"/>
    <w:rsid w:val="007771A6"/>
    <w:rsid w:val="007929F7"/>
    <w:rsid w:val="007A36D8"/>
    <w:rsid w:val="007A38B2"/>
    <w:rsid w:val="007A5FF2"/>
    <w:rsid w:val="007C072E"/>
    <w:rsid w:val="007C25AD"/>
    <w:rsid w:val="007C2B18"/>
    <w:rsid w:val="007C50D9"/>
    <w:rsid w:val="007E0696"/>
    <w:rsid w:val="007E40B0"/>
    <w:rsid w:val="007F4248"/>
    <w:rsid w:val="00800CD5"/>
    <w:rsid w:val="00803882"/>
    <w:rsid w:val="008052B9"/>
    <w:rsid w:val="00820327"/>
    <w:rsid w:val="0082178F"/>
    <w:rsid w:val="00823FD6"/>
    <w:rsid w:val="00831B5F"/>
    <w:rsid w:val="0083255B"/>
    <w:rsid w:val="0085312B"/>
    <w:rsid w:val="00853C87"/>
    <w:rsid w:val="00856750"/>
    <w:rsid w:val="00884353"/>
    <w:rsid w:val="00890B7B"/>
    <w:rsid w:val="0089439E"/>
    <w:rsid w:val="008B03D6"/>
    <w:rsid w:val="008B6AB2"/>
    <w:rsid w:val="008B7815"/>
    <w:rsid w:val="008C3A6E"/>
    <w:rsid w:val="008C4A74"/>
    <w:rsid w:val="008D7F56"/>
    <w:rsid w:val="008F2F5A"/>
    <w:rsid w:val="008F79A0"/>
    <w:rsid w:val="00902FDA"/>
    <w:rsid w:val="009038EF"/>
    <w:rsid w:val="00903C3C"/>
    <w:rsid w:val="00905D97"/>
    <w:rsid w:val="00907DBC"/>
    <w:rsid w:val="00917E6A"/>
    <w:rsid w:val="00921C53"/>
    <w:rsid w:val="00936497"/>
    <w:rsid w:val="00940A72"/>
    <w:rsid w:val="00941C8D"/>
    <w:rsid w:val="00962807"/>
    <w:rsid w:val="00966FB8"/>
    <w:rsid w:val="00970A67"/>
    <w:rsid w:val="00981729"/>
    <w:rsid w:val="00995F0D"/>
    <w:rsid w:val="009969BE"/>
    <w:rsid w:val="009978A6"/>
    <w:rsid w:val="009B2BEF"/>
    <w:rsid w:val="009B2D72"/>
    <w:rsid w:val="009C42AF"/>
    <w:rsid w:val="009D01F4"/>
    <w:rsid w:val="009D18EA"/>
    <w:rsid w:val="009E47C8"/>
    <w:rsid w:val="009E7FA5"/>
    <w:rsid w:val="00A023DA"/>
    <w:rsid w:val="00A03110"/>
    <w:rsid w:val="00A03D07"/>
    <w:rsid w:val="00A066FB"/>
    <w:rsid w:val="00A153B8"/>
    <w:rsid w:val="00A1634A"/>
    <w:rsid w:val="00A22AA7"/>
    <w:rsid w:val="00A23B3A"/>
    <w:rsid w:val="00A33675"/>
    <w:rsid w:val="00A34835"/>
    <w:rsid w:val="00A35680"/>
    <w:rsid w:val="00A40EAA"/>
    <w:rsid w:val="00A41568"/>
    <w:rsid w:val="00A41F76"/>
    <w:rsid w:val="00A421C4"/>
    <w:rsid w:val="00A477AB"/>
    <w:rsid w:val="00A717D4"/>
    <w:rsid w:val="00A71DB2"/>
    <w:rsid w:val="00A7334F"/>
    <w:rsid w:val="00A8225F"/>
    <w:rsid w:val="00A86B1A"/>
    <w:rsid w:val="00A91E66"/>
    <w:rsid w:val="00A97C2A"/>
    <w:rsid w:val="00AA0CAD"/>
    <w:rsid w:val="00AA51FA"/>
    <w:rsid w:val="00AC7F56"/>
    <w:rsid w:val="00AD0B7A"/>
    <w:rsid w:val="00AE1CED"/>
    <w:rsid w:val="00AE33C0"/>
    <w:rsid w:val="00AF4E02"/>
    <w:rsid w:val="00B016A6"/>
    <w:rsid w:val="00B04061"/>
    <w:rsid w:val="00B0620D"/>
    <w:rsid w:val="00B13E87"/>
    <w:rsid w:val="00B15AB2"/>
    <w:rsid w:val="00B213CA"/>
    <w:rsid w:val="00B3520A"/>
    <w:rsid w:val="00B35ABC"/>
    <w:rsid w:val="00B40F1C"/>
    <w:rsid w:val="00B4277F"/>
    <w:rsid w:val="00B46A8A"/>
    <w:rsid w:val="00B5022E"/>
    <w:rsid w:val="00B50FD4"/>
    <w:rsid w:val="00B525F8"/>
    <w:rsid w:val="00B651F0"/>
    <w:rsid w:val="00B67D1A"/>
    <w:rsid w:val="00B71B44"/>
    <w:rsid w:val="00B85EFD"/>
    <w:rsid w:val="00B90C08"/>
    <w:rsid w:val="00B91DA2"/>
    <w:rsid w:val="00B97DFF"/>
    <w:rsid w:val="00BC745B"/>
    <w:rsid w:val="00BD0384"/>
    <w:rsid w:val="00BD3022"/>
    <w:rsid w:val="00BD5189"/>
    <w:rsid w:val="00BD7B76"/>
    <w:rsid w:val="00BF5454"/>
    <w:rsid w:val="00BF553E"/>
    <w:rsid w:val="00C06223"/>
    <w:rsid w:val="00C159FB"/>
    <w:rsid w:val="00C16CD6"/>
    <w:rsid w:val="00C37ACD"/>
    <w:rsid w:val="00C557FA"/>
    <w:rsid w:val="00C560FF"/>
    <w:rsid w:val="00C60637"/>
    <w:rsid w:val="00C65136"/>
    <w:rsid w:val="00C8539E"/>
    <w:rsid w:val="00C876BF"/>
    <w:rsid w:val="00C947C1"/>
    <w:rsid w:val="00C95724"/>
    <w:rsid w:val="00C97F0E"/>
    <w:rsid w:val="00CB1D8C"/>
    <w:rsid w:val="00CB250D"/>
    <w:rsid w:val="00CB4B51"/>
    <w:rsid w:val="00CD0027"/>
    <w:rsid w:val="00CD1211"/>
    <w:rsid w:val="00CD131E"/>
    <w:rsid w:val="00CE2EDA"/>
    <w:rsid w:val="00CE3CAD"/>
    <w:rsid w:val="00CE4995"/>
    <w:rsid w:val="00CF0A7F"/>
    <w:rsid w:val="00CF5AAC"/>
    <w:rsid w:val="00D168C1"/>
    <w:rsid w:val="00D30DDE"/>
    <w:rsid w:val="00D3679E"/>
    <w:rsid w:val="00D578FD"/>
    <w:rsid w:val="00D62007"/>
    <w:rsid w:val="00D67082"/>
    <w:rsid w:val="00D9010A"/>
    <w:rsid w:val="00D97422"/>
    <w:rsid w:val="00DA1F92"/>
    <w:rsid w:val="00DA7A40"/>
    <w:rsid w:val="00DB5F93"/>
    <w:rsid w:val="00DC28D5"/>
    <w:rsid w:val="00DC580A"/>
    <w:rsid w:val="00E07996"/>
    <w:rsid w:val="00E12BA9"/>
    <w:rsid w:val="00E12EB2"/>
    <w:rsid w:val="00E20D71"/>
    <w:rsid w:val="00E20F88"/>
    <w:rsid w:val="00E23924"/>
    <w:rsid w:val="00E25434"/>
    <w:rsid w:val="00E27252"/>
    <w:rsid w:val="00E31039"/>
    <w:rsid w:val="00E35977"/>
    <w:rsid w:val="00E4494F"/>
    <w:rsid w:val="00E51B38"/>
    <w:rsid w:val="00E62240"/>
    <w:rsid w:val="00E62E81"/>
    <w:rsid w:val="00E649F7"/>
    <w:rsid w:val="00E672CB"/>
    <w:rsid w:val="00E7420F"/>
    <w:rsid w:val="00E7651C"/>
    <w:rsid w:val="00E824C1"/>
    <w:rsid w:val="00E96BEF"/>
    <w:rsid w:val="00EA0C4F"/>
    <w:rsid w:val="00EC317B"/>
    <w:rsid w:val="00EC3DDB"/>
    <w:rsid w:val="00ED002B"/>
    <w:rsid w:val="00ED1221"/>
    <w:rsid w:val="00EE014D"/>
    <w:rsid w:val="00EE30A4"/>
    <w:rsid w:val="00EF0C3A"/>
    <w:rsid w:val="00EF1B40"/>
    <w:rsid w:val="00EF531C"/>
    <w:rsid w:val="00F16937"/>
    <w:rsid w:val="00F37BE6"/>
    <w:rsid w:val="00F522DA"/>
    <w:rsid w:val="00F57686"/>
    <w:rsid w:val="00F64413"/>
    <w:rsid w:val="00F709D2"/>
    <w:rsid w:val="00F7507F"/>
    <w:rsid w:val="00F76A4F"/>
    <w:rsid w:val="00F93509"/>
    <w:rsid w:val="00FA252D"/>
    <w:rsid w:val="00FA26FF"/>
    <w:rsid w:val="00FA5561"/>
    <w:rsid w:val="00FC279E"/>
    <w:rsid w:val="00FD2B77"/>
    <w:rsid w:val="00FD4B32"/>
    <w:rsid w:val="00FE0CF3"/>
    <w:rsid w:val="00FF0A2D"/>
    <w:rsid w:val="00FF3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61BC53-2EB9-444E-B462-932C0562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3C"/>
    <w:pPr>
      <w:tabs>
        <w:tab w:val="left" w:pos="0"/>
      </w:tabs>
    </w:pPr>
    <w:rPr>
      <w:sz w:val="24"/>
      <w:lang w:eastAsia="en-US"/>
    </w:rPr>
  </w:style>
  <w:style w:type="paragraph" w:styleId="Heading1">
    <w:name w:val="heading 1"/>
    <w:basedOn w:val="Normal"/>
    <w:next w:val="Normal"/>
    <w:qFormat/>
    <w:rsid w:val="00903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3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3C3C"/>
    <w:pPr>
      <w:keepNext/>
      <w:spacing w:before="140"/>
      <w:outlineLvl w:val="2"/>
    </w:pPr>
    <w:rPr>
      <w:b/>
    </w:rPr>
  </w:style>
  <w:style w:type="paragraph" w:styleId="Heading4">
    <w:name w:val="heading 4"/>
    <w:basedOn w:val="Normal"/>
    <w:next w:val="Normal"/>
    <w:qFormat/>
    <w:rsid w:val="00903C3C"/>
    <w:pPr>
      <w:keepNext/>
      <w:spacing w:before="240" w:after="60"/>
      <w:outlineLvl w:val="3"/>
    </w:pPr>
    <w:rPr>
      <w:rFonts w:ascii="Arial" w:hAnsi="Arial"/>
      <w:b/>
      <w:bCs/>
      <w:sz w:val="22"/>
      <w:szCs w:val="28"/>
    </w:rPr>
  </w:style>
  <w:style w:type="paragraph" w:styleId="Heading5">
    <w:name w:val="heading 5"/>
    <w:basedOn w:val="Normal"/>
    <w:next w:val="Normal"/>
    <w:qFormat/>
    <w:rsid w:val="00AE1CED"/>
    <w:pPr>
      <w:numPr>
        <w:ilvl w:val="4"/>
        <w:numId w:val="2"/>
      </w:numPr>
      <w:spacing w:before="240" w:after="60"/>
      <w:outlineLvl w:val="4"/>
    </w:pPr>
    <w:rPr>
      <w:sz w:val="22"/>
      <w:szCs w:val="22"/>
    </w:rPr>
  </w:style>
  <w:style w:type="paragraph" w:styleId="Heading6">
    <w:name w:val="heading 6"/>
    <w:basedOn w:val="Normal"/>
    <w:next w:val="Normal"/>
    <w:qFormat/>
    <w:rsid w:val="00AE1CED"/>
    <w:pPr>
      <w:numPr>
        <w:ilvl w:val="5"/>
        <w:numId w:val="2"/>
      </w:numPr>
      <w:spacing w:before="240" w:after="60"/>
      <w:outlineLvl w:val="5"/>
    </w:pPr>
    <w:rPr>
      <w:i/>
      <w:iCs/>
      <w:sz w:val="22"/>
      <w:szCs w:val="22"/>
    </w:rPr>
  </w:style>
  <w:style w:type="paragraph" w:styleId="Heading7">
    <w:name w:val="heading 7"/>
    <w:basedOn w:val="Normal"/>
    <w:next w:val="Normal"/>
    <w:qFormat/>
    <w:rsid w:val="00AE1CED"/>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AE1CED"/>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AE1CED"/>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3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3C3C"/>
  </w:style>
  <w:style w:type="paragraph" w:customStyle="1" w:styleId="00ClientCover">
    <w:name w:val="00ClientCover"/>
    <w:basedOn w:val="Normal"/>
    <w:rsid w:val="00903C3C"/>
  </w:style>
  <w:style w:type="paragraph" w:customStyle="1" w:styleId="02Text">
    <w:name w:val="02Text"/>
    <w:basedOn w:val="Normal"/>
    <w:rsid w:val="00903C3C"/>
  </w:style>
  <w:style w:type="paragraph" w:customStyle="1" w:styleId="BillBasic">
    <w:name w:val="BillBasic"/>
    <w:rsid w:val="00903C3C"/>
    <w:pPr>
      <w:spacing w:before="140"/>
      <w:jc w:val="both"/>
    </w:pPr>
    <w:rPr>
      <w:sz w:val="24"/>
      <w:lang w:eastAsia="en-US"/>
    </w:rPr>
  </w:style>
  <w:style w:type="paragraph" w:styleId="Header">
    <w:name w:val="header"/>
    <w:basedOn w:val="Normal"/>
    <w:rsid w:val="00903C3C"/>
    <w:pPr>
      <w:tabs>
        <w:tab w:val="center" w:pos="4153"/>
        <w:tab w:val="right" w:pos="8306"/>
      </w:tabs>
    </w:pPr>
  </w:style>
  <w:style w:type="paragraph" w:styleId="Footer">
    <w:name w:val="footer"/>
    <w:basedOn w:val="Normal"/>
    <w:link w:val="FooterChar"/>
    <w:rsid w:val="00903C3C"/>
    <w:pPr>
      <w:spacing w:before="120" w:line="240" w:lineRule="exact"/>
    </w:pPr>
    <w:rPr>
      <w:rFonts w:ascii="Arial" w:hAnsi="Arial"/>
      <w:sz w:val="18"/>
    </w:rPr>
  </w:style>
  <w:style w:type="character" w:customStyle="1" w:styleId="FooterChar">
    <w:name w:val="Footer Char"/>
    <w:basedOn w:val="DefaultParagraphFont"/>
    <w:link w:val="Footer"/>
    <w:rsid w:val="00903C3C"/>
    <w:rPr>
      <w:rFonts w:ascii="Arial" w:hAnsi="Arial"/>
      <w:sz w:val="18"/>
      <w:lang w:eastAsia="en-US"/>
    </w:rPr>
  </w:style>
  <w:style w:type="paragraph" w:customStyle="1" w:styleId="Billname">
    <w:name w:val="Billname"/>
    <w:basedOn w:val="Normal"/>
    <w:rsid w:val="00903C3C"/>
    <w:pPr>
      <w:spacing w:before="1220"/>
    </w:pPr>
    <w:rPr>
      <w:rFonts w:ascii="Arial" w:hAnsi="Arial"/>
      <w:b/>
      <w:sz w:val="40"/>
    </w:rPr>
  </w:style>
  <w:style w:type="paragraph" w:customStyle="1" w:styleId="BillBasicHeading">
    <w:name w:val="BillBasicHeading"/>
    <w:basedOn w:val="BillBasic"/>
    <w:rsid w:val="00903C3C"/>
    <w:pPr>
      <w:keepNext/>
      <w:tabs>
        <w:tab w:val="left" w:pos="2600"/>
      </w:tabs>
      <w:jc w:val="left"/>
    </w:pPr>
    <w:rPr>
      <w:rFonts w:ascii="Arial" w:hAnsi="Arial"/>
      <w:b/>
    </w:rPr>
  </w:style>
  <w:style w:type="paragraph" w:customStyle="1" w:styleId="EnactingWordsRules">
    <w:name w:val="EnactingWordsRules"/>
    <w:basedOn w:val="EnactingWords"/>
    <w:rsid w:val="00903C3C"/>
    <w:pPr>
      <w:spacing w:before="240"/>
    </w:pPr>
  </w:style>
  <w:style w:type="paragraph" w:customStyle="1" w:styleId="EnactingWords">
    <w:name w:val="EnactingWords"/>
    <w:basedOn w:val="BillBasic"/>
    <w:rsid w:val="00903C3C"/>
    <w:pPr>
      <w:spacing w:before="120"/>
    </w:pPr>
  </w:style>
  <w:style w:type="paragraph" w:customStyle="1" w:styleId="BillCrest">
    <w:name w:val="Bill Crest"/>
    <w:basedOn w:val="Normal"/>
    <w:next w:val="Normal"/>
    <w:rsid w:val="00903C3C"/>
    <w:pPr>
      <w:tabs>
        <w:tab w:val="center" w:pos="3160"/>
      </w:tabs>
      <w:spacing w:after="60"/>
    </w:pPr>
    <w:rPr>
      <w:sz w:val="216"/>
    </w:rPr>
  </w:style>
  <w:style w:type="paragraph" w:customStyle="1" w:styleId="Amain">
    <w:name w:val="A main"/>
    <w:basedOn w:val="BillBasic"/>
    <w:rsid w:val="00903C3C"/>
    <w:pPr>
      <w:tabs>
        <w:tab w:val="right" w:pos="900"/>
        <w:tab w:val="left" w:pos="1100"/>
      </w:tabs>
      <w:ind w:left="1100" w:hanging="1100"/>
      <w:outlineLvl w:val="5"/>
    </w:pPr>
  </w:style>
  <w:style w:type="paragraph" w:customStyle="1" w:styleId="Amainreturn">
    <w:name w:val="A main return"/>
    <w:basedOn w:val="BillBasic"/>
    <w:rsid w:val="00903C3C"/>
    <w:pPr>
      <w:ind w:left="1100"/>
    </w:pPr>
  </w:style>
  <w:style w:type="paragraph" w:customStyle="1" w:styleId="Apara">
    <w:name w:val="A para"/>
    <w:basedOn w:val="BillBasic"/>
    <w:rsid w:val="00903C3C"/>
    <w:pPr>
      <w:tabs>
        <w:tab w:val="right" w:pos="1400"/>
        <w:tab w:val="left" w:pos="1600"/>
      </w:tabs>
      <w:ind w:left="1600" w:hanging="1600"/>
      <w:outlineLvl w:val="6"/>
    </w:pPr>
  </w:style>
  <w:style w:type="paragraph" w:customStyle="1" w:styleId="Asubpara">
    <w:name w:val="A subpara"/>
    <w:basedOn w:val="BillBasic"/>
    <w:rsid w:val="00903C3C"/>
    <w:pPr>
      <w:tabs>
        <w:tab w:val="right" w:pos="1900"/>
        <w:tab w:val="left" w:pos="2100"/>
      </w:tabs>
      <w:ind w:left="2100" w:hanging="2100"/>
      <w:outlineLvl w:val="7"/>
    </w:pPr>
  </w:style>
  <w:style w:type="paragraph" w:customStyle="1" w:styleId="Asubsubpara">
    <w:name w:val="A subsubpara"/>
    <w:basedOn w:val="BillBasic"/>
    <w:rsid w:val="00903C3C"/>
    <w:pPr>
      <w:tabs>
        <w:tab w:val="right" w:pos="2400"/>
        <w:tab w:val="left" w:pos="2600"/>
      </w:tabs>
      <w:ind w:left="2600" w:hanging="2600"/>
      <w:outlineLvl w:val="8"/>
    </w:pPr>
  </w:style>
  <w:style w:type="paragraph" w:customStyle="1" w:styleId="aDef">
    <w:name w:val="aDef"/>
    <w:basedOn w:val="BillBasic"/>
    <w:rsid w:val="00903C3C"/>
    <w:pPr>
      <w:ind w:left="1100"/>
    </w:pPr>
  </w:style>
  <w:style w:type="paragraph" w:customStyle="1" w:styleId="aExamHead">
    <w:name w:val="aExam Head"/>
    <w:basedOn w:val="BillBasicHeading"/>
    <w:next w:val="aExam"/>
    <w:rsid w:val="00903C3C"/>
    <w:pPr>
      <w:tabs>
        <w:tab w:val="clear" w:pos="2600"/>
      </w:tabs>
      <w:ind w:left="1100"/>
    </w:pPr>
    <w:rPr>
      <w:sz w:val="18"/>
    </w:rPr>
  </w:style>
  <w:style w:type="paragraph" w:customStyle="1" w:styleId="aExam">
    <w:name w:val="aExam"/>
    <w:basedOn w:val="aNoteSymb"/>
    <w:rsid w:val="00903C3C"/>
    <w:pPr>
      <w:spacing w:before="60"/>
      <w:ind w:left="1100" w:firstLine="0"/>
    </w:pPr>
  </w:style>
  <w:style w:type="paragraph" w:customStyle="1" w:styleId="aNote">
    <w:name w:val="aNote"/>
    <w:basedOn w:val="BillBasic"/>
    <w:link w:val="aNoteChar"/>
    <w:rsid w:val="00903C3C"/>
    <w:pPr>
      <w:ind w:left="1900" w:hanging="800"/>
    </w:pPr>
    <w:rPr>
      <w:sz w:val="20"/>
    </w:rPr>
  </w:style>
  <w:style w:type="character" w:customStyle="1" w:styleId="aNoteChar">
    <w:name w:val="aNote Char"/>
    <w:basedOn w:val="DefaultParagraphFont"/>
    <w:link w:val="aNote"/>
    <w:locked/>
    <w:rsid w:val="000944F6"/>
    <w:rPr>
      <w:lang w:eastAsia="en-US"/>
    </w:rPr>
  </w:style>
  <w:style w:type="paragraph" w:customStyle="1" w:styleId="HeaderEven">
    <w:name w:val="HeaderEven"/>
    <w:basedOn w:val="Normal"/>
    <w:rsid w:val="00903C3C"/>
    <w:rPr>
      <w:rFonts w:ascii="Arial" w:hAnsi="Arial"/>
      <w:sz w:val="18"/>
    </w:rPr>
  </w:style>
  <w:style w:type="paragraph" w:customStyle="1" w:styleId="HeaderEven6">
    <w:name w:val="HeaderEven6"/>
    <w:basedOn w:val="HeaderEven"/>
    <w:rsid w:val="00903C3C"/>
    <w:pPr>
      <w:spacing w:before="120" w:after="60"/>
    </w:pPr>
  </w:style>
  <w:style w:type="paragraph" w:customStyle="1" w:styleId="HeaderOdd6">
    <w:name w:val="HeaderOdd6"/>
    <w:basedOn w:val="HeaderEven6"/>
    <w:rsid w:val="00903C3C"/>
    <w:pPr>
      <w:jc w:val="right"/>
    </w:pPr>
  </w:style>
  <w:style w:type="paragraph" w:customStyle="1" w:styleId="HeaderOdd">
    <w:name w:val="HeaderOdd"/>
    <w:basedOn w:val="HeaderEven"/>
    <w:rsid w:val="00903C3C"/>
    <w:pPr>
      <w:jc w:val="right"/>
    </w:pPr>
  </w:style>
  <w:style w:type="paragraph" w:customStyle="1" w:styleId="BillNo">
    <w:name w:val="BillNo"/>
    <w:basedOn w:val="BillBasicHeading"/>
    <w:rsid w:val="00903C3C"/>
    <w:pPr>
      <w:keepNext w:val="0"/>
      <w:spacing w:before="240"/>
      <w:jc w:val="both"/>
    </w:pPr>
  </w:style>
  <w:style w:type="paragraph" w:customStyle="1" w:styleId="N-TOCheading">
    <w:name w:val="N-TOCheading"/>
    <w:basedOn w:val="BillBasicHeading"/>
    <w:next w:val="N-9pt"/>
    <w:rsid w:val="00903C3C"/>
    <w:pPr>
      <w:pBdr>
        <w:bottom w:val="single" w:sz="4" w:space="1" w:color="auto"/>
      </w:pBdr>
      <w:spacing w:before="800"/>
    </w:pPr>
    <w:rPr>
      <w:sz w:val="32"/>
    </w:rPr>
  </w:style>
  <w:style w:type="paragraph" w:customStyle="1" w:styleId="N-9pt">
    <w:name w:val="N-9pt"/>
    <w:basedOn w:val="BillBasic"/>
    <w:next w:val="BillBasic"/>
    <w:rsid w:val="00903C3C"/>
    <w:pPr>
      <w:keepNext/>
      <w:tabs>
        <w:tab w:val="right" w:pos="7707"/>
      </w:tabs>
      <w:spacing w:before="120"/>
    </w:pPr>
    <w:rPr>
      <w:rFonts w:ascii="Arial" w:hAnsi="Arial"/>
      <w:sz w:val="18"/>
    </w:rPr>
  </w:style>
  <w:style w:type="paragraph" w:customStyle="1" w:styleId="N-14pt">
    <w:name w:val="N-14pt"/>
    <w:basedOn w:val="BillBasic"/>
    <w:rsid w:val="00903C3C"/>
    <w:pPr>
      <w:spacing w:before="0"/>
    </w:pPr>
    <w:rPr>
      <w:b/>
      <w:sz w:val="28"/>
    </w:rPr>
  </w:style>
  <w:style w:type="paragraph" w:customStyle="1" w:styleId="N-16pt">
    <w:name w:val="N-16pt"/>
    <w:basedOn w:val="BillBasic"/>
    <w:rsid w:val="00903C3C"/>
    <w:pPr>
      <w:spacing w:before="800"/>
    </w:pPr>
    <w:rPr>
      <w:b/>
      <w:sz w:val="32"/>
    </w:rPr>
  </w:style>
  <w:style w:type="paragraph" w:customStyle="1" w:styleId="N-line3">
    <w:name w:val="N-line3"/>
    <w:basedOn w:val="BillBasic"/>
    <w:next w:val="BillBasic"/>
    <w:rsid w:val="00903C3C"/>
    <w:pPr>
      <w:pBdr>
        <w:bottom w:val="single" w:sz="12" w:space="1" w:color="auto"/>
      </w:pBdr>
      <w:spacing w:before="60"/>
    </w:pPr>
  </w:style>
  <w:style w:type="paragraph" w:customStyle="1" w:styleId="Comment">
    <w:name w:val="Comment"/>
    <w:basedOn w:val="BillBasic"/>
    <w:rsid w:val="00903C3C"/>
    <w:pPr>
      <w:tabs>
        <w:tab w:val="left" w:pos="1800"/>
      </w:tabs>
      <w:ind w:left="1300"/>
      <w:jc w:val="left"/>
    </w:pPr>
    <w:rPr>
      <w:b/>
      <w:sz w:val="18"/>
    </w:rPr>
  </w:style>
  <w:style w:type="paragraph" w:customStyle="1" w:styleId="FooterInfo">
    <w:name w:val="FooterInfo"/>
    <w:basedOn w:val="Normal"/>
    <w:rsid w:val="00903C3C"/>
    <w:pPr>
      <w:tabs>
        <w:tab w:val="right" w:pos="7707"/>
      </w:tabs>
    </w:pPr>
    <w:rPr>
      <w:rFonts w:ascii="Arial" w:hAnsi="Arial"/>
      <w:sz w:val="18"/>
    </w:rPr>
  </w:style>
  <w:style w:type="paragraph" w:customStyle="1" w:styleId="AH1Chapter">
    <w:name w:val="A H1 Chapter"/>
    <w:basedOn w:val="BillBasicHeading"/>
    <w:next w:val="AH2Part"/>
    <w:rsid w:val="00903C3C"/>
    <w:pPr>
      <w:spacing w:before="320"/>
      <w:ind w:left="2600" w:hanging="2600"/>
      <w:outlineLvl w:val="0"/>
    </w:pPr>
    <w:rPr>
      <w:sz w:val="34"/>
    </w:rPr>
  </w:style>
  <w:style w:type="paragraph" w:customStyle="1" w:styleId="AH2Part">
    <w:name w:val="A H2 Part"/>
    <w:basedOn w:val="BillBasicHeading"/>
    <w:next w:val="AH3Div"/>
    <w:rsid w:val="00903C3C"/>
    <w:pPr>
      <w:spacing w:before="380"/>
      <w:ind w:left="2600" w:hanging="2600"/>
      <w:outlineLvl w:val="1"/>
    </w:pPr>
    <w:rPr>
      <w:sz w:val="32"/>
    </w:rPr>
  </w:style>
  <w:style w:type="paragraph" w:customStyle="1" w:styleId="AH3Div">
    <w:name w:val="A H3 Div"/>
    <w:basedOn w:val="BillBasicHeading"/>
    <w:next w:val="AH5Sec"/>
    <w:rsid w:val="00903C3C"/>
    <w:pPr>
      <w:spacing w:before="240"/>
      <w:ind w:left="2600" w:hanging="2600"/>
      <w:outlineLvl w:val="2"/>
    </w:pPr>
    <w:rPr>
      <w:sz w:val="28"/>
    </w:rPr>
  </w:style>
  <w:style w:type="paragraph" w:customStyle="1" w:styleId="AH5Sec">
    <w:name w:val="A H5 Sec"/>
    <w:basedOn w:val="BillBasicHeading"/>
    <w:next w:val="Amain"/>
    <w:rsid w:val="00903C3C"/>
    <w:pPr>
      <w:tabs>
        <w:tab w:val="clear" w:pos="2600"/>
        <w:tab w:val="left" w:pos="1100"/>
      </w:tabs>
      <w:spacing w:before="240"/>
      <w:ind w:left="1100" w:hanging="1100"/>
      <w:outlineLvl w:val="4"/>
    </w:pPr>
  </w:style>
  <w:style w:type="paragraph" w:customStyle="1" w:styleId="AH4SubDiv">
    <w:name w:val="A H4 SubDiv"/>
    <w:basedOn w:val="BillBasicHeading"/>
    <w:next w:val="AH5Sec"/>
    <w:rsid w:val="00903C3C"/>
    <w:pPr>
      <w:spacing w:before="240"/>
      <w:ind w:left="2600" w:hanging="2600"/>
      <w:outlineLvl w:val="3"/>
    </w:pPr>
    <w:rPr>
      <w:sz w:val="26"/>
    </w:rPr>
  </w:style>
  <w:style w:type="paragraph" w:customStyle="1" w:styleId="Sched-heading">
    <w:name w:val="Sched-heading"/>
    <w:basedOn w:val="BillBasicHeading"/>
    <w:next w:val="refSymb"/>
    <w:rsid w:val="00903C3C"/>
    <w:pPr>
      <w:spacing w:before="380"/>
      <w:ind w:left="2600" w:hanging="2600"/>
      <w:outlineLvl w:val="0"/>
    </w:pPr>
    <w:rPr>
      <w:sz w:val="34"/>
    </w:rPr>
  </w:style>
  <w:style w:type="paragraph" w:customStyle="1" w:styleId="ref">
    <w:name w:val="ref"/>
    <w:basedOn w:val="BillBasic"/>
    <w:next w:val="Normal"/>
    <w:rsid w:val="00903C3C"/>
    <w:pPr>
      <w:spacing w:before="60"/>
    </w:pPr>
    <w:rPr>
      <w:sz w:val="18"/>
    </w:rPr>
  </w:style>
  <w:style w:type="paragraph" w:customStyle="1" w:styleId="Sched-Part">
    <w:name w:val="Sched-Part"/>
    <w:basedOn w:val="BillBasicHeading"/>
    <w:next w:val="Sched-Form"/>
    <w:rsid w:val="00903C3C"/>
    <w:pPr>
      <w:spacing w:before="380"/>
      <w:ind w:left="2600" w:hanging="2600"/>
      <w:outlineLvl w:val="1"/>
    </w:pPr>
    <w:rPr>
      <w:sz w:val="32"/>
    </w:rPr>
  </w:style>
  <w:style w:type="paragraph" w:customStyle="1" w:styleId="Sched-Form">
    <w:name w:val="Sched-Form"/>
    <w:basedOn w:val="BillBasicHeading"/>
    <w:next w:val="Schclauseheading"/>
    <w:rsid w:val="00903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3C3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03C3C"/>
  </w:style>
  <w:style w:type="paragraph" w:customStyle="1" w:styleId="ShadedSchClause">
    <w:name w:val="Shaded Sch Clause"/>
    <w:basedOn w:val="Schclauseheading"/>
    <w:next w:val="direction"/>
    <w:rsid w:val="00903C3C"/>
    <w:pPr>
      <w:shd w:val="pct25" w:color="auto" w:fill="auto"/>
      <w:outlineLvl w:val="3"/>
    </w:pPr>
  </w:style>
  <w:style w:type="paragraph" w:customStyle="1" w:styleId="direction">
    <w:name w:val="direction"/>
    <w:basedOn w:val="BillBasic"/>
    <w:next w:val="AmainreturnSymb"/>
    <w:rsid w:val="00903C3C"/>
    <w:pPr>
      <w:ind w:left="1100"/>
    </w:pPr>
    <w:rPr>
      <w:i/>
    </w:rPr>
  </w:style>
  <w:style w:type="paragraph" w:customStyle="1" w:styleId="Dict-Heading">
    <w:name w:val="Dict-Heading"/>
    <w:basedOn w:val="BillBasicHeading"/>
    <w:next w:val="Normal"/>
    <w:rsid w:val="00903C3C"/>
    <w:pPr>
      <w:spacing w:before="320"/>
      <w:ind w:left="2600" w:hanging="2600"/>
      <w:jc w:val="both"/>
      <w:outlineLvl w:val="0"/>
    </w:pPr>
    <w:rPr>
      <w:sz w:val="34"/>
    </w:rPr>
  </w:style>
  <w:style w:type="paragraph" w:styleId="TOC7">
    <w:name w:val="toc 7"/>
    <w:basedOn w:val="TOC2"/>
    <w:next w:val="Normal"/>
    <w:autoRedefine/>
    <w:uiPriority w:val="39"/>
    <w:rsid w:val="00AF4E02"/>
    <w:pPr>
      <w:keepNext w:val="0"/>
      <w:spacing w:before="360"/>
      <w:ind w:left="2002" w:right="442" w:hanging="2002"/>
    </w:pPr>
    <w:rPr>
      <w:sz w:val="20"/>
    </w:rPr>
  </w:style>
  <w:style w:type="paragraph" w:styleId="TOC2">
    <w:name w:val="toc 2"/>
    <w:basedOn w:val="Normal"/>
    <w:next w:val="Normal"/>
    <w:autoRedefine/>
    <w:uiPriority w:val="39"/>
    <w:rsid w:val="00903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3C3C"/>
    <w:pPr>
      <w:keepNext/>
      <w:tabs>
        <w:tab w:val="left" w:pos="400"/>
      </w:tabs>
      <w:spacing w:before="0"/>
      <w:jc w:val="left"/>
    </w:pPr>
    <w:rPr>
      <w:rFonts w:ascii="Arial" w:hAnsi="Arial"/>
      <w:b/>
      <w:sz w:val="28"/>
    </w:rPr>
  </w:style>
  <w:style w:type="paragraph" w:customStyle="1" w:styleId="EndNote2">
    <w:name w:val="EndNote2"/>
    <w:basedOn w:val="BillBasic"/>
    <w:rsid w:val="00AE1CED"/>
    <w:pPr>
      <w:keepNext/>
      <w:tabs>
        <w:tab w:val="left" w:pos="240"/>
      </w:tabs>
      <w:spacing w:before="160" w:after="80"/>
      <w:jc w:val="left"/>
    </w:pPr>
    <w:rPr>
      <w:b/>
      <w:bCs/>
      <w:sz w:val="18"/>
      <w:szCs w:val="18"/>
    </w:rPr>
  </w:style>
  <w:style w:type="paragraph" w:customStyle="1" w:styleId="IH1Chap">
    <w:name w:val="I H1 Chap"/>
    <w:basedOn w:val="BillBasicHeading"/>
    <w:next w:val="Normal"/>
    <w:rsid w:val="00903C3C"/>
    <w:pPr>
      <w:spacing w:before="320"/>
      <w:ind w:left="2600" w:hanging="2600"/>
    </w:pPr>
    <w:rPr>
      <w:sz w:val="34"/>
    </w:rPr>
  </w:style>
  <w:style w:type="paragraph" w:customStyle="1" w:styleId="IH2Part">
    <w:name w:val="I H2 Part"/>
    <w:basedOn w:val="BillBasicHeading"/>
    <w:next w:val="Normal"/>
    <w:rsid w:val="00903C3C"/>
    <w:pPr>
      <w:spacing w:before="380"/>
      <w:ind w:left="2600" w:hanging="2600"/>
    </w:pPr>
    <w:rPr>
      <w:sz w:val="32"/>
    </w:rPr>
  </w:style>
  <w:style w:type="paragraph" w:customStyle="1" w:styleId="IH3Div">
    <w:name w:val="I H3 Div"/>
    <w:basedOn w:val="BillBasicHeading"/>
    <w:next w:val="Normal"/>
    <w:rsid w:val="00903C3C"/>
    <w:pPr>
      <w:spacing w:before="240"/>
      <w:ind w:left="2600" w:hanging="2600"/>
    </w:pPr>
    <w:rPr>
      <w:sz w:val="28"/>
    </w:rPr>
  </w:style>
  <w:style w:type="paragraph" w:customStyle="1" w:styleId="IH5Sec">
    <w:name w:val="I H5 Sec"/>
    <w:basedOn w:val="BillBasicHeading"/>
    <w:next w:val="Normal"/>
    <w:rsid w:val="00903C3C"/>
    <w:pPr>
      <w:tabs>
        <w:tab w:val="clear" w:pos="2600"/>
        <w:tab w:val="left" w:pos="1100"/>
      </w:tabs>
      <w:spacing w:before="240"/>
      <w:ind w:left="1100" w:hanging="1100"/>
    </w:pPr>
  </w:style>
  <w:style w:type="paragraph" w:customStyle="1" w:styleId="IH4SubDiv">
    <w:name w:val="I H4 SubDiv"/>
    <w:basedOn w:val="BillBasicHeading"/>
    <w:next w:val="Normal"/>
    <w:rsid w:val="00903C3C"/>
    <w:pPr>
      <w:spacing w:before="240"/>
      <w:ind w:left="2600" w:hanging="2600"/>
      <w:jc w:val="both"/>
    </w:pPr>
    <w:rPr>
      <w:sz w:val="26"/>
    </w:rPr>
  </w:style>
  <w:style w:type="character" w:styleId="LineNumber">
    <w:name w:val="line number"/>
    <w:basedOn w:val="DefaultParagraphFont"/>
    <w:rsid w:val="00903C3C"/>
    <w:rPr>
      <w:rFonts w:ascii="Arial" w:hAnsi="Arial"/>
      <w:sz w:val="16"/>
    </w:rPr>
  </w:style>
  <w:style w:type="paragraph" w:customStyle="1" w:styleId="PageBreak">
    <w:name w:val="PageBreak"/>
    <w:basedOn w:val="Normal"/>
    <w:rsid w:val="00903C3C"/>
    <w:rPr>
      <w:sz w:val="4"/>
    </w:rPr>
  </w:style>
  <w:style w:type="paragraph" w:customStyle="1" w:styleId="04Dictionary">
    <w:name w:val="04Dictionary"/>
    <w:basedOn w:val="Normal"/>
    <w:rsid w:val="00903C3C"/>
  </w:style>
  <w:style w:type="paragraph" w:customStyle="1" w:styleId="N-line1">
    <w:name w:val="N-line1"/>
    <w:basedOn w:val="BillBasic"/>
    <w:rsid w:val="00903C3C"/>
    <w:pPr>
      <w:pBdr>
        <w:bottom w:val="single" w:sz="4" w:space="0" w:color="auto"/>
      </w:pBdr>
      <w:spacing w:before="100"/>
      <w:ind w:left="2980" w:right="3020"/>
      <w:jc w:val="center"/>
    </w:pPr>
  </w:style>
  <w:style w:type="paragraph" w:customStyle="1" w:styleId="N-line2">
    <w:name w:val="N-line2"/>
    <w:basedOn w:val="Normal"/>
    <w:rsid w:val="00903C3C"/>
    <w:pPr>
      <w:pBdr>
        <w:bottom w:val="single" w:sz="8" w:space="0" w:color="auto"/>
      </w:pBdr>
    </w:pPr>
  </w:style>
  <w:style w:type="paragraph" w:customStyle="1" w:styleId="EndNote">
    <w:name w:val="EndNote"/>
    <w:basedOn w:val="BillBasicHeading"/>
    <w:rsid w:val="00903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3C3C"/>
    <w:pPr>
      <w:tabs>
        <w:tab w:val="left" w:pos="700"/>
      </w:tabs>
      <w:spacing w:before="160"/>
      <w:ind w:left="700" w:hanging="700"/>
    </w:pPr>
    <w:rPr>
      <w:rFonts w:ascii="Arial (W1)" w:hAnsi="Arial (W1)"/>
    </w:rPr>
  </w:style>
  <w:style w:type="paragraph" w:customStyle="1" w:styleId="PenaltyHeading">
    <w:name w:val="PenaltyHeading"/>
    <w:basedOn w:val="Normal"/>
    <w:rsid w:val="00903C3C"/>
    <w:pPr>
      <w:tabs>
        <w:tab w:val="left" w:pos="1100"/>
      </w:tabs>
      <w:spacing w:before="120"/>
      <w:ind w:left="1100" w:hanging="1100"/>
    </w:pPr>
    <w:rPr>
      <w:rFonts w:ascii="Arial" w:hAnsi="Arial"/>
      <w:b/>
      <w:sz w:val="20"/>
    </w:rPr>
  </w:style>
  <w:style w:type="paragraph" w:customStyle="1" w:styleId="05EndNote">
    <w:name w:val="05EndNote"/>
    <w:basedOn w:val="Normal"/>
    <w:rsid w:val="00903C3C"/>
  </w:style>
  <w:style w:type="paragraph" w:customStyle="1" w:styleId="03Schedule">
    <w:name w:val="03Schedule"/>
    <w:basedOn w:val="Normal"/>
    <w:rsid w:val="00903C3C"/>
  </w:style>
  <w:style w:type="paragraph" w:customStyle="1" w:styleId="ISched-heading">
    <w:name w:val="I Sched-heading"/>
    <w:basedOn w:val="BillBasicHeading"/>
    <w:next w:val="Normal"/>
    <w:rsid w:val="00903C3C"/>
    <w:pPr>
      <w:spacing w:before="320"/>
      <w:ind w:left="2600" w:hanging="2600"/>
    </w:pPr>
    <w:rPr>
      <w:sz w:val="34"/>
    </w:rPr>
  </w:style>
  <w:style w:type="paragraph" w:customStyle="1" w:styleId="ISched-Part">
    <w:name w:val="I Sched-Part"/>
    <w:basedOn w:val="BillBasicHeading"/>
    <w:rsid w:val="00903C3C"/>
    <w:pPr>
      <w:spacing w:before="380"/>
      <w:ind w:left="2600" w:hanging="2600"/>
    </w:pPr>
    <w:rPr>
      <w:sz w:val="32"/>
    </w:rPr>
  </w:style>
  <w:style w:type="paragraph" w:customStyle="1" w:styleId="ISched-form">
    <w:name w:val="I Sched-form"/>
    <w:basedOn w:val="BillBasicHeading"/>
    <w:rsid w:val="00903C3C"/>
    <w:pPr>
      <w:tabs>
        <w:tab w:val="right" w:pos="7200"/>
      </w:tabs>
      <w:spacing w:before="240"/>
      <w:ind w:left="2600" w:hanging="2600"/>
    </w:pPr>
    <w:rPr>
      <w:sz w:val="28"/>
    </w:rPr>
  </w:style>
  <w:style w:type="paragraph" w:customStyle="1" w:styleId="ISchclauseheading">
    <w:name w:val="I Sch clause heading"/>
    <w:basedOn w:val="BillBasic"/>
    <w:rsid w:val="00903C3C"/>
    <w:pPr>
      <w:keepNext/>
      <w:tabs>
        <w:tab w:val="left" w:pos="1100"/>
      </w:tabs>
      <w:spacing w:before="240"/>
      <w:ind w:left="1100" w:hanging="1100"/>
      <w:jc w:val="left"/>
    </w:pPr>
    <w:rPr>
      <w:rFonts w:ascii="Arial" w:hAnsi="Arial"/>
      <w:b/>
    </w:rPr>
  </w:style>
  <w:style w:type="paragraph" w:customStyle="1" w:styleId="IMain">
    <w:name w:val="I Main"/>
    <w:basedOn w:val="Amain"/>
    <w:rsid w:val="00903C3C"/>
  </w:style>
  <w:style w:type="paragraph" w:customStyle="1" w:styleId="Ipara">
    <w:name w:val="I para"/>
    <w:basedOn w:val="Apara"/>
    <w:rsid w:val="00903C3C"/>
    <w:pPr>
      <w:outlineLvl w:val="9"/>
    </w:pPr>
  </w:style>
  <w:style w:type="paragraph" w:customStyle="1" w:styleId="Isubpara">
    <w:name w:val="I subpara"/>
    <w:basedOn w:val="Asubpara"/>
    <w:rsid w:val="00903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3C3C"/>
    <w:pPr>
      <w:tabs>
        <w:tab w:val="clear" w:pos="2400"/>
        <w:tab w:val="clear" w:pos="2600"/>
        <w:tab w:val="right" w:pos="2460"/>
        <w:tab w:val="left" w:pos="2660"/>
      </w:tabs>
      <w:ind w:left="2660" w:hanging="2660"/>
    </w:pPr>
  </w:style>
  <w:style w:type="character" w:customStyle="1" w:styleId="CharSectNo">
    <w:name w:val="CharSectNo"/>
    <w:basedOn w:val="DefaultParagraphFont"/>
    <w:rsid w:val="00903C3C"/>
  </w:style>
  <w:style w:type="character" w:customStyle="1" w:styleId="CharDivNo">
    <w:name w:val="CharDivNo"/>
    <w:basedOn w:val="DefaultParagraphFont"/>
    <w:rsid w:val="00903C3C"/>
  </w:style>
  <w:style w:type="character" w:customStyle="1" w:styleId="CharDivText">
    <w:name w:val="CharDivText"/>
    <w:basedOn w:val="DefaultParagraphFont"/>
    <w:rsid w:val="00903C3C"/>
  </w:style>
  <w:style w:type="character" w:customStyle="1" w:styleId="CharPartNo">
    <w:name w:val="CharPartNo"/>
    <w:basedOn w:val="DefaultParagraphFont"/>
    <w:rsid w:val="00903C3C"/>
  </w:style>
  <w:style w:type="paragraph" w:customStyle="1" w:styleId="Placeholder">
    <w:name w:val="Placeholder"/>
    <w:basedOn w:val="Normal"/>
    <w:rsid w:val="00903C3C"/>
    <w:rPr>
      <w:sz w:val="10"/>
    </w:rPr>
  </w:style>
  <w:style w:type="paragraph" w:styleId="PlainText">
    <w:name w:val="Plain Text"/>
    <w:basedOn w:val="Normal"/>
    <w:rsid w:val="00903C3C"/>
    <w:rPr>
      <w:rFonts w:ascii="Courier New" w:hAnsi="Courier New"/>
      <w:sz w:val="20"/>
    </w:rPr>
  </w:style>
  <w:style w:type="character" w:customStyle="1" w:styleId="CharChapNo">
    <w:name w:val="CharChapNo"/>
    <w:basedOn w:val="DefaultParagraphFont"/>
    <w:rsid w:val="00903C3C"/>
  </w:style>
  <w:style w:type="character" w:customStyle="1" w:styleId="CharChapText">
    <w:name w:val="CharChapText"/>
    <w:basedOn w:val="DefaultParagraphFont"/>
    <w:rsid w:val="00903C3C"/>
  </w:style>
  <w:style w:type="character" w:customStyle="1" w:styleId="CharPartText">
    <w:name w:val="CharPartText"/>
    <w:basedOn w:val="DefaultParagraphFont"/>
    <w:rsid w:val="00903C3C"/>
  </w:style>
  <w:style w:type="paragraph" w:styleId="TOC1">
    <w:name w:val="toc 1"/>
    <w:basedOn w:val="Normal"/>
    <w:next w:val="Normal"/>
    <w:autoRedefine/>
    <w:uiPriority w:val="39"/>
    <w:rsid w:val="00903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3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3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3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7BE6"/>
    <w:pPr>
      <w:spacing w:before="240"/>
      <w:ind w:left="2002" w:right="442" w:hanging="2002"/>
    </w:pPr>
  </w:style>
  <w:style w:type="paragraph" w:styleId="Title">
    <w:name w:val="Title"/>
    <w:basedOn w:val="Normal"/>
    <w:qFormat/>
    <w:rsid w:val="00AE1CED"/>
    <w:pPr>
      <w:spacing w:before="240" w:after="60"/>
      <w:jc w:val="center"/>
      <w:outlineLvl w:val="0"/>
    </w:pPr>
    <w:rPr>
      <w:rFonts w:ascii="Arial" w:hAnsi="Arial" w:cs="Arial"/>
      <w:b/>
      <w:bCs/>
      <w:kern w:val="28"/>
      <w:sz w:val="32"/>
      <w:szCs w:val="32"/>
    </w:rPr>
  </w:style>
  <w:style w:type="paragraph" w:styleId="Signature">
    <w:name w:val="Signature"/>
    <w:basedOn w:val="Normal"/>
    <w:rsid w:val="00903C3C"/>
    <w:pPr>
      <w:ind w:left="4252"/>
    </w:pPr>
  </w:style>
  <w:style w:type="paragraph" w:customStyle="1" w:styleId="ActNo">
    <w:name w:val="ActNo"/>
    <w:basedOn w:val="BillBasicHeading"/>
    <w:rsid w:val="00903C3C"/>
    <w:pPr>
      <w:keepNext w:val="0"/>
      <w:tabs>
        <w:tab w:val="clear" w:pos="2600"/>
      </w:tabs>
      <w:spacing w:before="220"/>
    </w:pPr>
  </w:style>
  <w:style w:type="paragraph" w:customStyle="1" w:styleId="aParaNote">
    <w:name w:val="aParaNote"/>
    <w:basedOn w:val="BillBasic"/>
    <w:rsid w:val="00903C3C"/>
    <w:pPr>
      <w:ind w:left="2840" w:hanging="1240"/>
    </w:pPr>
    <w:rPr>
      <w:sz w:val="20"/>
    </w:rPr>
  </w:style>
  <w:style w:type="paragraph" w:customStyle="1" w:styleId="aExamNum">
    <w:name w:val="aExamNum"/>
    <w:basedOn w:val="aExam"/>
    <w:rsid w:val="00903C3C"/>
    <w:pPr>
      <w:ind w:left="1500" w:hanging="400"/>
    </w:pPr>
  </w:style>
  <w:style w:type="paragraph" w:customStyle="1" w:styleId="LongTitle">
    <w:name w:val="LongTitle"/>
    <w:basedOn w:val="BillBasic"/>
    <w:rsid w:val="00903C3C"/>
    <w:pPr>
      <w:spacing w:before="300"/>
    </w:pPr>
  </w:style>
  <w:style w:type="paragraph" w:customStyle="1" w:styleId="Minister">
    <w:name w:val="Minister"/>
    <w:basedOn w:val="BillBasic"/>
    <w:rsid w:val="00903C3C"/>
    <w:pPr>
      <w:spacing w:before="640"/>
      <w:jc w:val="right"/>
    </w:pPr>
    <w:rPr>
      <w:caps/>
    </w:rPr>
  </w:style>
  <w:style w:type="paragraph" w:customStyle="1" w:styleId="DateLine">
    <w:name w:val="DateLine"/>
    <w:basedOn w:val="BillBasic"/>
    <w:rsid w:val="00903C3C"/>
    <w:pPr>
      <w:tabs>
        <w:tab w:val="left" w:pos="4320"/>
      </w:tabs>
    </w:pPr>
  </w:style>
  <w:style w:type="paragraph" w:customStyle="1" w:styleId="madeunder">
    <w:name w:val="made under"/>
    <w:basedOn w:val="BillBasic"/>
    <w:rsid w:val="00903C3C"/>
    <w:pPr>
      <w:spacing w:before="240"/>
    </w:pPr>
  </w:style>
  <w:style w:type="paragraph" w:customStyle="1" w:styleId="EndNoteSubHeading">
    <w:name w:val="EndNoteSubHeading"/>
    <w:basedOn w:val="Normal"/>
    <w:next w:val="EndNoteText"/>
    <w:rsid w:val="00AE1CE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03C3C"/>
    <w:pPr>
      <w:tabs>
        <w:tab w:val="left" w:pos="700"/>
        <w:tab w:val="right" w:pos="6160"/>
      </w:tabs>
      <w:spacing w:before="80"/>
      <w:ind w:left="700" w:hanging="700"/>
    </w:pPr>
    <w:rPr>
      <w:sz w:val="20"/>
    </w:rPr>
  </w:style>
  <w:style w:type="paragraph" w:customStyle="1" w:styleId="BillBasicItalics">
    <w:name w:val="BillBasicItalics"/>
    <w:basedOn w:val="BillBasic"/>
    <w:rsid w:val="00903C3C"/>
    <w:rPr>
      <w:i/>
    </w:rPr>
  </w:style>
  <w:style w:type="paragraph" w:customStyle="1" w:styleId="00SigningPage">
    <w:name w:val="00SigningPage"/>
    <w:basedOn w:val="Normal"/>
    <w:rsid w:val="00903C3C"/>
  </w:style>
  <w:style w:type="paragraph" w:customStyle="1" w:styleId="Aparareturn">
    <w:name w:val="A para return"/>
    <w:basedOn w:val="BillBasic"/>
    <w:rsid w:val="00903C3C"/>
    <w:pPr>
      <w:ind w:left="1600"/>
    </w:pPr>
  </w:style>
  <w:style w:type="paragraph" w:customStyle="1" w:styleId="Asubparareturn">
    <w:name w:val="A subpara return"/>
    <w:basedOn w:val="BillBasic"/>
    <w:rsid w:val="00903C3C"/>
    <w:pPr>
      <w:ind w:left="2100"/>
    </w:pPr>
  </w:style>
  <w:style w:type="paragraph" w:customStyle="1" w:styleId="CommentNum">
    <w:name w:val="CommentNum"/>
    <w:basedOn w:val="Comment"/>
    <w:rsid w:val="00903C3C"/>
    <w:pPr>
      <w:ind w:left="1800" w:hanging="1800"/>
    </w:pPr>
  </w:style>
  <w:style w:type="paragraph" w:styleId="TOC8">
    <w:name w:val="toc 8"/>
    <w:basedOn w:val="TOC3"/>
    <w:next w:val="Normal"/>
    <w:autoRedefine/>
    <w:uiPriority w:val="39"/>
    <w:rsid w:val="00903C3C"/>
    <w:pPr>
      <w:keepNext w:val="0"/>
      <w:spacing w:before="120"/>
    </w:pPr>
  </w:style>
  <w:style w:type="paragraph" w:customStyle="1" w:styleId="Judges">
    <w:name w:val="Judges"/>
    <w:basedOn w:val="Minister"/>
    <w:rsid w:val="00903C3C"/>
    <w:pPr>
      <w:spacing w:before="180"/>
    </w:pPr>
  </w:style>
  <w:style w:type="paragraph" w:customStyle="1" w:styleId="BillFor">
    <w:name w:val="BillFor"/>
    <w:basedOn w:val="BillBasicHeading"/>
    <w:rsid w:val="00903C3C"/>
    <w:pPr>
      <w:keepNext w:val="0"/>
      <w:spacing w:before="320"/>
      <w:jc w:val="both"/>
    </w:pPr>
    <w:rPr>
      <w:sz w:val="28"/>
    </w:rPr>
  </w:style>
  <w:style w:type="paragraph" w:customStyle="1" w:styleId="draft">
    <w:name w:val="draft"/>
    <w:basedOn w:val="Normal"/>
    <w:rsid w:val="00903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3C3C"/>
    <w:pPr>
      <w:spacing w:line="260" w:lineRule="atLeast"/>
      <w:jc w:val="center"/>
    </w:pPr>
  </w:style>
  <w:style w:type="paragraph" w:customStyle="1" w:styleId="Amainbullet">
    <w:name w:val="A main bullet"/>
    <w:basedOn w:val="BillBasic"/>
    <w:rsid w:val="00903C3C"/>
    <w:pPr>
      <w:spacing w:before="60"/>
      <w:ind w:left="1500" w:hanging="400"/>
    </w:pPr>
  </w:style>
  <w:style w:type="paragraph" w:customStyle="1" w:styleId="Aparabullet">
    <w:name w:val="A para bullet"/>
    <w:basedOn w:val="BillBasic"/>
    <w:rsid w:val="00903C3C"/>
    <w:pPr>
      <w:spacing w:before="60"/>
      <w:ind w:left="2000" w:hanging="400"/>
    </w:pPr>
  </w:style>
  <w:style w:type="paragraph" w:customStyle="1" w:styleId="Asubparabullet">
    <w:name w:val="A subpara bullet"/>
    <w:basedOn w:val="BillBasic"/>
    <w:rsid w:val="00903C3C"/>
    <w:pPr>
      <w:spacing w:before="60"/>
      <w:ind w:left="2540" w:hanging="400"/>
    </w:pPr>
  </w:style>
  <w:style w:type="paragraph" w:customStyle="1" w:styleId="aDefpara">
    <w:name w:val="aDef para"/>
    <w:basedOn w:val="Apara"/>
    <w:rsid w:val="00903C3C"/>
  </w:style>
  <w:style w:type="paragraph" w:customStyle="1" w:styleId="aDefsubpara">
    <w:name w:val="aDef subpara"/>
    <w:basedOn w:val="Asubpara"/>
    <w:rsid w:val="00903C3C"/>
  </w:style>
  <w:style w:type="paragraph" w:customStyle="1" w:styleId="Idefpara">
    <w:name w:val="I def para"/>
    <w:basedOn w:val="Ipara"/>
    <w:rsid w:val="00903C3C"/>
  </w:style>
  <w:style w:type="paragraph" w:customStyle="1" w:styleId="Idefsubpara">
    <w:name w:val="I def subpara"/>
    <w:basedOn w:val="Isubpara"/>
    <w:rsid w:val="00903C3C"/>
  </w:style>
  <w:style w:type="paragraph" w:customStyle="1" w:styleId="Notified">
    <w:name w:val="Notified"/>
    <w:basedOn w:val="BillBasic"/>
    <w:rsid w:val="00903C3C"/>
    <w:pPr>
      <w:spacing w:before="360"/>
      <w:jc w:val="right"/>
    </w:pPr>
    <w:rPr>
      <w:i/>
    </w:rPr>
  </w:style>
  <w:style w:type="paragraph" w:customStyle="1" w:styleId="03ScheduleLandscape">
    <w:name w:val="03ScheduleLandscape"/>
    <w:basedOn w:val="Normal"/>
    <w:rsid w:val="00903C3C"/>
  </w:style>
  <w:style w:type="paragraph" w:customStyle="1" w:styleId="IDict-Heading">
    <w:name w:val="I Dict-Heading"/>
    <w:basedOn w:val="BillBasicHeading"/>
    <w:rsid w:val="00903C3C"/>
    <w:pPr>
      <w:spacing w:before="320"/>
      <w:ind w:left="2600" w:hanging="2600"/>
      <w:jc w:val="both"/>
    </w:pPr>
    <w:rPr>
      <w:sz w:val="34"/>
    </w:rPr>
  </w:style>
  <w:style w:type="paragraph" w:customStyle="1" w:styleId="02TextLandscape">
    <w:name w:val="02TextLandscape"/>
    <w:basedOn w:val="Normal"/>
    <w:rsid w:val="00903C3C"/>
  </w:style>
  <w:style w:type="paragraph" w:styleId="Salutation">
    <w:name w:val="Salutation"/>
    <w:basedOn w:val="Normal"/>
    <w:next w:val="Normal"/>
    <w:rsid w:val="00AE1CED"/>
  </w:style>
  <w:style w:type="paragraph" w:customStyle="1" w:styleId="aNoteBullet">
    <w:name w:val="aNoteBullet"/>
    <w:basedOn w:val="aNoteSymb"/>
    <w:rsid w:val="00903C3C"/>
    <w:pPr>
      <w:tabs>
        <w:tab w:val="left" w:pos="2200"/>
      </w:tabs>
      <w:spacing w:before="60"/>
      <w:ind w:left="2600" w:hanging="700"/>
    </w:pPr>
  </w:style>
  <w:style w:type="paragraph" w:customStyle="1" w:styleId="aParaNoteBullet">
    <w:name w:val="aParaNoteBullet"/>
    <w:basedOn w:val="aParaNote"/>
    <w:rsid w:val="00903C3C"/>
    <w:pPr>
      <w:tabs>
        <w:tab w:val="left" w:pos="2700"/>
      </w:tabs>
      <w:spacing w:before="60"/>
      <w:ind w:left="3100" w:hanging="700"/>
    </w:pPr>
  </w:style>
  <w:style w:type="paragraph" w:customStyle="1" w:styleId="MinisterWord">
    <w:name w:val="MinisterWord"/>
    <w:basedOn w:val="Normal"/>
    <w:rsid w:val="00903C3C"/>
    <w:pPr>
      <w:spacing w:before="60"/>
      <w:jc w:val="right"/>
    </w:pPr>
  </w:style>
  <w:style w:type="paragraph" w:customStyle="1" w:styleId="aExamPara">
    <w:name w:val="aExamPara"/>
    <w:basedOn w:val="aExam"/>
    <w:rsid w:val="00903C3C"/>
    <w:pPr>
      <w:tabs>
        <w:tab w:val="right" w:pos="1720"/>
        <w:tab w:val="left" w:pos="2000"/>
        <w:tab w:val="left" w:pos="2300"/>
      </w:tabs>
      <w:ind w:left="2400" w:hanging="1300"/>
    </w:pPr>
  </w:style>
  <w:style w:type="paragraph" w:customStyle="1" w:styleId="aExamNumText">
    <w:name w:val="aExamNumText"/>
    <w:basedOn w:val="aExam"/>
    <w:rsid w:val="00903C3C"/>
    <w:pPr>
      <w:ind w:left="1500"/>
    </w:pPr>
  </w:style>
  <w:style w:type="paragraph" w:customStyle="1" w:styleId="aExamBullet">
    <w:name w:val="aExamBullet"/>
    <w:basedOn w:val="aExam"/>
    <w:rsid w:val="00903C3C"/>
    <w:pPr>
      <w:tabs>
        <w:tab w:val="left" w:pos="1500"/>
        <w:tab w:val="left" w:pos="2300"/>
      </w:tabs>
      <w:ind w:left="1900" w:hanging="800"/>
    </w:pPr>
  </w:style>
  <w:style w:type="paragraph" w:customStyle="1" w:styleId="aNotePara">
    <w:name w:val="aNotePara"/>
    <w:basedOn w:val="aNote"/>
    <w:rsid w:val="00903C3C"/>
    <w:pPr>
      <w:tabs>
        <w:tab w:val="right" w:pos="2140"/>
        <w:tab w:val="left" w:pos="2400"/>
      </w:tabs>
      <w:spacing w:before="60"/>
      <w:ind w:left="2400" w:hanging="1300"/>
    </w:pPr>
  </w:style>
  <w:style w:type="paragraph" w:customStyle="1" w:styleId="aExplanHeading">
    <w:name w:val="aExplanHeading"/>
    <w:basedOn w:val="BillBasicHeading"/>
    <w:next w:val="Normal"/>
    <w:rsid w:val="00903C3C"/>
    <w:rPr>
      <w:rFonts w:ascii="Arial (W1)" w:hAnsi="Arial (W1)"/>
      <w:sz w:val="18"/>
    </w:rPr>
  </w:style>
  <w:style w:type="paragraph" w:customStyle="1" w:styleId="aExplanText">
    <w:name w:val="aExplanText"/>
    <w:basedOn w:val="BillBasic"/>
    <w:rsid w:val="00903C3C"/>
    <w:rPr>
      <w:sz w:val="20"/>
    </w:rPr>
  </w:style>
  <w:style w:type="paragraph" w:customStyle="1" w:styleId="aParaNotePara">
    <w:name w:val="aParaNotePara"/>
    <w:basedOn w:val="aNoteParaSymb"/>
    <w:rsid w:val="00903C3C"/>
    <w:pPr>
      <w:tabs>
        <w:tab w:val="clear" w:pos="2140"/>
        <w:tab w:val="clear" w:pos="2400"/>
        <w:tab w:val="right" w:pos="2644"/>
      </w:tabs>
      <w:ind w:left="3320" w:hanging="1720"/>
    </w:pPr>
  </w:style>
  <w:style w:type="character" w:customStyle="1" w:styleId="charBold">
    <w:name w:val="charBold"/>
    <w:basedOn w:val="DefaultParagraphFont"/>
    <w:rsid w:val="00903C3C"/>
    <w:rPr>
      <w:b/>
    </w:rPr>
  </w:style>
  <w:style w:type="character" w:customStyle="1" w:styleId="charBoldItals">
    <w:name w:val="charBoldItals"/>
    <w:basedOn w:val="DefaultParagraphFont"/>
    <w:rsid w:val="00903C3C"/>
    <w:rPr>
      <w:b/>
      <w:i/>
    </w:rPr>
  </w:style>
  <w:style w:type="character" w:customStyle="1" w:styleId="charItals">
    <w:name w:val="charItals"/>
    <w:basedOn w:val="DefaultParagraphFont"/>
    <w:rsid w:val="00903C3C"/>
    <w:rPr>
      <w:i/>
    </w:rPr>
  </w:style>
  <w:style w:type="character" w:customStyle="1" w:styleId="charUnderline">
    <w:name w:val="charUnderline"/>
    <w:basedOn w:val="DefaultParagraphFont"/>
    <w:rsid w:val="00903C3C"/>
    <w:rPr>
      <w:u w:val="single"/>
    </w:rPr>
  </w:style>
  <w:style w:type="paragraph" w:customStyle="1" w:styleId="TableHd">
    <w:name w:val="TableHd"/>
    <w:basedOn w:val="Normal"/>
    <w:rsid w:val="00903C3C"/>
    <w:pPr>
      <w:keepNext/>
      <w:spacing w:before="300"/>
      <w:ind w:left="1200" w:hanging="1200"/>
    </w:pPr>
    <w:rPr>
      <w:rFonts w:ascii="Arial" w:hAnsi="Arial"/>
      <w:b/>
      <w:sz w:val="20"/>
    </w:rPr>
  </w:style>
  <w:style w:type="paragraph" w:customStyle="1" w:styleId="TableColHd">
    <w:name w:val="TableColHd"/>
    <w:basedOn w:val="Normal"/>
    <w:rsid w:val="00903C3C"/>
    <w:pPr>
      <w:keepNext/>
      <w:spacing w:after="60"/>
    </w:pPr>
    <w:rPr>
      <w:rFonts w:ascii="Arial" w:hAnsi="Arial"/>
      <w:b/>
      <w:sz w:val="18"/>
    </w:rPr>
  </w:style>
  <w:style w:type="paragraph" w:customStyle="1" w:styleId="PenaltyPara">
    <w:name w:val="PenaltyPara"/>
    <w:basedOn w:val="Normal"/>
    <w:rsid w:val="00903C3C"/>
    <w:pPr>
      <w:tabs>
        <w:tab w:val="right" w:pos="1360"/>
      </w:tabs>
      <w:spacing w:before="60"/>
      <w:ind w:left="1600" w:hanging="1600"/>
      <w:jc w:val="both"/>
    </w:pPr>
  </w:style>
  <w:style w:type="paragraph" w:customStyle="1" w:styleId="BodySectionSub">
    <w:name w:val="Body Section (Sub)"/>
    <w:next w:val="Normal"/>
    <w:rsid w:val="00AE1CED"/>
    <w:pPr>
      <w:spacing w:before="120"/>
      <w:ind w:left="1361"/>
    </w:pPr>
    <w:rPr>
      <w:sz w:val="24"/>
      <w:szCs w:val="24"/>
      <w:lang w:eastAsia="en-US"/>
    </w:rPr>
  </w:style>
  <w:style w:type="paragraph" w:customStyle="1" w:styleId="BodyParagraphSub">
    <w:name w:val="Body Paragraph (Sub)"/>
    <w:next w:val="Normal"/>
    <w:rsid w:val="00AE1CED"/>
    <w:pPr>
      <w:spacing w:before="120"/>
      <w:ind w:left="2381"/>
    </w:pPr>
    <w:rPr>
      <w:sz w:val="24"/>
      <w:szCs w:val="24"/>
      <w:lang w:eastAsia="en-US"/>
    </w:rPr>
  </w:style>
  <w:style w:type="paragraph" w:customStyle="1" w:styleId="AmendHeading1s">
    <w:name w:val="Amend. Heading 1s"/>
    <w:basedOn w:val="Normal-Draft"/>
    <w:next w:val="Normal"/>
    <w:rsid w:val="00AE1CED"/>
    <w:pPr>
      <w:ind w:left="1871" w:hanging="1871"/>
    </w:pPr>
    <w:rPr>
      <w:b/>
      <w:bCs/>
      <w:i/>
      <w:iCs/>
    </w:rPr>
  </w:style>
  <w:style w:type="paragraph" w:customStyle="1" w:styleId="Normal-Draft">
    <w:name w:val="Normal - Draft"/>
    <w:rsid w:val="00AE1C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sz w:val="24"/>
      <w:szCs w:val="24"/>
      <w:lang w:eastAsia="en-US"/>
    </w:rPr>
  </w:style>
  <w:style w:type="paragraph" w:customStyle="1" w:styleId="AmendHeading1">
    <w:name w:val="Amend. Heading 1"/>
    <w:basedOn w:val="Normal-Draft"/>
    <w:next w:val="Normal"/>
    <w:rsid w:val="00AE1CED"/>
    <w:pPr>
      <w:ind w:left="1871" w:hanging="1871"/>
    </w:pPr>
  </w:style>
  <w:style w:type="paragraph" w:customStyle="1" w:styleId="AmendHeading2">
    <w:name w:val="Amend. Heading 2"/>
    <w:basedOn w:val="Normal-Draft"/>
    <w:next w:val="Normal"/>
    <w:rsid w:val="00AE1CED"/>
    <w:pPr>
      <w:ind w:left="2381" w:hanging="2381"/>
    </w:pPr>
  </w:style>
  <w:style w:type="paragraph" w:customStyle="1" w:styleId="Letterhead">
    <w:name w:val="Letterhead"/>
    <w:rsid w:val="00AE1CED"/>
    <w:pPr>
      <w:widowControl w:val="0"/>
      <w:spacing w:after="180"/>
      <w:jc w:val="right"/>
    </w:pPr>
    <w:rPr>
      <w:rFonts w:ascii="Arial" w:hAnsi="Arial" w:cs="Arial"/>
      <w:sz w:val="32"/>
      <w:szCs w:val="32"/>
      <w:lang w:eastAsia="en-US"/>
    </w:rPr>
  </w:style>
  <w:style w:type="character" w:styleId="PageNumber">
    <w:name w:val="page number"/>
    <w:basedOn w:val="DefaultParagraphFont"/>
    <w:rsid w:val="00903C3C"/>
  </w:style>
  <w:style w:type="character" w:styleId="EndnoteReference">
    <w:name w:val="endnote reference"/>
    <w:basedOn w:val="DefaultParagraphFont"/>
    <w:semiHidden/>
    <w:rsid w:val="00AE1CED"/>
    <w:rPr>
      <w:vertAlign w:val="superscript"/>
    </w:rPr>
  </w:style>
  <w:style w:type="paragraph" w:styleId="EndnoteText0">
    <w:name w:val="endnote text"/>
    <w:basedOn w:val="Normal"/>
    <w:semiHidden/>
    <w:rsid w:val="00AE1CED"/>
    <w:pPr>
      <w:tabs>
        <w:tab w:val="left" w:pos="284"/>
        <w:tab w:val="left" w:pos="851"/>
        <w:tab w:val="left" w:pos="1361"/>
        <w:tab w:val="left" w:pos="1871"/>
        <w:tab w:val="left" w:pos="2381"/>
        <w:tab w:val="left" w:pos="2892"/>
        <w:tab w:val="left" w:pos="3402"/>
      </w:tabs>
      <w:spacing w:after="120"/>
      <w:ind w:left="284" w:hanging="284"/>
    </w:pPr>
    <w:rPr>
      <w:sz w:val="20"/>
      <w:lang w:val="en-GB"/>
    </w:rPr>
  </w:style>
  <w:style w:type="paragraph" w:customStyle="1" w:styleId="Sched-Form-18Space">
    <w:name w:val="Sched-Form-18Space"/>
    <w:basedOn w:val="Normal"/>
    <w:rsid w:val="00903C3C"/>
    <w:pPr>
      <w:spacing w:before="360" w:after="60"/>
    </w:pPr>
    <w:rPr>
      <w:sz w:val="22"/>
    </w:rPr>
  </w:style>
  <w:style w:type="paragraph" w:customStyle="1" w:styleId="AH1ChapterSymb">
    <w:name w:val="A H1 Chapter Symb"/>
    <w:basedOn w:val="AH1Chapter"/>
    <w:next w:val="AH2Part"/>
    <w:rsid w:val="00903C3C"/>
    <w:pPr>
      <w:tabs>
        <w:tab w:val="clear" w:pos="2600"/>
        <w:tab w:val="left" w:pos="0"/>
      </w:tabs>
      <w:ind w:left="2480" w:hanging="2960"/>
    </w:pPr>
  </w:style>
  <w:style w:type="paragraph" w:customStyle="1" w:styleId="EndnotesAbbrev">
    <w:name w:val="EndnotesAbbrev"/>
    <w:basedOn w:val="Normal"/>
    <w:rsid w:val="00903C3C"/>
    <w:pPr>
      <w:spacing w:before="20"/>
    </w:pPr>
    <w:rPr>
      <w:rFonts w:ascii="Arial" w:hAnsi="Arial"/>
      <w:color w:val="000000"/>
      <w:sz w:val="16"/>
    </w:rPr>
  </w:style>
  <w:style w:type="paragraph" w:customStyle="1" w:styleId="RepubNo">
    <w:name w:val="RepubNo"/>
    <w:basedOn w:val="BillBasicHeading"/>
    <w:rsid w:val="00903C3C"/>
    <w:pPr>
      <w:keepNext w:val="0"/>
      <w:spacing w:before="600"/>
      <w:jc w:val="both"/>
    </w:pPr>
    <w:rPr>
      <w:sz w:val="26"/>
    </w:rPr>
  </w:style>
  <w:style w:type="paragraph" w:customStyle="1" w:styleId="NewAct">
    <w:name w:val="New Act"/>
    <w:basedOn w:val="Normal"/>
    <w:next w:val="Actdetails"/>
    <w:link w:val="NewActChar"/>
    <w:rsid w:val="00903C3C"/>
    <w:pPr>
      <w:keepNext/>
      <w:spacing w:before="180"/>
      <w:ind w:left="1100"/>
    </w:pPr>
    <w:rPr>
      <w:rFonts w:ascii="Arial" w:hAnsi="Arial"/>
      <w:b/>
      <w:sz w:val="20"/>
    </w:rPr>
  </w:style>
  <w:style w:type="paragraph" w:customStyle="1" w:styleId="Actdetails">
    <w:name w:val="Act details"/>
    <w:basedOn w:val="Normal"/>
    <w:rsid w:val="00903C3C"/>
    <w:pPr>
      <w:spacing w:before="20"/>
      <w:ind w:left="1400"/>
    </w:pPr>
    <w:rPr>
      <w:rFonts w:ascii="Arial" w:hAnsi="Arial"/>
      <w:sz w:val="20"/>
    </w:rPr>
  </w:style>
  <w:style w:type="paragraph" w:customStyle="1" w:styleId="CoverInForce">
    <w:name w:val="CoverInForce"/>
    <w:basedOn w:val="BillBasicHeading"/>
    <w:rsid w:val="00903C3C"/>
    <w:pPr>
      <w:keepNext w:val="0"/>
      <w:spacing w:before="400"/>
    </w:pPr>
    <w:rPr>
      <w:b w:val="0"/>
    </w:rPr>
  </w:style>
  <w:style w:type="paragraph" w:styleId="Subtitle">
    <w:name w:val="Subtitle"/>
    <w:basedOn w:val="Normal"/>
    <w:qFormat/>
    <w:rsid w:val="00903C3C"/>
    <w:pPr>
      <w:spacing w:after="60"/>
      <w:jc w:val="center"/>
      <w:outlineLvl w:val="1"/>
    </w:pPr>
    <w:rPr>
      <w:rFonts w:ascii="Arial" w:hAnsi="Arial"/>
    </w:rPr>
  </w:style>
  <w:style w:type="paragraph" w:customStyle="1" w:styleId="CoverActName">
    <w:name w:val="CoverActName"/>
    <w:basedOn w:val="BillBasicHeading"/>
    <w:rsid w:val="00903C3C"/>
    <w:pPr>
      <w:keepNext w:val="0"/>
      <w:spacing w:before="260"/>
    </w:pPr>
  </w:style>
  <w:style w:type="paragraph" w:customStyle="1" w:styleId="FormRule">
    <w:name w:val="FormRule"/>
    <w:basedOn w:val="Normal"/>
    <w:rsid w:val="00903C3C"/>
    <w:pPr>
      <w:pBdr>
        <w:top w:val="single" w:sz="4" w:space="1" w:color="auto"/>
      </w:pBdr>
      <w:spacing w:before="160" w:after="40"/>
      <w:ind w:left="3220" w:right="3260"/>
    </w:pPr>
    <w:rPr>
      <w:sz w:val="8"/>
    </w:rPr>
  </w:style>
  <w:style w:type="paragraph" w:customStyle="1" w:styleId="SchSubClause">
    <w:name w:val="Sch SubClause"/>
    <w:basedOn w:val="Schclauseheading"/>
    <w:rsid w:val="00903C3C"/>
    <w:rPr>
      <w:b w:val="0"/>
    </w:rPr>
  </w:style>
  <w:style w:type="paragraph" w:customStyle="1" w:styleId="Endnote20">
    <w:name w:val="Endnote2"/>
    <w:basedOn w:val="Normal"/>
    <w:rsid w:val="00903C3C"/>
    <w:pPr>
      <w:keepNext/>
      <w:tabs>
        <w:tab w:val="left" w:pos="1100"/>
      </w:tabs>
      <w:spacing w:before="360"/>
    </w:pPr>
    <w:rPr>
      <w:rFonts w:ascii="Arial" w:hAnsi="Arial"/>
      <w:b/>
    </w:rPr>
  </w:style>
  <w:style w:type="paragraph" w:customStyle="1" w:styleId="Asamby">
    <w:name w:val="As am by"/>
    <w:basedOn w:val="Normal"/>
    <w:next w:val="Normal"/>
    <w:rsid w:val="00903C3C"/>
    <w:pPr>
      <w:spacing w:before="240"/>
      <w:ind w:left="1100"/>
    </w:pPr>
    <w:rPr>
      <w:rFonts w:ascii="Arial" w:hAnsi="Arial"/>
      <w:sz w:val="20"/>
    </w:rPr>
  </w:style>
  <w:style w:type="paragraph" w:customStyle="1" w:styleId="AmdtsEntries">
    <w:name w:val="AmdtsEntries"/>
    <w:basedOn w:val="BillBasicHeading"/>
    <w:rsid w:val="00903C3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03C3C"/>
    <w:pPr>
      <w:tabs>
        <w:tab w:val="clear" w:pos="2600"/>
        <w:tab w:val="left" w:pos="0"/>
      </w:tabs>
      <w:ind w:left="2480" w:hanging="2960"/>
    </w:pPr>
  </w:style>
  <w:style w:type="paragraph" w:customStyle="1" w:styleId="AmdtsEntryHd">
    <w:name w:val="AmdtsEntryHd"/>
    <w:basedOn w:val="BillBasicHeading"/>
    <w:next w:val="AmdtsEntries"/>
    <w:rsid w:val="00903C3C"/>
    <w:pPr>
      <w:tabs>
        <w:tab w:val="clear" w:pos="2600"/>
      </w:tabs>
      <w:spacing w:before="120"/>
      <w:ind w:left="1100"/>
    </w:pPr>
    <w:rPr>
      <w:sz w:val="18"/>
    </w:rPr>
  </w:style>
  <w:style w:type="paragraph" w:customStyle="1" w:styleId="EndNoteParas">
    <w:name w:val="EndNoteParas"/>
    <w:basedOn w:val="EndNoteTextEPS"/>
    <w:rsid w:val="00903C3C"/>
    <w:pPr>
      <w:tabs>
        <w:tab w:val="right" w:pos="1432"/>
      </w:tabs>
      <w:ind w:left="1840" w:hanging="1840"/>
    </w:pPr>
  </w:style>
  <w:style w:type="paragraph" w:customStyle="1" w:styleId="EndNoteTextEPS">
    <w:name w:val="EndNoteTextEPS"/>
    <w:basedOn w:val="Normal"/>
    <w:rsid w:val="00903C3C"/>
    <w:pPr>
      <w:spacing w:before="60"/>
      <w:ind w:left="1100"/>
      <w:jc w:val="both"/>
    </w:pPr>
    <w:rPr>
      <w:sz w:val="20"/>
    </w:rPr>
  </w:style>
  <w:style w:type="paragraph" w:customStyle="1" w:styleId="NewReg">
    <w:name w:val="New Reg"/>
    <w:basedOn w:val="NewAct"/>
    <w:next w:val="Actdetails"/>
    <w:rsid w:val="00903C3C"/>
  </w:style>
  <w:style w:type="paragraph" w:customStyle="1" w:styleId="Endnote3">
    <w:name w:val="Endnote3"/>
    <w:basedOn w:val="Normal"/>
    <w:rsid w:val="00903C3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03C3C"/>
  </w:style>
  <w:style w:type="character" w:customStyle="1" w:styleId="charTableText">
    <w:name w:val="charTableText"/>
    <w:basedOn w:val="DefaultParagraphFont"/>
    <w:rsid w:val="00903C3C"/>
  </w:style>
  <w:style w:type="paragraph" w:customStyle="1" w:styleId="TLegEntries">
    <w:name w:val="TLegEntries"/>
    <w:basedOn w:val="Normal"/>
    <w:rsid w:val="00903C3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03C3C"/>
    <w:pPr>
      <w:tabs>
        <w:tab w:val="clear" w:pos="2600"/>
        <w:tab w:val="left" w:leader="dot" w:pos="2700"/>
      </w:tabs>
      <w:ind w:left="2700" w:hanging="2000"/>
    </w:pPr>
    <w:rPr>
      <w:sz w:val="18"/>
    </w:rPr>
  </w:style>
  <w:style w:type="paragraph" w:customStyle="1" w:styleId="CoverText">
    <w:name w:val="CoverText"/>
    <w:basedOn w:val="Normal"/>
    <w:uiPriority w:val="99"/>
    <w:rsid w:val="00903C3C"/>
    <w:pPr>
      <w:spacing w:before="100"/>
      <w:jc w:val="both"/>
    </w:pPr>
    <w:rPr>
      <w:sz w:val="20"/>
    </w:rPr>
  </w:style>
  <w:style w:type="paragraph" w:customStyle="1" w:styleId="CoverHeading">
    <w:name w:val="CoverHeading"/>
    <w:basedOn w:val="Normal"/>
    <w:rsid w:val="00903C3C"/>
    <w:rPr>
      <w:rFonts w:ascii="Arial" w:hAnsi="Arial"/>
      <w:b/>
    </w:rPr>
  </w:style>
  <w:style w:type="paragraph" w:customStyle="1" w:styleId="OldAmdt2ndLine">
    <w:name w:val="OldAmdt2ndLine"/>
    <w:basedOn w:val="OldAmdtsEntries"/>
    <w:rsid w:val="00903C3C"/>
    <w:pPr>
      <w:tabs>
        <w:tab w:val="left" w:pos="2700"/>
      </w:tabs>
      <w:spacing w:before="0"/>
    </w:pPr>
  </w:style>
  <w:style w:type="paragraph" w:customStyle="1" w:styleId="EarlierRepubEntries">
    <w:name w:val="EarlierRepubEntries"/>
    <w:basedOn w:val="Normal"/>
    <w:rsid w:val="00903C3C"/>
    <w:pPr>
      <w:spacing w:before="60" w:after="60"/>
    </w:pPr>
    <w:rPr>
      <w:rFonts w:ascii="Arial" w:hAnsi="Arial"/>
      <w:sz w:val="18"/>
    </w:rPr>
  </w:style>
  <w:style w:type="paragraph" w:customStyle="1" w:styleId="RenumProvEntries">
    <w:name w:val="RenumProvEntries"/>
    <w:basedOn w:val="Normal"/>
    <w:rsid w:val="00903C3C"/>
    <w:pPr>
      <w:spacing w:before="60"/>
    </w:pPr>
    <w:rPr>
      <w:rFonts w:ascii="Arial" w:hAnsi="Arial"/>
      <w:sz w:val="20"/>
    </w:rPr>
  </w:style>
  <w:style w:type="paragraph" w:customStyle="1" w:styleId="CoverSubHdg">
    <w:name w:val="CoverSubHdg"/>
    <w:basedOn w:val="CoverHeading"/>
    <w:rsid w:val="00903C3C"/>
    <w:pPr>
      <w:spacing w:before="120"/>
    </w:pPr>
    <w:rPr>
      <w:sz w:val="20"/>
    </w:rPr>
  </w:style>
  <w:style w:type="paragraph" w:customStyle="1" w:styleId="CoverTextPara">
    <w:name w:val="CoverTextPara"/>
    <w:basedOn w:val="CoverText"/>
    <w:rsid w:val="00903C3C"/>
    <w:pPr>
      <w:tabs>
        <w:tab w:val="right" w:pos="600"/>
        <w:tab w:val="left" w:pos="840"/>
      </w:tabs>
      <w:ind w:left="840" w:hanging="840"/>
    </w:pPr>
  </w:style>
  <w:style w:type="paragraph" w:customStyle="1" w:styleId="AH5SecSymb">
    <w:name w:val="A H5 Sec Symb"/>
    <w:basedOn w:val="AH5Sec"/>
    <w:next w:val="Amain"/>
    <w:rsid w:val="00903C3C"/>
    <w:pPr>
      <w:tabs>
        <w:tab w:val="clear" w:pos="1100"/>
        <w:tab w:val="left" w:pos="0"/>
      </w:tabs>
      <w:ind w:hanging="1580"/>
    </w:pPr>
  </w:style>
  <w:style w:type="character" w:customStyle="1" w:styleId="charSymb">
    <w:name w:val="charSymb"/>
    <w:basedOn w:val="DefaultParagraphFont"/>
    <w:rsid w:val="00903C3C"/>
    <w:rPr>
      <w:rFonts w:ascii="Arial" w:hAnsi="Arial"/>
      <w:sz w:val="24"/>
      <w:bdr w:val="single" w:sz="4" w:space="0" w:color="auto"/>
    </w:rPr>
  </w:style>
  <w:style w:type="paragraph" w:customStyle="1" w:styleId="AH3DivSymb">
    <w:name w:val="A H3 Div Symb"/>
    <w:basedOn w:val="AH3Div"/>
    <w:next w:val="AH5Sec"/>
    <w:rsid w:val="00903C3C"/>
    <w:pPr>
      <w:tabs>
        <w:tab w:val="clear" w:pos="2600"/>
        <w:tab w:val="left" w:pos="0"/>
      </w:tabs>
      <w:ind w:left="2480" w:hanging="2960"/>
    </w:pPr>
  </w:style>
  <w:style w:type="paragraph" w:customStyle="1" w:styleId="AH4SubDivSymb">
    <w:name w:val="A H4 SubDiv Symb"/>
    <w:basedOn w:val="AH4SubDiv"/>
    <w:next w:val="AH5Sec"/>
    <w:rsid w:val="00903C3C"/>
    <w:pPr>
      <w:tabs>
        <w:tab w:val="clear" w:pos="2600"/>
        <w:tab w:val="left" w:pos="0"/>
      </w:tabs>
      <w:ind w:left="2480" w:hanging="2960"/>
    </w:pPr>
  </w:style>
  <w:style w:type="paragraph" w:customStyle="1" w:styleId="Dict-HeadingSymb">
    <w:name w:val="Dict-Heading Symb"/>
    <w:basedOn w:val="Dict-Heading"/>
    <w:rsid w:val="00903C3C"/>
    <w:pPr>
      <w:tabs>
        <w:tab w:val="left" w:pos="0"/>
      </w:tabs>
      <w:ind w:left="2480" w:hanging="2960"/>
    </w:pPr>
  </w:style>
  <w:style w:type="paragraph" w:customStyle="1" w:styleId="Sched-headingSymb">
    <w:name w:val="Sched-heading Symb"/>
    <w:basedOn w:val="Sched-heading"/>
    <w:rsid w:val="00903C3C"/>
    <w:pPr>
      <w:tabs>
        <w:tab w:val="left" w:pos="0"/>
      </w:tabs>
      <w:ind w:left="2480" w:hanging="2960"/>
    </w:pPr>
  </w:style>
  <w:style w:type="paragraph" w:customStyle="1" w:styleId="Sched-PartSymb">
    <w:name w:val="Sched-Part Symb"/>
    <w:basedOn w:val="Sched-Part"/>
    <w:rsid w:val="00903C3C"/>
    <w:pPr>
      <w:tabs>
        <w:tab w:val="left" w:pos="0"/>
      </w:tabs>
      <w:ind w:left="2480" w:hanging="2960"/>
    </w:pPr>
  </w:style>
  <w:style w:type="paragraph" w:customStyle="1" w:styleId="Sched-FormSymb">
    <w:name w:val="Sched-Form Symb"/>
    <w:basedOn w:val="Sched-Form"/>
    <w:rsid w:val="00903C3C"/>
    <w:pPr>
      <w:tabs>
        <w:tab w:val="left" w:pos="0"/>
      </w:tabs>
      <w:ind w:left="2480" w:hanging="2960"/>
    </w:pPr>
  </w:style>
  <w:style w:type="paragraph" w:customStyle="1" w:styleId="SchclauseheadingSymb">
    <w:name w:val="Sch clause heading Symb"/>
    <w:basedOn w:val="Schclauseheading"/>
    <w:rsid w:val="00903C3C"/>
    <w:pPr>
      <w:tabs>
        <w:tab w:val="left" w:pos="0"/>
      </w:tabs>
      <w:ind w:left="980" w:hanging="1460"/>
    </w:pPr>
  </w:style>
  <w:style w:type="paragraph" w:customStyle="1" w:styleId="TLegAsAmBy">
    <w:name w:val="TLegAsAmBy"/>
    <w:basedOn w:val="TLegEntries"/>
    <w:rsid w:val="00903C3C"/>
    <w:pPr>
      <w:ind w:firstLine="0"/>
    </w:pPr>
    <w:rPr>
      <w:b/>
    </w:rPr>
  </w:style>
  <w:style w:type="paragraph" w:customStyle="1" w:styleId="00Spine">
    <w:name w:val="00Spine"/>
    <w:basedOn w:val="Normal"/>
    <w:rsid w:val="00903C3C"/>
  </w:style>
  <w:style w:type="paragraph" w:customStyle="1" w:styleId="AuthorisedBlock">
    <w:name w:val="AuthorisedBlock"/>
    <w:basedOn w:val="Normal"/>
    <w:rsid w:val="00903C3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03C3C"/>
    <w:pPr>
      <w:ind w:left="1920" w:right="600"/>
    </w:pPr>
  </w:style>
  <w:style w:type="paragraph" w:customStyle="1" w:styleId="AmdtsEntriesDefL2">
    <w:name w:val="AmdtsEntriesDefL2"/>
    <w:basedOn w:val="Normal"/>
    <w:rsid w:val="00903C3C"/>
    <w:pPr>
      <w:tabs>
        <w:tab w:val="left" w:pos="3000"/>
      </w:tabs>
      <w:ind w:left="3100" w:hanging="2000"/>
    </w:pPr>
    <w:rPr>
      <w:rFonts w:ascii="Arial" w:hAnsi="Arial"/>
      <w:sz w:val="18"/>
    </w:rPr>
  </w:style>
  <w:style w:type="paragraph" w:customStyle="1" w:styleId="AmdtEntries">
    <w:name w:val="AmdtEntries"/>
    <w:basedOn w:val="BillBasicHeading"/>
    <w:rsid w:val="00903C3C"/>
    <w:pPr>
      <w:keepNext w:val="0"/>
      <w:tabs>
        <w:tab w:val="clear" w:pos="2600"/>
      </w:tabs>
      <w:spacing w:before="0"/>
      <w:ind w:left="3200" w:hanging="2100"/>
    </w:pPr>
    <w:rPr>
      <w:sz w:val="18"/>
    </w:rPr>
  </w:style>
  <w:style w:type="paragraph" w:customStyle="1" w:styleId="06Copyright">
    <w:name w:val="06Copyright"/>
    <w:basedOn w:val="Normal"/>
    <w:rsid w:val="00903C3C"/>
  </w:style>
  <w:style w:type="paragraph" w:customStyle="1" w:styleId="AFHdg">
    <w:name w:val="AFHdg"/>
    <w:basedOn w:val="BillBasicHeading"/>
    <w:rsid w:val="00903C3C"/>
    <w:rPr>
      <w:b w:val="0"/>
      <w:sz w:val="32"/>
    </w:rPr>
  </w:style>
  <w:style w:type="paragraph" w:customStyle="1" w:styleId="LegHistNote">
    <w:name w:val="LegHistNote"/>
    <w:basedOn w:val="Actdetails"/>
    <w:rsid w:val="00903C3C"/>
    <w:pPr>
      <w:spacing w:before="60"/>
      <w:ind w:left="2700" w:right="-60" w:hanging="1300"/>
    </w:pPr>
    <w:rPr>
      <w:sz w:val="18"/>
    </w:rPr>
  </w:style>
  <w:style w:type="paragraph" w:customStyle="1" w:styleId="MH1Chapter">
    <w:name w:val="M H1 Chapter"/>
    <w:basedOn w:val="AH1Chapter"/>
    <w:rsid w:val="00903C3C"/>
    <w:pPr>
      <w:tabs>
        <w:tab w:val="clear" w:pos="2600"/>
        <w:tab w:val="left" w:pos="2720"/>
      </w:tabs>
      <w:ind w:left="4000" w:hanging="3300"/>
    </w:pPr>
  </w:style>
  <w:style w:type="paragraph" w:customStyle="1" w:styleId="ModH1Chapter">
    <w:name w:val="Mod H1 Chapter"/>
    <w:basedOn w:val="IH1ChapSymb"/>
    <w:rsid w:val="00903C3C"/>
    <w:pPr>
      <w:tabs>
        <w:tab w:val="clear" w:pos="2600"/>
        <w:tab w:val="left" w:pos="3300"/>
      </w:tabs>
      <w:ind w:left="3300"/>
    </w:pPr>
  </w:style>
  <w:style w:type="paragraph" w:customStyle="1" w:styleId="ModH2Part">
    <w:name w:val="Mod H2 Part"/>
    <w:basedOn w:val="IH2PartSymb"/>
    <w:rsid w:val="00903C3C"/>
    <w:pPr>
      <w:tabs>
        <w:tab w:val="clear" w:pos="2600"/>
        <w:tab w:val="left" w:pos="3300"/>
      </w:tabs>
      <w:ind w:left="3300"/>
    </w:pPr>
  </w:style>
  <w:style w:type="paragraph" w:customStyle="1" w:styleId="ModH3Div">
    <w:name w:val="Mod H3 Div"/>
    <w:basedOn w:val="IH3DivSymb"/>
    <w:rsid w:val="00903C3C"/>
    <w:pPr>
      <w:tabs>
        <w:tab w:val="clear" w:pos="2600"/>
        <w:tab w:val="left" w:pos="3300"/>
      </w:tabs>
      <w:ind w:left="3300"/>
    </w:pPr>
  </w:style>
  <w:style w:type="paragraph" w:customStyle="1" w:styleId="ModH4SubDiv">
    <w:name w:val="Mod H4 SubDiv"/>
    <w:basedOn w:val="IH4SubDivSymb"/>
    <w:rsid w:val="00903C3C"/>
    <w:pPr>
      <w:tabs>
        <w:tab w:val="clear" w:pos="2600"/>
        <w:tab w:val="left" w:pos="3300"/>
      </w:tabs>
      <w:ind w:left="3300"/>
    </w:pPr>
  </w:style>
  <w:style w:type="paragraph" w:customStyle="1" w:styleId="ModH5Sec">
    <w:name w:val="Mod H5 Sec"/>
    <w:basedOn w:val="IH5SecSymb"/>
    <w:rsid w:val="00903C3C"/>
    <w:pPr>
      <w:tabs>
        <w:tab w:val="clear" w:pos="1100"/>
        <w:tab w:val="left" w:pos="1800"/>
      </w:tabs>
      <w:ind w:left="2200"/>
    </w:pPr>
  </w:style>
  <w:style w:type="paragraph" w:customStyle="1" w:styleId="Modmain">
    <w:name w:val="Mod main"/>
    <w:basedOn w:val="Amain"/>
    <w:rsid w:val="00903C3C"/>
    <w:pPr>
      <w:tabs>
        <w:tab w:val="clear" w:pos="900"/>
        <w:tab w:val="clear" w:pos="1100"/>
        <w:tab w:val="right" w:pos="1600"/>
        <w:tab w:val="left" w:pos="1800"/>
      </w:tabs>
      <w:ind w:left="2200"/>
    </w:pPr>
  </w:style>
  <w:style w:type="paragraph" w:customStyle="1" w:styleId="Modpara">
    <w:name w:val="Mod para"/>
    <w:basedOn w:val="BillBasic"/>
    <w:rsid w:val="00903C3C"/>
    <w:pPr>
      <w:tabs>
        <w:tab w:val="right" w:pos="2100"/>
        <w:tab w:val="left" w:pos="2300"/>
      </w:tabs>
      <w:ind w:left="2700" w:hanging="1600"/>
      <w:outlineLvl w:val="6"/>
    </w:pPr>
  </w:style>
  <w:style w:type="paragraph" w:customStyle="1" w:styleId="Modsubpara">
    <w:name w:val="Mod subpara"/>
    <w:basedOn w:val="Asubpara"/>
    <w:rsid w:val="00903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903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903C3C"/>
    <w:pPr>
      <w:ind w:left="1800"/>
    </w:pPr>
  </w:style>
  <w:style w:type="paragraph" w:customStyle="1" w:styleId="Modparareturn">
    <w:name w:val="Mod para return"/>
    <w:basedOn w:val="AparareturnSymb"/>
    <w:rsid w:val="00903C3C"/>
    <w:pPr>
      <w:ind w:left="2300"/>
    </w:pPr>
  </w:style>
  <w:style w:type="paragraph" w:customStyle="1" w:styleId="Modsubparareturn">
    <w:name w:val="Mod subpara return"/>
    <w:basedOn w:val="AsubparareturnSymb"/>
    <w:rsid w:val="00903C3C"/>
    <w:pPr>
      <w:ind w:left="3040"/>
    </w:pPr>
  </w:style>
  <w:style w:type="paragraph" w:customStyle="1" w:styleId="Modref">
    <w:name w:val="Mod ref"/>
    <w:basedOn w:val="refSymb"/>
    <w:rsid w:val="00903C3C"/>
    <w:pPr>
      <w:ind w:left="1100"/>
    </w:pPr>
  </w:style>
  <w:style w:type="paragraph" w:customStyle="1" w:styleId="ModaNote">
    <w:name w:val="Mod aNote"/>
    <w:basedOn w:val="aNoteSymb"/>
    <w:rsid w:val="00903C3C"/>
    <w:pPr>
      <w:tabs>
        <w:tab w:val="left" w:pos="2600"/>
      </w:tabs>
      <w:ind w:left="2600"/>
    </w:pPr>
  </w:style>
  <w:style w:type="paragraph" w:customStyle="1" w:styleId="ModNote">
    <w:name w:val="Mod Note"/>
    <w:basedOn w:val="aNoteSymb"/>
    <w:rsid w:val="00903C3C"/>
    <w:pPr>
      <w:tabs>
        <w:tab w:val="left" w:pos="2600"/>
      </w:tabs>
      <w:ind w:left="2600"/>
    </w:pPr>
  </w:style>
  <w:style w:type="paragraph" w:customStyle="1" w:styleId="ApprFormHd">
    <w:name w:val="ApprFormHd"/>
    <w:basedOn w:val="Sched-heading"/>
    <w:rsid w:val="00903C3C"/>
    <w:pPr>
      <w:ind w:left="0" w:firstLine="0"/>
    </w:pPr>
  </w:style>
  <w:style w:type="paragraph" w:customStyle="1" w:styleId="Status">
    <w:name w:val="Status"/>
    <w:basedOn w:val="Normal"/>
    <w:rsid w:val="00903C3C"/>
    <w:pPr>
      <w:spacing w:before="280"/>
      <w:jc w:val="center"/>
    </w:pPr>
    <w:rPr>
      <w:rFonts w:ascii="Arial" w:hAnsi="Arial"/>
      <w:sz w:val="14"/>
    </w:rPr>
  </w:style>
  <w:style w:type="paragraph" w:customStyle="1" w:styleId="tablepara">
    <w:name w:val="table para"/>
    <w:basedOn w:val="Normal"/>
    <w:rsid w:val="00903C3C"/>
    <w:pPr>
      <w:tabs>
        <w:tab w:val="right" w:pos="800"/>
        <w:tab w:val="left" w:pos="1100"/>
      </w:tabs>
      <w:spacing w:before="80" w:after="60"/>
      <w:ind w:left="1100" w:hanging="1100"/>
    </w:pPr>
  </w:style>
  <w:style w:type="paragraph" w:customStyle="1" w:styleId="tablesubpara">
    <w:name w:val="table subpara"/>
    <w:basedOn w:val="Normal"/>
    <w:rsid w:val="00903C3C"/>
    <w:pPr>
      <w:tabs>
        <w:tab w:val="right" w:pos="1500"/>
        <w:tab w:val="left" w:pos="1800"/>
      </w:tabs>
      <w:spacing w:before="80" w:after="60"/>
      <w:ind w:left="1800" w:hanging="1800"/>
    </w:pPr>
  </w:style>
  <w:style w:type="paragraph" w:customStyle="1" w:styleId="TableText">
    <w:name w:val="TableText"/>
    <w:basedOn w:val="Normal"/>
    <w:rsid w:val="00903C3C"/>
    <w:pPr>
      <w:spacing w:before="60" w:after="60"/>
    </w:pPr>
  </w:style>
  <w:style w:type="paragraph" w:customStyle="1" w:styleId="EarlierRepubHdg">
    <w:name w:val="EarlierRepubHdg"/>
    <w:basedOn w:val="Normal"/>
    <w:rsid w:val="00903C3C"/>
    <w:pPr>
      <w:keepNext/>
    </w:pPr>
    <w:rPr>
      <w:rFonts w:ascii="Arial" w:hAnsi="Arial"/>
      <w:b/>
      <w:sz w:val="20"/>
    </w:rPr>
  </w:style>
  <w:style w:type="paragraph" w:customStyle="1" w:styleId="RenumProvHdg">
    <w:name w:val="RenumProvHdg"/>
    <w:basedOn w:val="Normal"/>
    <w:rsid w:val="00903C3C"/>
    <w:rPr>
      <w:rFonts w:ascii="Arial" w:hAnsi="Arial"/>
      <w:b/>
      <w:sz w:val="22"/>
    </w:rPr>
  </w:style>
  <w:style w:type="paragraph" w:customStyle="1" w:styleId="RenumProvHeader">
    <w:name w:val="RenumProvHeader"/>
    <w:basedOn w:val="Normal"/>
    <w:rsid w:val="00903C3C"/>
    <w:rPr>
      <w:rFonts w:ascii="Arial" w:hAnsi="Arial"/>
      <w:b/>
      <w:sz w:val="22"/>
    </w:rPr>
  </w:style>
  <w:style w:type="paragraph" w:customStyle="1" w:styleId="RenumTableHdg">
    <w:name w:val="RenumTableHdg"/>
    <w:basedOn w:val="Normal"/>
    <w:rsid w:val="00903C3C"/>
    <w:pPr>
      <w:spacing w:before="120"/>
    </w:pPr>
    <w:rPr>
      <w:rFonts w:ascii="Arial" w:hAnsi="Arial"/>
      <w:b/>
      <w:sz w:val="20"/>
    </w:rPr>
  </w:style>
  <w:style w:type="paragraph" w:customStyle="1" w:styleId="EPSCoverTop">
    <w:name w:val="EPSCoverTop"/>
    <w:basedOn w:val="Normal"/>
    <w:rsid w:val="00903C3C"/>
    <w:pPr>
      <w:jc w:val="right"/>
    </w:pPr>
    <w:rPr>
      <w:rFonts w:ascii="Arial" w:hAnsi="Arial"/>
      <w:sz w:val="20"/>
    </w:rPr>
  </w:style>
  <w:style w:type="paragraph" w:customStyle="1" w:styleId="AmainSymb">
    <w:name w:val="A main Symb"/>
    <w:basedOn w:val="Amain"/>
    <w:rsid w:val="00903C3C"/>
    <w:pPr>
      <w:tabs>
        <w:tab w:val="left" w:pos="0"/>
      </w:tabs>
      <w:ind w:left="1120" w:hanging="1600"/>
    </w:pPr>
  </w:style>
  <w:style w:type="paragraph" w:customStyle="1" w:styleId="AparaSymb">
    <w:name w:val="A para Symb"/>
    <w:basedOn w:val="Apara"/>
    <w:rsid w:val="00903C3C"/>
    <w:pPr>
      <w:tabs>
        <w:tab w:val="right" w:pos="0"/>
      </w:tabs>
      <w:ind w:hanging="2080"/>
    </w:pPr>
  </w:style>
  <w:style w:type="paragraph" w:customStyle="1" w:styleId="AsubparaSymb">
    <w:name w:val="A subpara Symb"/>
    <w:basedOn w:val="Asubpara"/>
    <w:rsid w:val="00903C3C"/>
    <w:pPr>
      <w:tabs>
        <w:tab w:val="left" w:pos="0"/>
      </w:tabs>
      <w:ind w:left="2098" w:hanging="2580"/>
    </w:pPr>
  </w:style>
  <w:style w:type="paragraph" w:customStyle="1" w:styleId="RenumProvSubsectEntries">
    <w:name w:val="RenumProvSubsectEntries"/>
    <w:basedOn w:val="RenumProvEntries"/>
    <w:rsid w:val="00903C3C"/>
    <w:pPr>
      <w:ind w:left="252"/>
    </w:pPr>
  </w:style>
  <w:style w:type="paragraph" w:customStyle="1" w:styleId="IshadedSchClause">
    <w:name w:val="I shaded Sch Clause"/>
    <w:basedOn w:val="IshadedH5Sec"/>
    <w:rsid w:val="00903C3C"/>
  </w:style>
  <w:style w:type="paragraph" w:customStyle="1" w:styleId="IshadedH5Sec">
    <w:name w:val="I shaded H5 Sec"/>
    <w:basedOn w:val="AH5Sec"/>
    <w:rsid w:val="00903C3C"/>
    <w:pPr>
      <w:shd w:val="pct25" w:color="auto" w:fill="auto"/>
      <w:outlineLvl w:val="9"/>
    </w:pPr>
  </w:style>
  <w:style w:type="paragraph" w:customStyle="1" w:styleId="Endnote4">
    <w:name w:val="Endnote4"/>
    <w:basedOn w:val="Endnote20"/>
    <w:rsid w:val="00903C3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03C3C"/>
    <w:pPr>
      <w:keepNext/>
      <w:tabs>
        <w:tab w:val="clear" w:pos="900"/>
        <w:tab w:val="clear" w:pos="1100"/>
      </w:tabs>
      <w:spacing w:before="300"/>
      <w:ind w:left="0" w:firstLine="0"/>
      <w:outlineLvl w:val="9"/>
    </w:pPr>
    <w:rPr>
      <w:i/>
    </w:rPr>
  </w:style>
  <w:style w:type="paragraph" w:customStyle="1" w:styleId="Penalty">
    <w:name w:val="Penalty"/>
    <w:basedOn w:val="Amainreturn"/>
    <w:rsid w:val="00903C3C"/>
  </w:style>
  <w:style w:type="paragraph" w:customStyle="1" w:styleId="LongTitleSymb">
    <w:name w:val="LongTitleSymb"/>
    <w:basedOn w:val="LongTitle"/>
    <w:rsid w:val="00903C3C"/>
    <w:pPr>
      <w:ind w:hanging="480"/>
    </w:pPr>
  </w:style>
  <w:style w:type="paragraph" w:customStyle="1" w:styleId="EffectiveDate">
    <w:name w:val="EffectiveDate"/>
    <w:basedOn w:val="Normal"/>
    <w:rsid w:val="00903C3C"/>
    <w:pPr>
      <w:spacing w:before="120"/>
    </w:pPr>
    <w:rPr>
      <w:rFonts w:ascii="Arial" w:hAnsi="Arial"/>
      <w:b/>
      <w:sz w:val="26"/>
    </w:rPr>
  </w:style>
  <w:style w:type="paragraph" w:customStyle="1" w:styleId="aNoteText">
    <w:name w:val="aNoteText"/>
    <w:basedOn w:val="aNoteSymb"/>
    <w:rsid w:val="00903C3C"/>
    <w:pPr>
      <w:spacing w:before="60"/>
      <w:ind w:firstLine="0"/>
    </w:pPr>
  </w:style>
  <w:style w:type="paragraph" w:customStyle="1" w:styleId="05Endnote0">
    <w:name w:val="05Endnote"/>
    <w:basedOn w:val="Normal"/>
    <w:rsid w:val="00903C3C"/>
  </w:style>
  <w:style w:type="paragraph" w:customStyle="1" w:styleId="AmdtEntriesDefL2">
    <w:name w:val="AmdtEntriesDefL2"/>
    <w:basedOn w:val="AmdtEntries"/>
    <w:rsid w:val="00903C3C"/>
    <w:pPr>
      <w:tabs>
        <w:tab w:val="left" w:pos="3000"/>
      </w:tabs>
      <w:ind w:left="3600" w:hanging="2500"/>
    </w:pPr>
  </w:style>
  <w:style w:type="character" w:customStyle="1" w:styleId="charContents">
    <w:name w:val="charContents"/>
    <w:basedOn w:val="DefaultParagraphFont"/>
    <w:rsid w:val="00903C3C"/>
  </w:style>
  <w:style w:type="character" w:customStyle="1" w:styleId="charPage">
    <w:name w:val="charPage"/>
    <w:basedOn w:val="DefaultParagraphFont"/>
    <w:rsid w:val="00903C3C"/>
  </w:style>
  <w:style w:type="paragraph" w:customStyle="1" w:styleId="FooterInfoCentre">
    <w:name w:val="FooterInfoCentre"/>
    <w:basedOn w:val="FooterInfo"/>
    <w:rsid w:val="00903C3C"/>
    <w:pPr>
      <w:spacing w:before="60"/>
      <w:jc w:val="center"/>
    </w:pPr>
  </w:style>
  <w:style w:type="paragraph" w:styleId="MacroText">
    <w:name w:val="macro"/>
    <w:semiHidden/>
    <w:rsid w:val="00903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03C3C"/>
    <w:pPr>
      <w:spacing w:before="60"/>
      <w:ind w:left="1100"/>
      <w:jc w:val="both"/>
    </w:pPr>
    <w:rPr>
      <w:sz w:val="20"/>
    </w:rPr>
  </w:style>
  <w:style w:type="paragraph" w:customStyle="1" w:styleId="aExamHdgss">
    <w:name w:val="aExamHdgss"/>
    <w:basedOn w:val="BillBasicHeading"/>
    <w:next w:val="Normal"/>
    <w:rsid w:val="00903C3C"/>
    <w:pPr>
      <w:tabs>
        <w:tab w:val="clear" w:pos="2600"/>
      </w:tabs>
      <w:ind w:left="1100"/>
    </w:pPr>
    <w:rPr>
      <w:sz w:val="18"/>
    </w:rPr>
  </w:style>
  <w:style w:type="paragraph" w:customStyle="1" w:styleId="aExamss">
    <w:name w:val="aExamss"/>
    <w:basedOn w:val="aNoteSymb"/>
    <w:rsid w:val="00903C3C"/>
    <w:pPr>
      <w:spacing w:before="60"/>
      <w:ind w:left="1100" w:firstLine="0"/>
    </w:pPr>
  </w:style>
  <w:style w:type="paragraph" w:customStyle="1" w:styleId="aExamINumss">
    <w:name w:val="aExamINumss"/>
    <w:basedOn w:val="aExamss"/>
    <w:rsid w:val="00903C3C"/>
    <w:pPr>
      <w:tabs>
        <w:tab w:val="left" w:pos="1500"/>
      </w:tabs>
      <w:ind w:left="1500" w:hanging="400"/>
    </w:pPr>
  </w:style>
  <w:style w:type="paragraph" w:customStyle="1" w:styleId="aExamNumTextss">
    <w:name w:val="aExamNumTextss"/>
    <w:basedOn w:val="aExamss"/>
    <w:rsid w:val="00903C3C"/>
    <w:pPr>
      <w:ind w:left="1500"/>
    </w:pPr>
  </w:style>
  <w:style w:type="paragraph" w:customStyle="1" w:styleId="AExamIPara">
    <w:name w:val="AExamIPara"/>
    <w:basedOn w:val="aExam"/>
    <w:rsid w:val="00903C3C"/>
    <w:pPr>
      <w:tabs>
        <w:tab w:val="right" w:pos="1720"/>
        <w:tab w:val="left" w:pos="2000"/>
      </w:tabs>
      <w:ind w:left="2000" w:hanging="900"/>
    </w:pPr>
  </w:style>
  <w:style w:type="paragraph" w:customStyle="1" w:styleId="aNoteTextss">
    <w:name w:val="aNoteTextss"/>
    <w:basedOn w:val="Normal"/>
    <w:rsid w:val="00903C3C"/>
    <w:pPr>
      <w:spacing w:before="60"/>
      <w:ind w:left="1900"/>
      <w:jc w:val="both"/>
    </w:pPr>
    <w:rPr>
      <w:sz w:val="20"/>
    </w:rPr>
  </w:style>
  <w:style w:type="paragraph" w:customStyle="1" w:styleId="aNoteParass">
    <w:name w:val="aNoteParass"/>
    <w:basedOn w:val="Normal"/>
    <w:rsid w:val="00903C3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03C3C"/>
    <w:pPr>
      <w:ind w:left="1600"/>
    </w:pPr>
  </w:style>
  <w:style w:type="paragraph" w:customStyle="1" w:styleId="aExampar">
    <w:name w:val="aExampar"/>
    <w:basedOn w:val="aExamss"/>
    <w:rsid w:val="00903C3C"/>
    <w:pPr>
      <w:ind w:left="1600"/>
    </w:pPr>
  </w:style>
  <w:style w:type="paragraph" w:customStyle="1" w:styleId="aNotepar">
    <w:name w:val="aNotepar"/>
    <w:basedOn w:val="BillBasic"/>
    <w:next w:val="Normal"/>
    <w:rsid w:val="00903C3C"/>
    <w:pPr>
      <w:ind w:left="2400" w:hanging="800"/>
    </w:pPr>
    <w:rPr>
      <w:sz w:val="20"/>
    </w:rPr>
  </w:style>
  <w:style w:type="paragraph" w:customStyle="1" w:styleId="aNoteTextpar">
    <w:name w:val="aNoteTextpar"/>
    <w:basedOn w:val="aNotepar"/>
    <w:rsid w:val="00903C3C"/>
    <w:pPr>
      <w:spacing w:before="60"/>
      <w:ind w:firstLine="0"/>
    </w:pPr>
  </w:style>
  <w:style w:type="paragraph" w:customStyle="1" w:styleId="aNoteParapar">
    <w:name w:val="aNoteParapar"/>
    <w:basedOn w:val="aNotepar"/>
    <w:rsid w:val="00903C3C"/>
    <w:pPr>
      <w:tabs>
        <w:tab w:val="right" w:pos="2640"/>
      </w:tabs>
      <w:spacing w:before="60"/>
      <w:ind w:left="2920" w:hanging="1320"/>
    </w:pPr>
  </w:style>
  <w:style w:type="paragraph" w:customStyle="1" w:styleId="aExamHdgsubpar">
    <w:name w:val="aExamHdgsubpar"/>
    <w:basedOn w:val="aExamHdgss"/>
    <w:next w:val="Normal"/>
    <w:rsid w:val="00903C3C"/>
    <w:pPr>
      <w:ind w:left="2140"/>
    </w:pPr>
  </w:style>
  <w:style w:type="paragraph" w:customStyle="1" w:styleId="aExamsubpar">
    <w:name w:val="aExamsubpar"/>
    <w:basedOn w:val="aExamss"/>
    <w:rsid w:val="00903C3C"/>
    <w:pPr>
      <w:ind w:left="2140"/>
    </w:pPr>
  </w:style>
  <w:style w:type="paragraph" w:customStyle="1" w:styleId="aNotesubpar">
    <w:name w:val="aNotesubpar"/>
    <w:basedOn w:val="BillBasic"/>
    <w:next w:val="Normal"/>
    <w:rsid w:val="00903C3C"/>
    <w:pPr>
      <w:ind w:left="2940" w:hanging="800"/>
    </w:pPr>
    <w:rPr>
      <w:sz w:val="20"/>
    </w:rPr>
  </w:style>
  <w:style w:type="paragraph" w:customStyle="1" w:styleId="aNoteTextsubpar">
    <w:name w:val="aNoteTextsubpar"/>
    <w:basedOn w:val="aNotesubpar"/>
    <w:rsid w:val="00903C3C"/>
    <w:pPr>
      <w:spacing w:before="60"/>
      <w:ind w:firstLine="0"/>
    </w:pPr>
  </w:style>
  <w:style w:type="paragraph" w:customStyle="1" w:styleId="aExamBulletss">
    <w:name w:val="aExamBulletss"/>
    <w:basedOn w:val="aExamss"/>
    <w:rsid w:val="00903C3C"/>
    <w:pPr>
      <w:ind w:left="1500" w:hanging="400"/>
    </w:pPr>
  </w:style>
  <w:style w:type="paragraph" w:customStyle="1" w:styleId="aNoteBulletss">
    <w:name w:val="aNoteBulletss"/>
    <w:basedOn w:val="Normal"/>
    <w:rsid w:val="00903C3C"/>
    <w:pPr>
      <w:spacing w:before="60"/>
      <w:ind w:left="2300" w:hanging="400"/>
      <w:jc w:val="both"/>
    </w:pPr>
    <w:rPr>
      <w:sz w:val="20"/>
    </w:rPr>
  </w:style>
  <w:style w:type="paragraph" w:customStyle="1" w:styleId="aExamBulletpar">
    <w:name w:val="aExamBulletpar"/>
    <w:basedOn w:val="aExampar"/>
    <w:rsid w:val="00903C3C"/>
    <w:pPr>
      <w:ind w:left="2000" w:hanging="400"/>
    </w:pPr>
  </w:style>
  <w:style w:type="paragraph" w:customStyle="1" w:styleId="aNoteBulletpar">
    <w:name w:val="aNoteBulletpar"/>
    <w:basedOn w:val="aNotepar"/>
    <w:rsid w:val="00903C3C"/>
    <w:pPr>
      <w:spacing w:before="60"/>
      <w:ind w:left="2800" w:hanging="400"/>
    </w:pPr>
  </w:style>
  <w:style w:type="paragraph" w:customStyle="1" w:styleId="aExplanBullet">
    <w:name w:val="aExplanBullet"/>
    <w:basedOn w:val="Normal"/>
    <w:rsid w:val="00903C3C"/>
    <w:pPr>
      <w:spacing w:before="140"/>
      <w:ind w:left="400" w:hanging="400"/>
      <w:jc w:val="both"/>
    </w:pPr>
    <w:rPr>
      <w:snapToGrid w:val="0"/>
      <w:sz w:val="20"/>
    </w:rPr>
  </w:style>
  <w:style w:type="paragraph" w:customStyle="1" w:styleId="Actbullet">
    <w:name w:val="Act bullet"/>
    <w:basedOn w:val="Normal"/>
    <w:uiPriority w:val="99"/>
    <w:rsid w:val="00903C3C"/>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903C3C"/>
    <w:pPr>
      <w:ind w:left="0"/>
    </w:pPr>
    <w:rPr>
      <w:sz w:val="18"/>
    </w:rPr>
  </w:style>
  <w:style w:type="paragraph" w:customStyle="1" w:styleId="PrincipalActdetails">
    <w:name w:val="Principal Act details"/>
    <w:basedOn w:val="Actdetails"/>
    <w:rsid w:val="00AE1CED"/>
    <w:pPr>
      <w:ind w:left="600" w:right="-60"/>
    </w:pPr>
    <w:rPr>
      <w:sz w:val="18"/>
      <w:lang w:val="en-US"/>
    </w:rPr>
  </w:style>
  <w:style w:type="paragraph" w:customStyle="1" w:styleId="NewActorRegnote">
    <w:name w:val="New Act or Reg note"/>
    <w:basedOn w:val="NewAct"/>
    <w:rsid w:val="00AE1CED"/>
    <w:pPr>
      <w:spacing w:before="60"/>
      <w:ind w:left="1320" w:hanging="720"/>
    </w:pPr>
    <w:rPr>
      <w:b w:val="0"/>
      <w:sz w:val="18"/>
    </w:rPr>
  </w:style>
  <w:style w:type="paragraph" w:customStyle="1" w:styleId="NewActNo">
    <w:name w:val="New Act No"/>
    <w:basedOn w:val="NewAct"/>
    <w:rsid w:val="00AE1CED"/>
    <w:pPr>
      <w:ind w:left="0"/>
    </w:pPr>
  </w:style>
  <w:style w:type="paragraph" w:customStyle="1" w:styleId="SchApara">
    <w:name w:val="Sch A para"/>
    <w:basedOn w:val="Apara"/>
    <w:rsid w:val="00903C3C"/>
  </w:style>
  <w:style w:type="paragraph" w:customStyle="1" w:styleId="SchAsubpara">
    <w:name w:val="Sch A subpara"/>
    <w:basedOn w:val="Asubpara"/>
    <w:rsid w:val="00903C3C"/>
  </w:style>
  <w:style w:type="paragraph" w:customStyle="1" w:styleId="SchAsubsubpara">
    <w:name w:val="Sch A subsubpara"/>
    <w:basedOn w:val="Asubsubpara"/>
    <w:rsid w:val="00903C3C"/>
  </w:style>
  <w:style w:type="paragraph" w:customStyle="1" w:styleId="TOCOL1">
    <w:name w:val="TOCOL 1"/>
    <w:basedOn w:val="TOC1"/>
    <w:rsid w:val="00903C3C"/>
  </w:style>
  <w:style w:type="paragraph" w:customStyle="1" w:styleId="TOCOL2">
    <w:name w:val="TOCOL 2"/>
    <w:basedOn w:val="TOC2"/>
    <w:rsid w:val="00903C3C"/>
    <w:pPr>
      <w:keepNext w:val="0"/>
    </w:pPr>
  </w:style>
  <w:style w:type="paragraph" w:customStyle="1" w:styleId="TOCOL3">
    <w:name w:val="TOCOL 3"/>
    <w:basedOn w:val="TOC3"/>
    <w:rsid w:val="00903C3C"/>
    <w:pPr>
      <w:keepNext w:val="0"/>
    </w:pPr>
  </w:style>
  <w:style w:type="paragraph" w:customStyle="1" w:styleId="TOCOL4">
    <w:name w:val="TOCOL 4"/>
    <w:basedOn w:val="TOC4"/>
    <w:rsid w:val="00903C3C"/>
    <w:pPr>
      <w:keepNext w:val="0"/>
    </w:pPr>
  </w:style>
  <w:style w:type="paragraph" w:customStyle="1" w:styleId="TOCOL5">
    <w:name w:val="TOCOL 5"/>
    <w:basedOn w:val="TOC5"/>
    <w:rsid w:val="00903C3C"/>
    <w:pPr>
      <w:tabs>
        <w:tab w:val="left" w:pos="400"/>
      </w:tabs>
    </w:pPr>
  </w:style>
  <w:style w:type="paragraph" w:customStyle="1" w:styleId="TOCOL6">
    <w:name w:val="TOCOL 6"/>
    <w:basedOn w:val="TOC6"/>
    <w:rsid w:val="00903C3C"/>
    <w:pPr>
      <w:keepNext w:val="0"/>
    </w:pPr>
  </w:style>
  <w:style w:type="paragraph" w:customStyle="1" w:styleId="TOCOL7">
    <w:name w:val="TOCOL 7"/>
    <w:basedOn w:val="TOC7"/>
    <w:rsid w:val="00903C3C"/>
  </w:style>
  <w:style w:type="paragraph" w:customStyle="1" w:styleId="TOCOL8">
    <w:name w:val="TOCOL 8"/>
    <w:basedOn w:val="TOC8"/>
    <w:rsid w:val="00903C3C"/>
  </w:style>
  <w:style w:type="paragraph" w:customStyle="1" w:styleId="TOCOL9">
    <w:name w:val="TOCOL 9"/>
    <w:basedOn w:val="TOC9"/>
    <w:rsid w:val="00903C3C"/>
    <w:pPr>
      <w:ind w:right="0"/>
    </w:pPr>
  </w:style>
  <w:style w:type="paragraph" w:customStyle="1" w:styleId="TOC10">
    <w:name w:val="TOC 10"/>
    <w:basedOn w:val="TOC5"/>
    <w:rsid w:val="00903C3C"/>
    <w:rPr>
      <w:szCs w:val="24"/>
    </w:rPr>
  </w:style>
  <w:style w:type="character" w:customStyle="1" w:styleId="charNotBold">
    <w:name w:val="charNotBold"/>
    <w:basedOn w:val="DefaultParagraphFont"/>
    <w:rsid w:val="00903C3C"/>
    <w:rPr>
      <w:rFonts w:ascii="Arial" w:hAnsi="Arial"/>
      <w:sz w:val="20"/>
    </w:rPr>
  </w:style>
  <w:style w:type="paragraph" w:customStyle="1" w:styleId="Billname1">
    <w:name w:val="Billname1"/>
    <w:basedOn w:val="Normal"/>
    <w:rsid w:val="00903C3C"/>
    <w:pPr>
      <w:tabs>
        <w:tab w:val="left" w:pos="2400"/>
      </w:tabs>
      <w:spacing w:before="1220"/>
    </w:pPr>
    <w:rPr>
      <w:rFonts w:ascii="Arial" w:hAnsi="Arial"/>
      <w:b/>
      <w:sz w:val="40"/>
    </w:rPr>
  </w:style>
  <w:style w:type="paragraph" w:customStyle="1" w:styleId="Actdetailsnote">
    <w:name w:val="Act details note"/>
    <w:basedOn w:val="Actdetails"/>
    <w:uiPriority w:val="99"/>
    <w:rsid w:val="00903C3C"/>
    <w:pPr>
      <w:ind w:left="1620" w:right="-60" w:hanging="720"/>
    </w:pPr>
    <w:rPr>
      <w:sz w:val="18"/>
    </w:rPr>
  </w:style>
  <w:style w:type="paragraph" w:customStyle="1" w:styleId="Actdetailsshaded">
    <w:name w:val="Act details shaded"/>
    <w:basedOn w:val="Normal"/>
    <w:rsid w:val="00AE1CED"/>
    <w:pPr>
      <w:shd w:val="pct15" w:color="auto" w:fill="FFFFFF"/>
      <w:ind w:left="900" w:right="-60"/>
    </w:pPr>
    <w:rPr>
      <w:rFonts w:ascii="Arial" w:hAnsi="Arial"/>
      <w:sz w:val="18"/>
      <w:lang w:val="en-US"/>
    </w:rPr>
  </w:style>
  <w:style w:type="paragraph" w:customStyle="1" w:styleId="Actbulletshaded">
    <w:name w:val="Act bullet shaded"/>
    <w:basedOn w:val="Actbullet"/>
    <w:rsid w:val="00AE1CED"/>
    <w:pPr>
      <w:numPr>
        <w:numId w:val="1"/>
      </w:numPr>
      <w:shd w:val="pct15" w:color="auto" w:fill="FFFFFF"/>
    </w:pPr>
  </w:style>
  <w:style w:type="paragraph" w:customStyle="1" w:styleId="TablePara10">
    <w:name w:val="TablePara10"/>
    <w:basedOn w:val="tablepara"/>
    <w:rsid w:val="00903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3C3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03C3C"/>
    <w:rPr>
      <w:sz w:val="20"/>
    </w:rPr>
  </w:style>
  <w:style w:type="paragraph" w:styleId="BalloonText">
    <w:name w:val="Balloon Text"/>
    <w:basedOn w:val="Normal"/>
    <w:link w:val="BalloonTextChar"/>
    <w:uiPriority w:val="99"/>
    <w:unhideWhenUsed/>
    <w:rsid w:val="00903C3C"/>
    <w:rPr>
      <w:rFonts w:ascii="Tahoma" w:hAnsi="Tahoma" w:cs="Tahoma"/>
      <w:sz w:val="16"/>
      <w:szCs w:val="16"/>
    </w:rPr>
  </w:style>
  <w:style w:type="character" w:customStyle="1" w:styleId="BalloonTextChar">
    <w:name w:val="Balloon Text Char"/>
    <w:basedOn w:val="DefaultParagraphFont"/>
    <w:link w:val="BalloonText"/>
    <w:uiPriority w:val="99"/>
    <w:rsid w:val="00903C3C"/>
    <w:rPr>
      <w:rFonts w:ascii="Tahoma" w:hAnsi="Tahoma" w:cs="Tahoma"/>
      <w:sz w:val="16"/>
      <w:szCs w:val="16"/>
      <w:lang w:eastAsia="en-US"/>
    </w:rPr>
  </w:style>
  <w:style w:type="character" w:styleId="Hyperlink">
    <w:name w:val="Hyperlink"/>
    <w:basedOn w:val="DefaultParagraphFont"/>
    <w:uiPriority w:val="99"/>
    <w:unhideWhenUsed/>
    <w:rsid w:val="00903C3C"/>
    <w:rPr>
      <w:color w:val="0000FF" w:themeColor="hyperlink"/>
      <w:u w:val="single"/>
    </w:rPr>
  </w:style>
  <w:style w:type="paragraph" w:customStyle="1" w:styleId="aExamINumpar">
    <w:name w:val="aExamINumpar"/>
    <w:basedOn w:val="aExampar"/>
    <w:rsid w:val="00903C3C"/>
    <w:pPr>
      <w:tabs>
        <w:tab w:val="left" w:pos="2000"/>
      </w:tabs>
      <w:ind w:left="2000" w:hanging="400"/>
    </w:pPr>
  </w:style>
  <w:style w:type="paragraph" w:customStyle="1" w:styleId="ShadedSchClauseSymb">
    <w:name w:val="Shaded Sch Clause Symb"/>
    <w:basedOn w:val="ShadedSchClause"/>
    <w:rsid w:val="00903C3C"/>
    <w:pPr>
      <w:tabs>
        <w:tab w:val="left" w:pos="0"/>
      </w:tabs>
      <w:ind w:left="975" w:hanging="1457"/>
    </w:pPr>
  </w:style>
  <w:style w:type="paragraph" w:customStyle="1" w:styleId="CoverTextBullet">
    <w:name w:val="CoverTextBullet"/>
    <w:basedOn w:val="CoverText"/>
    <w:qFormat/>
    <w:rsid w:val="00903C3C"/>
    <w:pPr>
      <w:numPr>
        <w:numId w:val="3"/>
      </w:numPr>
    </w:pPr>
    <w:rPr>
      <w:color w:val="000000"/>
    </w:rPr>
  </w:style>
  <w:style w:type="paragraph" w:customStyle="1" w:styleId="01aPreamble">
    <w:name w:val="01aPreamble"/>
    <w:basedOn w:val="Normal"/>
    <w:qFormat/>
    <w:rsid w:val="00903C3C"/>
  </w:style>
  <w:style w:type="paragraph" w:customStyle="1" w:styleId="TableBullet">
    <w:name w:val="TableBullet"/>
    <w:basedOn w:val="TableText10"/>
    <w:qFormat/>
    <w:rsid w:val="00903C3C"/>
    <w:pPr>
      <w:numPr>
        <w:numId w:val="6"/>
      </w:numPr>
    </w:pPr>
  </w:style>
  <w:style w:type="paragraph" w:customStyle="1" w:styleId="TableNumbered">
    <w:name w:val="TableNumbered"/>
    <w:basedOn w:val="TableText10"/>
    <w:qFormat/>
    <w:rsid w:val="00903C3C"/>
    <w:pPr>
      <w:numPr>
        <w:numId w:val="7"/>
      </w:numPr>
    </w:pPr>
  </w:style>
  <w:style w:type="character" w:customStyle="1" w:styleId="charCitHyperlinkItal">
    <w:name w:val="charCitHyperlinkItal"/>
    <w:basedOn w:val="Hyperlink"/>
    <w:uiPriority w:val="1"/>
    <w:rsid w:val="00903C3C"/>
    <w:rPr>
      <w:i/>
      <w:color w:val="0000FF" w:themeColor="hyperlink"/>
      <w:u w:val="none"/>
    </w:rPr>
  </w:style>
  <w:style w:type="character" w:customStyle="1" w:styleId="charCitHyperlinkAbbrev">
    <w:name w:val="charCitHyperlinkAbbrev"/>
    <w:basedOn w:val="Hyperlink"/>
    <w:uiPriority w:val="1"/>
    <w:rsid w:val="00903C3C"/>
    <w:rPr>
      <w:color w:val="0000FF" w:themeColor="hyperlink"/>
      <w:u w:val="none"/>
    </w:rPr>
  </w:style>
  <w:style w:type="character" w:customStyle="1" w:styleId="Heading3Char">
    <w:name w:val="Heading 3 Char"/>
    <w:aliases w:val="h3 Char,sec Char"/>
    <w:basedOn w:val="DefaultParagraphFont"/>
    <w:link w:val="Heading3"/>
    <w:rsid w:val="00903C3C"/>
    <w:rPr>
      <w:b/>
      <w:sz w:val="24"/>
      <w:lang w:eastAsia="en-US"/>
    </w:rPr>
  </w:style>
  <w:style w:type="paragraph" w:customStyle="1" w:styleId="parainpara">
    <w:name w:val="para in para"/>
    <w:rsid w:val="00903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3C3C"/>
    <w:pPr>
      <w:spacing w:after="60"/>
      <w:ind w:left="2800"/>
    </w:pPr>
    <w:rPr>
      <w:rFonts w:ascii="ACTCrest" w:hAnsi="ACTCrest"/>
      <w:sz w:val="216"/>
    </w:rPr>
  </w:style>
  <w:style w:type="paragraph" w:customStyle="1" w:styleId="ISchMain">
    <w:name w:val="I Sch Main"/>
    <w:basedOn w:val="BillBasic"/>
    <w:rsid w:val="00903C3C"/>
    <w:pPr>
      <w:tabs>
        <w:tab w:val="right" w:pos="900"/>
        <w:tab w:val="left" w:pos="1100"/>
      </w:tabs>
      <w:ind w:left="1100" w:hanging="1100"/>
    </w:pPr>
  </w:style>
  <w:style w:type="paragraph" w:customStyle="1" w:styleId="ISchpara">
    <w:name w:val="I Sch para"/>
    <w:basedOn w:val="BillBasic"/>
    <w:rsid w:val="00903C3C"/>
    <w:pPr>
      <w:tabs>
        <w:tab w:val="right" w:pos="1400"/>
        <w:tab w:val="left" w:pos="1600"/>
      </w:tabs>
      <w:ind w:left="1600" w:hanging="1600"/>
    </w:pPr>
  </w:style>
  <w:style w:type="paragraph" w:customStyle="1" w:styleId="ISchsubpara">
    <w:name w:val="I Sch subpara"/>
    <w:basedOn w:val="BillBasic"/>
    <w:rsid w:val="00903C3C"/>
    <w:pPr>
      <w:tabs>
        <w:tab w:val="right" w:pos="1940"/>
        <w:tab w:val="left" w:pos="2140"/>
      </w:tabs>
      <w:ind w:left="2140" w:hanging="2140"/>
    </w:pPr>
  </w:style>
  <w:style w:type="paragraph" w:customStyle="1" w:styleId="ISchsubsubpara">
    <w:name w:val="I Sch subsubpara"/>
    <w:basedOn w:val="BillBasic"/>
    <w:rsid w:val="00903C3C"/>
    <w:pPr>
      <w:tabs>
        <w:tab w:val="right" w:pos="2460"/>
        <w:tab w:val="left" w:pos="2660"/>
      </w:tabs>
      <w:ind w:left="2660" w:hanging="2660"/>
    </w:pPr>
  </w:style>
  <w:style w:type="paragraph" w:customStyle="1" w:styleId="AssectheadingSymb">
    <w:name w:val="A ssect heading Symb"/>
    <w:basedOn w:val="Amain"/>
    <w:rsid w:val="00903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3C3C"/>
    <w:pPr>
      <w:tabs>
        <w:tab w:val="left" w:pos="0"/>
        <w:tab w:val="right" w:pos="2400"/>
        <w:tab w:val="left" w:pos="2600"/>
      </w:tabs>
      <w:ind w:left="2602" w:hanging="3084"/>
      <w:outlineLvl w:val="8"/>
    </w:pPr>
  </w:style>
  <w:style w:type="paragraph" w:customStyle="1" w:styleId="AmainreturnSymb">
    <w:name w:val="A main return Symb"/>
    <w:basedOn w:val="BillBasic"/>
    <w:rsid w:val="00903C3C"/>
    <w:pPr>
      <w:tabs>
        <w:tab w:val="left" w:pos="1582"/>
      </w:tabs>
      <w:ind w:left="1100" w:hanging="1582"/>
    </w:pPr>
  </w:style>
  <w:style w:type="paragraph" w:customStyle="1" w:styleId="AparareturnSymb">
    <w:name w:val="A para return Symb"/>
    <w:basedOn w:val="BillBasic"/>
    <w:rsid w:val="00903C3C"/>
    <w:pPr>
      <w:tabs>
        <w:tab w:val="left" w:pos="2081"/>
      </w:tabs>
      <w:ind w:left="1599" w:hanging="2081"/>
    </w:pPr>
  </w:style>
  <w:style w:type="paragraph" w:customStyle="1" w:styleId="AsubparareturnSymb">
    <w:name w:val="A subpara return Symb"/>
    <w:basedOn w:val="BillBasic"/>
    <w:rsid w:val="00903C3C"/>
    <w:pPr>
      <w:tabs>
        <w:tab w:val="left" w:pos="2580"/>
      </w:tabs>
      <w:ind w:left="2098" w:hanging="2580"/>
    </w:pPr>
  </w:style>
  <w:style w:type="paragraph" w:customStyle="1" w:styleId="aDefSymb">
    <w:name w:val="aDef Symb"/>
    <w:basedOn w:val="BillBasic"/>
    <w:rsid w:val="00903C3C"/>
    <w:pPr>
      <w:tabs>
        <w:tab w:val="left" w:pos="1582"/>
      </w:tabs>
      <w:ind w:left="1100" w:hanging="1582"/>
    </w:pPr>
  </w:style>
  <w:style w:type="paragraph" w:customStyle="1" w:styleId="aDefparaSymb">
    <w:name w:val="aDef para Symb"/>
    <w:basedOn w:val="Apara"/>
    <w:rsid w:val="00903C3C"/>
    <w:pPr>
      <w:tabs>
        <w:tab w:val="clear" w:pos="1600"/>
        <w:tab w:val="left" w:pos="0"/>
        <w:tab w:val="left" w:pos="1599"/>
      </w:tabs>
      <w:ind w:left="1599" w:hanging="2081"/>
    </w:pPr>
  </w:style>
  <w:style w:type="paragraph" w:customStyle="1" w:styleId="aDefsubparaSymb">
    <w:name w:val="aDef subpara Symb"/>
    <w:basedOn w:val="Asubpara"/>
    <w:rsid w:val="00903C3C"/>
    <w:pPr>
      <w:tabs>
        <w:tab w:val="left" w:pos="0"/>
      </w:tabs>
      <w:ind w:left="2098" w:hanging="2580"/>
    </w:pPr>
  </w:style>
  <w:style w:type="paragraph" w:customStyle="1" w:styleId="SchAmainSymb">
    <w:name w:val="Sch A main Symb"/>
    <w:basedOn w:val="Amain"/>
    <w:rsid w:val="00903C3C"/>
    <w:pPr>
      <w:tabs>
        <w:tab w:val="left" w:pos="0"/>
      </w:tabs>
      <w:ind w:hanging="1580"/>
    </w:pPr>
  </w:style>
  <w:style w:type="paragraph" w:customStyle="1" w:styleId="SchAparaSymb">
    <w:name w:val="Sch A para Symb"/>
    <w:basedOn w:val="Apara"/>
    <w:rsid w:val="00903C3C"/>
    <w:pPr>
      <w:tabs>
        <w:tab w:val="left" w:pos="0"/>
      </w:tabs>
      <w:ind w:hanging="2080"/>
    </w:pPr>
  </w:style>
  <w:style w:type="paragraph" w:customStyle="1" w:styleId="SchAsubparaSymb">
    <w:name w:val="Sch A subpara Symb"/>
    <w:basedOn w:val="Asubpara"/>
    <w:rsid w:val="00903C3C"/>
    <w:pPr>
      <w:tabs>
        <w:tab w:val="left" w:pos="0"/>
      </w:tabs>
      <w:ind w:hanging="2580"/>
    </w:pPr>
  </w:style>
  <w:style w:type="paragraph" w:customStyle="1" w:styleId="SchAsubsubparaSymb">
    <w:name w:val="Sch A subsubpara Symb"/>
    <w:basedOn w:val="AsubsubparaSymb"/>
    <w:rsid w:val="00903C3C"/>
  </w:style>
  <w:style w:type="paragraph" w:customStyle="1" w:styleId="refSymb">
    <w:name w:val="ref Symb"/>
    <w:basedOn w:val="BillBasic"/>
    <w:next w:val="Normal"/>
    <w:rsid w:val="00903C3C"/>
    <w:pPr>
      <w:tabs>
        <w:tab w:val="left" w:pos="-480"/>
      </w:tabs>
      <w:spacing w:before="60"/>
      <w:ind w:hanging="480"/>
    </w:pPr>
    <w:rPr>
      <w:sz w:val="18"/>
    </w:rPr>
  </w:style>
  <w:style w:type="paragraph" w:customStyle="1" w:styleId="IshadedH5SecSymb">
    <w:name w:val="I shaded H5 Sec Symb"/>
    <w:basedOn w:val="AH5Sec"/>
    <w:rsid w:val="00903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3C3C"/>
    <w:pPr>
      <w:tabs>
        <w:tab w:val="clear" w:pos="-1580"/>
      </w:tabs>
      <w:ind w:left="975" w:hanging="1457"/>
    </w:pPr>
  </w:style>
  <w:style w:type="paragraph" w:customStyle="1" w:styleId="IH1ChapSymb">
    <w:name w:val="I H1 Chap Symb"/>
    <w:basedOn w:val="BillBasicHeading"/>
    <w:next w:val="Normal"/>
    <w:rsid w:val="00903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3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3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3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3C3C"/>
    <w:pPr>
      <w:tabs>
        <w:tab w:val="clear" w:pos="2600"/>
        <w:tab w:val="left" w:pos="-1580"/>
        <w:tab w:val="left" w:pos="0"/>
        <w:tab w:val="left" w:pos="1100"/>
      </w:tabs>
      <w:spacing w:before="240"/>
      <w:ind w:left="1100" w:hanging="1580"/>
    </w:pPr>
  </w:style>
  <w:style w:type="paragraph" w:customStyle="1" w:styleId="IMainSymb">
    <w:name w:val="I Main Symb"/>
    <w:basedOn w:val="Amain"/>
    <w:rsid w:val="00903C3C"/>
    <w:pPr>
      <w:tabs>
        <w:tab w:val="left" w:pos="0"/>
      </w:tabs>
      <w:ind w:hanging="1580"/>
    </w:pPr>
  </w:style>
  <w:style w:type="paragraph" w:customStyle="1" w:styleId="IparaSymb">
    <w:name w:val="I para Symb"/>
    <w:basedOn w:val="Apara"/>
    <w:rsid w:val="00903C3C"/>
    <w:pPr>
      <w:tabs>
        <w:tab w:val="left" w:pos="0"/>
      </w:tabs>
      <w:ind w:hanging="2080"/>
      <w:outlineLvl w:val="9"/>
    </w:pPr>
  </w:style>
  <w:style w:type="paragraph" w:customStyle="1" w:styleId="IsubparaSymb">
    <w:name w:val="I subpara Symb"/>
    <w:basedOn w:val="Asubpara"/>
    <w:rsid w:val="00903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3C3C"/>
    <w:pPr>
      <w:tabs>
        <w:tab w:val="clear" w:pos="2400"/>
        <w:tab w:val="clear" w:pos="2600"/>
        <w:tab w:val="right" w:pos="2460"/>
        <w:tab w:val="left" w:pos="2660"/>
      </w:tabs>
      <w:ind w:left="2660" w:hanging="3140"/>
    </w:pPr>
  </w:style>
  <w:style w:type="paragraph" w:customStyle="1" w:styleId="IdefparaSymb">
    <w:name w:val="I def para Symb"/>
    <w:basedOn w:val="IparaSymb"/>
    <w:rsid w:val="00903C3C"/>
    <w:pPr>
      <w:ind w:left="1599" w:hanging="2081"/>
    </w:pPr>
  </w:style>
  <w:style w:type="paragraph" w:customStyle="1" w:styleId="IdefsubparaSymb">
    <w:name w:val="I def subpara Symb"/>
    <w:basedOn w:val="IsubparaSymb"/>
    <w:rsid w:val="00903C3C"/>
    <w:pPr>
      <w:ind w:left="2138"/>
    </w:pPr>
  </w:style>
  <w:style w:type="paragraph" w:customStyle="1" w:styleId="ISched-headingSymb">
    <w:name w:val="I Sched-heading Symb"/>
    <w:basedOn w:val="BillBasicHeading"/>
    <w:next w:val="Normal"/>
    <w:rsid w:val="00903C3C"/>
    <w:pPr>
      <w:tabs>
        <w:tab w:val="left" w:pos="-3080"/>
        <w:tab w:val="left" w:pos="0"/>
      </w:tabs>
      <w:spacing w:before="320"/>
      <w:ind w:left="2600" w:hanging="3080"/>
    </w:pPr>
    <w:rPr>
      <w:sz w:val="34"/>
    </w:rPr>
  </w:style>
  <w:style w:type="paragraph" w:customStyle="1" w:styleId="ISched-PartSymb">
    <w:name w:val="I Sched-Part Symb"/>
    <w:basedOn w:val="BillBasicHeading"/>
    <w:rsid w:val="00903C3C"/>
    <w:pPr>
      <w:tabs>
        <w:tab w:val="left" w:pos="-3080"/>
        <w:tab w:val="left" w:pos="0"/>
      </w:tabs>
      <w:spacing w:before="380"/>
      <w:ind w:left="2600" w:hanging="3080"/>
    </w:pPr>
    <w:rPr>
      <w:sz w:val="32"/>
    </w:rPr>
  </w:style>
  <w:style w:type="paragraph" w:customStyle="1" w:styleId="ISched-formSymb">
    <w:name w:val="I Sched-form Symb"/>
    <w:basedOn w:val="BillBasicHeading"/>
    <w:rsid w:val="00903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3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3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3C3C"/>
    <w:pPr>
      <w:tabs>
        <w:tab w:val="left" w:pos="1100"/>
      </w:tabs>
      <w:spacing w:before="60"/>
      <w:ind w:left="1500" w:hanging="1986"/>
    </w:pPr>
  </w:style>
  <w:style w:type="paragraph" w:customStyle="1" w:styleId="aExamHdgssSymb">
    <w:name w:val="aExamHdgss Symb"/>
    <w:basedOn w:val="BillBasicHeading"/>
    <w:next w:val="Normal"/>
    <w:rsid w:val="00903C3C"/>
    <w:pPr>
      <w:tabs>
        <w:tab w:val="clear" w:pos="2600"/>
        <w:tab w:val="left" w:pos="1582"/>
      </w:tabs>
      <w:ind w:left="1100" w:hanging="1582"/>
    </w:pPr>
    <w:rPr>
      <w:sz w:val="18"/>
    </w:rPr>
  </w:style>
  <w:style w:type="paragraph" w:customStyle="1" w:styleId="aExamssSymb">
    <w:name w:val="aExamss Symb"/>
    <w:basedOn w:val="aNote"/>
    <w:rsid w:val="00903C3C"/>
    <w:pPr>
      <w:tabs>
        <w:tab w:val="left" w:pos="1582"/>
      </w:tabs>
      <w:spacing w:before="60"/>
      <w:ind w:left="1100" w:hanging="1582"/>
    </w:pPr>
  </w:style>
  <w:style w:type="paragraph" w:customStyle="1" w:styleId="aExamINumssSymb">
    <w:name w:val="aExamINumss Symb"/>
    <w:basedOn w:val="aExamssSymb"/>
    <w:rsid w:val="00903C3C"/>
    <w:pPr>
      <w:tabs>
        <w:tab w:val="left" w:pos="1100"/>
      </w:tabs>
      <w:ind w:left="1500" w:hanging="1986"/>
    </w:pPr>
  </w:style>
  <w:style w:type="paragraph" w:customStyle="1" w:styleId="aExamNumTextssSymb">
    <w:name w:val="aExamNumTextss Symb"/>
    <w:basedOn w:val="aExamssSymb"/>
    <w:rsid w:val="00903C3C"/>
    <w:pPr>
      <w:tabs>
        <w:tab w:val="clear" w:pos="1582"/>
        <w:tab w:val="left" w:pos="1985"/>
      </w:tabs>
      <w:ind w:left="1503" w:hanging="1985"/>
    </w:pPr>
  </w:style>
  <w:style w:type="paragraph" w:customStyle="1" w:styleId="AExamIParaSymb">
    <w:name w:val="AExamIPara Symb"/>
    <w:basedOn w:val="aExam"/>
    <w:rsid w:val="00903C3C"/>
    <w:pPr>
      <w:tabs>
        <w:tab w:val="right" w:pos="1718"/>
      </w:tabs>
      <w:ind w:left="1984" w:hanging="2466"/>
    </w:pPr>
  </w:style>
  <w:style w:type="paragraph" w:customStyle="1" w:styleId="aExamBulletssSymb">
    <w:name w:val="aExamBulletss Symb"/>
    <w:basedOn w:val="aExamssSymb"/>
    <w:rsid w:val="00903C3C"/>
    <w:pPr>
      <w:tabs>
        <w:tab w:val="left" w:pos="1100"/>
      </w:tabs>
      <w:ind w:left="1500" w:hanging="1986"/>
    </w:pPr>
  </w:style>
  <w:style w:type="paragraph" w:customStyle="1" w:styleId="aNoteSymb">
    <w:name w:val="aNote Symb"/>
    <w:basedOn w:val="BillBasic"/>
    <w:rsid w:val="00903C3C"/>
    <w:pPr>
      <w:tabs>
        <w:tab w:val="left" w:pos="1100"/>
        <w:tab w:val="left" w:pos="2381"/>
      </w:tabs>
      <w:ind w:left="1899" w:hanging="2381"/>
    </w:pPr>
    <w:rPr>
      <w:sz w:val="20"/>
    </w:rPr>
  </w:style>
  <w:style w:type="paragraph" w:customStyle="1" w:styleId="aNoteTextssSymb">
    <w:name w:val="aNoteTextss Symb"/>
    <w:basedOn w:val="Normal"/>
    <w:rsid w:val="00903C3C"/>
    <w:pPr>
      <w:tabs>
        <w:tab w:val="clear" w:pos="0"/>
        <w:tab w:val="left" w:pos="1418"/>
      </w:tabs>
      <w:spacing w:before="60"/>
      <w:ind w:left="1417" w:hanging="1899"/>
      <w:jc w:val="both"/>
    </w:pPr>
    <w:rPr>
      <w:sz w:val="20"/>
    </w:rPr>
  </w:style>
  <w:style w:type="paragraph" w:customStyle="1" w:styleId="aNoteParaSymb">
    <w:name w:val="aNotePara Symb"/>
    <w:basedOn w:val="aNoteSymb"/>
    <w:rsid w:val="00903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3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3C3C"/>
    <w:pPr>
      <w:tabs>
        <w:tab w:val="left" w:pos="1616"/>
        <w:tab w:val="left" w:pos="2495"/>
      </w:tabs>
      <w:spacing w:before="60"/>
      <w:ind w:left="2013" w:hanging="2495"/>
    </w:pPr>
  </w:style>
  <w:style w:type="paragraph" w:customStyle="1" w:styleId="aExamHdgparSymb">
    <w:name w:val="aExamHdgpar Symb"/>
    <w:basedOn w:val="aExamHdgssSymb"/>
    <w:next w:val="Normal"/>
    <w:rsid w:val="00903C3C"/>
    <w:pPr>
      <w:tabs>
        <w:tab w:val="clear" w:pos="1582"/>
        <w:tab w:val="left" w:pos="1599"/>
      </w:tabs>
      <w:ind w:left="1599" w:hanging="2081"/>
    </w:pPr>
  </w:style>
  <w:style w:type="paragraph" w:customStyle="1" w:styleId="aExamparSymb">
    <w:name w:val="aExampar Symb"/>
    <w:basedOn w:val="aExamssSymb"/>
    <w:rsid w:val="00903C3C"/>
    <w:pPr>
      <w:tabs>
        <w:tab w:val="clear" w:pos="1582"/>
        <w:tab w:val="left" w:pos="1599"/>
      </w:tabs>
      <w:ind w:left="1599" w:hanging="2081"/>
    </w:pPr>
  </w:style>
  <w:style w:type="paragraph" w:customStyle="1" w:styleId="aExamINumparSymb">
    <w:name w:val="aExamINumpar Symb"/>
    <w:basedOn w:val="aExamparSymb"/>
    <w:rsid w:val="00903C3C"/>
    <w:pPr>
      <w:tabs>
        <w:tab w:val="left" w:pos="2000"/>
      </w:tabs>
      <w:ind w:left="2041" w:hanging="2495"/>
    </w:pPr>
  </w:style>
  <w:style w:type="paragraph" w:customStyle="1" w:styleId="aExamBulletparSymb">
    <w:name w:val="aExamBulletpar Symb"/>
    <w:basedOn w:val="aExamparSymb"/>
    <w:rsid w:val="00903C3C"/>
    <w:pPr>
      <w:tabs>
        <w:tab w:val="clear" w:pos="1599"/>
        <w:tab w:val="left" w:pos="1616"/>
        <w:tab w:val="left" w:pos="2495"/>
      </w:tabs>
      <w:ind w:left="2013" w:hanging="2495"/>
    </w:pPr>
  </w:style>
  <w:style w:type="paragraph" w:customStyle="1" w:styleId="aNoteparSymb">
    <w:name w:val="aNotepar Symb"/>
    <w:basedOn w:val="BillBasic"/>
    <w:next w:val="Normal"/>
    <w:rsid w:val="00903C3C"/>
    <w:pPr>
      <w:tabs>
        <w:tab w:val="left" w:pos="1599"/>
        <w:tab w:val="left" w:pos="2398"/>
      </w:tabs>
      <w:ind w:left="2410" w:hanging="2892"/>
    </w:pPr>
    <w:rPr>
      <w:sz w:val="20"/>
    </w:rPr>
  </w:style>
  <w:style w:type="paragraph" w:customStyle="1" w:styleId="aNoteTextparSymb">
    <w:name w:val="aNoteTextpar Symb"/>
    <w:basedOn w:val="aNoteparSymb"/>
    <w:rsid w:val="00903C3C"/>
    <w:pPr>
      <w:tabs>
        <w:tab w:val="clear" w:pos="1599"/>
        <w:tab w:val="clear" w:pos="2398"/>
        <w:tab w:val="left" w:pos="2880"/>
      </w:tabs>
      <w:spacing w:before="60"/>
      <w:ind w:left="2398" w:hanging="2880"/>
    </w:pPr>
  </w:style>
  <w:style w:type="paragraph" w:customStyle="1" w:styleId="aNoteParaparSymb">
    <w:name w:val="aNoteParapar Symb"/>
    <w:basedOn w:val="aNoteparSymb"/>
    <w:rsid w:val="00903C3C"/>
    <w:pPr>
      <w:tabs>
        <w:tab w:val="right" w:pos="2640"/>
      </w:tabs>
      <w:spacing w:before="60"/>
      <w:ind w:left="2920" w:hanging="3402"/>
    </w:pPr>
  </w:style>
  <w:style w:type="paragraph" w:customStyle="1" w:styleId="aNoteBulletparSymb">
    <w:name w:val="aNoteBulletpar Symb"/>
    <w:basedOn w:val="aNoteparSymb"/>
    <w:rsid w:val="00903C3C"/>
    <w:pPr>
      <w:tabs>
        <w:tab w:val="clear" w:pos="1599"/>
        <w:tab w:val="left" w:pos="3289"/>
      </w:tabs>
      <w:spacing w:before="60"/>
      <w:ind w:left="2807" w:hanging="3289"/>
    </w:pPr>
  </w:style>
  <w:style w:type="paragraph" w:customStyle="1" w:styleId="AsubparabulletSymb">
    <w:name w:val="A subpara bullet Symb"/>
    <w:basedOn w:val="BillBasic"/>
    <w:rsid w:val="00903C3C"/>
    <w:pPr>
      <w:tabs>
        <w:tab w:val="left" w:pos="2138"/>
        <w:tab w:val="left" w:pos="3005"/>
      </w:tabs>
      <w:spacing w:before="60"/>
      <w:ind w:left="2523" w:hanging="3005"/>
    </w:pPr>
  </w:style>
  <w:style w:type="paragraph" w:customStyle="1" w:styleId="aExamHdgsubparSymb">
    <w:name w:val="aExamHdgsubpar Symb"/>
    <w:basedOn w:val="aExamHdgssSymb"/>
    <w:next w:val="Normal"/>
    <w:rsid w:val="00903C3C"/>
    <w:pPr>
      <w:tabs>
        <w:tab w:val="clear" w:pos="1582"/>
        <w:tab w:val="left" w:pos="2620"/>
      </w:tabs>
      <w:ind w:left="2138" w:hanging="2620"/>
    </w:pPr>
  </w:style>
  <w:style w:type="paragraph" w:customStyle="1" w:styleId="aExamsubparSymb">
    <w:name w:val="aExamsubpar Symb"/>
    <w:basedOn w:val="aExamssSymb"/>
    <w:rsid w:val="00903C3C"/>
    <w:pPr>
      <w:tabs>
        <w:tab w:val="clear" w:pos="1582"/>
        <w:tab w:val="left" w:pos="2620"/>
      </w:tabs>
      <w:ind w:left="2138" w:hanging="2620"/>
    </w:pPr>
  </w:style>
  <w:style w:type="paragraph" w:customStyle="1" w:styleId="aNotesubparSymb">
    <w:name w:val="aNotesubpar Symb"/>
    <w:basedOn w:val="BillBasic"/>
    <w:next w:val="Normal"/>
    <w:rsid w:val="00903C3C"/>
    <w:pPr>
      <w:tabs>
        <w:tab w:val="left" w:pos="2138"/>
        <w:tab w:val="left" w:pos="2937"/>
      </w:tabs>
      <w:ind w:left="2455" w:hanging="2937"/>
    </w:pPr>
    <w:rPr>
      <w:sz w:val="20"/>
    </w:rPr>
  </w:style>
  <w:style w:type="paragraph" w:customStyle="1" w:styleId="aNoteTextsubparSymb">
    <w:name w:val="aNoteTextsubpar Symb"/>
    <w:basedOn w:val="aNotesubparSymb"/>
    <w:rsid w:val="00903C3C"/>
    <w:pPr>
      <w:tabs>
        <w:tab w:val="clear" w:pos="2138"/>
        <w:tab w:val="clear" w:pos="2937"/>
        <w:tab w:val="left" w:pos="2943"/>
      </w:tabs>
      <w:spacing w:before="60"/>
      <w:ind w:left="2943" w:hanging="3425"/>
    </w:pPr>
  </w:style>
  <w:style w:type="paragraph" w:customStyle="1" w:styleId="PenaltySymb">
    <w:name w:val="Penalty Symb"/>
    <w:basedOn w:val="AmainreturnSymb"/>
    <w:rsid w:val="00903C3C"/>
  </w:style>
  <w:style w:type="paragraph" w:customStyle="1" w:styleId="PenaltyParaSymb">
    <w:name w:val="PenaltyPara Symb"/>
    <w:basedOn w:val="Normal"/>
    <w:rsid w:val="00903C3C"/>
    <w:pPr>
      <w:tabs>
        <w:tab w:val="right" w:pos="1360"/>
      </w:tabs>
      <w:spacing w:before="60"/>
      <w:ind w:left="1599" w:hanging="2081"/>
      <w:jc w:val="both"/>
    </w:pPr>
  </w:style>
  <w:style w:type="paragraph" w:customStyle="1" w:styleId="FormulaSymb">
    <w:name w:val="Formula Symb"/>
    <w:basedOn w:val="BillBasic"/>
    <w:rsid w:val="00903C3C"/>
    <w:pPr>
      <w:tabs>
        <w:tab w:val="left" w:pos="-480"/>
      </w:tabs>
      <w:spacing w:line="260" w:lineRule="atLeast"/>
      <w:ind w:hanging="480"/>
      <w:jc w:val="center"/>
    </w:pPr>
  </w:style>
  <w:style w:type="paragraph" w:customStyle="1" w:styleId="NormalSymb">
    <w:name w:val="Normal Symb"/>
    <w:basedOn w:val="Normal"/>
    <w:qFormat/>
    <w:rsid w:val="00903C3C"/>
    <w:pPr>
      <w:ind w:hanging="482"/>
    </w:pPr>
  </w:style>
  <w:style w:type="character" w:styleId="PlaceholderText">
    <w:name w:val="Placeholder Text"/>
    <w:basedOn w:val="DefaultParagraphFont"/>
    <w:uiPriority w:val="99"/>
    <w:semiHidden/>
    <w:rsid w:val="00903C3C"/>
    <w:rPr>
      <w:color w:val="808080"/>
    </w:rPr>
  </w:style>
  <w:style w:type="character" w:customStyle="1" w:styleId="NewActChar">
    <w:name w:val="New Act Char"/>
    <w:basedOn w:val="DefaultParagraphFont"/>
    <w:link w:val="NewAct"/>
    <w:locked/>
    <w:rsid w:val="002B74E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0762" TargetMode="External"/><Relationship Id="rId299" Type="http://schemas.openxmlformats.org/officeDocument/2006/relationships/hyperlink" Target="http://www.legislation.act.gov.au/a/2008-10" TargetMode="External"/><Relationship Id="rId21" Type="http://schemas.openxmlformats.org/officeDocument/2006/relationships/footer" Target="footer1.xml"/><Relationship Id="rId42" Type="http://schemas.openxmlformats.org/officeDocument/2006/relationships/hyperlink" Target="https://www.legislation.gov.au/Series/C2004A00762" TargetMode="External"/><Relationship Id="rId63" Type="http://schemas.openxmlformats.org/officeDocument/2006/relationships/hyperlink" Target="https://www.legislation.gov.au/Series/C2004A00762" TargetMode="External"/><Relationship Id="rId84" Type="http://schemas.openxmlformats.org/officeDocument/2006/relationships/hyperlink" Target="https://www.legislation.gov.au/Series/C2004A00762" TargetMode="External"/><Relationship Id="rId138" Type="http://schemas.openxmlformats.org/officeDocument/2006/relationships/hyperlink" Target="https://www.legislation.gov.au/Series/C2004A00762" TargetMode="External"/><Relationship Id="rId159" Type="http://schemas.openxmlformats.org/officeDocument/2006/relationships/hyperlink" Target="https://www.legislation.gov.au/Series/C2004A00762" TargetMode="External"/><Relationship Id="rId324" Type="http://schemas.openxmlformats.org/officeDocument/2006/relationships/hyperlink" Target="http://www.legislation.act.gov.au/a/2008-10" TargetMode="External"/><Relationship Id="rId345" Type="http://schemas.openxmlformats.org/officeDocument/2006/relationships/hyperlink" Target="http://www.legislation.act.gov.au/a/2017-15/default.asp" TargetMode="External"/><Relationship Id="rId366" Type="http://schemas.openxmlformats.org/officeDocument/2006/relationships/hyperlink" Target="http://www.legislation.act.gov.au/a/2011-52" TargetMode="External"/><Relationship Id="rId387" Type="http://schemas.openxmlformats.org/officeDocument/2006/relationships/header" Target="header21.xml"/><Relationship Id="rId170" Type="http://schemas.openxmlformats.org/officeDocument/2006/relationships/hyperlink" Target="https://www.legislation.gov.au/Series/C2004A00762" TargetMode="External"/><Relationship Id="rId191" Type="http://schemas.openxmlformats.org/officeDocument/2006/relationships/hyperlink" Target="https://www.legislation.gov.au/Series/C2004A00762" TargetMode="External"/><Relationship Id="rId205" Type="http://schemas.openxmlformats.org/officeDocument/2006/relationships/hyperlink" Target="http://www.legislation.act.gov.au/a/2001-14" TargetMode="External"/><Relationship Id="rId226" Type="http://schemas.openxmlformats.org/officeDocument/2006/relationships/hyperlink" Target="https://www.legislation.gov.au/Series/C2004A00762" TargetMode="External"/><Relationship Id="rId247" Type="http://schemas.openxmlformats.org/officeDocument/2006/relationships/hyperlink" Target="http://www.legislation.act.gov.au/a/2017-14" TargetMode="External"/><Relationship Id="rId107" Type="http://schemas.openxmlformats.org/officeDocument/2006/relationships/hyperlink" Target="https://www.legislation.gov.au/Series/C2004A00762" TargetMode="External"/><Relationship Id="rId268" Type="http://schemas.openxmlformats.org/officeDocument/2006/relationships/hyperlink" Target="http://www.legislation.act.gov.au/a/2008-10" TargetMode="External"/><Relationship Id="rId289" Type="http://schemas.openxmlformats.org/officeDocument/2006/relationships/hyperlink" Target="http://www.legislation.act.gov.au/a/2008-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s://www.legislation.gov.au/Series/C2004A00762" TargetMode="External"/><Relationship Id="rId74" Type="http://schemas.openxmlformats.org/officeDocument/2006/relationships/hyperlink" Target="https://www.legislation.gov.au/Series/C2004A00762" TargetMode="External"/><Relationship Id="rId128" Type="http://schemas.openxmlformats.org/officeDocument/2006/relationships/hyperlink" Target="https://www.legislation.gov.au/Series/C2004A00762" TargetMode="External"/><Relationship Id="rId149" Type="http://schemas.openxmlformats.org/officeDocument/2006/relationships/hyperlink" Target="https://www.legislation.gov.au/Series/C2004A00762" TargetMode="External"/><Relationship Id="rId314" Type="http://schemas.openxmlformats.org/officeDocument/2006/relationships/hyperlink" Target="http://www.legislation.act.gov.au/a/2008-10" TargetMode="External"/><Relationship Id="rId335" Type="http://schemas.openxmlformats.org/officeDocument/2006/relationships/hyperlink" Target="http://www.legislation.act.gov.au/a/2008-10" TargetMode="External"/><Relationship Id="rId356" Type="http://schemas.openxmlformats.org/officeDocument/2006/relationships/hyperlink" Target="http://www.legislation.act.gov.au/a/2004-15" TargetMode="External"/><Relationship Id="rId377" Type="http://schemas.openxmlformats.org/officeDocument/2006/relationships/header" Target="header16.xml"/><Relationship Id="rId5" Type="http://schemas.openxmlformats.org/officeDocument/2006/relationships/webSettings" Target="webSettings.xml"/><Relationship Id="rId95" Type="http://schemas.openxmlformats.org/officeDocument/2006/relationships/hyperlink" Target="http://www.legislation.act.gov.au/a/2000-48" TargetMode="External"/><Relationship Id="rId160" Type="http://schemas.openxmlformats.org/officeDocument/2006/relationships/hyperlink" Target="https://www.legislation.gov.au/Series/C2004A00762" TargetMode="External"/><Relationship Id="rId181" Type="http://schemas.openxmlformats.org/officeDocument/2006/relationships/hyperlink" Target="https://www.legislation.gov.au/Series/C2004A00762" TargetMode="External"/><Relationship Id="rId216" Type="http://schemas.openxmlformats.org/officeDocument/2006/relationships/hyperlink" Target="http://www.legislation.act.gov.au/a/2001-14" TargetMode="External"/><Relationship Id="rId237" Type="http://schemas.openxmlformats.org/officeDocument/2006/relationships/hyperlink" Target="http://www.legislation.act.gov.au/a/2004-15" TargetMode="External"/><Relationship Id="rId258" Type="http://schemas.openxmlformats.org/officeDocument/2006/relationships/hyperlink" Target="http://www.legislation.act.gov.au/a/2008-10" TargetMode="External"/><Relationship Id="rId279" Type="http://schemas.openxmlformats.org/officeDocument/2006/relationships/hyperlink" Target="http://www.legislation.act.gov.au/a/2008-10" TargetMode="External"/><Relationship Id="rId22" Type="http://schemas.openxmlformats.org/officeDocument/2006/relationships/footer" Target="footer2.xml"/><Relationship Id="rId43" Type="http://schemas.openxmlformats.org/officeDocument/2006/relationships/hyperlink" Target="https://www.legislation.gov.au/Series/C2004A00762" TargetMode="External"/><Relationship Id="rId64" Type="http://schemas.openxmlformats.org/officeDocument/2006/relationships/hyperlink" Target="https://www.legislation.gov.au/Series/C2004A00762" TargetMode="External"/><Relationship Id="rId118" Type="http://schemas.openxmlformats.org/officeDocument/2006/relationships/hyperlink" Target="https://www.legislation.gov.au/Series/C2004A00762" TargetMode="External"/><Relationship Id="rId139" Type="http://schemas.openxmlformats.org/officeDocument/2006/relationships/header" Target="header8.xml"/><Relationship Id="rId290" Type="http://schemas.openxmlformats.org/officeDocument/2006/relationships/hyperlink" Target="http://www.legislation.act.gov.au/a/2008-10" TargetMode="External"/><Relationship Id="rId304" Type="http://schemas.openxmlformats.org/officeDocument/2006/relationships/hyperlink" Target="http://www.legislation.act.gov.au/a/2008-10" TargetMode="External"/><Relationship Id="rId325" Type="http://schemas.openxmlformats.org/officeDocument/2006/relationships/hyperlink" Target="http://www.legislation.act.gov.au/a/2008-10" TargetMode="External"/><Relationship Id="rId346" Type="http://schemas.openxmlformats.org/officeDocument/2006/relationships/hyperlink" Target="http://www.legislation.act.gov.au/a/2017-15/default.asp" TargetMode="External"/><Relationship Id="rId367" Type="http://schemas.openxmlformats.org/officeDocument/2006/relationships/hyperlink" Target="http://www.legislation.act.gov.au/a/2015-33/default.asp" TargetMode="External"/><Relationship Id="rId388" Type="http://schemas.openxmlformats.org/officeDocument/2006/relationships/footer" Target="footer25.xml"/><Relationship Id="rId85" Type="http://schemas.openxmlformats.org/officeDocument/2006/relationships/hyperlink" Target="https://www.legislation.gov.au/Series/C2004A00762" TargetMode="External"/><Relationship Id="rId150" Type="http://schemas.openxmlformats.org/officeDocument/2006/relationships/hyperlink" Target="https://www.legislation.gov.au/Series/C2004A00762" TargetMode="External"/><Relationship Id="rId171" Type="http://schemas.openxmlformats.org/officeDocument/2006/relationships/hyperlink" Target="https://www.legislation.gov.au/Series/C2004A00762" TargetMode="External"/><Relationship Id="rId192" Type="http://schemas.openxmlformats.org/officeDocument/2006/relationships/hyperlink" Target="https://www.legislation.gov.au/Series/C2004A00762" TargetMode="External"/><Relationship Id="rId206" Type="http://schemas.openxmlformats.org/officeDocument/2006/relationships/hyperlink" Target="https://www.legislation.gov.au/Series/C2004A00762" TargetMode="External"/><Relationship Id="rId227" Type="http://schemas.openxmlformats.org/officeDocument/2006/relationships/hyperlink" Target="https://www.legislation.gov.au/Series/C2004A00762" TargetMode="External"/><Relationship Id="rId248" Type="http://schemas.openxmlformats.org/officeDocument/2006/relationships/hyperlink" Target="http://www.legislation.act.gov.au/a/2017-14/default.asp" TargetMode="External"/><Relationship Id="rId269" Type="http://schemas.openxmlformats.org/officeDocument/2006/relationships/hyperlink" Target="http://www.legislation.act.gov.au/a/2015-33" TargetMode="External"/><Relationship Id="rId12" Type="http://schemas.openxmlformats.org/officeDocument/2006/relationships/hyperlink" Target="http://www.legislation.act.gov.au" TargetMode="External"/><Relationship Id="rId33" Type="http://schemas.openxmlformats.org/officeDocument/2006/relationships/hyperlink" Target="https://www.legislation.gov.au/Series/C2004A00762" TargetMode="External"/><Relationship Id="rId108" Type="http://schemas.openxmlformats.org/officeDocument/2006/relationships/hyperlink" Target="https://www.legislation.gov.au/Series/C2004A00762" TargetMode="External"/><Relationship Id="rId129" Type="http://schemas.openxmlformats.org/officeDocument/2006/relationships/hyperlink" Target="https://www.legislation.gov.au/Series/C2004A00762" TargetMode="External"/><Relationship Id="rId280" Type="http://schemas.openxmlformats.org/officeDocument/2006/relationships/hyperlink" Target="http://www.legislation.act.gov.au/a/2008-10" TargetMode="External"/><Relationship Id="rId315" Type="http://schemas.openxmlformats.org/officeDocument/2006/relationships/hyperlink" Target="http://www.legislation.act.gov.au/a/2008-10" TargetMode="External"/><Relationship Id="rId336" Type="http://schemas.openxmlformats.org/officeDocument/2006/relationships/hyperlink" Target="http://www.legislation.act.gov.au/a/2016-55/default.asp" TargetMode="External"/><Relationship Id="rId357" Type="http://schemas.openxmlformats.org/officeDocument/2006/relationships/hyperlink" Target="http://www.legislation.act.gov.au/a/2004-15" TargetMode="External"/><Relationship Id="rId54" Type="http://schemas.openxmlformats.org/officeDocument/2006/relationships/hyperlink" Target="https://www.legislation.gov.au/Series/C2004A00762" TargetMode="External"/><Relationship Id="rId75" Type="http://schemas.openxmlformats.org/officeDocument/2006/relationships/hyperlink" Target="http://www.legislation.act.gov.au/a/2001-14" TargetMode="External"/><Relationship Id="rId96" Type="http://schemas.openxmlformats.org/officeDocument/2006/relationships/hyperlink" Target="https://www.legislation.gov.au/Series/C2004A00762" TargetMode="External"/><Relationship Id="rId140" Type="http://schemas.openxmlformats.org/officeDocument/2006/relationships/header" Target="header9.xml"/><Relationship Id="rId161" Type="http://schemas.openxmlformats.org/officeDocument/2006/relationships/hyperlink" Target="https://www.legislation.gov.au/Series/C2004A00762"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78" Type="http://schemas.openxmlformats.org/officeDocument/2006/relationships/header" Target="header17.xml"/><Relationship Id="rId6" Type="http://schemas.openxmlformats.org/officeDocument/2006/relationships/footnotes" Target="footnotes.xml"/><Relationship Id="rId238" Type="http://schemas.openxmlformats.org/officeDocument/2006/relationships/hyperlink" Target="http://www.legislation.act.gov.au/a/2006-46" TargetMode="External"/><Relationship Id="rId259" Type="http://schemas.openxmlformats.org/officeDocument/2006/relationships/hyperlink" Target="http://www.legislation.act.gov.au/a/2008-10" TargetMode="External"/><Relationship Id="rId23" Type="http://schemas.openxmlformats.org/officeDocument/2006/relationships/header" Target="header3.xml"/><Relationship Id="rId119" Type="http://schemas.openxmlformats.org/officeDocument/2006/relationships/hyperlink" Target="https://www.legislation.gov.au/Series/C2004A00762" TargetMode="External"/><Relationship Id="rId270" Type="http://schemas.openxmlformats.org/officeDocument/2006/relationships/hyperlink" Target="http://www.legislation.act.gov.au/a/2008-10" TargetMode="External"/><Relationship Id="rId291" Type="http://schemas.openxmlformats.org/officeDocument/2006/relationships/hyperlink" Target="http://www.legislation.act.gov.au/a/2008-10" TargetMode="External"/><Relationship Id="rId305" Type="http://schemas.openxmlformats.org/officeDocument/2006/relationships/hyperlink" Target="http://www.legislation.act.gov.au/a/2008-10" TargetMode="External"/><Relationship Id="rId326" Type="http://schemas.openxmlformats.org/officeDocument/2006/relationships/hyperlink" Target="http://www.legislation.act.gov.au/a/2011-52" TargetMode="External"/><Relationship Id="rId347" Type="http://schemas.openxmlformats.org/officeDocument/2006/relationships/hyperlink" Target="http://www.legislation.act.gov.au/a/2016-52/default.asp" TargetMode="External"/><Relationship Id="rId44" Type="http://schemas.openxmlformats.org/officeDocument/2006/relationships/hyperlink" Target="https://www.legislation.gov.au/Series/C2004A00762" TargetMode="External"/><Relationship Id="rId65" Type="http://schemas.openxmlformats.org/officeDocument/2006/relationships/hyperlink" Target="http://www.comlaw.gov.au/Series/C2004A01401" TargetMode="External"/><Relationship Id="rId86" Type="http://schemas.openxmlformats.org/officeDocument/2006/relationships/hyperlink" Target="http://www.legislation.act.gov.au/a/2001-14" TargetMode="External"/><Relationship Id="rId130" Type="http://schemas.openxmlformats.org/officeDocument/2006/relationships/hyperlink" Target="https://www.legislation.gov.au/Series/C2004A00762" TargetMode="External"/><Relationship Id="rId151" Type="http://schemas.openxmlformats.org/officeDocument/2006/relationships/hyperlink" Target="https://www.legislation.gov.au/Series/C2004A00762" TargetMode="External"/><Relationship Id="rId368" Type="http://schemas.openxmlformats.org/officeDocument/2006/relationships/hyperlink" Target="http://www.legislation.act.gov.au/a/2015-33/default.asp" TargetMode="External"/><Relationship Id="rId389" Type="http://schemas.openxmlformats.org/officeDocument/2006/relationships/fontTable" Target="fontTable.xml"/><Relationship Id="rId172" Type="http://schemas.openxmlformats.org/officeDocument/2006/relationships/hyperlink" Target="https://www.legislation.gov.au/Series/C2004A00762" TargetMode="External"/><Relationship Id="rId193" Type="http://schemas.openxmlformats.org/officeDocument/2006/relationships/hyperlink" Target="https://www.legislation.gov.au/Series/C2004A00762" TargetMode="External"/><Relationship Id="rId207" Type="http://schemas.openxmlformats.org/officeDocument/2006/relationships/hyperlink" Target="http://www.legislation.act.gov.au/a/2017-15/default.asp" TargetMode="External"/><Relationship Id="rId228" Type="http://schemas.openxmlformats.org/officeDocument/2006/relationships/hyperlink" Target="https://www.legislation.gov.au/Series/C2004A00762" TargetMode="External"/><Relationship Id="rId249" Type="http://schemas.openxmlformats.org/officeDocument/2006/relationships/hyperlink" Target="http://www.legislation.act.gov.au/a/2016-5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10" TargetMode="External"/><Relationship Id="rId281" Type="http://schemas.openxmlformats.org/officeDocument/2006/relationships/hyperlink" Target="http://www.legislation.act.gov.au/a/2008-10" TargetMode="External"/><Relationship Id="rId316" Type="http://schemas.openxmlformats.org/officeDocument/2006/relationships/hyperlink" Target="http://www.legislation.act.gov.au/a/2017-15/default.asp" TargetMode="External"/><Relationship Id="rId337" Type="http://schemas.openxmlformats.org/officeDocument/2006/relationships/hyperlink" Target="http://www.legislation.act.gov.au/a/2004-15" TargetMode="External"/><Relationship Id="rId34" Type="http://schemas.openxmlformats.org/officeDocument/2006/relationships/hyperlink" Target="http://www.legislation.act.gov.au/a/2002-51" TargetMode="External"/><Relationship Id="rId55" Type="http://schemas.openxmlformats.org/officeDocument/2006/relationships/hyperlink" Target="https://www.legislation.gov.au/Series/C2004A00762" TargetMode="External"/><Relationship Id="rId76" Type="http://schemas.openxmlformats.org/officeDocument/2006/relationships/hyperlink" Target="https://www.legislation.gov.au/Series/C2004A00762" TargetMode="External"/><Relationship Id="rId97" Type="http://schemas.openxmlformats.org/officeDocument/2006/relationships/hyperlink" Target="https://www.legislation.gov.au/Series/C2004A00762" TargetMode="External"/><Relationship Id="rId120" Type="http://schemas.openxmlformats.org/officeDocument/2006/relationships/hyperlink" Target="http://www.legislation.act.gov.au/a/2001-14" TargetMode="External"/><Relationship Id="rId141" Type="http://schemas.openxmlformats.org/officeDocument/2006/relationships/footer" Target="footer10.xml"/><Relationship Id="rId358" Type="http://schemas.openxmlformats.org/officeDocument/2006/relationships/hyperlink" Target="http://www.legislation.act.gov.au/a/2006-46" TargetMode="External"/><Relationship Id="rId379" Type="http://schemas.openxmlformats.org/officeDocument/2006/relationships/footer" Target="footer20.xml"/><Relationship Id="rId7" Type="http://schemas.openxmlformats.org/officeDocument/2006/relationships/endnotes" Target="endnotes.xml"/><Relationship Id="rId162" Type="http://schemas.openxmlformats.org/officeDocument/2006/relationships/hyperlink" Target="https://www.legislation.gov.au/Series/C2004A00762" TargetMode="External"/><Relationship Id="rId183" Type="http://schemas.openxmlformats.org/officeDocument/2006/relationships/hyperlink" Target="https://www.legislation.gov.au/Series/C2004A00762" TargetMode="External"/><Relationship Id="rId218" Type="http://schemas.openxmlformats.org/officeDocument/2006/relationships/hyperlink" Target="https://www.legislation.gov.au/Series/C2004A00762" TargetMode="External"/><Relationship Id="rId239" Type="http://schemas.openxmlformats.org/officeDocument/2006/relationships/hyperlink" Target="http://www.legislation.act.gov.au/a/2008-10" TargetMode="External"/><Relationship Id="rId390" Type="http://schemas.openxmlformats.org/officeDocument/2006/relationships/theme" Target="theme/theme1.xml"/><Relationship Id="rId250" Type="http://schemas.openxmlformats.org/officeDocument/2006/relationships/hyperlink" Target="http://www.legislation.act.gov.au/a/2017-15/default.asp" TargetMode="External"/><Relationship Id="rId271" Type="http://schemas.openxmlformats.org/officeDocument/2006/relationships/hyperlink" Target="http://www.legislation.act.gov.au/a/2008-10" TargetMode="External"/><Relationship Id="rId292" Type="http://schemas.openxmlformats.org/officeDocument/2006/relationships/hyperlink" Target="http://www.legislation.act.gov.au/a/2008-10" TargetMode="External"/><Relationship Id="rId306" Type="http://schemas.openxmlformats.org/officeDocument/2006/relationships/hyperlink" Target="http://www.legislation.act.gov.au/a/2008-10" TargetMode="External"/><Relationship Id="rId24" Type="http://schemas.openxmlformats.org/officeDocument/2006/relationships/footer" Target="footer3.xml"/><Relationship Id="rId45" Type="http://schemas.openxmlformats.org/officeDocument/2006/relationships/hyperlink" Target="https://www.legislation.gov.au/Series/C2004A00762" TargetMode="External"/><Relationship Id="rId66" Type="http://schemas.openxmlformats.org/officeDocument/2006/relationships/hyperlink" Target="http://www.comlaw.gov.au/Series/C2004A01401" TargetMode="External"/><Relationship Id="rId87" Type="http://schemas.openxmlformats.org/officeDocument/2006/relationships/hyperlink" Target="https://www.legislation.gov.au/Series/C2004A00762" TargetMode="External"/><Relationship Id="rId110" Type="http://schemas.openxmlformats.org/officeDocument/2006/relationships/hyperlink" Target="https://www.legislation.gov.au/Series/C2004A00762" TargetMode="External"/><Relationship Id="rId131" Type="http://schemas.openxmlformats.org/officeDocument/2006/relationships/hyperlink" Target="https://www.legislation.gov.au/Series/C2004A00762" TargetMode="External"/><Relationship Id="rId327" Type="http://schemas.openxmlformats.org/officeDocument/2006/relationships/hyperlink" Target="http://www.legislation.act.gov.au/a/2008-10" TargetMode="External"/><Relationship Id="rId348" Type="http://schemas.openxmlformats.org/officeDocument/2006/relationships/hyperlink" Target="http://www.legislation.act.gov.au/a/2008-10" TargetMode="External"/><Relationship Id="rId369" Type="http://schemas.openxmlformats.org/officeDocument/2006/relationships/hyperlink" Target="http://www.legislation.act.gov.au/a/2015-52/default.asp" TargetMode="External"/><Relationship Id="rId152" Type="http://schemas.openxmlformats.org/officeDocument/2006/relationships/hyperlink" Target="https://www.legislation.gov.au/Series/C2004A00762" TargetMode="External"/><Relationship Id="rId173" Type="http://schemas.openxmlformats.org/officeDocument/2006/relationships/hyperlink" Target="http://www.legislation.act.gov.au/a/2002-51" TargetMode="External"/><Relationship Id="rId194" Type="http://schemas.openxmlformats.org/officeDocument/2006/relationships/hyperlink" Target="https://www.legislation.gov.au/Series/C2004A00762" TargetMode="External"/><Relationship Id="rId208" Type="http://schemas.openxmlformats.org/officeDocument/2006/relationships/hyperlink" Target="http://www.legislation.act.gov.au/a/2017-15/default.asp" TargetMode="External"/><Relationship Id="rId229" Type="http://schemas.openxmlformats.org/officeDocument/2006/relationships/hyperlink" Target="https://www.legislation.gov.au/Series/C2004A00762" TargetMode="External"/><Relationship Id="rId380" Type="http://schemas.openxmlformats.org/officeDocument/2006/relationships/footer" Target="footer21.xml"/><Relationship Id="rId240" Type="http://schemas.openxmlformats.org/officeDocument/2006/relationships/hyperlink" Target="http://www.legislation.act.gov.au/cn/2008-5/default.asp" TargetMode="External"/><Relationship Id="rId261" Type="http://schemas.openxmlformats.org/officeDocument/2006/relationships/hyperlink" Target="http://www.legislation.act.gov.au/a/2008-10"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s://www.legislation.gov.au/Series/C2004A00762" TargetMode="External"/><Relationship Id="rId77" Type="http://schemas.openxmlformats.org/officeDocument/2006/relationships/hyperlink" Target="http://www.legislation.act.gov.au/a/2001-14" TargetMode="External"/><Relationship Id="rId100" Type="http://schemas.openxmlformats.org/officeDocument/2006/relationships/hyperlink" Target="https://www.legislation.gov.au/Series/C2004A00762" TargetMode="External"/><Relationship Id="rId282" Type="http://schemas.openxmlformats.org/officeDocument/2006/relationships/hyperlink" Target="http://www.legislation.act.gov.au/a/2008-10" TargetMode="External"/><Relationship Id="rId317" Type="http://schemas.openxmlformats.org/officeDocument/2006/relationships/hyperlink" Target="http://www.legislation.act.gov.au/a/2017-15/default.asp" TargetMode="External"/><Relationship Id="rId338" Type="http://schemas.openxmlformats.org/officeDocument/2006/relationships/hyperlink" Target="http://www.legislation.act.gov.au/a/2004-15" TargetMode="External"/><Relationship Id="rId359" Type="http://schemas.openxmlformats.org/officeDocument/2006/relationships/hyperlink" Target="http://www.legislation.act.gov.au/a/2006-46" TargetMode="External"/><Relationship Id="rId8" Type="http://schemas.openxmlformats.org/officeDocument/2006/relationships/image" Target="media/image1.png"/><Relationship Id="rId98" Type="http://schemas.openxmlformats.org/officeDocument/2006/relationships/hyperlink" Target="https://www.legislation.gov.au/Series/C2004A00762" TargetMode="External"/><Relationship Id="rId121" Type="http://schemas.openxmlformats.org/officeDocument/2006/relationships/hyperlink" Target="https://www.legislation.gov.au/Series/C2004A00762" TargetMode="External"/><Relationship Id="rId142" Type="http://schemas.openxmlformats.org/officeDocument/2006/relationships/footer" Target="footer11.xml"/><Relationship Id="rId163" Type="http://schemas.openxmlformats.org/officeDocument/2006/relationships/hyperlink" Target="https://www.legislation.gov.au/Series/C2004A00762" TargetMode="External"/><Relationship Id="rId184" Type="http://schemas.openxmlformats.org/officeDocument/2006/relationships/hyperlink" Target="https://www.legislation.gov.au/Series/C2004A00762" TargetMode="External"/><Relationship Id="rId219" Type="http://schemas.openxmlformats.org/officeDocument/2006/relationships/hyperlink" Target="http://www.comlaw.gov.au/Series/C2004A00762" TargetMode="External"/><Relationship Id="rId370" Type="http://schemas.openxmlformats.org/officeDocument/2006/relationships/hyperlink" Target="http://www.legislation.act.gov.au/a/2015-52/default.asp" TargetMode="External"/><Relationship Id="rId230" Type="http://schemas.openxmlformats.org/officeDocument/2006/relationships/hyperlink" Target="https://www.legislation.gov.au/Series/C2004A00762" TargetMode="External"/><Relationship Id="rId251" Type="http://schemas.openxmlformats.org/officeDocument/2006/relationships/hyperlink" Target="http://www.legislation.act.gov.au/a/2017-15/default.asp" TargetMode="External"/><Relationship Id="rId25" Type="http://schemas.openxmlformats.org/officeDocument/2006/relationships/header" Target="header4.xml"/><Relationship Id="rId46" Type="http://schemas.openxmlformats.org/officeDocument/2006/relationships/hyperlink" Target="http://www.legislation.act.gov.au/a/2001-14" TargetMode="External"/><Relationship Id="rId67" Type="http://schemas.openxmlformats.org/officeDocument/2006/relationships/hyperlink" Target="http://www.comlaw.gov.au/Series/C2004A01401" TargetMode="External"/><Relationship Id="rId272" Type="http://schemas.openxmlformats.org/officeDocument/2006/relationships/hyperlink" Target="http://www.legislation.act.gov.au/a/2008-10" TargetMode="External"/><Relationship Id="rId293" Type="http://schemas.openxmlformats.org/officeDocument/2006/relationships/hyperlink" Target="http://www.legislation.act.gov.au/a/2008-10" TargetMode="External"/><Relationship Id="rId307" Type="http://schemas.openxmlformats.org/officeDocument/2006/relationships/hyperlink" Target="http://www.legislation.act.gov.au/a/2008-10" TargetMode="External"/><Relationship Id="rId328" Type="http://schemas.openxmlformats.org/officeDocument/2006/relationships/hyperlink" Target="http://www.legislation.act.gov.au/a/2008-10" TargetMode="External"/><Relationship Id="rId349" Type="http://schemas.openxmlformats.org/officeDocument/2006/relationships/hyperlink" Target="http://www.legislation.act.gov.au/a/2008-10" TargetMode="External"/><Relationship Id="rId88" Type="http://schemas.openxmlformats.org/officeDocument/2006/relationships/hyperlink" Target="https://www.legislation.gov.au/Series/C2004A00762" TargetMode="External"/><Relationship Id="rId111" Type="http://schemas.openxmlformats.org/officeDocument/2006/relationships/hyperlink" Target="http://www.legislation.act.gov.au/a/2001-14" TargetMode="External"/><Relationship Id="rId132" Type="http://schemas.openxmlformats.org/officeDocument/2006/relationships/hyperlink" Target="https://www.legislation.gov.au/Series/C2004A00762" TargetMode="External"/><Relationship Id="rId153" Type="http://schemas.openxmlformats.org/officeDocument/2006/relationships/hyperlink" Target="https://www.legislation.gov.au/Series/C2004A00762" TargetMode="External"/><Relationship Id="rId174" Type="http://schemas.openxmlformats.org/officeDocument/2006/relationships/hyperlink" Target="https://www.legislation.gov.au/Series/C2004A00762" TargetMode="External"/><Relationship Id="rId195" Type="http://schemas.openxmlformats.org/officeDocument/2006/relationships/hyperlink" Target="https://www.legislation.gov.au/Series/C2004A00762" TargetMode="External"/><Relationship Id="rId209" Type="http://schemas.openxmlformats.org/officeDocument/2006/relationships/hyperlink" Target="http://www.legislation.act.gov.au/a/2017-15/default.asp" TargetMode="External"/><Relationship Id="rId360" Type="http://schemas.openxmlformats.org/officeDocument/2006/relationships/hyperlink" Target="http://www.legislation.act.gov.au/a/2008-10" TargetMode="External"/><Relationship Id="rId381" Type="http://schemas.openxmlformats.org/officeDocument/2006/relationships/header" Target="header18.xml"/><Relationship Id="rId220" Type="http://schemas.openxmlformats.org/officeDocument/2006/relationships/hyperlink" Target="https://www.legislation.gov.au/Series/C2004A01401" TargetMode="External"/><Relationship Id="rId241" Type="http://schemas.openxmlformats.org/officeDocument/2006/relationships/hyperlink" Target="http://www.legislation.act.gov.au/a/2009-20"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C2004A00762" TargetMode="External"/><Relationship Id="rId57" Type="http://schemas.openxmlformats.org/officeDocument/2006/relationships/hyperlink" Target="https://www.legislation.gov.au/Series/C2004A00762" TargetMode="External"/><Relationship Id="rId262" Type="http://schemas.openxmlformats.org/officeDocument/2006/relationships/hyperlink" Target="http://www.legislation.act.gov.au/a/2017-15/default.asp" TargetMode="External"/><Relationship Id="rId283" Type="http://schemas.openxmlformats.org/officeDocument/2006/relationships/hyperlink" Target="http://www.legislation.act.gov.au/a/2009-20" TargetMode="External"/><Relationship Id="rId318" Type="http://schemas.openxmlformats.org/officeDocument/2006/relationships/hyperlink" Target="http://www.legislation.act.gov.au/a/2008-10" TargetMode="External"/><Relationship Id="rId339" Type="http://schemas.openxmlformats.org/officeDocument/2006/relationships/hyperlink" Target="http://www.legislation.act.gov.au/a/2008-10" TargetMode="External"/><Relationship Id="rId78" Type="http://schemas.openxmlformats.org/officeDocument/2006/relationships/hyperlink" Target="https://www.legislation.gov.au/Series/C2004A00762" TargetMode="External"/><Relationship Id="rId99" Type="http://schemas.openxmlformats.org/officeDocument/2006/relationships/hyperlink" Target="http://www.comlaw.gov.au/Series/C2004A00764" TargetMode="External"/><Relationship Id="rId101" Type="http://schemas.openxmlformats.org/officeDocument/2006/relationships/hyperlink" Target="https://www.legislation.gov.au/Series/C2004A00762" TargetMode="External"/><Relationship Id="rId122" Type="http://schemas.openxmlformats.org/officeDocument/2006/relationships/header" Target="header6.xml"/><Relationship Id="rId143" Type="http://schemas.openxmlformats.org/officeDocument/2006/relationships/footer" Target="footer12.xml"/><Relationship Id="rId164" Type="http://schemas.openxmlformats.org/officeDocument/2006/relationships/hyperlink" Target="https://www.legislation.gov.au/Series/C2004A00762" TargetMode="External"/><Relationship Id="rId185" Type="http://schemas.openxmlformats.org/officeDocument/2006/relationships/hyperlink" Target="https://www.legislation.gov.au/Series/C2004A00762" TargetMode="External"/><Relationship Id="rId350" Type="http://schemas.openxmlformats.org/officeDocument/2006/relationships/hyperlink" Target="http://www.legislation.act.gov.au/a/2008-10" TargetMode="External"/><Relationship Id="rId371" Type="http://schemas.openxmlformats.org/officeDocument/2006/relationships/hyperlink" Target="http://www.legislation.act.gov.au/a/2017-15/default.asp" TargetMode="External"/><Relationship Id="rId9" Type="http://schemas.openxmlformats.org/officeDocument/2006/relationships/hyperlink" Target="http://www.legislation.act.gov.au/a/2016-55/default.asp" TargetMode="External"/><Relationship Id="rId210" Type="http://schemas.openxmlformats.org/officeDocument/2006/relationships/hyperlink" Target="http://www.legislation.act.gov.au/a/2001-14" TargetMode="External"/><Relationship Id="rId26" Type="http://schemas.openxmlformats.org/officeDocument/2006/relationships/header" Target="header5.xml"/><Relationship Id="rId231" Type="http://schemas.openxmlformats.org/officeDocument/2006/relationships/hyperlink" Target="http://www.legislation.act.gov.au/a/2001-14" TargetMode="External"/><Relationship Id="rId252" Type="http://schemas.openxmlformats.org/officeDocument/2006/relationships/hyperlink" Target="http://www.legislation.act.gov.au/a/2008-10" TargetMode="External"/><Relationship Id="rId273" Type="http://schemas.openxmlformats.org/officeDocument/2006/relationships/hyperlink" Target="http://www.legislation.act.gov.au/a/2008-10" TargetMode="External"/><Relationship Id="rId294" Type="http://schemas.openxmlformats.org/officeDocument/2006/relationships/hyperlink" Target="http://www.legislation.act.gov.au/a/2008-12" TargetMode="External"/><Relationship Id="rId308" Type="http://schemas.openxmlformats.org/officeDocument/2006/relationships/hyperlink" Target="http://www.legislation.act.gov.au/a/2008-10" TargetMode="External"/><Relationship Id="rId329" Type="http://schemas.openxmlformats.org/officeDocument/2006/relationships/hyperlink" Target="http://www.legislation.act.gov.au/a/2011-52" TargetMode="External"/><Relationship Id="rId47" Type="http://schemas.openxmlformats.org/officeDocument/2006/relationships/hyperlink" Target="https://www.legislation.gov.au/Series/C2004A00762" TargetMode="External"/><Relationship Id="rId68" Type="http://schemas.openxmlformats.org/officeDocument/2006/relationships/hyperlink" Target="http://www.legislation.act.gov.au/a/2001-14" TargetMode="External"/><Relationship Id="rId89" Type="http://schemas.openxmlformats.org/officeDocument/2006/relationships/hyperlink" Target="https://www.legislation.gov.au/Series/C2004A00762" TargetMode="External"/><Relationship Id="rId112" Type="http://schemas.openxmlformats.org/officeDocument/2006/relationships/hyperlink" Target="https://www.legislation.gov.au/Series/C2004A00762" TargetMode="External"/><Relationship Id="rId133" Type="http://schemas.openxmlformats.org/officeDocument/2006/relationships/hyperlink" Target="https://www.legislation.gov.au/Series/C2004A00762" TargetMode="External"/><Relationship Id="rId154" Type="http://schemas.openxmlformats.org/officeDocument/2006/relationships/hyperlink" Target="https://www.legislation.gov.au/Series/C2004A00762"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6-46" TargetMode="External"/><Relationship Id="rId361" Type="http://schemas.openxmlformats.org/officeDocument/2006/relationships/hyperlink" Target="http://www.legislation.act.gov.au/a/2008-10" TargetMode="External"/><Relationship Id="rId196" Type="http://schemas.openxmlformats.org/officeDocument/2006/relationships/hyperlink" Target="https://www.legislation.gov.au/Series/C2004A00762" TargetMode="External"/><Relationship Id="rId200" Type="http://schemas.openxmlformats.org/officeDocument/2006/relationships/hyperlink" Target="https://www.legislation.gov.au/Series/C2004A00762" TargetMode="External"/><Relationship Id="rId382" Type="http://schemas.openxmlformats.org/officeDocument/2006/relationships/footer" Target="footer22.xml"/><Relationship Id="rId16" Type="http://schemas.openxmlformats.org/officeDocument/2006/relationships/hyperlink" Target="http://www.legislation.act.gov.au" TargetMode="External"/><Relationship Id="rId221" Type="http://schemas.openxmlformats.org/officeDocument/2006/relationships/hyperlink" Target="http://www.comlaw.gov.au/Series/C2004A01401" TargetMode="External"/><Relationship Id="rId242" Type="http://schemas.openxmlformats.org/officeDocument/2006/relationships/hyperlink" Target="http://www.legislation.act.gov.au/a/2011-52" TargetMode="External"/><Relationship Id="rId263" Type="http://schemas.openxmlformats.org/officeDocument/2006/relationships/hyperlink" Target="http://www.legislation.act.gov.au/a/2008-10" TargetMode="External"/><Relationship Id="rId284" Type="http://schemas.openxmlformats.org/officeDocument/2006/relationships/hyperlink" Target="http://www.legislation.act.gov.au/a/2008-10" TargetMode="External"/><Relationship Id="rId319" Type="http://schemas.openxmlformats.org/officeDocument/2006/relationships/hyperlink" Target="http://www.legislation.act.gov.au/a/2017-15/default.asp" TargetMode="External"/><Relationship Id="rId37" Type="http://schemas.openxmlformats.org/officeDocument/2006/relationships/hyperlink" Target="https://www.legislation.gov.au/Series/C2004A00762" TargetMode="External"/><Relationship Id="rId58" Type="http://schemas.openxmlformats.org/officeDocument/2006/relationships/hyperlink" Target="https://www.legislation.gov.au/Series/C2004A00762" TargetMode="External"/><Relationship Id="rId79" Type="http://schemas.openxmlformats.org/officeDocument/2006/relationships/hyperlink" Target="https://www.legislation.gov.au/Series/C2004A00762" TargetMode="External"/><Relationship Id="rId102" Type="http://schemas.openxmlformats.org/officeDocument/2006/relationships/hyperlink" Target="https://www.legislation.gov.au/Series/C2004A00762" TargetMode="External"/><Relationship Id="rId123" Type="http://schemas.openxmlformats.org/officeDocument/2006/relationships/header" Target="header7.xml"/><Relationship Id="rId144" Type="http://schemas.openxmlformats.org/officeDocument/2006/relationships/hyperlink" Target="https://www.legislation.gov.au/Series/C2004A00762" TargetMode="External"/><Relationship Id="rId330" Type="http://schemas.openxmlformats.org/officeDocument/2006/relationships/hyperlink" Target="http://www.legislation.act.gov.au/a/2004-15" TargetMode="External"/><Relationship Id="rId90" Type="http://schemas.openxmlformats.org/officeDocument/2006/relationships/hyperlink" Target="https://www.legislation.gov.au/Series/C2004A00762" TargetMode="External"/><Relationship Id="rId165" Type="http://schemas.openxmlformats.org/officeDocument/2006/relationships/hyperlink" Target="https://www.legislation.gov.au/Series/C2004A00762" TargetMode="External"/><Relationship Id="rId186" Type="http://schemas.openxmlformats.org/officeDocument/2006/relationships/hyperlink" Target="https://www.legislation.gov.au/Series/C2004A01401" TargetMode="External"/><Relationship Id="rId351" Type="http://schemas.openxmlformats.org/officeDocument/2006/relationships/hyperlink" Target="http://www.legislation.act.gov.au/a/2008-10" TargetMode="External"/><Relationship Id="rId372" Type="http://schemas.openxmlformats.org/officeDocument/2006/relationships/hyperlink" Target="http://www.legislation.act.gov.au/a/2017-15/default.asp" TargetMode="External"/><Relationship Id="rId211" Type="http://schemas.openxmlformats.org/officeDocument/2006/relationships/header" Target="header10.xml"/><Relationship Id="rId232" Type="http://schemas.openxmlformats.org/officeDocument/2006/relationships/header" Target="header12.xml"/><Relationship Id="rId253" Type="http://schemas.openxmlformats.org/officeDocument/2006/relationships/hyperlink" Target="http://www.legislation.act.gov.au/a/2008-10" TargetMode="External"/><Relationship Id="rId274" Type="http://schemas.openxmlformats.org/officeDocument/2006/relationships/hyperlink" Target="http://www.legislation.act.gov.au/a/2008-10" TargetMode="External"/><Relationship Id="rId295" Type="http://schemas.openxmlformats.org/officeDocument/2006/relationships/hyperlink" Target="http://www.legislation.act.gov.au/a/2008-10" TargetMode="External"/><Relationship Id="rId309" Type="http://schemas.openxmlformats.org/officeDocument/2006/relationships/hyperlink" Target="http://www.legislation.act.gov.au/a/2008-10" TargetMode="External"/><Relationship Id="rId27" Type="http://schemas.openxmlformats.org/officeDocument/2006/relationships/footer" Target="footer4.xml"/><Relationship Id="rId48" Type="http://schemas.openxmlformats.org/officeDocument/2006/relationships/hyperlink" Target="https://www.legislation.gov.au/Series/C2004A00762" TargetMode="External"/><Relationship Id="rId69" Type="http://schemas.openxmlformats.org/officeDocument/2006/relationships/hyperlink" Target="https://www.legislation.gov.au/Series/C2004A00762" TargetMode="External"/><Relationship Id="rId113" Type="http://schemas.openxmlformats.org/officeDocument/2006/relationships/hyperlink" Target="https://www.legislation.gov.au/Series/C2004A00762" TargetMode="External"/><Relationship Id="rId134" Type="http://schemas.openxmlformats.org/officeDocument/2006/relationships/hyperlink" Target="https://www.legislation.gov.au/Series/C2004A00762" TargetMode="External"/><Relationship Id="rId320" Type="http://schemas.openxmlformats.org/officeDocument/2006/relationships/hyperlink" Target="http://www.legislation.act.gov.au/a/2017-15/default.asp" TargetMode="External"/><Relationship Id="rId80" Type="http://schemas.openxmlformats.org/officeDocument/2006/relationships/hyperlink" Target="https://www.legislation.gov.au/Series/C2004A00762" TargetMode="External"/><Relationship Id="rId155" Type="http://schemas.openxmlformats.org/officeDocument/2006/relationships/hyperlink" Target="http://www.legislation.act.gov.au/a/1996-22" TargetMode="External"/><Relationship Id="rId176" Type="http://schemas.openxmlformats.org/officeDocument/2006/relationships/hyperlink" Target="https://www.legislation.gov.au/Series/C2004A00762" TargetMode="External"/><Relationship Id="rId197" Type="http://schemas.openxmlformats.org/officeDocument/2006/relationships/hyperlink" Target="http://www.legislation.act.gov.au/a/2002-51" TargetMode="External"/><Relationship Id="rId341" Type="http://schemas.openxmlformats.org/officeDocument/2006/relationships/hyperlink" Target="http://www.legislation.act.gov.au/a/2017-15/default.asp" TargetMode="External"/><Relationship Id="rId362" Type="http://schemas.openxmlformats.org/officeDocument/2006/relationships/hyperlink" Target="http://www.legislation.act.gov.au/a/2008-10" TargetMode="External"/><Relationship Id="rId383" Type="http://schemas.openxmlformats.org/officeDocument/2006/relationships/header" Target="header19.xml"/><Relationship Id="rId201" Type="http://schemas.openxmlformats.org/officeDocument/2006/relationships/hyperlink" Target="https://www.legislation.gov.au/Series/C2004A00762" TargetMode="External"/><Relationship Id="rId222" Type="http://schemas.openxmlformats.org/officeDocument/2006/relationships/hyperlink" Target="https://www.legislation.gov.au/Series/C2004A00762" TargetMode="External"/><Relationship Id="rId243" Type="http://schemas.openxmlformats.org/officeDocument/2006/relationships/hyperlink" Target="http://www.legislation.act.gov.au/a/2015-33/default.asp" TargetMode="External"/><Relationship Id="rId264" Type="http://schemas.openxmlformats.org/officeDocument/2006/relationships/hyperlink" Target="http://www.legislation.act.gov.au/a/2017-15/default.asp" TargetMode="External"/><Relationship Id="rId285" Type="http://schemas.openxmlformats.org/officeDocument/2006/relationships/hyperlink" Target="http://www.legislation.act.gov.au/a/2008-10" TargetMode="External"/><Relationship Id="rId17" Type="http://schemas.openxmlformats.org/officeDocument/2006/relationships/hyperlink" Target="http://www.legislation.act.gov.au/a/2001-14" TargetMode="External"/><Relationship Id="rId38" Type="http://schemas.openxmlformats.org/officeDocument/2006/relationships/hyperlink" Target="https://www.legislation.gov.au/Series/C2004A00762" TargetMode="External"/><Relationship Id="rId59" Type="http://schemas.openxmlformats.org/officeDocument/2006/relationships/hyperlink" Target="https://www.legislation.gov.au/Series/C2004A00762" TargetMode="External"/><Relationship Id="rId103" Type="http://schemas.openxmlformats.org/officeDocument/2006/relationships/hyperlink" Target="https://www.legislation.gov.au/Series/C2004A00762" TargetMode="External"/><Relationship Id="rId124" Type="http://schemas.openxmlformats.org/officeDocument/2006/relationships/footer" Target="footer7.xml"/><Relationship Id="rId310" Type="http://schemas.openxmlformats.org/officeDocument/2006/relationships/hyperlink" Target="http://www.legislation.act.gov.au/a/2008-10" TargetMode="External"/><Relationship Id="rId70" Type="http://schemas.openxmlformats.org/officeDocument/2006/relationships/hyperlink" Target="https://www.legislation.gov.au/Series/C2004A00762" TargetMode="External"/><Relationship Id="rId91" Type="http://schemas.openxmlformats.org/officeDocument/2006/relationships/hyperlink" Target="http://www.legislation.act.gov.au/a/2001-14" TargetMode="External"/><Relationship Id="rId145" Type="http://schemas.openxmlformats.org/officeDocument/2006/relationships/hyperlink" Target="https://www.legislation.gov.au/Series/C2004A00762" TargetMode="External"/><Relationship Id="rId166" Type="http://schemas.openxmlformats.org/officeDocument/2006/relationships/hyperlink" Target="https://www.legislation.gov.au/Series/C2004A00762" TargetMode="External"/><Relationship Id="rId187" Type="http://schemas.openxmlformats.org/officeDocument/2006/relationships/hyperlink" Target="https://www.legislation.gov.au/Series/C2004A01401" TargetMode="External"/><Relationship Id="rId331" Type="http://schemas.openxmlformats.org/officeDocument/2006/relationships/hyperlink" Target="http://www.legislation.act.gov.au/a/2006-46" TargetMode="External"/><Relationship Id="rId352" Type="http://schemas.openxmlformats.org/officeDocument/2006/relationships/hyperlink" Target="http://www.legislation.act.gov.au/a/2017-15/default.asp" TargetMode="External"/><Relationship Id="rId373" Type="http://schemas.openxmlformats.org/officeDocument/2006/relationships/header" Target="header14.xml"/><Relationship Id="rId1" Type="http://schemas.openxmlformats.org/officeDocument/2006/relationships/customXml" Target="../customXml/item1.xml"/><Relationship Id="rId212" Type="http://schemas.openxmlformats.org/officeDocument/2006/relationships/header" Target="header11.xml"/><Relationship Id="rId233" Type="http://schemas.openxmlformats.org/officeDocument/2006/relationships/header" Target="header13.xml"/><Relationship Id="rId254" Type="http://schemas.openxmlformats.org/officeDocument/2006/relationships/hyperlink" Target="http://www.legislation.act.gov.au/a/2008-10" TargetMode="External"/><Relationship Id="rId28" Type="http://schemas.openxmlformats.org/officeDocument/2006/relationships/footer" Target="footer5.xml"/><Relationship Id="rId49" Type="http://schemas.openxmlformats.org/officeDocument/2006/relationships/hyperlink" Target="https://www.legislation.gov.au/Series/C2004A00762" TargetMode="External"/><Relationship Id="rId114" Type="http://schemas.openxmlformats.org/officeDocument/2006/relationships/hyperlink" Target="https://www.legislation.gov.au/Series/C2004A00762" TargetMode="External"/><Relationship Id="rId275" Type="http://schemas.openxmlformats.org/officeDocument/2006/relationships/hyperlink" Target="http://www.legislation.act.gov.au/a/2017-15/default.asp" TargetMode="External"/><Relationship Id="rId296" Type="http://schemas.openxmlformats.org/officeDocument/2006/relationships/hyperlink" Target="http://www.legislation.act.gov.au/a/2008-10" TargetMode="External"/><Relationship Id="rId300" Type="http://schemas.openxmlformats.org/officeDocument/2006/relationships/hyperlink" Target="http://www.legislation.act.gov.au/a/2008-10" TargetMode="External"/><Relationship Id="rId60" Type="http://schemas.openxmlformats.org/officeDocument/2006/relationships/hyperlink" Target="https://www.legislation.gov.au/Series/C2004A00762" TargetMode="External"/><Relationship Id="rId81" Type="http://schemas.openxmlformats.org/officeDocument/2006/relationships/hyperlink" Target="https://www.legislation.gov.au/Series/C2004A00762" TargetMode="External"/><Relationship Id="rId135" Type="http://schemas.openxmlformats.org/officeDocument/2006/relationships/hyperlink" Target="https://www.legislation.gov.au/Series/C2004A00762" TargetMode="External"/><Relationship Id="rId156" Type="http://schemas.openxmlformats.org/officeDocument/2006/relationships/hyperlink" Target="https://www.legislation.gov.au/Series/C2004A00762" TargetMode="External"/><Relationship Id="rId177" Type="http://schemas.openxmlformats.org/officeDocument/2006/relationships/hyperlink" Target="https://www.legislation.gov.au/Series/C2004A00762" TargetMode="External"/><Relationship Id="rId198" Type="http://schemas.openxmlformats.org/officeDocument/2006/relationships/hyperlink" Target="https://www.legislation.gov.au/Series/C2004A00762" TargetMode="External"/><Relationship Id="rId321" Type="http://schemas.openxmlformats.org/officeDocument/2006/relationships/hyperlink" Target="http://www.legislation.act.gov.au/a/2017-15/default.asp" TargetMode="External"/><Relationship Id="rId342" Type="http://schemas.openxmlformats.org/officeDocument/2006/relationships/hyperlink" Target="http://www.legislation.act.gov.au/a/2017-15/default.asp" TargetMode="External"/><Relationship Id="rId363" Type="http://schemas.openxmlformats.org/officeDocument/2006/relationships/hyperlink" Target="http://www.legislation.act.gov.au/a/2009-20" TargetMode="External"/><Relationship Id="rId384" Type="http://schemas.openxmlformats.org/officeDocument/2006/relationships/header" Target="header20.xml"/><Relationship Id="rId202" Type="http://schemas.openxmlformats.org/officeDocument/2006/relationships/hyperlink" Target="http://www.legislation.act.gov.au/a/2001-14" TargetMode="External"/><Relationship Id="rId223" Type="http://schemas.openxmlformats.org/officeDocument/2006/relationships/hyperlink" Target="https://www.legislation.gov.au/Series/C2004A00762" TargetMode="External"/><Relationship Id="rId244" Type="http://schemas.openxmlformats.org/officeDocument/2006/relationships/hyperlink" Target="http://www.legislation.act.gov.au/a/2016-52/default.asp" TargetMode="External"/><Relationship Id="rId18" Type="http://schemas.openxmlformats.org/officeDocument/2006/relationships/hyperlink" Target="http://www.legislation.act.gov.au/a/2001-14" TargetMode="External"/><Relationship Id="rId39" Type="http://schemas.openxmlformats.org/officeDocument/2006/relationships/hyperlink" Target="https://www.legislation.gov.au/Series/C2004A00762" TargetMode="External"/><Relationship Id="rId265" Type="http://schemas.openxmlformats.org/officeDocument/2006/relationships/hyperlink" Target="http://www.legislation.act.gov.au/a/2008-10" TargetMode="External"/><Relationship Id="rId286" Type="http://schemas.openxmlformats.org/officeDocument/2006/relationships/hyperlink" Target="http://www.legislation.act.gov.au/a/2009-20" TargetMode="External"/><Relationship Id="rId50" Type="http://schemas.openxmlformats.org/officeDocument/2006/relationships/hyperlink" Target="http://www.legislation.act.gov.au/a/2001-14" TargetMode="External"/><Relationship Id="rId104" Type="http://schemas.openxmlformats.org/officeDocument/2006/relationships/hyperlink" Target="https://www.legislation.gov.au/Series/C2004A00762" TargetMode="External"/><Relationship Id="rId125" Type="http://schemas.openxmlformats.org/officeDocument/2006/relationships/footer" Target="footer8.xml"/><Relationship Id="rId146" Type="http://schemas.openxmlformats.org/officeDocument/2006/relationships/hyperlink" Target="https://www.legislation.gov.au/Series/C2004A00762" TargetMode="External"/><Relationship Id="rId167" Type="http://schemas.openxmlformats.org/officeDocument/2006/relationships/hyperlink" Target="https://www.legislation.gov.au/Series/C2004A00762" TargetMode="External"/><Relationship Id="rId188" Type="http://schemas.openxmlformats.org/officeDocument/2006/relationships/hyperlink" Target="https://www.legislation.gov.au/Series/C2004A00762" TargetMode="External"/><Relationship Id="rId311" Type="http://schemas.openxmlformats.org/officeDocument/2006/relationships/hyperlink" Target="http://www.legislation.act.gov.au/a/2008-10" TargetMode="External"/><Relationship Id="rId332" Type="http://schemas.openxmlformats.org/officeDocument/2006/relationships/hyperlink" Target="http://www.legislation.act.gov.au/a/2008-10" TargetMode="External"/><Relationship Id="rId353" Type="http://schemas.openxmlformats.org/officeDocument/2006/relationships/hyperlink" Target="http://www.legislation.act.gov.au/a/2008-10" TargetMode="External"/><Relationship Id="rId374" Type="http://schemas.openxmlformats.org/officeDocument/2006/relationships/header" Target="header15.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footer" Target="footer13.xml"/><Relationship Id="rId234"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footer" Target="footer6.xml"/><Relationship Id="rId255" Type="http://schemas.openxmlformats.org/officeDocument/2006/relationships/hyperlink" Target="http://www.legislation.act.gov.au/a/2008-10" TargetMode="External"/><Relationship Id="rId276" Type="http://schemas.openxmlformats.org/officeDocument/2006/relationships/hyperlink" Target="http://www.legislation.act.gov.au/a/2008-10" TargetMode="External"/><Relationship Id="rId297" Type="http://schemas.openxmlformats.org/officeDocument/2006/relationships/hyperlink" Target="http://www.legislation.act.gov.au/a/2008-10" TargetMode="External"/><Relationship Id="rId40" Type="http://schemas.openxmlformats.org/officeDocument/2006/relationships/hyperlink" Target="https://www.legislation.gov.au/Series/C2004A00762" TargetMode="External"/><Relationship Id="rId115" Type="http://schemas.openxmlformats.org/officeDocument/2006/relationships/hyperlink" Target="https://www.legislation.gov.au/Series/C2004A00762" TargetMode="External"/><Relationship Id="rId136" Type="http://schemas.openxmlformats.org/officeDocument/2006/relationships/hyperlink" Target="https://www.legislation.gov.au/Series/C2004A00762" TargetMode="External"/><Relationship Id="rId157" Type="http://schemas.openxmlformats.org/officeDocument/2006/relationships/hyperlink" Target="https://www.legislation.gov.au/Series/C2004A00762"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08-10" TargetMode="External"/><Relationship Id="rId322" Type="http://schemas.openxmlformats.org/officeDocument/2006/relationships/hyperlink" Target="http://www.legislation.act.gov.au/a/2008-10" TargetMode="External"/><Relationship Id="rId343" Type="http://schemas.openxmlformats.org/officeDocument/2006/relationships/hyperlink" Target="http://www.legislation.act.gov.au/a/2017-15/default.asp" TargetMode="External"/><Relationship Id="rId364" Type="http://schemas.openxmlformats.org/officeDocument/2006/relationships/hyperlink" Target="http://www.legislation.act.gov.au/a/2009-20" TargetMode="External"/><Relationship Id="rId61" Type="http://schemas.openxmlformats.org/officeDocument/2006/relationships/hyperlink" Target="https://www.legislation.gov.au/Series/C2004A00762" TargetMode="External"/><Relationship Id="rId82" Type="http://schemas.openxmlformats.org/officeDocument/2006/relationships/hyperlink" Target="http://www.legislation.act.gov.au/a/2001-14" TargetMode="External"/><Relationship Id="rId199" Type="http://schemas.openxmlformats.org/officeDocument/2006/relationships/hyperlink" Target="https://www.legislation.gov.au/Series/C2004A00762" TargetMode="External"/><Relationship Id="rId203" Type="http://schemas.openxmlformats.org/officeDocument/2006/relationships/hyperlink" Target="http://www.legislation.act.gov.au/a/2001-14" TargetMode="External"/><Relationship Id="rId385" Type="http://schemas.openxmlformats.org/officeDocument/2006/relationships/footer" Target="footer23.xml"/><Relationship Id="rId19" Type="http://schemas.openxmlformats.org/officeDocument/2006/relationships/header" Target="header1.xml"/><Relationship Id="rId224" Type="http://schemas.openxmlformats.org/officeDocument/2006/relationships/hyperlink" Target="http://www.health.gov.au/internet/main/publishing.nsf/Content/gene-tech-agreement" TargetMode="External"/><Relationship Id="rId245" Type="http://schemas.openxmlformats.org/officeDocument/2006/relationships/hyperlink" Target="http://www.legislation.act.gov.au/a/2016-55/default.asp" TargetMode="External"/><Relationship Id="rId266" Type="http://schemas.openxmlformats.org/officeDocument/2006/relationships/hyperlink" Target="http://www.legislation.act.gov.au/a/2008-10" TargetMode="External"/><Relationship Id="rId287" Type="http://schemas.openxmlformats.org/officeDocument/2006/relationships/hyperlink" Target="http://www.legislation.act.gov.au/a/2008-10" TargetMode="External"/><Relationship Id="rId30" Type="http://schemas.openxmlformats.org/officeDocument/2006/relationships/hyperlink" Target="https://www.legislation.gov.au/Series/C2004A00762" TargetMode="External"/><Relationship Id="rId105" Type="http://schemas.openxmlformats.org/officeDocument/2006/relationships/hyperlink" Target="https://www.legislation.gov.au/Series/C2004A00762" TargetMode="External"/><Relationship Id="rId126" Type="http://schemas.openxmlformats.org/officeDocument/2006/relationships/footer" Target="footer9.xml"/><Relationship Id="rId147" Type="http://schemas.openxmlformats.org/officeDocument/2006/relationships/hyperlink" Target="https://www.legislation.gov.au/Series/C2004A00762"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08-10" TargetMode="External"/><Relationship Id="rId333" Type="http://schemas.openxmlformats.org/officeDocument/2006/relationships/hyperlink" Target="http://www.legislation.act.gov.au/a/2008-12" TargetMode="External"/><Relationship Id="rId354" Type="http://schemas.openxmlformats.org/officeDocument/2006/relationships/hyperlink" Target="http://www.legislation.act.gov.au/a/2008-10" TargetMode="External"/><Relationship Id="rId51" Type="http://schemas.openxmlformats.org/officeDocument/2006/relationships/hyperlink" Target="http://www.health.gov.au/internet/main/publishing.nsf/Content/gene-tech-agreement" TargetMode="External"/><Relationship Id="rId72" Type="http://schemas.openxmlformats.org/officeDocument/2006/relationships/hyperlink" Target="https://www.legislation.gov.au/Series/C2004A00762" TargetMode="External"/><Relationship Id="rId93" Type="http://schemas.openxmlformats.org/officeDocument/2006/relationships/hyperlink" Target="https://www.legislation.gov.au/Series/C2004A00762" TargetMode="External"/><Relationship Id="rId189" Type="http://schemas.openxmlformats.org/officeDocument/2006/relationships/hyperlink" Target="http://www.comlaw.gov.au/Series/C2004A01697" TargetMode="External"/><Relationship Id="rId375" Type="http://schemas.openxmlformats.org/officeDocument/2006/relationships/footer" Target="footer18.xml"/><Relationship Id="rId3" Type="http://schemas.openxmlformats.org/officeDocument/2006/relationships/styles" Target="styles.xml"/><Relationship Id="rId214" Type="http://schemas.openxmlformats.org/officeDocument/2006/relationships/footer" Target="footer14.xml"/><Relationship Id="rId235" Type="http://schemas.openxmlformats.org/officeDocument/2006/relationships/footer" Target="footer17.xml"/><Relationship Id="rId256" Type="http://schemas.openxmlformats.org/officeDocument/2006/relationships/hyperlink" Target="http://www.legislation.act.gov.au/a/2008-10" TargetMode="External"/><Relationship Id="rId277" Type="http://schemas.openxmlformats.org/officeDocument/2006/relationships/hyperlink" Target="http://www.legislation.act.gov.au/a/2008-10" TargetMode="External"/><Relationship Id="rId298" Type="http://schemas.openxmlformats.org/officeDocument/2006/relationships/hyperlink" Target="http://www.legislation.act.gov.au/a/2008-10" TargetMode="External"/><Relationship Id="rId116" Type="http://schemas.openxmlformats.org/officeDocument/2006/relationships/hyperlink" Target="http://www.legislation.act.gov.au/a/2001-14" TargetMode="External"/><Relationship Id="rId137" Type="http://schemas.openxmlformats.org/officeDocument/2006/relationships/hyperlink" Target="https://www.legislation.gov.au/Series/C2004A00762" TargetMode="External"/><Relationship Id="rId158" Type="http://schemas.openxmlformats.org/officeDocument/2006/relationships/hyperlink" Target="https://www.legislation.gov.au/Series/C2004A00762" TargetMode="External"/><Relationship Id="rId302" Type="http://schemas.openxmlformats.org/officeDocument/2006/relationships/hyperlink" Target="http://www.legislation.act.gov.au/a/2008-10" TargetMode="External"/><Relationship Id="rId323" Type="http://schemas.openxmlformats.org/officeDocument/2006/relationships/hyperlink" Target="http://www.legislation.act.gov.au/a/2017-15/default.asp" TargetMode="External"/><Relationship Id="rId344" Type="http://schemas.openxmlformats.org/officeDocument/2006/relationships/hyperlink" Target="http://www.legislation.act.gov.au/a/2017-15/default.asp" TargetMode="External"/><Relationship Id="rId20" Type="http://schemas.openxmlformats.org/officeDocument/2006/relationships/header" Target="header2.xml"/><Relationship Id="rId41" Type="http://schemas.openxmlformats.org/officeDocument/2006/relationships/hyperlink" Target="https://www.legislation.gov.au/Series/C2004A00762"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s://www.legislation.gov.au/Series/C2004A00762" TargetMode="External"/><Relationship Id="rId365" Type="http://schemas.openxmlformats.org/officeDocument/2006/relationships/hyperlink" Target="http://www.legislation.act.gov.au/a/2011-52" TargetMode="External"/><Relationship Id="rId386" Type="http://schemas.openxmlformats.org/officeDocument/2006/relationships/footer" Target="footer24.xml"/><Relationship Id="rId190" Type="http://schemas.openxmlformats.org/officeDocument/2006/relationships/hyperlink" Target="https://www.legislation.gov.au/Series/C2004A00762" TargetMode="External"/><Relationship Id="rId204" Type="http://schemas.openxmlformats.org/officeDocument/2006/relationships/hyperlink" Target="http://www.legislation.act.gov.au/a/2001-14" TargetMode="External"/><Relationship Id="rId225" Type="http://schemas.openxmlformats.org/officeDocument/2006/relationships/hyperlink" Target="https://www.legislation.gov.au/Series/C2004A00762" TargetMode="External"/><Relationship Id="rId246" Type="http://schemas.openxmlformats.org/officeDocument/2006/relationships/hyperlink" Target="http://www.legislation.act.gov.au/a/2017-14" TargetMode="External"/><Relationship Id="rId267" Type="http://schemas.openxmlformats.org/officeDocument/2006/relationships/hyperlink" Target="http://www.legislation.act.gov.au/a/2008-10" TargetMode="External"/><Relationship Id="rId288" Type="http://schemas.openxmlformats.org/officeDocument/2006/relationships/hyperlink" Target="http://www.legislation.act.gov.au/a/2017-15/default.asp" TargetMode="External"/><Relationship Id="rId106" Type="http://schemas.openxmlformats.org/officeDocument/2006/relationships/hyperlink" Target="https://www.legislation.gov.au/Series/C2004A00762" TargetMode="External"/><Relationship Id="rId127" Type="http://schemas.openxmlformats.org/officeDocument/2006/relationships/hyperlink" Target="https://www.legislation.gov.au/Series/C2004A00762" TargetMode="External"/><Relationship Id="rId313" Type="http://schemas.openxmlformats.org/officeDocument/2006/relationships/hyperlink" Target="http://www.legislation.act.gov.au/a/2008-10" TargetMode="External"/><Relationship Id="rId10" Type="http://schemas.openxmlformats.org/officeDocument/2006/relationships/hyperlink" Target="http://www.legislation.act.gov.au/a/2017-14/default.asp" TargetMode="External"/><Relationship Id="rId31" Type="http://schemas.openxmlformats.org/officeDocument/2006/relationships/hyperlink" Target="https://www.legislation.gov.au/Series/C2004A00762" TargetMode="External"/><Relationship Id="rId52" Type="http://schemas.openxmlformats.org/officeDocument/2006/relationships/hyperlink" Target="https://www.legislation.gov.au/Series/C2004A00762" TargetMode="External"/><Relationship Id="rId73" Type="http://schemas.openxmlformats.org/officeDocument/2006/relationships/hyperlink" Target="https://www.legislation.gov.au/Series/C2004A00762" TargetMode="External"/><Relationship Id="rId94" Type="http://schemas.openxmlformats.org/officeDocument/2006/relationships/hyperlink" Target="http://www.legislation.act.gov.au/a/2002-51" TargetMode="External"/><Relationship Id="rId148" Type="http://schemas.openxmlformats.org/officeDocument/2006/relationships/hyperlink" Target="https://www.legislation.gov.au/Series/C2004A00762" TargetMode="External"/><Relationship Id="rId169" Type="http://schemas.openxmlformats.org/officeDocument/2006/relationships/hyperlink" Target="https://www.legislation.gov.au/Series/C2004A00762" TargetMode="External"/><Relationship Id="rId334" Type="http://schemas.openxmlformats.org/officeDocument/2006/relationships/hyperlink" Target="http://www.legislation.act.gov.au/a/2008-10" TargetMode="External"/><Relationship Id="rId355" Type="http://schemas.openxmlformats.org/officeDocument/2006/relationships/hyperlink" Target="http://www.legislation.act.gov.au/a/2004-15" TargetMode="External"/><Relationship Id="rId376" Type="http://schemas.openxmlformats.org/officeDocument/2006/relationships/footer" Target="footer19.xml"/><Relationship Id="rId4" Type="http://schemas.openxmlformats.org/officeDocument/2006/relationships/settings" Target="settings.xml"/><Relationship Id="rId180" Type="http://schemas.openxmlformats.org/officeDocument/2006/relationships/hyperlink" Target="https://www.legislation.gov.au/Series/C2004A00762" TargetMode="External"/><Relationship Id="rId215" Type="http://schemas.openxmlformats.org/officeDocument/2006/relationships/footer" Target="footer15.xm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8-10" TargetMode="External"/><Relationship Id="rId278" Type="http://schemas.openxmlformats.org/officeDocument/2006/relationships/hyperlink" Target="http://www.legislation.act.gov.au/a/2008-10" TargetMode="External"/><Relationship Id="rId303" Type="http://schemas.openxmlformats.org/officeDocument/2006/relationships/hyperlink" Target="http://www.legislation.act.gov.au/a/20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72C8C-1218-449C-A9C7-D53A3E33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29417</Words>
  <Characters>148087</Characters>
  <Application>Microsoft Office Word</Application>
  <DocSecurity>0</DocSecurity>
  <Lines>3923</Lines>
  <Paragraphs>2406</Paragraphs>
  <ScaleCrop>false</ScaleCrop>
  <HeadingPairs>
    <vt:vector size="2" baseType="variant">
      <vt:variant>
        <vt:lpstr>Title</vt:lpstr>
      </vt:variant>
      <vt:variant>
        <vt:i4>1</vt:i4>
      </vt:variant>
    </vt:vector>
  </HeadingPairs>
  <TitlesOfParts>
    <vt:vector size="1" baseType="lpstr">
      <vt:lpstr>Gene Technology Act 2003</vt:lpstr>
    </vt:vector>
  </TitlesOfParts>
  <Manager>Section</Manager>
  <Company>Section</Company>
  <LinksUpToDate>false</LinksUpToDate>
  <CharactersWithSpaces>176520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Act 2003</dc:title>
  <dc:creator>ACT Government</dc:creator>
  <cp:keywords>R11</cp:keywords>
  <dc:description/>
  <cp:lastModifiedBy>PCODCS</cp:lastModifiedBy>
  <cp:revision>5</cp:revision>
  <cp:lastPrinted>2017-12-12T23:27:00Z</cp:lastPrinted>
  <dcterms:created xsi:type="dcterms:W3CDTF">2018-10-22T03:29:00Z</dcterms:created>
  <dcterms:modified xsi:type="dcterms:W3CDTF">2018-10-22T03:29:00Z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01/01/18</vt:lpwstr>
  </property>
  <property fmtid="{D5CDD505-2E9C-101B-9397-08002B2CF9AE}" pid="4" name="Eff">
    <vt:lpwstr>Effective:  </vt:lpwstr>
  </property>
  <property fmtid="{D5CDD505-2E9C-101B-9397-08002B2CF9AE}" pid="5" name="StartDt">
    <vt:lpwstr>01/01/18</vt:lpwstr>
  </property>
  <property fmtid="{D5CDD505-2E9C-101B-9397-08002B2CF9AE}" pid="6" name="EndDt">
    <vt:lpwstr>-22/10/18</vt:lpwstr>
  </property>
  <property fmtid="{D5CDD505-2E9C-101B-9397-08002B2CF9AE}" pid="7" name="DMSID">
    <vt:lpwstr>875428</vt:lpwstr>
  </property>
  <property fmtid="{D5CDD505-2E9C-101B-9397-08002B2CF9AE}" pid="8" name="JMSREQUIREDCHECKIN">
    <vt:lpwstr/>
  </property>
  <property fmtid="{D5CDD505-2E9C-101B-9397-08002B2CF9AE}" pid="9" name="CHECKEDOUTFROMJMS">
    <vt:lpwstr/>
  </property>
</Properties>
</file>