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79988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1D9D7D0" w14:textId="77777777" w:rsidR="00F10CB2" w:rsidRPr="00A325B1" w:rsidRDefault="001C737C">
      <w:pPr>
        <w:pStyle w:val="Billname"/>
        <w:spacing w:before="700"/>
      </w:pPr>
      <w:r>
        <w:t>Public Place Names</w:t>
      </w:r>
      <w:r w:rsidR="00F10CB2">
        <w:t xml:space="preserve"> (</w:t>
      </w:r>
      <w:r w:rsidR="00A325B1">
        <w:t>Lawson</w:t>
      </w:r>
      <w:r w:rsidR="00F10CB2">
        <w:t xml:space="preserve">) </w:t>
      </w:r>
      <w:r>
        <w:t>Determination</w:t>
      </w:r>
      <w:r w:rsidR="00B30B9A">
        <w:t xml:space="preserve"> </w:t>
      </w:r>
      <w:r w:rsidR="00A325B1">
        <w:t>2019</w:t>
      </w:r>
      <w:r w:rsidR="001F1298">
        <w:t xml:space="preserve"> </w:t>
      </w:r>
    </w:p>
    <w:p w14:paraId="5D39257F" w14:textId="1F57D28E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A325B1">
        <w:rPr>
          <w:rFonts w:ascii="Arial" w:hAnsi="Arial" w:cs="Arial"/>
          <w:b/>
          <w:bCs/>
          <w:iCs/>
        </w:rPr>
        <w:t>2019</w:t>
      </w:r>
      <w:r>
        <w:rPr>
          <w:rFonts w:ascii="Arial" w:hAnsi="Arial" w:cs="Arial"/>
          <w:b/>
          <w:bCs/>
        </w:rPr>
        <w:t>–</w:t>
      </w:r>
      <w:r w:rsidR="00B80A64">
        <w:rPr>
          <w:rFonts w:ascii="Arial" w:hAnsi="Arial" w:cs="Arial"/>
          <w:b/>
          <w:bCs/>
        </w:rPr>
        <w:t>68</w:t>
      </w:r>
    </w:p>
    <w:p w14:paraId="7460584B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F282950" w14:textId="77777777" w:rsidR="00F10CB2" w:rsidRDefault="001C737C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Minister to determine names</w:t>
      </w:r>
      <w:r w:rsidR="00F10CB2">
        <w:rPr>
          <w:rFonts w:cs="Arial"/>
          <w:sz w:val="20"/>
        </w:rPr>
        <w:t>)</w:t>
      </w:r>
    </w:p>
    <w:p w14:paraId="32C5A37A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631D48C0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757CC7E3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F0D3D02" w14:textId="77777777" w:rsidR="00F10CB2" w:rsidRDefault="00F10CB2" w:rsidP="00D47F13">
      <w:pPr>
        <w:spacing w:before="140"/>
        <w:ind w:left="720"/>
      </w:pPr>
      <w:r>
        <w:t xml:space="preserve">This instrument is the </w:t>
      </w:r>
      <w:r w:rsidR="00121246" w:rsidRPr="00121246">
        <w:rPr>
          <w:i/>
        </w:rPr>
        <w:t>Public Place Names</w:t>
      </w:r>
      <w:r w:rsidR="00121246">
        <w:rPr>
          <w:i/>
        </w:rPr>
        <w:t xml:space="preserve"> (Lawson) Determination 2019.</w:t>
      </w:r>
      <w:r w:rsidR="00121246">
        <w:t xml:space="preserve"> </w:t>
      </w:r>
    </w:p>
    <w:p w14:paraId="49EA6525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0371A1A" w14:textId="77777777" w:rsidR="00F10CB2" w:rsidRPr="00A325B1" w:rsidRDefault="00F10CB2" w:rsidP="00D47F13">
      <w:pPr>
        <w:spacing w:before="140"/>
        <w:ind w:left="720"/>
      </w:pPr>
      <w:r w:rsidRPr="00A325B1">
        <w:t xml:space="preserve">This instrument commences on </w:t>
      </w:r>
      <w:r w:rsidR="00492788" w:rsidRPr="00A325B1">
        <w:t xml:space="preserve">the day after </w:t>
      </w:r>
      <w:r w:rsidR="000C501D" w:rsidRPr="00A325B1">
        <w:t xml:space="preserve">its </w:t>
      </w:r>
      <w:r w:rsidR="00492788" w:rsidRPr="00A325B1">
        <w:t>notification</w:t>
      </w:r>
      <w:r w:rsidR="000C501D" w:rsidRPr="00A325B1">
        <w:t xml:space="preserve"> day</w:t>
      </w:r>
      <w:r w:rsidRPr="00A325B1">
        <w:t xml:space="preserve">. </w:t>
      </w:r>
    </w:p>
    <w:p w14:paraId="1CF1333C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737C">
        <w:rPr>
          <w:rFonts w:ascii="Arial" w:hAnsi="Arial" w:cs="Arial"/>
          <w:b/>
          <w:bCs/>
        </w:rPr>
        <w:t>Determination of Place Names</w:t>
      </w:r>
    </w:p>
    <w:p w14:paraId="6C474BD4" w14:textId="77777777" w:rsidR="00E358BC" w:rsidRPr="00970517" w:rsidRDefault="00E358BC" w:rsidP="00E358BC">
      <w:pPr>
        <w:spacing w:before="140"/>
        <w:ind w:left="720"/>
      </w:pPr>
      <w:r>
        <w:t xml:space="preserve">I determine the </w:t>
      </w:r>
      <w:r w:rsidR="00A502EA">
        <w:t xml:space="preserve">place </w:t>
      </w:r>
      <w:r>
        <w:t xml:space="preserve">names </w:t>
      </w:r>
      <w:r w:rsidR="00A502EA">
        <w:t xml:space="preserve">as </w:t>
      </w:r>
      <w:r>
        <w:t xml:space="preserve">indicated in the schedule. </w:t>
      </w:r>
    </w:p>
    <w:p w14:paraId="0634E55A" w14:textId="77777777" w:rsidR="00D47F13" w:rsidRDefault="00F236C5" w:rsidP="00232478">
      <w:pPr>
        <w:tabs>
          <w:tab w:val="left" w:pos="4320"/>
        </w:tabs>
        <w:spacing w:before="720"/>
      </w:pPr>
      <w:r>
        <w:t>Ben Ponton</w:t>
      </w:r>
    </w:p>
    <w:p w14:paraId="364F5F60" w14:textId="77777777" w:rsidR="00121246" w:rsidRDefault="001C737C" w:rsidP="00232478">
      <w:pPr>
        <w:tabs>
          <w:tab w:val="left" w:pos="4320"/>
        </w:tabs>
      </w:pPr>
      <w:r>
        <w:t>Delegate of the Minister</w:t>
      </w:r>
      <w:r w:rsidR="008F060D">
        <w:t xml:space="preserve"> for Planning and Land Management </w:t>
      </w:r>
    </w:p>
    <w:bookmarkEnd w:id="0"/>
    <w:p w14:paraId="1E0AA9C3" w14:textId="1387CEFB" w:rsidR="00F10CB2" w:rsidRDefault="00B80A64" w:rsidP="00232478">
      <w:pPr>
        <w:tabs>
          <w:tab w:val="left" w:pos="4320"/>
        </w:tabs>
      </w:pPr>
      <w:r>
        <w:t xml:space="preserve">21 </w:t>
      </w:r>
      <w:r w:rsidR="00CA22CC">
        <w:t>May 2019</w:t>
      </w:r>
    </w:p>
    <w:p w14:paraId="1A1F670C" w14:textId="77777777" w:rsidR="001F1298" w:rsidRDefault="001F1298" w:rsidP="00232478">
      <w:pPr>
        <w:tabs>
          <w:tab w:val="left" w:pos="4320"/>
        </w:tabs>
      </w:pPr>
    </w:p>
    <w:p w14:paraId="41C0FC98" w14:textId="77777777" w:rsidR="001F1298" w:rsidRDefault="001F1298" w:rsidP="00232478">
      <w:pPr>
        <w:tabs>
          <w:tab w:val="left" w:pos="4320"/>
        </w:tabs>
      </w:pPr>
    </w:p>
    <w:p w14:paraId="23A726C4" w14:textId="77777777" w:rsidR="001F1298" w:rsidRDefault="001F1298" w:rsidP="00232478">
      <w:pPr>
        <w:tabs>
          <w:tab w:val="left" w:pos="4320"/>
        </w:tabs>
      </w:pPr>
    </w:p>
    <w:p w14:paraId="5E86F4FC" w14:textId="77777777" w:rsidR="00AA02C9" w:rsidRDefault="00AA02C9" w:rsidP="00232478">
      <w:pPr>
        <w:tabs>
          <w:tab w:val="left" w:pos="4320"/>
        </w:tabs>
      </w:pPr>
    </w:p>
    <w:p w14:paraId="7A7141D5" w14:textId="77777777" w:rsidR="001056A5" w:rsidRDefault="001056A5">
      <w:pPr>
        <w:sectPr w:rsidR="001056A5" w:rsidSect="00C437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797" w:bottom="1440" w:left="1797" w:header="720" w:footer="720" w:gutter="0"/>
          <w:pgNumType w:start="1"/>
          <w:cols w:space="720"/>
          <w:docGrid w:linePitch="326"/>
        </w:sectPr>
      </w:pPr>
    </w:p>
    <w:p w14:paraId="65F783DC" w14:textId="77777777" w:rsidR="003D7174" w:rsidRPr="00513572" w:rsidRDefault="002A039C" w:rsidP="002A039C">
      <w:pPr>
        <w:rPr>
          <w:b/>
          <w:bCs/>
          <w:szCs w:val="28"/>
        </w:rPr>
      </w:pPr>
      <w:r w:rsidRPr="00513572">
        <w:rPr>
          <w:b/>
          <w:bCs/>
          <w:szCs w:val="28"/>
        </w:rPr>
        <w:lastRenderedPageBreak/>
        <w:t>SCHEDULE</w:t>
      </w:r>
    </w:p>
    <w:p w14:paraId="638A75F2" w14:textId="77777777" w:rsidR="008A3808" w:rsidRPr="00A325B1" w:rsidRDefault="008A3808" w:rsidP="008A3808">
      <w:pPr>
        <w:pStyle w:val="Heading2"/>
        <w:pBdr>
          <w:bottom w:val="single" w:sz="12" w:space="24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(See </w:t>
      </w:r>
      <w:r w:rsidR="00894148">
        <w:rPr>
          <w:rFonts w:ascii="Times New Roman" w:hAnsi="Times New Roman" w:cs="Times New Roman"/>
          <w:i w:val="0"/>
          <w:sz w:val="24"/>
          <w:szCs w:val="24"/>
        </w:rPr>
        <w:t>Clause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3)</w:t>
      </w:r>
    </w:p>
    <w:p w14:paraId="75BE91BC" w14:textId="77777777" w:rsidR="003D7174" w:rsidRPr="002A039C" w:rsidRDefault="003D7174" w:rsidP="002A039C"/>
    <w:p w14:paraId="2AE9C319" w14:textId="77777777" w:rsidR="00B63A10" w:rsidRPr="00B63A10" w:rsidRDefault="00AA02C9" w:rsidP="00C50A1E">
      <w:pPr>
        <w:rPr>
          <w:b/>
          <w:bCs/>
          <w:noProof/>
          <w:szCs w:val="24"/>
        </w:rPr>
      </w:pPr>
      <w:r w:rsidRPr="00AA02C9">
        <w:rPr>
          <w:b/>
          <w:bCs/>
          <w:szCs w:val="24"/>
        </w:rPr>
        <w:t xml:space="preserve">Division of </w:t>
      </w:r>
      <w:r w:rsidR="00A325B1">
        <w:rPr>
          <w:b/>
          <w:bCs/>
          <w:noProof/>
          <w:szCs w:val="24"/>
        </w:rPr>
        <w:t>Lawson</w:t>
      </w:r>
      <w:r w:rsidRPr="00AA02C9">
        <w:rPr>
          <w:b/>
          <w:bCs/>
          <w:noProof/>
          <w:szCs w:val="24"/>
        </w:rPr>
        <w:t xml:space="preserve"> – </w:t>
      </w:r>
      <w:r w:rsidR="00A325B1">
        <w:rPr>
          <w:b/>
          <w:bCs/>
          <w:noProof/>
          <w:szCs w:val="24"/>
        </w:rPr>
        <w:t>Henry Lawson’s Australia</w:t>
      </w:r>
    </w:p>
    <w:p w14:paraId="64EE5BD7" w14:textId="77777777" w:rsidR="00B63A10" w:rsidRDefault="00B63A10" w:rsidP="00C50A1E">
      <w:pPr>
        <w:rPr>
          <w:bCs/>
          <w:noProof/>
        </w:rPr>
      </w:pPr>
      <w:r w:rsidRPr="00B63A10">
        <w:rPr>
          <w:bCs/>
          <w:noProof/>
        </w:rPr>
        <w:t>The location of the public place</w:t>
      </w:r>
      <w:r w:rsidR="00A325B1">
        <w:rPr>
          <w:bCs/>
          <w:noProof/>
        </w:rPr>
        <w:t>s</w:t>
      </w:r>
      <w:r w:rsidRPr="00B63A10">
        <w:rPr>
          <w:bCs/>
          <w:noProof/>
        </w:rPr>
        <w:t xml:space="preserve"> </w:t>
      </w:r>
      <w:r w:rsidR="008B556F">
        <w:rPr>
          <w:bCs/>
          <w:noProof/>
        </w:rPr>
        <w:t>with the following name</w:t>
      </w:r>
      <w:r w:rsidR="00A325B1">
        <w:rPr>
          <w:bCs/>
          <w:noProof/>
        </w:rPr>
        <w:t>s</w:t>
      </w:r>
      <w:r w:rsidRPr="00B63A10">
        <w:rPr>
          <w:bCs/>
          <w:noProof/>
        </w:rPr>
        <w:t xml:space="preserve"> is indicated on the associated </w:t>
      </w:r>
      <w:r w:rsidR="00B96911">
        <w:rPr>
          <w:bCs/>
          <w:noProof/>
        </w:rPr>
        <w:t>diagram</w:t>
      </w:r>
      <w:r w:rsidRPr="00B63A10">
        <w:rPr>
          <w:bCs/>
          <w:noProof/>
        </w:rPr>
        <w:t>.</w:t>
      </w:r>
      <w:r w:rsidR="0051185E">
        <w:rPr>
          <w:bCs/>
          <w:noProof/>
        </w:rPr>
        <w:br w:type="textWrapping" w:clear="all"/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5245"/>
      </w:tblGrid>
      <w:tr w:rsidR="0051185E" w:rsidRPr="002929A6" w14:paraId="19242B7B" w14:textId="77777777" w:rsidTr="006310DB">
        <w:trPr>
          <w:cantSplit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7462511" w14:textId="77777777" w:rsidR="0051185E" w:rsidRPr="00CE3399" w:rsidRDefault="0051185E" w:rsidP="00B95574">
            <w:pPr>
              <w:pStyle w:val="Heading2"/>
              <w:keepNext w:val="0"/>
              <w:spacing w:before="120" w:after="12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E339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NAME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908CE79" w14:textId="77777777" w:rsidR="0051185E" w:rsidRPr="002929A6" w:rsidRDefault="0051185E" w:rsidP="00B95574">
            <w:pPr>
              <w:spacing w:before="120" w:after="120"/>
              <w:rPr>
                <w:szCs w:val="24"/>
              </w:rPr>
            </w:pPr>
            <w:r w:rsidRPr="002929A6">
              <w:rPr>
                <w:b/>
                <w:bCs/>
                <w:szCs w:val="24"/>
              </w:rPr>
              <w:t>ORIGIN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6207C49" w14:textId="4FE41BA8" w:rsidR="00134A9C" w:rsidRPr="00134A9C" w:rsidRDefault="0051185E" w:rsidP="00134A9C">
            <w:pPr>
              <w:pStyle w:val="CoverActName"/>
              <w:tabs>
                <w:tab w:val="clear" w:pos="2600"/>
              </w:tabs>
              <w:spacing w:before="120" w:after="120"/>
              <w:rPr>
                <w:rFonts w:ascii="Times New Roman" w:hAnsi="Times New Roman"/>
                <w:szCs w:val="24"/>
                <w:lang w:val="en-GB"/>
              </w:rPr>
            </w:pPr>
            <w:r w:rsidRPr="002929A6">
              <w:rPr>
                <w:rFonts w:ascii="Times New Roman" w:hAnsi="Times New Roman"/>
                <w:szCs w:val="24"/>
                <w:lang w:val="en-GB"/>
              </w:rPr>
              <w:t>SIGNIFICANCE</w:t>
            </w:r>
          </w:p>
          <w:p w14:paraId="182FD227" w14:textId="77777777" w:rsidR="0051185E" w:rsidRPr="00134A9C" w:rsidRDefault="0051185E" w:rsidP="00134A9C">
            <w:pPr>
              <w:rPr>
                <w:lang w:val="en-GB"/>
              </w:rPr>
            </w:pPr>
          </w:p>
        </w:tc>
      </w:tr>
      <w:tr w:rsidR="0051185E" w:rsidRPr="002929A6" w14:paraId="11EE51C7" w14:textId="77777777" w:rsidTr="006310DB">
        <w:trPr>
          <w:cantSplit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BA4D7A4" w14:textId="77777777" w:rsidR="0051185E" w:rsidRPr="00F448CC" w:rsidRDefault="0051185E" w:rsidP="00B95574">
            <w:pPr>
              <w:pStyle w:val="Heading2"/>
              <w:keepNext w:val="0"/>
              <w:spacing w:before="120" w:after="12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448C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Bookfellow Street</w:t>
            </w:r>
          </w:p>
          <w:p w14:paraId="1586063C" w14:textId="0EB2A426" w:rsidR="0051185E" w:rsidRPr="00CE3399" w:rsidRDefault="0051185E" w:rsidP="00B95574">
            <w:pPr>
              <w:pStyle w:val="Heading2"/>
              <w:keepNext w:val="0"/>
              <w:spacing w:before="120" w:after="12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1A9E2DE" w14:textId="77777777" w:rsidR="0051185E" w:rsidRPr="002929A6" w:rsidRDefault="0051185E" w:rsidP="00B9557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szCs w:val="24"/>
              </w:rPr>
              <w:t>The Bookfellow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D714BE4" w14:textId="77777777" w:rsidR="0051185E" w:rsidRPr="00F448CC" w:rsidRDefault="0051185E" w:rsidP="00B95574">
            <w:pPr>
              <w:pStyle w:val="CoverActName"/>
              <w:tabs>
                <w:tab w:val="clear" w:pos="2600"/>
              </w:tabs>
              <w:spacing w:before="120" w:after="120"/>
              <w:jc w:val="left"/>
              <w:rPr>
                <w:rFonts w:ascii="Times New Roman" w:hAnsi="Times New Roman"/>
                <w:b w:val="0"/>
                <w:szCs w:val="24"/>
                <w:lang w:val="en-GB"/>
              </w:rPr>
            </w:pPr>
            <w:r w:rsidRPr="00F448CC">
              <w:rPr>
                <w:rFonts w:ascii="Times New Roman" w:hAnsi="Times New Roman"/>
                <w:b w:val="0"/>
                <w:bCs/>
                <w:szCs w:val="24"/>
              </w:rPr>
              <w:t xml:space="preserve">Literary </w:t>
            </w:r>
            <w:r w:rsidRPr="00F448CC">
              <w:rPr>
                <w:rFonts w:ascii="Times New Roman" w:hAnsi="Times New Roman"/>
                <w:b w:val="0"/>
                <w:szCs w:val="24"/>
                <w:lang w:val="en-GB"/>
              </w:rPr>
              <w:t>periodical</w:t>
            </w:r>
          </w:p>
          <w:p w14:paraId="59A2EC86" w14:textId="0D320520" w:rsidR="00134A9C" w:rsidRPr="00134A9C" w:rsidRDefault="0051185E" w:rsidP="00134A9C">
            <w:pPr>
              <w:pStyle w:val="CoverActName"/>
              <w:tabs>
                <w:tab w:val="clear" w:pos="2600"/>
              </w:tabs>
              <w:spacing w:before="120" w:after="12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F448CC">
              <w:rPr>
                <w:rFonts w:ascii="Times New Roman" w:hAnsi="Times New Roman"/>
                <w:b w:val="0"/>
                <w:szCs w:val="24"/>
                <w:lang w:val="en-GB"/>
              </w:rPr>
              <w:t>‘</w:t>
            </w:r>
            <w:r w:rsidRPr="0051185E">
              <w:rPr>
                <w:rFonts w:ascii="Times New Roman" w:hAnsi="Times New Roman"/>
                <w:b w:val="0"/>
              </w:rPr>
              <w:t xml:space="preserve">The Bookfellow’ was established by editor and literary critic, A. G. Stephens and published in several series between 1899 and 1925.  Five issues were produced in 1899 under the subtitle, </w:t>
            </w:r>
            <w:r w:rsidRPr="0051185E">
              <w:rPr>
                <w:rFonts w:ascii="Times New Roman" w:hAnsi="Times New Roman"/>
                <w:b w:val="0"/>
              </w:rPr>
              <w:br/>
              <w:t xml:space="preserve">‘A Monthly Magazinelet for Book-Buyers and </w:t>
            </w:r>
            <w:r w:rsidRPr="0051185E">
              <w:rPr>
                <w:rFonts w:ascii="Times New Roman" w:hAnsi="Times New Roman"/>
                <w:b w:val="0"/>
              </w:rPr>
              <w:br/>
              <w:t xml:space="preserve">Book-Readers’.  Stephens contributed book reviews and articles including, ‘Lawson and Literature': </w:t>
            </w:r>
            <w:r w:rsidRPr="0051185E">
              <w:rPr>
                <w:rFonts w:ascii="Times New Roman" w:hAnsi="Times New Roman"/>
                <w:b w:val="0"/>
              </w:rPr>
              <w:br/>
              <w:t>“…</w:t>
            </w:r>
            <w:r w:rsidRPr="0051185E">
              <w:rPr>
                <w:rFonts w:ascii="Times New Roman" w:hAnsi="Times New Roman"/>
                <w:b w:val="0"/>
                <w:i/>
              </w:rPr>
              <w:t>for his failure to make poetry pay, whether Lawson blames himself or others, he should not blame Australia, which admires and loves and liberally encourages him.</w:t>
            </w:r>
            <w:r w:rsidRPr="0051185E">
              <w:rPr>
                <w:rFonts w:ascii="Times New Roman" w:hAnsi="Times New Roman"/>
                <w:b w:val="0"/>
              </w:rPr>
              <w:t>..”.</w:t>
            </w:r>
            <w:r w:rsidRPr="0051185E">
              <w:rPr>
                <w:rFonts w:ascii="Times New Roman" w:hAnsi="Times New Roman"/>
                <w:b w:val="0"/>
              </w:rPr>
              <w:br/>
              <w:t xml:space="preserve">Other contributions in 1899 included works by Barcroft Boake, Christopher Brennan, </w:t>
            </w:r>
            <w:r w:rsidRPr="0051185E">
              <w:rPr>
                <w:rFonts w:ascii="Times New Roman" w:hAnsi="Times New Roman"/>
                <w:b w:val="0"/>
              </w:rPr>
              <w:br/>
              <w:t xml:space="preserve">Mary Hannay Foott and Victor Daley. </w:t>
            </w:r>
            <w:r w:rsidRPr="0051185E">
              <w:rPr>
                <w:rFonts w:ascii="Times New Roman" w:hAnsi="Times New Roman"/>
                <w:b w:val="0"/>
              </w:rPr>
              <w:br/>
              <w:t xml:space="preserve">In late 1906, Stephens established a bookshop in Sydney, The Bookfellow’s, and attempted to revive his periodical as a weekly publication. </w:t>
            </w:r>
            <w:r w:rsidRPr="0051185E">
              <w:rPr>
                <w:rFonts w:ascii="Times New Roman" w:hAnsi="Times New Roman"/>
                <w:b w:val="0"/>
              </w:rPr>
              <w:br/>
              <w:t>In December 1911, Stephens relaunched the magazine as a monthly forum for original works of Australian literature, literary comment and advertisements for Australian publishers and booksellers. The last issue of ‘The Bookfellow’ was published in March 1925.</w:t>
            </w:r>
          </w:p>
          <w:p w14:paraId="3E9F8C94" w14:textId="74F79884" w:rsidR="0051185E" w:rsidRPr="00134A9C" w:rsidRDefault="0051185E" w:rsidP="00134A9C">
            <w:pPr>
              <w:rPr>
                <w:lang w:val="en-GB"/>
              </w:rPr>
            </w:pPr>
          </w:p>
        </w:tc>
      </w:tr>
      <w:tr w:rsidR="0051185E" w:rsidRPr="002929A6" w14:paraId="4CE2EFE3" w14:textId="77777777" w:rsidTr="006310DB">
        <w:trPr>
          <w:cantSplit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EC40280" w14:textId="77777777" w:rsidR="0051185E" w:rsidRPr="0051185E" w:rsidRDefault="0051185E" w:rsidP="00B95574">
            <w:pPr>
              <w:spacing w:before="120"/>
              <w:rPr>
                <w:b/>
                <w:bCs/>
                <w:szCs w:val="24"/>
              </w:rPr>
            </w:pPr>
            <w:r w:rsidRPr="0051185E">
              <w:rPr>
                <w:b/>
                <w:bCs/>
                <w:szCs w:val="24"/>
              </w:rPr>
              <w:t>Cambaroora Street</w:t>
            </w:r>
          </w:p>
          <w:p w14:paraId="09DB038E" w14:textId="13AE3AA6" w:rsidR="00E13DA5" w:rsidRDefault="00E13DA5" w:rsidP="00B95574">
            <w:pPr>
              <w:pStyle w:val="Heading2"/>
              <w:keepNext w:val="0"/>
              <w:spacing w:before="120" w:after="12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14:paraId="1559E95D" w14:textId="77777777" w:rsidR="00E13DA5" w:rsidRPr="00E13DA5" w:rsidRDefault="00E13DA5" w:rsidP="00B95574"/>
          <w:p w14:paraId="65B52B70" w14:textId="77777777" w:rsidR="00E13DA5" w:rsidRPr="00E13DA5" w:rsidRDefault="00E13DA5" w:rsidP="00B95574"/>
          <w:p w14:paraId="0F418370" w14:textId="77777777" w:rsidR="00E13DA5" w:rsidRPr="00E13DA5" w:rsidRDefault="00E13DA5" w:rsidP="00B95574"/>
          <w:p w14:paraId="4A20C018" w14:textId="77777777" w:rsidR="00E13DA5" w:rsidRPr="00E13DA5" w:rsidRDefault="00E13DA5" w:rsidP="00B95574"/>
          <w:p w14:paraId="1E0CAAF4" w14:textId="61A67699" w:rsidR="0051185E" w:rsidRPr="00E13DA5" w:rsidRDefault="0051185E" w:rsidP="00B9557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2242193" w14:textId="0CDFA9AD" w:rsidR="0051185E" w:rsidRPr="00D26225" w:rsidRDefault="00D26225" w:rsidP="00B95574">
            <w:pPr>
              <w:spacing w:before="120" w:after="120"/>
              <w:rPr>
                <w:szCs w:val="24"/>
              </w:rPr>
            </w:pPr>
            <w:r w:rsidRPr="00D26225">
              <w:rPr>
                <w:bCs/>
                <w:szCs w:val="24"/>
              </w:rPr>
              <w:t>The Cambaroora Star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F28C6B7" w14:textId="77777777" w:rsidR="0051185E" w:rsidRPr="00A325B1" w:rsidRDefault="0051185E" w:rsidP="00B95574">
            <w:pPr>
              <w:pStyle w:val="CoverActName"/>
              <w:tabs>
                <w:tab w:val="clear" w:pos="2600"/>
              </w:tabs>
              <w:spacing w:before="120" w:after="120"/>
              <w:jc w:val="left"/>
              <w:rPr>
                <w:rFonts w:ascii="Times New Roman" w:hAnsi="Times New Roman"/>
                <w:b w:val="0"/>
                <w:szCs w:val="24"/>
                <w:lang w:val="en-GB"/>
              </w:rPr>
            </w:pPr>
            <w:r w:rsidRPr="00A325B1">
              <w:rPr>
                <w:rFonts w:ascii="Times New Roman" w:hAnsi="Times New Roman"/>
                <w:b w:val="0"/>
                <w:bCs/>
                <w:szCs w:val="24"/>
              </w:rPr>
              <w:t xml:space="preserve">Poetry </w:t>
            </w:r>
          </w:p>
          <w:p w14:paraId="3B7FCD04" w14:textId="57DD0942" w:rsidR="0051185E" w:rsidRPr="00A312C8" w:rsidRDefault="0051185E" w:rsidP="00A312C8">
            <w:pPr>
              <w:shd w:val="clear" w:color="auto" w:fill="FFFFFF"/>
              <w:rPr>
                <w:bCs/>
                <w:szCs w:val="24"/>
              </w:rPr>
            </w:pPr>
            <w:r w:rsidRPr="00A325B1">
              <w:rPr>
                <w:bCs/>
                <w:szCs w:val="24"/>
              </w:rPr>
              <w:t>Henry Lawson’s, 'The Cambaroora Star', was first published in the ‘Boomerang’ in 1891 and later in</w:t>
            </w:r>
            <w:r w:rsidRPr="00A325B1">
              <w:rPr>
                <w:color w:val="000000"/>
                <w:szCs w:val="24"/>
                <w:shd w:val="clear" w:color="auto" w:fill="FFFFFF"/>
              </w:rPr>
              <w:t xml:space="preserve"> the collection, ‘In the Days When the World Was Wide’</w:t>
            </w:r>
            <w:r>
              <w:rPr>
                <w:color w:val="000000"/>
                <w:szCs w:val="24"/>
                <w:shd w:val="clear" w:color="auto" w:fill="FFFFFF"/>
              </w:rPr>
              <w:t>, 1894</w:t>
            </w:r>
            <w:r w:rsidRPr="00A325B1">
              <w:rPr>
                <w:color w:val="000000"/>
                <w:szCs w:val="24"/>
                <w:shd w:val="clear" w:color="auto" w:fill="FFFFFF"/>
              </w:rPr>
              <w:t xml:space="preserve">. </w:t>
            </w:r>
            <w:r w:rsidRPr="00A325B1">
              <w:rPr>
                <w:bCs/>
                <w:szCs w:val="24"/>
              </w:rPr>
              <w:t>The poem relates the story of the rise and fall of a goldfields newspaper, generally considered to represent the ‘Rep</w:t>
            </w:r>
            <w:r>
              <w:rPr>
                <w:bCs/>
                <w:szCs w:val="24"/>
              </w:rPr>
              <w:t>ublican’ (1887</w:t>
            </w:r>
            <w:r w:rsidRPr="00A325B1">
              <w:rPr>
                <w:bCs/>
                <w:szCs w:val="24"/>
              </w:rPr>
              <w:t>–88), to which Lawson contributed while it was under the management of his mother, Louisa Lawson.</w:t>
            </w:r>
          </w:p>
        </w:tc>
      </w:tr>
      <w:tr w:rsidR="000E30EB" w14:paraId="4E8441E9" w14:textId="77777777" w:rsidTr="002B3595">
        <w:trPr>
          <w:cantSplit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919A325" w14:textId="77777777" w:rsidR="000E30EB" w:rsidRDefault="000E30EB" w:rsidP="00134A9C">
            <w:pPr>
              <w:keepNext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Evesong Close</w:t>
            </w:r>
          </w:p>
          <w:p w14:paraId="62256BCD" w14:textId="042A0640" w:rsidR="000E30EB" w:rsidRPr="008C2960" w:rsidRDefault="000E30EB" w:rsidP="00134A9C">
            <w:pPr>
              <w:keepNext/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0A570A3" w14:textId="77777777" w:rsidR="000E30EB" w:rsidRPr="00BE1E31" w:rsidRDefault="000E30EB" w:rsidP="00134A9C">
            <w:pPr>
              <w:keepNext/>
              <w:spacing w:before="120"/>
              <w:rPr>
                <w:lang w:val="en"/>
              </w:rPr>
            </w:pPr>
            <w:r>
              <w:rPr>
                <w:lang w:val="en"/>
              </w:rPr>
              <w:t>Eve-Song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5DEFCE5" w14:textId="77777777" w:rsidR="000E30EB" w:rsidRDefault="008C0358" w:rsidP="00134A9C">
            <w:pPr>
              <w:pStyle w:val="CoverActName"/>
              <w:keepNext/>
              <w:tabs>
                <w:tab w:val="clear" w:pos="2600"/>
              </w:tabs>
              <w:spacing w:before="120" w:after="120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Poetry</w:t>
            </w:r>
          </w:p>
          <w:p w14:paraId="0698DBAD" w14:textId="77777777" w:rsidR="000E30EB" w:rsidRDefault="000E30EB" w:rsidP="00134A9C">
            <w:pPr>
              <w:pStyle w:val="CoverActName"/>
              <w:keepNext/>
              <w:tabs>
                <w:tab w:val="clear" w:pos="2600"/>
              </w:tabs>
              <w:spacing w:before="120" w:after="120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From </w:t>
            </w:r>
            <w:r w:rsidR="000220DF">
              <w:rPr>
                <w:rFonts w:ascii="Times New Roman" w:hAnsi="Times New Roman"/>
                <w:b w:val="0"/>
                <w:bCs/>
                <w:szCs w:val="24"/>
              </w:rPr>
              <w:t xml:space="preserve">the poem </w:t>
            </w:r>
            <w:r w:rsidR="00005D5C">
              <w:rPr>
                <w:rFonts w:ascii="Times New Roman" w:hAnsi="Times New Roman"/>
                <w:b w:val="0"/>
                <w:bCs/>
                <w:szCs w:val="24"/>
              </w:rPr>
              <w:t>‘</w:t>
            </w:r>
            <w:r w:rsidR="008C0358">
              <w:rPr>
                <w:rFonts w:ascii="Times New Roman" w:hAnsi="Times New Roman"/>
                <w:b w:val="0"/>
                <w:bCs/>
                <w:szCs w:val="24"/>
              </w:rPr>
              <w:t>Eve-</w:t>
            </w:r>
            <w:r w:rsidR="00005D5C">
              <w:rPr>
                <w:rFonts w:ascii="Times New Roman" w:hAnsi="Times New Roman"/>
                <w:b w:val="0"/>
                <w:bCs/>
                <w:szCs w:val="24"/>
              </w:rPr>
              <w:t>S</w:t>
            </w:r>
            <w:r w:rsidR="008C0358">
              <w:rPr>
                <w:rFonts w:ascii="Times New Roman" w:hAnsi="Times New Roman"/>
                <w:b w:val="0"/>
                <w:bCs/>
                <w:szCs w:val="24"/>
              </w:rPr>
              <w:t>ong</w:t>
            </w:r>
            <w:r w:rsidR="00005D5C">
              <w:rPr>
                <w:rFonts w:ascii="Times New Roman" w:hAnsi="Times New Roman"/>
                <w:b w:val="0"/>
                <w:bCs/>
                <w:szCs w:val="24"/>
              </w:rPr>
              <w:t>’</w:t>
            </w:r>
            <w:r w:rsidR="008A4593">
              <w:rPr>
                <w:rFonts w:ascii="Times New Roman" w:hAnsi="Times New Roman"/>
                <w:b w:val="0"/>
                <w:bCs/>
                <w:szCs w:val="24"/>
              </w:rPr>
              <w:t>,</w:t>
            </w:r>
            <w:r w:rsidR="00937F1F">
              <w:rPr>
                <w:rFonts w:ascii="Times New Roman" w:hAnsi="Times New Roman"/>
                <w:b w:val="0"/>
                <w:bCs/>
                <w:szCs w:val="24"/>
              </w:rPr>
              <w:t xml:space="preserve"> published in </w:t>
            </w:r>
            <w:r w:rsidR="002B3595">
              <w:rPr>
                <w:rFonts w:ascii="Times New Roman" w:hAnsi="Times New Roman"/>
                <w:b w:val="0"/>
                <w:bCs/>
                <w:szCs w:val="24"/>
              </w:rPr>
              <w:br w:type="textWrapping" w:clear="all"/>
            </w:r>
            <w:r w:rsidR="008A4593">
              <w:rPr>
                <w:rFonts w:ascii="Times New Roman" w:hAnsi="Times New Roman"/>
                <w:b w:val="0"/>
                <w:bCs/>
                <w:szCs w:val="24"/>
              </w:rPr>
              <w:t xml:space="preserve">Mary Gilmore’s </w:t>
            </w:r>
            <w:r w:rsidR="00937F1F">
              <w:rPr>
                <w:rFonts w:ascii="Times New Roman" w:hAnsi="Times New Roman"/>
                <w:b w:val="0"/>
                <w:bCs/>
                <w:szCs w:val="24"/>
              </w:rPr>
              <w:t xml:space="preserve">collection of </w:t>
            </w:r>
            <w:r w:rsidR="000220DF">
              <w:rPr>
                <w:rFonts w:ascii="Times New Roman" w:hAnsi="Times New Roman"/>
                <w:b w:val="0"/>
                <w:bCs/>
                <w:szCs w:val="24"/>
              </w:rPr>
              <w:t>verse</w:t>
            </w:r>
            <w:r w:rsidR="00937F1F">
              <w:rPr>
                <w:rFonts w:ascii="Times New Roman" w:hAnsi="Times New Roman"/>
                <w:b w:val="0"/>
                <w:bCs/>
                <w:szCs w:val="24"/>
              </w:rPr>
              <w:t xml:space="preserve"> ‘</w:t>
            </w:r>
            <w:r w:rsidR="000220DF">
              <w:rPr>
                <w:rFonts w:ascii="Times New Roman" w:hAnsi="Times New Roman"/>
                <w:b w:val="0"/>
                <w:bCs/>
                <w:szCs w:val="24"/>
              </w:rPr>
              <w:t>The</w:t>
            </w:r>
            <w:r w:rsidR="00937F1F">
              <w:rPr>
                <w:rFonts w:ascii="Times New Roman" w:hAnsi="Times New Roman"/>
                <w:b w:val="0"/>
                <w:bCs/>
                <w:szCs w:val="24"/>
              </w:rPr>
              <w:t xml:space="preserve"> Passionate Heart’, 191</w:t>
            </w:r>
            <w:r w:rsidR="0025622D">
              <w:rPr>
                <w:rFonts w:ascii="Times New Roman" w:hAnsi="Times New Roman"/>
                <w:b w:val="0"/>
                <w:bCs/>
                <w:szCs w:val="24"/>
              </w:rPr>
              <w:t>8</w:t>
            </w:r>
            <w:r w:rsidR="00937F1F">
              <w:rPr>
                <w:rFonts w:ascii="Times New Roman" w:hAnsi="Times New Roman"/>
                <w:b w:val="0"/>
                <w:bCs/>
                <w:szCs w:val="24"/>
              </w:rPr>
              <w:t>.</w:t>
            </w:r>
          </w:p>
          <w:p w14:paraId="31302057" w14:textId="77777777" w:rsidR="0024284E" w:rsidRDefault="0024284E" w:rsidP="00134A9C">
            <w:pPr>
              <w:pStyle w:val="CoverActName"/>
              <w:keepNext/>
              <w:tabs>
                <w:tab w:val="clear" w:pos="2600"/>
              </w:tabs>
              <w:spacing w:before="120" w:after="120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Mary Gilmore (Cameron) and Henry Lawson </w:t>
            </w:r>
            <w:r w:rsidR="00937F1F">
              <w:rPr>
                <w:rFonts w:ascii="Times New Roman" w:hAnsi="Times New Roman"/>
                <w:b w:val="0"/>
                <w:bCs/>
                <w:szCs w:val="24"/>
              </w:rPr>
              <w:t>formed a close friendship after first meeting in 1890 and shared literary and political interests.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</w:p>
          <w:p w14:paraId="1E556EB1" w14:textId="77777777" w:rsidR="000E30EB" w:rsidRPr="00A325B1" w:rsidRDefault="000E30EB" w:rsidP="00134A9C">
            <w:pPr>
              <w:pStyle w:val="CoverActName"/>
              <w:keepNext/>
              <w:tabs>
                <w:tab w:val="clear" w:pos="2600"/>
              </w:tabs>
              <w:spacing w:before="120" w:after="120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0E30EB" w14:paraId="4D3E0E8D" w14:textId="77777777" w:rsidTr="002B3595">
        <w:trPr>
          <w:cantSplit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2E157AB" w14:textId="77777777" w:rsidR="000E30EB" w:rsidRPr="00E376A2" w:rsidRDefault="000E30EB" w:rsidP="000E30EB">
            <w:pPr>
              <w:spacing w:before="120"/>
              <w:rPr>
                <w:b/>
                <w:bCs/>
                <w:szCs w:val="24"/>
              </w:rPr>
            </w:pPr>
            <w:r w:rsidRPr="00E376A2">
              <w:rPr>
                <w:b/>
                <w:bCs/>
                <w:szCs w:val="24"/>
              </w:rPr>
              <w:t>Kiley Place</w:t>
            </w:r>
          </w:p>
          <w:p w14:paraId="31E3F876" w14:textId="5B3E6B17" w:rsidR="000E30EB" w:rsidRPr="00F21254" w:rsidRDefault="000E30EB" w:rsidP="000E30EB">
            <w:pPr>
              <w:spacing w:before="120"/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1BF93AC" w14:textId="77777777" w:rsidR="000E30EB" w:rsidRPr="00143B50" w:rsidRDefault="000E30EB" w:rsidP="000E30EB">
            <w:pPr>
              <w:spacing w:before="120"/>
              <w:rPr>
                <w:szCs w:val="24"/>
                <w:lang w:val="en"/>
              </w:rPr>
            </w:pPr>
            <w:r w:rsidRPr="00143B50">
              <w:rPr>
                <w:szCs w:val="24"/>
                <w:lang w:val="en"/>
              </w:rPr>
              <w:t>On Kiley’s Run</w:t>
            </w:r>
          </w:p>
          <w:p w14:paraId="7D90E7ED" w14:textId="77777777" w:rsidR="000E30EB" w:rsidRPr="00143B50" w:rsidRDefault="000E30EB" w:rsidP="000E30EB">
            <w:pPr>
              <w:spacing w:before="120"/>
              <w:rPr>
                <w:szCs w:val="24"/>
                <w:lang w:val="en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B1E6303" w14:textId="77777777" w:rsidR="000E30EB" w:rsidRPr="00143B50" w:rsidRDefault="000E30EB" w:rsidP="000E30EB">
            <w:pPr>
              <w:pStyle w:val="CoverActName"/>
              <w:spacing w:before="120" w:after="120"/>
              <w:jc w:val="left"/>
              <w:rPr>
                <w:rFonts w:ascii="Times New Roman" w:hAnsi="Times New Roman"/>
                <w:b w:val="0"/>
                <w:szCs w:val="24"/>
                <w:lang w:val="en-GB"/>
              </w:rPr>
            </w:pPr>
            <w:r w:rsidRPr="00143B50">
              <w:rPr>
                <w:rFonts w:ascii="Times New Roman" w:hAnsi="Times New Roman"/>
                <w:b w:val="0"/>
                <w:szCs w:val="24"/>
              </w:rPr>
              <w:t>Poetry</w:t>
            </w:r>
          </w:p>
          <w:p w14:paraId="17C943EF" w14:textId="77777777" w:rsidR="000E30EB" w:rsidRPr="00143B50" w:rsidRDefault="000E30EB" w:rsidP="000E30EB">
            <w:pPr>
              <w:rPr>
                <w:i/>
                <w:color w:val="000000"/>
                <w:szCs w:val="24"/>
              </w:rPr>
            </w:pPr>
            <w:r w:rsidRPr="00143B50">
              <w:rPr>
                <w:szCs w:val="24"/>
              </w:rPr>
              <w:t xml:space="preserve">A. B “Banjo” Paterson evoked the spirit of the land in his ballad, ‘On Kiley’s Run’, published in </w:t>
            </w:r>
            <w:r w:rsidR="00FD0B7D">
              <w:rPr>
                <w:szCs w:val="24"/>
              </w:rPr>
              <w:br w:type="textWrapping" w:clear="all"/>
            </w:r>
            <w:r w:rsidRPr="00143B50">
              <w:rPr>
                <w:szCs w:val="24"/>
              </w:rPr>
              <w:t>‘</w:t>
            </w:r>
            <w:hyperlink r:id="rId14" w:history="1">
              <w:r w:rsidRPr="00143B50">
                <w:rPr>
                  <w:rStyle w:val="property"/>
                  <w:bCs/>
                  <w:szCs w:val="24"/>
                  <w:shd w:val="clear" w:color="auto" w:fill="FFFFFF"/>
                </w:rPr>
                <w:t xml:space="preserve">The Bulletin’, </w:t>
              </w:r>
            </w:hyperlink>
            <w:r w:rsidRPr="00143B50">
              <w:rPr>
                <w:rStyle w:val="property"/>
                <w:szCs w:val="24"/>
                <w:shd w:val="clear" w:color="auto" w:fill="FFFFFF"/>
              </w:rPr>
              <w:t>1890 and ‘</w:t>
            </w:r>
            <w:hyperlink r:id="rId15" w:history="1">
              <w:r w:rsidRPr="00143B50">
                <w:rPr>
                  <w:rStyle w:val="property"/>
                  <w:bCs/>
                  <w:szCs w:val="24"/>
                  <w:shd w:val="clear" w:color="auto" w:fill="FFFFFF"/>
                </w:rPr>
                <w:t>The Man from Snowy River and Other Verses’, 1895</w:t>
              </w:r>
            </w:hyperlink>
            <w:r w:rsidRPr="00143B50">
              <w:rPr>
                <w:szCs w:val="24"/>
              </w:rPr>
              <w:t xml:space="preserve">.  </w:t>
            </w:r>
            <w:r w:rsidRPr="00143B50">
              <w:rPr>
                <w:szCs w:val="24"/>
              </w:rPr>
              <w:br w:type="textWrapping" w:clear="all"/>
              <w:t xml:space="preserve">Paterson produced a booklet </w:t>
            </w:r>
            <w:r w:rsidR="00805216">
              <w:rPr>
                <w:szCs w:val="24"/>
              </w:rPr>
              <w:t xml:space="preserve">in 1889 </w:t>
            </w:r>
            <w:r w:rsidRPr="00143B50">
              <w:rPr>
                <w:szCs w:val="24"/>
              </w:rPr>
              <w:t>urging land reform, ‘A</w:t>
            </w:r>
            <w:r w:rsidRPr="00143B50">
              <w:rPr>
                <w:color w:val="000000"/>
                <w:spacing w:val="1"/>
                <w:szCs w:val="24"/>
              </w:rPr>
              <w:t>ustralia for the Australians – a Political Pamphlet Shewing the Necessity for Land Reform, Combined with Protection’.</w:t>
            </w:r>
            <w:r w:rsidRPr="00143B50">
              <w:rPr>
                <w:szCs w:val="24"/>
              </w:rPr>
              <w:t xml:space="preserve"> </w:t>
            </w:r>
            <w:r w:rsidR="00805216">
              <w:rPr>
                <w:szCs w:val="24"/>
              </w:rPr>
              <w:t>He</w:t>
            </w:r>
            <w:r w:rsidRPr="00143B50">
              <w:rPr>
                <w:szCs w:val="24"/>
              </w:rPr>
              <w:t xml:space="preserve"> provided further commentary on land grants and absentee land ownership in ‘On Kiley’s Run’:</w:t>
            </w:r>
            <w:r w:rsidRPr="00143B50">
              <w:rPr>
                <w:szCs w:val="24"/>
              </w:rPr>
              <w:br w:type="textWrapping" w:clear="all"/>
            </w:r>
            <w:r w:rsidRPr="00143B50">
              <w:rPr>
                <w:i/>
                <w:color w:val="000000"/>
                <w:szCs w:val="24"/>
              </w:rPr>
              <w:t>“…We lived a good old station life</w:t>
            </w:r>
          </w:p>
          <w:p w14:paraId="1F3FD323" w14:textId="77777777" w:rsidR="000E30EB" w:rsidRPr="00143B50" w:rsidRDefault="000E30EB" w:rsidP="000E30EB">
            <w:pPr>
              <w:pStyle w:val="HTMLPreformatted"/>
              <w:ind w:left="173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3B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On Kiley’s Run,</w:t>
            </w:r>
          </w:p>
          <w:p w14:paraId="6E9398BD" w14:textId="77777777" w:rsidR="000E30EB" w:rsidRPr="00143B50" w:rsidRDefault="000E30EB" w:rsidP="000E30EB">
            <w:pPr>
              <w:rPr>
                <w:i/>
                <w:szCs w:val="24"/>
              </w:rPr>
            </w:pPr>
            <w:r w:rsidRPr="00143B50">
              <w:rPr>
                <w:i/>
                <w:szCs w:val="24"/>
              </w:rPr>
              <w:t>Old Kiley seldom used to roam</w:t>
            </w:r>
          </w:p>
          <w:p w14:paraId="2F577F40" w14:textId="77777777" w:rsidR="000E30EB" w:rsidRPr="00143B50" w:rsidRDefault="000E30EB" w:rsidP="000E30EB">
            <w:pPr>
              <w:rPr>
                <w:i/>
                <w:szCs w:val="24"/>
              </w:rPr>
            </w:pPr>
            <w:r w:rsidRPr="00143B50">
              <w:rPr>
                <w:i/>
                <w:szCs w:val="24"/>
              </w:rPr>
              <w:t>He liked to make the Run his home,</w:t>
            </w:r>
          </w:p>
          <w:p w14:paraId="4AB98601" w14:textId="77777777" w:rsidR="000E30EB" w:rsidRPr="00143B50" w:rsidRDefault="000E30EB" w:rsidP="000E30EB">
            <w:pPr>
              <w:rPr>
                <w:sz w:val="8"/>
                <w:szCs w:val="8"/>
              </w:rPr>
            </w:pPr>
          </w:p>
          <w:p w14:paraId="4A56A057" w14:textId="77777777" w:rsidR="000E30EB" w:rsidRPr="00143B50" w:rsidRDefault="000E30EB" w:rsidP="000E30EB">
            <w:pPr>
              <w:rPr>
                <w:i/>
                <w:szCs w:val="24"/>
              </w:rPr>
            </w:pPr>
            <w:r w:rsidRPr="00143B50">
              <w:rPr>
                <w:i/>
                <w:szCs w:val="24"/>
              </w:rPr>
              <w:t xml:space="preserve">But droughts and losses came apace … </w:t>
            </w:r>
          </w:p>
          <w:p w14:paraId="78520A7C" w14:textId="77777777" w:rsidR="000E30EB" w:rsidRPr="00143B50" w:rsidRDefault="000E30EB" w:rsidP="000E30EB">
            <w:pPr>
              <w:rPr>
                <w:i/>
                <w:sz w:val="8"/>
                <w:szCs w:val="8"/>
              </w:rPr>
            </w:pPr>
          </w:p>
          <w:p w14:paraId="7E6931ED" w14:textId="77777777" w:rsidR="000E30EB" w:rsidRPr="00143B50" w:rsidRDefault="000E30EB" w:rsidP="000E30EB">
            <w:pPr>
              <w:rPr>
                <w:i/>
                <w:szCs w:val="24"/>
              </w:rPr>
            </w:pPr>
            <w:r w:rsidRPr="00143B50">
              <w:rPr>
                <w:i/>
                <w:szCs w:val="24"/>
              </w:rPr>
              <w:t>Ti</w:t>
            </w:r>
            <w:r w:rsidR="0026185B">
              <w:rPr>
                <w:i/>
                <w:szCs w:val="24"/>
              </w:rPr>
              <w:t>l</w:t>
            </w:r>
            <w:r w:rsidRPr="00143B50">
              <w:rPr>
                <w:i/>
                <w:szCs w:val="24"/>
              </w:rPr>
              <w:t>l ruin stared him in the face;</w:t>
            </w:r>
          </w:p>
          <w:p w14:paraId="24AD4D1B" w14:textId="77777777" w:rsidR="000E30EB" w:rsidRPr="00143B50" w:rsidRDefault="000E30EB" w:rsidP="000E30EB">
            <w:pPr>
              <w:rPr>
                <w:sz w:val="8"/>
                <w:szCs w:val="8"/>
              </w:rPr>
            </w:pPr>
          </w:p>
          <w:p w14:paraId="2773CFF7" w14:textId="77777777" w:rsidR="000E30EB" w:rsidRPr="00143B50" w:rsidRDefault="000E30EB" w:rsidP="000E30EB">
            <w:pPr>
              <w:rPr>
                <w:i/>
                <w:szCs w:val="24"/>
              </w:rPr>
            </w:pPr>
            <w:r w:rsidRPr="00143B50">
              <w:rPr>
                <w:i/>
                <w:szCs w:val="24"/>
              </w:rPr>
              <w:t>His bankers took the stock away …</w:t>
            </w:r>
          </w:p>
          <w:p w14:paraId="20FDF154" w14:textId="77777777" w:rsidR="000E30EB" w:rsidRPr="00143B50" w:rsidRDefault="000E30EB" w:rsidP="000E30EB">
            <w:pPr>
              <w:rPr>
                <w:sz w:val="8"/>
                <w:szCs w:val="8"/>
              </w:rPr>
            </w:pPr>
          </w:p>
          <w:p w14:paraId="491FD8A4" w14:textId="77777777" w:rsidR="000E30EB" w:rsidRPr="00143B50" w:rsidRDefault="000E30EB" w:rsidP="000E30EB">
            <w:pPr>
              <w:rPr>
                <w:i/>
                <w:szCs w:val="24"/>
              </w:rPr>
            </w:pPr>
            <w:r w:rsidRPr="00143B50">
              <w:rPr>
                <w:i/>
                <w:szCs w:val="24"/>
              </w:rPr>
              <w:t>Too late to make another start</w:t>
            </w:r>
          </w:p>
          <w:p w14:paraId="65C6DD19" w14:textId="77777777" w:rsidR="000E30EB" w:rsidRDefault="000E30EB" w:rsidP="000E30EB">
            <w:pPr>
              <w:rPr>
                <w:i/>
                <w:szCs w:val="24"/>
              </w:rPr>
            </w:pPr>
            <w:r w:rsidRPr="00143B50">
              <w:rPr>
                <w:i/>
                <w:szCs w:val="24"/>
              </w:rPr>
              <w:t>Old Kiley died – of broken heart,</w:t>
            </w:r>
          </w:p>
          <w:p w14:paraId="191CF9E7" w14:textId="77777777" w:rsidR="000E30EB" w:rsidRPr="00143B50" w:rsidRDefault="000E30EB" w:rsidP="000E30EB">
            <w:pPr>
              <w:rPr>
                <w:i/>
                <w:color w:val="000000"/>
                <w:szCs w:val="24"/>
              </w:rPr>
            </w:pPr>
            <w:r w:rsidRPr="00143B50">
              <w:rPr>
                <w:i/>
                <w:color w:val="000000"/>
                <w:szCs w:val="24"/>
              </w:rPr>
              <w:t>The owner lives in England now</w:t>
            </w:r>
          </w:p>
          <w:p w14:paraId="07ABC307" w14:textId="77777777" w:rsidR="000E30EB" w:rsidRPr="00143B50" w:rsidRDefault="000E30EB" w:rsidP="000E30EB">
            <w:pPr>
              <w:ind w:left="1735" w:firstLine="34"/>
              <w:rPr>
                <w:i/>
                <w:color w:val="000000"/>
                <w:sz w:val="8"/>
                <w:szCs w:val="8"/>
              </w:rPr>
            </w:pPr>
            <w:r w:rsidRPr="00143B50">
              <w:rPr>
                <w:i/>
                <w:color w:val="000000"/>
                <w:szCs w:val="24"/>
              </w:rPr>
              <w:t>Of Kiley’s Run.</w:t>
            </w:r>
            <w:r w:rsidRPr="00143B50">
              <w:rPr>
                <w:i/>
                <w:color w:val="000000"/>
                <w:szCs w:val="24"/>
              </w:rPr>
              <w:br w:type="textWrapping" w:clear="all"/>
            </w:r>
          </w:p>
          <w:p w14:paraId="6365882E" w14:textId="77777777" w:rsidR="000E30EB" w:rsidRPr="00143B50" w:rsidRDefault="000E30EB" w:rsidP="000E30EB">
            <w:pPr>
              <w:ind w:left="1735" w:hanging="1735"/>
              <w:rPr>
                <w:i/>
                <w:szCs w:val="24"/>
              </w:rPr>
            </w:pPr>
            <w:r w:rsidRPr="00143B50">
              <w:rPr>
                <w:i/>
                <w:szCs w:val="24"/>
              </w:rPr>
              <w:t>The name itself is changed of late</w:t>
            </w:r>
            <w:r>
              <w:rPr>
                <w:i/>
                <w:szCs w:val="24"/>
              </w:rPr>
              <w:t xml:space="preserve"> …</w:t>
            </w:r>
            <w:r w:rsidRPr="00143B50">
              <w:rPr>
                <w:i/>
                <w:szCs w:val="24"/>
              </w:rPr>
              <w:br w:type="textWrapping" w:clear="all"/>
            </w:r>
          </w:p>
          <w:p w14:paraId="49264618" w14:textId="77777777" w:rsidR="000E30EB" w:rsidRPr="00143B50" w:rsidRDefault="000E30EB" w:rsidP="000E30EB">
            <w:pPr>
              <w:rPr>
                <w:szCs w:val="24"/>
              </w:rPr>
            </w:pPr>
            <w:r w:rsidRPr="00143B50">
              <w:rPr>
                <w:i/>
                <w:szCs w:val="24"/>
              </w:rPr>
              <w:t>They call it “Chandos Park Estate”.</w:t>
            </w:r>
            <w:r w:rsidRPr="00143B50">
              <w:rPr>
                <w:szCs w:val="24"/>
              </w:rPr>
              <w:t xml:space="preserve"> </w:t>
            </w:r>
          </w:p>
          <w:p w14:paraId="5C5BEA72" w14:textId="77777777" w:rsidR="000E30EB" w:rsidRPr="00A325B1" w:rsidRDefault="000E30EB" w:rsidP="000E30EB">
            <w:pPr>
              <w:pStyle w:val="CoverActName"/>
              <w:tabs>
                <w:tab w:val="clear" w:pos="2600"/>
              </w:tabs>
              <w:spacing w:before="120" w:after="120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0E30EB" w14:paraId="03699C47" w14:textId="77777777" w:rsidTr="002B3595">
        <w:trPr>
          <w:cantSplit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0C109B8" w14:textId="77777777" w:rsidR="000E30EB" w:rsidRPr="00143B50" w:rsidRDefault="000E30EB" w:rsidP="000E30EB">
            <w:pPr>
              <w:spacing w:before="120"/>
              <w:rPr>
                <w:b/>
                <w:szCs w:val="24"/>
              </w:rPr>
            </w:pPr>
            <w:r w:rsidRPr="00143B50">
              <w:rPr>
                <w:b/>
                <w:szCs w:val="24"/>
              </w:rPr>
              <w:lastRenderedPageBreak/>
              <w:t>Moorabinda Street</w:t>
            </w:r>
          </w:p>
          <w:p w14:paraId="689EB128" w14:textId="77777777" w:rsidR="000E30EB" w:rsidRDefault="000E30EB" w:rsidP="000E30EB">
            <w:pPr>
              <w:spacing w:before="120"/>
              <w:rPr>
                <w:szCs w:val="24"/>
              </w:rPr>
            </w:pPr>
          </w:p>
          <w:p w14:paraId="1C405D0B" w14:textId="049F2C48" w:rsidR="000E30EB" w:rsidRPr="00A26F41" w:rsidRDefault="000E30EB" w:rsidP="000E30EB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A5AE3FD" w14:textId="6618DFE3" w:rsidR="000E30EB" w:rsidRPr="00143B50" w:rsidRDefault="000E30EB" w:rsidP="009C7754">
            <w:pPr>
              <w:spacing w:before="120"/>
              <w:rPr>
                <w:b/>
                <w:color w:val="000000"/>
                <w:szCs w:val="24"/>
                <w:shd w:val="clear" w:color="auto" w:fill="FFFFFF"/>
              </w:rPr>
            </w:pPr>
            <w:r w:rsidRPr="00143B50">
              <w:rPr>
                <w:szCs w:val="24"/>
                <w:lang w:val="en"/>
              </w:rPr>
              <w:t xml:space="preserve">Moorabinda Station, </w:t>
            </w:r>
            <w:r w:rsidR="009C7754">
              <w:rPr>
                <w:szCs w:val="24"/>
                <w:lang w:val="en"/>
              </w:rPr>
              <w:br w:type="textWrapping" w:clear="all"/>
            </w:r>
            <w:r w:rsidRPr="00143B50">
              <w:rPr>
                <w:color w:val="000000"/>
                <w:szCs w:val="24"/>
                <w:shd w:val="clear" w:color="auto" w:fill="FFFFFF"/>
              </w:rPr>
              <w:t>South Australia</w:t>
            </w:r>
          </w:p>
          <w:p w14:paraId="7BE923AB" w14:textId="77777777" w:rsidR="000E30EB" w:rsidRDefault="000E30EB" w:rsidP="000E30EB">
            <w:pPr>
              <w:pStyle w:val="CoverActName"/>
              <w:spacing w:before="120" w:after="120"/>
              <w:jc w:val="left"/>
              <w:rPr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</w:pPr>
          </w:p>
          <w:p w14:paraId="3A0A5141" w14:textId="77777777" w:rsidR="000E30EB" w:rsidRPr="00B153D2" w:rsidRDefault="000E30EB" w:rsidP="000E30EB">
            <w:pPr>
              <w:pStyle w:val="CoverActName"/>
              <w:spacing w:before="120" w:after="120"/>
              <w:jc w:val="left"/>
              <w:rPr>
                <w:rFonts w:ascii="Times New Roman" w:hAnsi="Times New Roman"/>
                <w:b w:val="0"/>
                <w:szCs w:val="24"/>
                <w:lang w:val="en-GB"/>
              </w:rPr>
            </w:pPr>
          </w:p>
          <w:p w14:paraId="38DC0773" w14:textId="77777777" w:rsidR="000E30EB" w:rsidRPr="00BE1E31" w:rsidRDefault="000E30EB" w:rsidP="000E30EB">
            <w:pPr>
              <w:spacing w:before="120"/>
              <w:rPr>
                <w:lang w:val="en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C16A2A3" w14:textId="77777777" w:rsidR="000E30EB" w:rsidRPr="00143B50" w:rsidRDefault="000E30EB" w:rsidP="000E30EB">
            <w:pPr>
              <w:pStyle w:val="CoverActName"/>
              <w:spacing w:before="120" w:after="120"/>
              <w:jc w:val="left"/>
              <w:rPr>
                <w:rFonts w:ascii="Times New Roman" w:hAnsi="Times New Roman"/>
                <w:b w:val="0"/>
                <w:szCs w:val="24"/>
                <w:lang w:val="en-GB"/>
              </w:rPr>
            </w:pPr>
            <w:r w:rsidRPr="00143B50">
              <w:rPr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  <w:t>Station name; poetry</w:t>
            </w:r>
          </w:p>
          <w:p w14:paraId="3B6A3B94" w14:textId="77777777" w:rsidR="000E30EB" w:rsidRPr="00143B50" w:rsidRDefault="000E30EB" w:rsidP="000E30EB">
            <w:pPr>
              <w:rPr>
                <w:szCs w:val="24"/>
              </w:rPr>
            </w:pPr>
            <w:r w:rsidRPr="00143B50">
              <w:rPr>
                <w:szCs w:val="24"/>
              </w:rPr>
              <w:t>From ‘The Sick Stockrider’ by</w:t>
            </w:r>
            <w:r w:rsidR="00FD0B7D">
              <w:rPr>
                <w:szCs w:val="24"/>
              </w:rPr>
              <w:t xml:space="preserve"> </w:t>
            </w:r>
            <w:r w:rsidRPr="00143B50">
              <w:rPr>
                <w:szCs w:val="24"/>
              </w:rPr>
              <w:t>Adam Lindsay Gordon (1833–1870) written in 1869 and published in the poet’s last collection, ‘Bush Ballads and Galloping Rhymes’, 1870:</w:t>
            </w:r>
          </w:p>
          <w:p w14:paraId="757C7A0C" w14:textId="77777777" w:rsidR="000E30EB" w:rsidRPr="00143B50" w:rsidRDefault="000E30EB" w:rsidP="000E30EB">
            <w:pPr>
              <w:rPr>
                <w:i/>
                <w:szCs w:val="24"/>
              </w:rPr>
            </w:pPr>
            <w:r w:rsidRPr="00143B50">
              <w:rPr>
                <w:i/>
                <w:szCs w:val="24"/>
              </w:rPr>
              <w:t xml:space="preserve">"...The dawn at "Moorabinda" was a mist rack dull and dense, </w:t>
            </w:r>
            <w:r w:rsidRPr="00143B50">
              <w:rPr>
                <w:i/>
                <w:szCs w:val="24"/>
              </w:rPr>
              <w:br w:type="textWrapping" w:clear="all"/>
              <w:t>The sunrise was a sullen, sluggish lamp;</w:t>
            </w:r>
          </w:p>
          <w:p w14:paraId="43632408" w14:textId="77777777" w:rsidR="000E30EB" w:rsidRPr="00143B50" w:rsidRDefault="000E30EB" w:rsidP="000E30EB">
            <w:pPr>
              <w:rPr>
                <w:i/>
                <w:szCs w:val="24"/>
              </w:rPr>
            </w:pPr>
            <w:r w:rsidRPr="00143B50">
              <w:rPr>
                <w:i/>
                <w:szCs w:val="24"/>
              </w:rPr>
              <w:t>I was dozing in the gateway at Arbuthnot’s bound’ry fence,</w:t>
            </w:r>
          </w:p>
          <w:p w14:paraId="4D6A228B" w14:textId="77777777" w:rsidR="00FD0B7D" w:rsidRDefault="000E30EB" w:rsidP="000E30EB">
            <w:pPr>
              <w:rPr>
                <w:i/>
                <w:szCs w:val="24"/>
              </w:rPr>
            </w:pPr>
            <w:r w:rsidRPr="00143B50">
              <w:rPr>
                <w:i/>
                <w:szCs w:val="24"/>
              </w:rPr>
              <w:t>I was dreaming on the Limestone cattle camp…”.</w:t>
            </w:r>
          </w:p>
          <w:p w14:paraId="7BBC0DF4" w14:textId="77777777" w:rsidR="000E30EB" w:rsidRDefault="000E30EB" w:rsidP="000E30EB">
            <w:pPr>
              <w:rPr>
                <w:szCs w:val="24"/>
                <w:shd w:val="clear" w:color="auto" w:fill="FFFFFF"/>
              </w:rPr>
            </w:pPr>
            <w:r w:rsidRPr="00143B50">
              <w:rPr>
                <w:i/>
                <w:szCs w:val="24"/>
              </w:rPr>
              <w:br w:type="textWrapping" w:clear="all"/>
            </w:r>
            <w:r w:rsidRPr="00143B50">
              <w:rPr>
                <w:bCs/>
                <w:iCs/>
                <w:szCs w:val="24"/>
                <w:shd w:val="clear" w:color="auto" w:fill="FFFFFF"/>
              </w:rPr>
              <w:t xml:space="preserve">A silent film based on ‘The Sick Stockrider’ </w:t>
            </w:r>
            <w:r w:rsidRPr="00143B50">
              <w:rPr>
                <w:szCs w:val="24"/>
                <w:shd w:val="clear" w:color="auto" w:fill="FFFFFF"/>
              </w:rPr>
              <w:t xml:space="preserve">was released in Melbourne in 1913 by </w:t>
            </w:r>
            <w:r w:rsidRPr="00143B50">
              <w:rPr>
                <w:color w:val="000000"/>
                <w:szCs w:val="24"/>
                <w:shd w:val="clear" w:color="auto" w:fill="FFFFFF"/>
              </w:rPr>
              <w:t>Lincoln-Cass Films</w:t>
            </w:r>
            <w:r w:rsidRPr="00143B50">
              <w:rPr>
                <w:szCs w:val="24"/>
                <w:shd w:val="clear" w:color="auto" w:fill="FFFFFF"/>
              </w:rPr>
              <w:t>.</w:t>
            </w:r>
          </w:p>
          <w:p w14:paraId="78703336" w14:textId="77777777" w:rsidR="000E30EB" w:rsidRPr="00143B50" w:rsidRDefault="000E30EB" w:rsidP="000E30EB">
            <w:pPr>
              <w:rPr>
                <w:szCs w:val="24"/>
              </w:rPr>
            </w:pPr>
          </w:p>
        </w:tc>
      </w:tr>
      <w:tr w:rsidR="000E30EB" w14:paraId="65AE3229" w14:textId="77777777" w:rsidTr="002B3595">
        <w:trPr>
          <w:cantSplit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59CF470" w14:textId="77777777" w:rsidR="000E30EB" w:rsidRDefault="000E30EB" w:rsidP="000E30EB">
            <w:pPr>
              <w:spacing w:before="120"/>
              <w:rPr>
                <w:b/>
                <w:bCs/>
                <w:szCs w:val="24"/>
              </w:rPr>
            </w:pPr>
            <w:r w:rsidRPr="00143B50">
              <w:rPr>
                <w:b/>
                <w:bCs/>
                <w:szCs w:val="24"/>
              </w:rPr>
              <w:t xml:space="preserve">Riverina </w:t>
            </w:r>
            <w:r w:rsidR="00A634DB">
              <w:rPr>
                <w:b/>
                <w:bCs/>
                <w:szCs w:val="24"/>
              </w:rPr>
              <w:t>Street</w:t>
            </w:r>
          </w:p>
          <w:p w14:paraId="288B28B3" w14:textId="6351EA98" w:rsidR="000E30EB" w:rsidRPr="00A325B1" w:rsidRDefault="000E30EB" w:rsidP="000E30EB">
            <w:pPr>
              <w:spacing w:before="120"/>
              <w:rPr>
                <w:bCs/>
                <w:color w:val="FF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DA52BDF" w14:textId="77777777" w:rsidR="000E30EB" w:rsidRPr="00143B50" w:rsidRDefault="000E30EB" w:rsidP="000E30EB">
            <w:pPr>
              <w:spacing w:before="120"/>
              <w:rPr>
                <w:szCs w:val="24"/>
                <w:lang w:val="en"/>
              </w:rPr>
            </w:pPr>
            <w:r w:rsidRPr="00143B50">
              <w:rPr>
                <w:szCs w:val="24"/>
                <w:lang w:val="en"/>
              </w:rPr>
              <w:t>Riverina, NSW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49109D7" w14:textId="4DC2538F" w:rsidR="000E30EB" w:rsidRPr="00143B50" w:rsidRDefault="000E30EB" w:rsidP="000E30EB">
            <w:pPr>
              <w:pStyle w:val="CoverActName"/>
              <w:spacing w:before="120" w:after="120"/>
              <w:jc w:val="left"/>
              <w:rPr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</w:pPr>
            <w:r w:rsidRPr="00143B50">
              <w:rPr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  <w:t>A region in southern New South Wales</w:t>
            </w:r>
            <w:r w:rsidR="009C7754">
              <w:rPr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  <w:t>.</w:t>
            </w:r>
          </w:p>
          <w:p w14:paraId="0B335274" w14:textId="571AE5A9" w:rsidR="000E30EB" w:rsidRPr="006E6B4E" w:rsidRDefault="000E30EB" w:rsidP="006E6B4E">
            <w:pPr>
              <w:rPr>
                <w:shd w:val="clear" w:color="auto" w:fill="FFFFFF"/>
              </w:rPr>
            </w:pPr>
            <w:r w:rsidRPr="006E6B4E">
              <w:rPr>
                <w:shd w:val="clear" w:color="auto" w:fill="FFFFFF"/>
              </w:rPr>
              <w:t xml:space="preserve">The Riverina region is portrayed </w:t>
            </w:r>
            <w:r w:rsidR="00BF1F4F">
              <w:rPr>
                <w:shd w:val="clear" w:color="auto" w:fill="FFFFFF"/>
              </w:rPr>
              <w:t xml:space="preserve">through </w:t>
            </w:r>
            <w:r w:rsidRPr="006E6B4E">
              <w:rPr>
                <w:shd w:val="clear" w:color="auto" w:fill="FFFFFF"/>
              </w:rPr>
              <w:t>characters and scenes represented in a range of Australian literary works published during the late 19</w:t>
            </w:r>
            <w:r w:rsidRPr="006E6B4E">
              <w:rPr>
                <w:shd w:val="clear" w:color="auto" w:fill="FFFFFF"/>
                <w:vertAlign w:val="superscript"/>
              </w:rPr>
              <w:t>th</w:t>
            </w:r>
            <w:r w:rsidRPr="006E6B4E">
              <w:rPr>
                <w:shd w:val="clear" w:color="auto" w:fill="FFFFFF"/>
              </w:rPr>
              <w:t xml:space="preserve"> and early 20</w:t>
            </w:r>
            <w:r w:rsidRPr="006E6B4E">
              <w:rPr>
                <w:shd w:val="clear" w:color="auto" w:fill="FFFFFF"/>
                <w:vertAlign w:val="superscript"/>
              </w:rPr>
              <w:t>th</w:t>
            </w:r>
            <w:r w:rsidRPr="006E6B4E">
              <w:rPr>
                <w:shd w:val="clear" w:color="auto" w:fill="FFFFFF"/>
              </w:rPr>
              <w:t xml:space="preserve"> century including: </w:t>
            </w:r>
            <w:r w:rsidRPr="006E6B4E">
              <w:rPr>
                <w:shd w:val="clear" w:color="auto" w:fill="FFFFFF"/>
              </w:rPr>
              <w:br w:type="textWrapping" w:clear="all"/>
              <w:t xml:space="preserve">‘The Moving Finger’, Mary Gaunt (1894); </w:t>
            </w:r>
            <w:r w:rsidR="00DC0489" w:rsidRPr="006E6B4E">
              <w:rPr>
                <w:shd w:val="clear" w:color="auto" w:fill="FFFFFF"/>
              </w:rPr>
              <w:br w:type="textWrapping" w:clear="all"/>
            </w:r>
            <w:r w:rsidRPr="006E6B4E">
              <w:rPr>
                <w:shd w:val="clear" w:color="auto" w:fill="FFFFFF"/>
              </w:rPr>
              <w:t>‘In Her Earliest Youth’, Jessie Couvreur (1890); ‘True Eyes and the Whirlwind’, Randolph Bedford (1903); ‘Such Is Life’, Joseph Furphy (1903); and ‘Scot’s of the Riverina’, Henry Lawson (1917).</w:t>
            </w:r>
            <w:r w:rsidR="00DF3F18">
              <w:rPr>
                <w:shd w:val="clear" w:color="auto" w:fill="FFFFFF"/>
              </w:rPr>
              <w:br w:type="textWrapping" w:clear="all"/>
            </w:r>
          </w:p>
          <w:p w14:paraId="4AEEDB58" w14:textId="77777777" w:rsidR="00456119" w:rsidRDefault="006E6B4E" w:rsidP="00F00EE9">
            <w:r w:rsidRPr="006E6B4E">
              <w:rPr>
                <w:shd w:val="clear" w:color="auto" w:fill="FFFFFF"/>
              </w:rPr>
              <w:t xml:space="preserve">In 1915, </w:t>
            </w:r>
            <w:r w:rsidR="00DF3F18">
              <w:rPr>
                <w:shd w:val="clear" w:color="auto" w:fill="FFFFFF"/>
              </w:rPr>
              <w:t xml:space="preserve">Henry </w:t>
            </w:r>
            <w:r w:rsidR="00E42405" w:rsidRPr="006E6B4E">
              <w:rPr>
                <w:shd w:val="clear" w:color="auto" w:fill="FFFFFF"/>
              </w:rPr>
              <w:t xml:space="preserve">Lawson was commissioned by NSW Premier W. A Holman to write </w:t>
            </w:r>
            <w:r w:rsidR="007C2BDC" w:rsidRPr="006E6B4E">
              <w:rPr>
                <w:shd w:val="clear" w:color="auto" w:fill="FFFFFF"/>
              </w:rPr>
              <w:t xml:space="preserve">material </w:t>
            </w:r>
            <w:r w:rsidRPr="006E6B4E">
              <w:rPr>
                <w:shd w:val="clear" w:color="auto" w:fill="FFFFFF"/>
              </w:rPr>
              <w:t xml:space="preserve">to promote the </w:t>
            </w:r>
            <w:r w:rsidR="00E42405" w:rsidRPr="006E6B4E">
              <w:rPr>
                <w:shd w:val="clear" w:color="auto" w:fill="FFFFFF"/>
              </w:rPr>
              <w:t xml:space="preserve">Murrumbidgee Irrigation Area </w:t>
            </w:r>
            <w:r w:rsidR="007C2BDC" w:rsidRPr="006E6B4E">
              <w:rPr>
                <w:shd w:val="clear" w:color="auto" w:fill="FFFFFF"/>
              </w:rPr>
              <w:t xml:space="preserve">and provided with a house in </w:t>
            </w:r>
            <w:r w:rsidR="00E42405" w:rsidRPr="006E6B4E">
              <w:rPr>
                <w:shd w:val="clear" w:color="auto" w:fill="FFFFFF"/>
              </w:rPr>
              <w:t xml:space="preserve">the </w:t>
            </w:r>
            <w:r w:rsidR="007C2BDC" w:rsidRPr="006E6B4E">
              <w:rPr>
                <w:shd w:val="clear" w:color="auto" w:fill="FFFFFF"/>
              </w:rPr>
              <w:t xml:space="preserve">Riverina </w:t>
            </w:r>
            <w:r w:rsidR="00E42405" w:rsidRPr="006E6B4E">
              <w:rPr>
                <w:shd w:val="clear" w:color="auto" w:fill="FFFFFF"/>
              </w:rPr>
              <w:t>town of Leeton</w:t>
            </w:r>
            <w:r w:rsidRPr="006E6B4E">
              <w:rPr>
                <w:shd w:val="clear" w:color="auto" w:fill="FFFFFF"/>
              </w:rPr>
              <w:t>.</w:t>
            </w:r>
            <w:r w:rsidR="007C2BDC" w:rsidRPr="006E6B4E">
              <w:rPr>
                <w:shd w:val="clear" w:color="auto" w:fill="FFFFFF"/>
              </w:rPr>
              <w:t xml:space="preserve">  </w:t>
            </w:r>
            <w:r w:rsidRPr="006E6B4E">
              <w:rPr>
                <w:shd w:val="clear" w:color="auto" w:fill="FFFFFF"/>
              </w:rPr>
              <w:t xml:space="preserve">Lawson </w:t>
            </w:r>
            <w:r w:rsidR="007C2BDC" w:rsidRPr="006E6B4E">
              <w:rPr>
                <w:shd w:val="clear" w:color="auto" w:fill="FFFFFF"/>
              </w:rPr>
              <w:t xml:space="preserve">produced a </w:t>
            </w:r>
            <w:r w:rsidR="00A018D0">
              <w:rPr>
                <w:shd w:val="clear" w:color="auto" w:fill="FFFFFF"/>
              </w:rPr>
              <w:t>range of work</w:t>
            </w:r>
            <w:r w:rsidR="00B52B16">
              <w:rPr>
                <w:shd w:val="clear" w:color="auto" w:fill="FFFFFF"/>
              </w:rPr>
              <w:t xml:space="preserve"> during 1916–</w:t>
            </w:r>
            <w:r w:rsidR="007C2BDC" w:rsidRPr="006E6B4E">
              <w:rPr>
                <w:shd w:val="clear" w:color="auto" w:fill="FFFFFF"/>
              </w:rPr>
              <w:t xml:space="preserve">17 including </w:t>
            </w:r>
            <w:r w:rsidRPr="006E6B4E">
              <w:rPr>
                <w:shd w:val="clear" w:color="auto" w:fill="FFFFFF"/>
              </w:rPr>
              <w:t xml:space="preserve">the </w:t>
            </w:r>
            <w:r w:rsidR="007C2BDC" w:rsidRPr="006E6B4E">
              <w:rPr>
                <w:shd w:val="clear" w:color="auto" w:fill="FFFFFF"/>
              </w:rPr>
              <w:t>short story,</w:t>
            </w:r>
            <w:r w:rsidR="00E42405" w:rsidRPr="006E6B4E">
              <w:rPr>
                <w:shd w:val="clear" w:color="auto" w:fill="FFFFFF"/>
              </w:rPr>
              <w:t xml:space="preserve"> </w:t>
            </w:r>
            <w:r w:rsidR="00E42405" w:rsidRPr="006E6B4E">
              <w:t>‘A Letter from Leeton’</w:t>
            </w:r>
            <w:r w:rsidR="007C2BDC" w:rsidRPr="006E6B4E">
              <w:t>,</w:t>
            </w:r>
            <w:r w:rsidR="00E42405" w:rsidRPr="006E6B4E">
              <w:t xml:space="preserve"> </w:t>
            </w:r>
            <w:r w:rsidR="007C2BDC" w:rsidRPr="006E6B4E">
              <w:t xml:space="preserve">published in </w:t>
            </w:r>
            <w:r w:rsidR="00DF3F18">
              <w:t>‘T</w:t>
            </w:r>
            <w:r w:rsidR="007C2BDC" w:rsidRPr="006E6B4E">
              <w:t>he Australian Soldiers Gift Book</w:t>
            </w:r>
            <w:r w:rsidR="00A018D0">
              <w:t xml:space="preserve">’ </w:t>
            </w:r>
            <w:r w:rsidR="007C2BDC" w:rsidRPr="006E6B4E">
              <w:t>(1916)</w:t>
            </w:r>
            <w:r w:rsidR="00DF3F18">
              <w:t>.</w:t>
            </w:r>
            <w:r w:rsidR="007C2BDC" w:rsidRPr="006E6B4E">
              <w:t xml:space="preserve"> </w:t>
            </w:r>
            <w:r w:rsidR="00A018D0">
              <w:t xml:space="preserve"> </w:t>
            </w:r>
          </w:p>
          <w:p w14:paraId="4861A971" w14:textId="77777777" w:rsidR="004D7DF8" w:rsidRPr="00143B50" w:rsidRDefault="004D7DF8" w:rsidP="00F00EE9">
            <w:pPr>
              <w:rPr>
                <w:b/>
                <w:shd w:val="clear" w:color="auto" w:fill="FFFFFF"/>
              </w:rPr>
            </w:pPr>
          </w:p>
        </w:tc>
      </w:tr>
      <w:tr w:rsidR="000E30EB" w14:paraId="048F7C0A" w14:textId="77777777" w:rsidTr="002B3595">
        <w:trPr>
          <w:cantSplit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6C72E20" w14:textId="77777777" w:rsidR="000E30EB" w:rsidRPr="00E376A2" w:rsidRDefault="000E30EB" w:rsidP="007B1B6C">
            <w:pPr>
              <w:keepNext/>
              <w:spacing w:before="120"/>
              <w:rPr>
                <w:b/>
                <w:bCs/>
                <w:szCs w:val="24"/>
              </w:rPr>
            </w:pPr>
            <w:r w:rsidRPr="00E376A2">
              <w:rPr>
                <w:b/>
                <w:bCs/>
                <w:szCs w:val="24"/>
              </w:rPr>
              <w:lastRenderedPageBreak/>
              <w:t>Tenterfield Avenue</w:t>
            </w:r>
          </w:p>
          <w:p w14:paraId="404E75E0" w14:textId="330C6B45" w:rsidR="00783945" w:rsidRPr="00543362" w:rsidRDefault="00783945" w:rsidP="007B1B6C">
            <w:pPr>
              <w:keepNext/>
              <w:spacing w:before="120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D0CDDC1" w14:textId="77777777" w:rsidR="000E30EB" w:rsidRPr="00E376A2" w:rsidRDefault="000E30EB" w:rsidP="007B1B6C">
            <w:pPr>
              <w:keepNext/>
              <w:spacing w:before="120"/>
              <w:rPr>
                <w:szCs w:val="24"/>
                <w:lang w:val="en"/>
              </w:rPr>
            </w:pPr>
            <w:r w:rsidRPr="00E376A2">
              <w:rPr>
                <w:szCs w:val="24"/>
                <w:lang w:val="en"/>
              </w:rPr>
              <w:t>Tenterfield, NSW</w:t>
            </w:r>
          </w:p>
          <w:p w14:paraId="11A4049E" w14:textId="77777777" w:rsidR="000E30EB" w:rsidRDefault="000E30EB" w:rsidP="007B1B6C">
            <w:pPr>
              <w:keepNext/>
              <w:spacing w:before="120"/>
              <w:rPr>
                <w:lang w:val="en"/>
              </w:rPr>
            </w:pPr>
          </w:p>
          <w:p w14:paraId="5C51CA28" w14:textId="77777777" w:rsidR="000E30EB" w:rsidRDefault="000E30EB" w:rsidP="007B1B6C">
            <w:pPr>
              <w:keepNext/>
              <w:spacing w:before="120"/>
              <w:rPr>
                <w:lang w:val="en"/>
              </w:rPr>
            </w:pPr>
          </w:p>
          <w:p w14:paraId="48C5598A" w14:textId="77777777" w:rsidR="000E30EB" w:rsidRPr="00BE1E31" w:rsidRDefault="000E30EB" w:rsidP="007B1B6C">
            <w:pPr>
              <w:keepNext/>
              <w:spacing w:before="120"/>
              <w:rPr>
                <w:lang w:val="en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608EA62" w14:textId="77777777" w:rsidR="000E30EB" w:rsidRPr="00B52B16" w:rsidRDefault="000E30EB" w:rsidP="007B1B6C">
            <w:pPr>
              <w:pStyle w:val="CoverActName"/>
              <w:keepNext/>
              <w:spacing w:before="120" w:after="120"/>
              <w:jc w:val="left"/>
              <w:rPr>
                <w:rFonts w:ascii="Times New Roman" w:hAnsi="Times New Roman"/>
                <w:b w:val="0"/>
                <w:szCs w:val="24"/>
                <w:lang w:val="en-GB"/>
              </w:rPr>
            </w:pPr>
            <w:r w:rsidRPr="00B52B16"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New South Wales town; ‘Tenterfield Oration’</w:t>
            </w:r>
          </w:p>
          <w:p w14:paraId="2F1496FB" w14:textId="7E7BF321" w:rsidR="000E30EB" w:rsidRPr="009C7754" w:rsidRDefault="000E30EB" w:rsidP="007B1B6C">
            <w:pPr>
              <w:keepNext/>
              <w:rPr>
                <w:bCs/>
                <w:sz w:val="16"/>
                <w:szCs w:val="16"/>
              </w:rPr>
            </w:pPr>
            <w:r w:rsidRPr="00B52B16">
              <w:rPr>
                <w:shd w:val="clear" w:color="auto" w:fill="FFFFFF"/>
              </w:rPr>
              <w:t>In 1889, the Premier of the Colony of New South Wales, Sir Henry Parkes, delivered a landmark speech at the </w:t>
            </w:r>
            <w:r w:rsidRPr="00B52B16">
              <w:rPr>
                <w:rStyle w:val="Emphasis"/>
                <w:bCs/>
                <w:i w:val="0"/>
                <w:szCs w:val="24"/>
                <w:shd w:val="clear" w:color="auto" w:fill="FFFFFF"/>
              </w:rPr>
              <w:t>Tenterfield</w:t>
            </w:r>
            <w:r w:rsidRPr="00B52B16">
              <w:rPr>
                <w:i/>
                <w:shd w:val="clear" w:color="auto" w:fill="FFFFFF"/>
              </w:rPr>
              <w:t> </w:t>
            </w:r>
            <w:r w:rsidRPr="00B52B16">
              <w:rPr>
                <w:shd w:val="clear" w:color="auto" w:fill="FFFFFF"/>
              </w:rPr>
              <w:t>School of Arts calling for the Australian colonies to federate into one nation. Magazines, such as ‘The Bulletin’ and writers, including ‘Banjo’ Paterson</w:t>
            </w:r>
            <w:r w:rsidR="00B52B16" w:rsidRPr="00B52B16">
              <w:rPr>
                <w:shd w:val="clear" w:color="auto" w:fill="FFFFFF"/>
              </w:rPr>
              <w:t xml:space="preserve"> and Henry Lawson, </w:t>
            </w:r>
            <w:r w:rsidRPr="00B52B16">
              <w:rPr>
                <w:shd w:val="clear" w:color="auto" w:fill="FFFFFF"/>
              </w:rPr>
              <w:t>contributed to the emerging national sentiment. </w:t>
            </w:r>
            <w:r w:rsidRPr="00B52B16">
              <w:rPr>
                <w:bCs/>
              </w:rPr>
              <w:t xml:space="preserve"> </w:t>
            </w:r>
            <w:r w:rsidR="009C7754">
              <w:rPr>
                <w:bCs/>
              </w:rPr>
              <w:br w:type="textWrapping" w:clear="all"/>
            </w:r>
          </w:p>
          <w:p w14:paraId="43F0EBCE" w14:textId="67D2D987" w:rsidR="000E30EB" w:rsidRPr="009C7754" w:rsidRDefault="000E30EB" w:rsidP="007B1B6C">
            <w:pPr>
              <w:keepNext/>
              <w:rPr>
                <w:bCs/>
                <w:sz w:val="16"/>
                <w:szCs w:val="16"/>
              </w:rPr>
            </w:pPr>
            <w:r w:rsidRPr="00B52B16">
              <w:rPr>
                <w:bCs/>
              </w:rPr>
              <w:t xml:space="preserve">In 1903, Andrew Barton Paterson married </w:t>
            </w:r>
            <w:r w:rsidR="00B52B16" w:rsidRPr="00B52B16">
              <w:rPr>
                <w:bCs/>
              </w:rPr>
              <w:br w:type="textWrapping" w:clear="all"/>
            </w:r>
            <w:r w:rsidRPr="00B52B16">
              <w:rPr>
                <w:bCs/>
              </w:rPr>
              <w:t xml:space="preserve">Alice Walker, of Tenterfield Station, in St Stephen's Presbyterian Church, in Tenterfield.  </w:t>
            </w:r>
          </w:p>
          <w:p w14:paraId="0C9328C3" w14:textId="77777777" w:rsidR="000E30EB" w:rsidRPr="00755EA7" w:rsidRDefault="000E30EB" w:rsidP="007B1B6C">
            <w:pPr>
              <w:keepNext/>
              <w:rPr>
                <w:bCs/>
              </w:rPr>
            </w:pPr>
            <w:r w:rsidRPr="00B52B16">
              <w:rPr>
                <w:bCs/>
              </w:rPr>
              <w:t xml:space="preserve">The ‘Oracles of the Bush’ festival is held annually in </w:t>
            </w:r>
            <w:r w:rsidR="00456119" w:rsidRPr="00B52B16">
              <w:rPr>
                <w:bCs/>
              </w:rPr>
              <w:t>the town</w:t>
            </w:r>
            <w:r w:rsidRPr="00B52B16">
              <w:rPr>
                <w:bCs/>
              </w:rPr>
              <w:t xml:space="preserve"> to </w:t>
            </w:r>
            <w:r w:rsidRPr="00B52B16">
              <w:rPr>
                <w:shd w:val="clear" w:color="auto" w:fill="FFFFFF"/>
              </w:rPr>
              <w:t>celebrate Australian bush poetry, music and art.</w:t>
            </w:r>
            <w:r w:rsidRPr="00B52B16">
              <w:rPr>
                <w:bCs/>
              </w:rPr>
              <w:t xml:space="preserve">  </w:t>
            </w:r>
          </w:p>
        </w:tc>
      </w:tr>
    </w:tbl>
    <w:p w14:paraId="0F962BC8" w14:textId="77777777" w:rsidR="00A634DB" w:rsidRDefault="00A634DB" w:rsidP="00A325B1">
      <w:pPr>
        <w:tabs>
          <w:tab w:val="left" w:pos="4320"/>
        </w:tabs>
      </w:pPr>
    </w:p>
    <w:p w14:paraId="0F1A4837" w14:textId="77777777" w:rsidR="00A634DB" w:rsidRDefault="00A634DB">
      <w:r>
        <w:br w:type="page"/>
      </w:r>
    </w:p>
    <w:p w14:paraId="7E510E10" w14:textId="77777777" w:rsidR="00AA02C9" w:rsidRDefault="002B3595" w:rsidP="00A325B1">
      <w:pPr>
        <w:tabs>
          <w:tab w:val="left" w:pos="4320"/>
        </w:tabs>
      </w:pPr>
      <w:r>
        <w:rPr>
          <w:noProof/>
          <w:lang w:eastAsia="en-AU"/>
        </w:rPr>
        <w:lastRenderedPageBreak/>
        <w:drawing>
          <wp:inline distT="0" distB="0" distL="0" distR="0" wp14:anchorId="069582D6" wp14:editId="30C90B82">
            <wp:extent cx="5584671" cy="78980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423- Lawson Instrument diagram - DRAFT (A17895866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831" cy="789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02C9" w:rsidSect="00B95574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7" w:h="16839" w:code="9"/>
      <w:pgMar w:top="1134" w:right="1800" w:bottom="851" w:left="1800" w:header="720" w:footer="42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2191D" w14:textId="77777777" w:rsidR="004729E6" w:rsidRDefault="004729E6" w:rsidP="00F10CB2">
      <w:r>
        <w:separator/>
      </w:r>
    </w:p>
  </w:endnote>
  <w:endnote w:type="continuationSeparator" w:id="0">
    <w:p w14:paraId="59DAC994" w14:textId="77777777" w:rsidR="004729E6" w:rsidRDefault="004729E6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D23F1" w14:textId="77777777" w:rsidR="002A4195" w:rsidRDefault="002A4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C1972" w14:textId="1E35053D" w:rsidR="002A039C" w:rsidRPr="002A4195" w:rsidRDefault="002A4195" w:rsidP="002A4195">
    <w:pPr>
      <w:pStyle w:val="Footer"/>
      <w:tabs>
        <w:tab w:val="clear" w:pos="2880"/>
      </w:tabs>
      <w:jc w:val="center"/>
      <w:rPr>
        <w:rFonts w:ascii="Arial" w:hAnsi="Arial" w:cs="Arial"/>
        <w:sz w:val="14"/>
      </w:rPr>
    </w:pPr>
    <w:r w:rsidRPr="002A419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505432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DB56AA7" w14:textId="5B7E86DC" w:rsidR="001056A5" w:rsidRPr="00AF1C0D" w:rsidRDefault="001056A5" w:rsidP="001056A5">
            <w:pPr>
              <w:pStyle w:val="Footer"/>
              <w:tabs>
                <w:tab w:val="clear" w:pos="2880"/>
              </w:tabs>
            </w:pPr>
            <w:r>
              <w:t xml:space="preserve">Page </w:t>
            </w:r>
            <w:r w:rsidR="00522381">
              <w:fldChar w:fldCharType="begin"/>
            </w:r>
            <w:r w:rsidR="00522381">
              <w:instrText xml:space="preserve"> PAGE </w:instrText>
            </w:r>
            <w:r w:rsidR="00522381">
              <w:fldChar w:fldCharType="separate"/>
            </w:r>
            <w:r w:rsidR="00D26225">
              <w:rPr>
                <w:noProof/>
              </w:rPr>
              <w:t>1</w:t>
            </w:r>
            <w:r w:rsidR="00522381">
              <w:rPr>
                <w:noProof/>
              </w:rPr>
              <w:fldChar w:fldCharType="end"/>
            </w:r>
            <w:r>
              <w:t xml:space="preserve"> of </w:t>
            </w:r>
            <w:r w:rsidR="008036F7">
              <w:rPr>
                <w:noProof/>
              </w:rPr>
              <w:fldChar w:fldCharType="begin"/>
            </w:r>
            <w:r w:rsidR="008036F7">
              <w:rPr>
                <w:noProof/>
              </w:rPr>
              <w:instrText xml:space="preserve"> SECTIONPAGES  </w:instrText>
            </w:r>
            <w:r w:rsidR="008036F7">
              <w:rPr>
                <w:noProof/>
              </w:rPr>
              <w:fldChar w:fldCharType="separate"/>
            </w:r>
            <w:r w:rsidR="00E13DA5">
              <w:rPr>
                <w:noProof/>
              </w:rPr>
              <w:t>6</w:t>
            </w:r>
            <w:r w:rsidR="008036F7">
              <w:rPr>
                <w:noProof/>
              </w:rPr>
              <w:fldChar w:fldCharType="end"/>
            </w:r>
            <w:r>
              <w:tab/>
            </w:r>
            <w:r w:rsidRPr="008B556F">
              <w:rPr>
                <w:i/>
              </w:rPr>
              <w:t xml:space="preserve"> </w:t>
            </w:r>
          </w:p>
          <w:p w14:paraId="33C994C9" w14:textId="77777777" w:rsidR="002A039C" w:rsidRPr="00AA02C9" w:rsidRDefault="00CF3B41" w:rsidP="00AA02C9">
            <w:pPr>
              <w:pStyle w:val="Footer"/>
            </w:pP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0510294"/>
      <w:docPartObj>
        <w:docPartGallery w:val="Page Numbers (Top of Page)"/>
        <w:docPartUnique/>
      </w:docPartObj>
    </w:sdtPr>
    <w:sdtEndPr/>
    <w:sdtContent>
      <w:sdt>
        <w:sdtPr>
          <w:id w:val="27645588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200017985"/>
              <w:docPartObj>
                <w:docPartGallery w:val="Page Numbers (Top of Page)"/>
                <w:docPartUnique/>
              </w:docPartObj>
            </w:sdtPr>
            <w:sdtEndPr/>
            <w:sdtContent>
              <w:p w14:paraId="0D02CF74" w14:textId="212EB550" w:rsidR="00E13DA5" w:rsidRDefault="001056A5" w:rsidP="001056A5">
                <w:pPr>
                  <w:pStyle w:val="Footer"/>
                  <w:tabs>
                    <w:tab w:val="clear" w:pos="2880"/>
                  </w:tabs>
                </w:pPr>
                <w:r>
                  <w:t xml:space="preserve">Page </w:t>
                </w:r>
                <w:r w:rsidR="00522381">
                  <w:fldChar w:fldCharType="begin"/>
                </w:r>
                <w:r w:rsidR="00522381">
                  <w:instrText xml:space="preserve"> PAGE </w:instrText>
                </w:r>
                <w:r w:rsidR="00522381">
                  <w:fldChar w:fldCharType="separate"/>
                </w:r>
                <w:r w:rsidR="00D26225">
                  <w:rPr>
                    <w:noProof/>
                  </w:rPr>
                  <w:t>5</w:t>
                </w:r>
                <w:r w:rsidR="00522381">
                  <w:rPr>
                    <w:noProof/>
                  </w:rPr>
                  <w:fldChar w:fldCharType="end"/>
                </w:r>
                <w:r>
                  <w:t xml:space="preserve"> of </w:t>
                </w:r>
                <w:r w:rsidR="008036F7">
                  <w:rPr>
                    <w:noProof/>
                  </w:rPr>
                  <w:fldChar w:fldCharType="begin"/>
                </w:r>
                <w:r w:rsidR="008036F7">
                  <w:rPr>
                    <w:noProof/>
                  </w:rPr>
                  <w:instrText xml:space="preserve"> SECTIONPAGES  </w:instrText>
                </w:r>
                <w:r w:rsidR="008036F7">
                  <w:rPr>
                    <w:noProof/>
                  </w:rPr>
                  <w:fldChar w:fldCharType="separate"/>
                </w:r>
                <w:r w:rsidR="009B64C4">
                  <w:rPr>
                    <w:noProof/>
                  </w:rPr>
                  <w:t>5</w:t>
                </w:r>
                <w:r w:rsidR="008036F7">
                  <w:rPr>
                    <w:noProof/>
                  </w:rPr>
                  <w:fldChar w:fldCharType="end"/>
                </w:r>
                <w:r>
                  <w:tab/>
                </w:r>
              </w:p>
              <w:p w14:paraId="65FFD61B" w14:textId="77777777" w:rsidR="002A4195" w:rsidRDefault="00CF3B41" w:rsidP="004127C9">
                <w:pPr>
                  <w:pStyle w:val="Footer"/>
                  <w:jc w:val="center"/>
                </w:pPr>
              </w:p>
            </w:sdtContent>
          </w:sdt>
        </w:sdtContent>
      </w:sdt>
    </w:sdtContent>
  </w:sdt>
  <w:p w14:paraId="39F0CE4C" w14:textId="22C5BA0E" w:rsidR="004127C9" w:rsidRPr="002A4195" w:rsidRDefault="002A4195" w:rsidP="002A4195">
    <w:pPr>
      <w:pStyle w:val="Footer"/>
      <w:jc w:val="center"/>
      <w:rPr>
        <w:rFonts w:ascii="Arial" w:hAnsi="Arial" w:cs="Arial"/>
        <w:sz w:val="14"/>
      </w:rPr>
    </w:pPr>
    <w:r w:rsidRPr="002A4195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658784"/>
      <w:docPartObj>
        <w:docPartGallery w:val="Page Numbers (Bottom of Page)"/>
        <w:docPartUnique/>
      </w:docPartObj>
    </w:sdtPr>
    <w:sdtEndPr/>
    <w:sdtContent>
      <w:sdt>
        <w:sdtPr>
          <w:id w:val="-2136632040"/>
          <w:docPartObj>
            <w:docPartGallery w:val="Page Numbers (Top of Page)"/>
            <w:docPartUnique/>
          </w:docPartObj>
        </w:sdtPr>
        <w:sdtEndPr/>
        <w:sdtContent>
          <w:p w14:paraId="2D125A10" w14:textId="607BD7DF" w:rsidR="00E13DA5" w:rsidRPr="0094639C" w:rsidRDefault="00E13DA5" w:rsidP="001056A5">
            <w:pPr>
              <w:pStyle w:val="Footer"/>
              <w:tabs>
                <w:tab w:val="clear" w:pos="2880"/>
              </w:tabs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SECTIONPAGES  </w:instrText>
            </w:r>
            <w:r>
              <w:rPr>
                <w:noProof/>
              </w:rPr>
              <w:fldChar w:fldCharType="separate"/>
            </w:r>
            <w:r w:rsidR="009B64C4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tab/>
            </w:r>
            <w:r w:rsidRPr="0094639C">
              <w:rPr>
                <w:i/>
              </w:rPr>
              <w:t xml:space="preserve"> </w:t>
            </w:r>
          </w:p>
          <w:p w14:paraId="47B4E25C" w14:textId="77777777" w:rsidR="002A4195" w:rsidRDefault="00CF3B41" w:rsidP="00E13DA5">
            <w:pPr>
              <w:pStyle w:val="Footer"/>
              <w:jc w:val="center"/>
            </w:pPr>
          </w:p>
        </w:sdtContent>
      </w:sdt>
    </w:sdtContent>
  </w:sdt>
  <w:p w14:paraId="3415E8E3" w14:textId="015CC61B" w:rsidR="00E13DA5" w:rsidRPr="002A4195" w:rsidRDefault="002A4195" w:rsidP="002A4195">
    <w:pPr>
      <w:pStyle w:val="Footer"/>
      <w:jc w:val="center"/>
      <w:rPr>
        <w:rFonts w:ascii="Arial" w:hAnsi="Arial" w:cs="Arial"/>
        <w:sz w:val="14"/>
      </w:rPr>
    </w:pPr>
    <w:r w:rsidRPr="002A4195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66017" w14:textId="77777777" w:rsidR="004729E6" w:rsidRDefault="004729E6" w:rsidP="00F10CB2">
      <w:r>
        <w:separator/>
      </w:r>
    </w:p>
  </w:footnote>
  <w:footnote w:type="continuationSeparator" w:id="0">
    <w:p w14:paraId="2C859451" w14:textId="77777777" w:rsidR="004729E6" w:rsidRDefault="004729E6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460BB" w14:textId="77777777" w:rsidR="002A4195" w:rsidRDefault="002A4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AB92C" w14:textId="77777777" w:rsidR="002A4195" w:rsidRDefault="002A4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43F16" w14:textId="77777777" w:rsidR="002A4195" w:rsidRDefault="002A419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02B52" w14:textId="1BC06B40" w:rsidR="00A16712" w:rsidRDefault="00A1671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D29D6" w14:textId="3FDF4659" w:rsidR="00A16712" w:rsidRDefault="00A1671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4D41D" w14:textId="263A0AE3" w:rsidR="00A16712" w:rsidRDefault="00A16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840D6D"/>
    <w:multiLevelType w:val="hybridMultilevel"/>
    <w:tmpl w:val="BBE4BD4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04684C"/>
    <w:multiLevelType w:val="hybridMultilevel"/>
    <w:tmpl w:val="8CDA286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05D5C"/>
    <w:rsid w:val="000220DF"/>
    <w:rsid w:val="00022B16"/>
    <w:rsid w:val="0004515E"/>
    <w:rsid w:val="0009053E"/>
    <w:rsid w:val="000A1A69"/>
    <w:rsid w:val="000C501D"/>
    <w:rsid w:val="000E30EB"/>
    <w:rsid w:val="001056A5"/>
    <w:rsid w:val="00111262"/>
    <w:rsid w:val="00121246"/>
    <w:rsid w:val="00134786"/>
    <w:rsid w:val="00134A9C"/>
    <w:rsid w:val="00182A9D"/>
    <w:rsid w:val="001857A1"/>
    <w:rsid w:val="001916CA"/>
    <w:rsid w:val="00194AC7"/>
    <w:rsid w:val="001C737C"/>
    <w:rsid w:val="001E36AA"/>
    <w:rsid w:val="001F1298"/>
    <w:rsid w:val="00201456"/>
    <w:rsid w:val="00205E99"/>
    <w:rsid w:val="00232478"/>
    <w:rsid w:val="0024284E"/>
    <w:rsid w:val="00252D15"/>
    <w:rsid w:val="0025622D"/>
    <w:rsid w:val="0026185B"/>
    <w:rsid w:val="00267FC1"/>
    <w:rsid w:val="002A039C"/>
    <w:rsid w:val="002A4195"/>
    <w:rsid w:val="002B3595"/>
    <w:rsid w:val="003452C2"/>
    <w:rsid w:val="003C330F"/>
    <w:rsid w:val="003D7174"/>
    <w:rsid w:val="004127C9"/>
    <w:rsid w:val="004263DB"/>
    <w:rsid w:val="00445322"/>
    <w:rsid w:val="00456119"/>
    <w:rsid w:val="004729E6"/>
    <w:rsid w:val="00481934"/>
    <w:rsid w:val="00483293"/>
    <w:rsid w:val="00492788"/>
    <w:rsid w:val="004D7DF8"/>
    <w:rsid w:val="004E1392"/>
    <w:rsid w:val="0051185E"/>
    <w:rsid w:val="00513572"/>
    <w:rsid w:val="00522381"/>
    <w:rsid w:val="00530680"/>
    <w:rsid w:val="005961A3"/>
    <w:rsid w:val="005A2B66"/>
    <w:rsid w:val="005D55E0"/>
    <w:rsid w:val="005D68B8"/>
    <w:rsid w:val="005E4518"/>
    <w:rsid w:val="005F75A1"/>
    <w:rsid w:val="00600FA9"/>
    <w:rsid w:val="0060789F"/>
    <w:rsid w:val="00627F0C"/>
    <w:rsid w:val="00652545"/>
    <w:rsid w:val="006668F6"/>
    <w:rsid w:val="00667281"/>
    <w:rsid w:val="0068354C"/>
    <w:rsid w:val="00685113"/>
    <w:rsid w:val="006A3A2F"/>
    <w:rsid w:val="006E6B4E"/>
    <w:rsid w:val="00704DC3"/>
    <w:rsid w:val="0072003E"/>
    <w:rsid w:val="0077162F"/>
    <w:rsid w:val="00783945"/>
    <w:rsid w:val="00784B87"/>
    <w:rsid w:val="007A3299"/>
    <w:rsid w:val="007B1B6C"/>
    <w:rsid w:val="007B2E24"/>
    <w:rsid w:val="007C2BDC"/>
    <w:rsid w:val="007C3B22"/>
    <w:rsid w:val="008036F7"/>
    <w:rsid w:val="00805216"/>
    <w:rsid w:val="00824EB1"/>
    <w:rsid w:val="00887501"/>
    <w:rsid w:val="00894148"/>
    <w:rsid w:val="008A1D96"/>
    <w:rsid w:val="008A3808"/>
    <w:rsid w:val="008A4593"/>
    <w:rsid w:val="008B556F"/>
    <w:rsid w:val="008C0358"/>
    <w:rsid w:val="008E4A39"/>
    <w:rsid w:val="008F060D"/>
    <w:rsid w:val="008F60A5"/>
    <w:rsid w:val="008F626A"/>
    <w:rsid w:val="009070F7"/>
    <w:rsid w:val="00937F1F"/>
    <w:rsid w:val="0094639C"/>
    <w:rsid w:val="00970517"/>
    <w:rsid w:val="009876DB"/>
    <w:rsid w:val="009B64C4"/>
    <w:rsid w:val="009C7754"/>
    <w:rsid w:val="00A018D0"/>
    <w:rsid w:val="00A0585C"/>
    <w:rsid w:val="00A07BFA"/>
    <w:rsid w:val="00A14C37"/>
    <w:rsid w:val="00A16712"/>
    <w:rsid w:val="00A312C8"/>
    <w:rsid w:val="00A325B1"/>
    <w:rsid w:val="00A43FE7"/>
    <w:rsid w:val="00A502EA"/>
    <w:rsid w:val="00A6074D"/>
    <w:rsid w:val="00A634DB"/>
    <w:rsid w:val="00A74247"/>
    <w:rsid w:val="00A85AAD"/>
    <w:rsid w:val="00A9655D"/>
    <w:rsid w:val="00AA02C9"/>
    <w:rsid w:val="00AF72B8"/>
    <w:rsid w:val="00B021A5"/>
    <w:rsid w:val="00B07927"/>
    <w:rsid w:val="00B1549F"/>
    <w:rsid w:val="00B30B9A"/>
    <w:rsid w:val="00B420D3"/>
    <w:rsid w:val="00B52B16"/>
    <w:rsid w:val="00B63A10"/>
    <w:rsid w:val="00B6603C"/>
    <w:rsid w:val="00B80A64"/>
    <w:rsid w:val="00B95574"/>
    <w:rsid w:val="00B96911"/>
    <w:rsid w:val="00BA52F5"/>
    <w:rsid w:val="00BB241F"/>
    <w:rsid w:val="00BD02C6"/>
    <w:rsid w:val="00BF1F4F"/>
    <w:rsid w:val="00C41B1B"/>
    <w:rsid w:val="00C41D10"/>
    <w:rsid w:val="00C43712"/>
    <w:rsid w:val="00C50A1E"/>
    <w:rsid w:val="00C64A1B"/>
    <w:rsid w:val="00C65523"/>
    <w:rsid w:val="00C73FCB"/>
    <w:rsid w:val="00CA22CC"/>
    <w:rsid w:val="00CD4E55"/>
    <w:rsid w:val="00CE3399"/>
    <w:rsid w:val="00CF28EB"/>
    <w:rsid w:val="00CF3B41"/>
    <w:rsid w:val="00D26225"/>
    <w:rsid w:val="00D3208D"/>
    <w:rsid w:val="00D36CFC"/>
    <w:rsid w:val="00D42D6E"/>
    <w:rsid w:val="00D47F13"/>
    <w:rsid w:val="00D9612A"/>
    <w:rsid w:val="00D969A8"/>
    <w:rsid w:val="00DA4E50"/>
    <w:rsid w:val="00DB1051"/>
    <w:rsid w:val="00DC0489"/>
    <w:rsid w:val="00DE34CB"/>
    <w:rsid w:val="00DF1D10"/>
    <w:rsid w:val="00DF3F18"/>
    <w:rsid w:val="00E13DA5"/>
    <w:rsid w:val="00E1769F"/>
    <w:rsid w:val="00E358BC"/>
    <w:rsid w:val="00E42405"/>
    <w:rsid w:val="00E56072"/>
    <w:rsid w:val="00E57A65"/>
    <w:rsid w:val="00E6360C"/>
    <w:rsid w:val="00E73C6D"/>
    <w:rsid w:val="00EF1A23"/>
    <w:rsid w:val="00F00EE9"/>
    <w:rsid w:val="00F0488B"/>
    <w:rsid w:val="00F10CB2"/>
    <w:rsid w:val="00F15AC3"/>
    <w:rsid w:val="00F236C5"/>
    <w:rsid w:val="00F4363C"/>
    <w:rsid w:val="00F56AED"/>
    <w:rsid w:val="00FB4806"/>
    <w:rsid w:val="00FD0AA6"/>
    <w:rsid w:val="00FD0B7D"/>
    <w:rsid w:val="00FF4FF7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6593FB8"/>
  <w15:docId w15:val="{4FB4717D-5267-4DB7-B0CC-7F37108A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02C9"/>
    <w:pPr>
      <w:tabs>
        <w:tab w:val="left" w:pos="1701"/>
        <w:tab w:val="left" w:pos="2880"/>
      </w:tabs>
    </w:pPr>
    <w:rPr>
      <w:snapToGrid w:val="0"/>
      <w:sz w:val="20"/>
      <w:szCs w:val="24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A74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4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02C9"/>
    <w:rPr>
      <w:snapToGrid w:val="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325B1"/>
    <w:rPr>
      <w:rFonts w:ascii="Arial" w:hAnsi="Arial" w:cs="Arial"/>
      <w:i/>
      <w:iCs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2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 w:line="264" w:lineRule="auto"/>
    </w:pPr>
    <w:rPr>
      <w:rFonts w:ascii="Courier New" w:eastAsiaTheme="minorEastAsia" w:hAnsi="Courier New" w:cs="Courier New"/>
      <w:sz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25B1"/>
    <w:rPr>
      <w:rFonts w:ascii="Courier New" w:eastAsiaTheme="minorEastAsia" w:hAnsi="Courier New" w:cs="Courier New"/>
    </w:rPr>
  </w:style>
  <w:style w:type="character" w:customStyle="1" w:styleId="property">
    <w:name w:val="property"/>
    <w:basedOn w:val="DefaultParagraphFont"/>
    <w:rsid w:val="00A325B1"/>
  </w:style>
  <w:style w:type="character" w:styleId="Emphasis">
    <w:name w:val="Emphasis"/>
    <w:basedOn w:val="DefaultParagraphFont"/>
    <w:uiPriority w:val="20"/>
    <w:qFormat/>
    <w:rsid w:val="00A325B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85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AA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AA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AA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austlit.edu.au/austlit/page/C55997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austlit.edu.au/austlit/page/C29997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FAD64-9698-4983-A04A-DE0AEE4D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851</Words>
  <Characters>4573</Characters>
  <Application>Microsoft Office Word</Application>
  <DocSecurity>0</DocSecurity>
  <Lines>203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2004-04-05T00:37:00Z</cp:lastPrinted>
  <dcterms:created xsi:type="dcterms:W3CDTF">2019-05-23T00:27:00Z</dcterms:created>
  <dcterms:modified xsi:type="dcterms:W3CDTF">2019-05-23T00:27:00Z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A18057880</vt:lpwstr>
  </property>
  <property fmtid="{D5CDD505-2E9C-101B-9397-08002B2CF9AE}" pid="4" name="Objective-Title">
    <vt:lpwstr>Public Place Names (Lawson) Determination 2019</vt:lpwstr>
  </property>
  <property fmtid="{D5CDD505-2E9C-101B-9397-08002B2CF9AE}" pid="5" name="Objective-Comment">
    <vt:lpwstr/>
  </property>
  <property fmtid="{D5CDD505-2E9C-101B-9397-08002B2CF9AE}" pid="6" name="Objective-CreationStamp">
    <vt:filetime>2018-12-18T02:06:48Z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2019-05-17T02:07:23Z</vt:filetime>
  </property>
  <property fmtid="{D5CDD505-2E9C-101B-9397-08002B2CF9AE}" pid="10" name="Objective-ModificationStamp">
    <vt:filetime>2019-05-17T02:07:23Z</vt:filetime>
  </property>
  <property fmtid="{D5CDD505-2E9C-101B-9397-08002B2CF9AE}" pid="11" name="Objective-Owner">
    <vt:lpwstr>Sharon Priestly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19/12927 - Public Place Names (Lawson) Determination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19.0</vt:lpwstr>
  </property>
  <property fmtid="{D5CDD505-2E9C-101B-9397-08002B2CF9AE}" pid="16" name="Objective-VersionNumber">
    <vt:r8>21</vt:r8>
  </property>
  <property fmtid="{D5CDD505-2E9C-101B-9397-08002B2CF9AE}" pid="17" name="Objective-VersionComment">
    <vt:lpwstr/>
  </property>
  <property fmtid="{D5CDD505-2E9C-101B-9397-08002B2CF9AE}" pid="18" name="Objective-FileNumber">
    <vt:lpwstr>1-2019/12927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