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6837" w14:textId="312AAAC8" w:rsidR="00CA682D" w:rsidRPr="00D440BF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D440BF">
        <w:rPr>
          <w:rFonts w:ascii="Arial" w:hAnsi="Arial" w:cs="Arial"/>
        </w:rPr>
        <w:t>Australian Capital Territory</w:t>
      </w:r>
    </w:p>
    <w:p w14:paraId="50D7E0B8" w14:textId="77777777" w:rsidR="00CA682D" w:rsidRPr="00D440BF" w:rsidRDefault="00F928DF" w:rsidP="00EA0702">
      <w:pPr>
        <w:pStyle w:val="Billname"/>
        <w:spacing w:before="240"/>
      </w:pPr>
      <w:r w:rsidRPr="00D440BF">
        <w:t>Planning and Development</w:t>
      </w:r>
      <w:r w:rsidR="00CA682D" w:rsidRPr="00D440BF">
        <w:t xml:space="preserve"> </w:t>
      </w:r>
      <w:r w:rsidRPr="00D440BF">
        <w:t>(Remission of Lease Variation Charges</w:t>
      </w:r>
      <w:r w:rsidR="00F53BFD" w:rsidRPr="00D440BF">
        <w:t>—</w:t>
      </w:r>
      <w:r w:rsidR="00513078">
        <w:t>Construction Sector Recovery</w:t>
      </w:r>
      <w:r w:rsidR="00B64225" w:rsidRPr="00D440BF">
        <w:t>)</w:t>
      </w:r>
      <w:r w:rsidR="00150022" w:rsidRPr="00D440BF">
        <w:t xml:space="preserve"> Determination </w:t>
      </w:r>
      <w:r w:rsidR="00DE55E9" w:rsidRPr="00D440BF">
        <w:t>20</w:t>
      </w:r>
      <w:r w:rsidR="00513078">
        <w:t>20</w:t>
      </w:r>
      <w:r w:rsidRPr="00D440BF">
        <w:t xml:space="preserve"> </w:t>
      </w:r>
    </w:p>
    <w:p w14:paraId="04D4CB6A" w14:textId="68E87D66" w:rsidR="00CA682D" w:rsidRPr="00D440BF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D440BF">
        <w:rPr>
          <w:rFonts w:ascii="Arial" w:hAnsi="Arial" w:cs="Arial"/>
          <w:b/>
          <w:bCs/>
        </w:rPr>
        <w:t>Disallowable instrument DI</w:t>
      </w:r>
      <w:r w:rsidR="00DE55E9" w:rsidRPr="00D440BF">
        <w:rPr>
          <w:rFonts w:ascii="Arial" w:hAnsi="Arial" w:cs="Arial"/>
          <w:b/>
          <w:bCs/>
          <w:iCs/>
        </w:rPr>
        <w:t>20</w:t>
      </w:r>
      <w:r w:rsidR="00513078">
        <w:rPr>
          <w:rFonts w:ascii="Arial" w:hAnsi="Arial" w:cs="Arial"/>
          <w:b/>
          <w:bCs/>
          <w:iCs/>
        </w:rPr>
        <w:t>20</w:t>
      </w:r>
      <w:r w:rsidRPr="00D440BF">
        <w:rPr>
          <w:rFonts w:ascii="Arial" w:hAnsi="Arial" w:cs="Arial"/>
          <w:b/>
          <w:bCs/>
        </w:rPr>
        <w:t>–</w:t>
      </w:r>
      <w:r w:rsidR="00924B4A">
        <w:rPr>
          <w:rFonts w:ascii="Arial" w:hAnsi="Arial" w:cs="Arial"/>
          <w:b/>
          <w:bCs/>
        </w:rPr>
        <w:t>224</w:t>
      </w:r>
    </w:p>
    <w:p w14:paraId="728C4971" w14:textId="77777777" w:rsidR="00CA682D" w:rsidRPr="00D440BF" w:rsidRDefault="00CA682D">
      <w:pPr>
        <w:pStyle w:val="madeunder"/>
        <w:spacing w:before="240" w:after="120"/>
      </w:pPr>
      <w:r w:rsidRPr="00D440BF">
        <w:t xml:space="preserve">made under the  </w:t>
      </w:r>
    </w:p>
    <w:p w14:paraId="0AEA6D23" w14:textId="77777777" w:rsidR="00CA682D" w:rsidRPr="00D440BF" w:rsidRDefault="001E4E66" w:rsidP="00513078">
      <w:pPr>
        <w:pStyle w:val="CoverActName"/>
        <w:jc w:val="left"/>
      </w:pPr>
      <w:r w:rsidRPr="00D440BF">
        <w:rPr>
          <w:rFonts w:cs="Arial"/>
          <w:sz w:val="20"/>
        </w:rPr>
        <w:t xml:space="preserve">Planning and Development Act 2007, </w:t>
      </w:r>
      <w:r w:rsidR="00B64225" w:rsidRPr="00D440BF">
        <w:rPr>
          <w:rFonts w:cs="Arial"/>
          <w:sz w:val="20"/>
        </w:rPr>
        <w:t>s 278 (</w:t>
      </w:r>
      <w:r w:rsidR="00201400">
        <w:rPr>
          <w:rFonts w:cs="Arial"/>
          <w:sz w:val="20"/>
        </w:rPr>
        <w:t>Remission of lease variation charges</w:t>
      </w:r>
      <w:r w:rsidR="00B64225" w:rsidRPr="00D440BF">
        <w:rPr>
          <w:rFonts w:cs="Arial"/>
          <w:sz w:val="20"/>
        </w:rPr>
        <w:t xml:space="preserve">) </w:t>
      </w:r>
    </w:p>
    <w:p w14:paraId="5E699F92" w14:textId="77777777" w:rsidR="00CA682D" w:rsidRPr="00D440BF" w:rsidRDefault="00CA682D" w:rsidP="00513078">
      <w:pPr>
        <w:pStyle w:val="N-line3"/>
        <w:pBdr>
          <w:bottom w:val="none" w:sz="0" w:space="0" w:color="auto"/>
        </w:pBdr>
        <w:jc w:val="left"/>
      </w:pPr>
    </w:p>
    <w:p w14:paraId="151B854D" w14:textId="77777777" w:rsidR="00CA682D" w:rsidRPr="00D440BF" w:rsidRDefault="00CA682D" w:rsidP="00513078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5BD5859B" w14:textId="77777777" w:rsidR="00CA682D" w:rsidRPr="00D440BF" w:rsidRDefault="00CA682D" w:rsidP="0051307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440BF">
        <w:rPr>
          <w:rFonts w:ascii="Arial" w:hAnsi="Arial" w:cs="Arial"/>
          <w:b/>
          <w:bCs/>
        </w:rPr>
        <w:t>1</w:t>
      </w:r>
      <w:r w:rsidRPr="00D440BF">
        <w:rPr>
          <w:rFonts w:ascii="Arial" w:hAnsi="Arial" w:cs="Arial"/>
          <w:b/>
          <w:bCs/>
        </w:rPr>
        <w:tab/>
        <w:t>Name of instrument</w:t>
      </w:r>
    </w:p>
    <w:p w14:paraId="297372B6" w14:textId="77777777" w:rsidR="00CA682D" w:rsidRDefault="00CA682D" w:rsidP="00513078">
      <w:pPr>
        <w:spacing w:before="80" w:after="60"/>
        <w:ind w:left="720"/>
        <w:rPr>
          <w:bCs/>
          <w:iCs/>
        </w:rPr>
      </w:pPr>
      <w:r w:rsidRPr="00D440BF">
        <w:t xml:space="preserve">This instrument is the </w:t>
      </w:r>
      <w:r w:rsidR="00D954EA" w:rsidRPr="00D440BF">
        <w:rPr>
          <w:i/>
        </w:rPr>
        <w:t>Planning and Development (Remission of Lease Variation Charge</w:t>
      </w:r>
      <w:r w:rsidR="00F82DDB" w:rsidRPr="00D440BF">
        <w:rPr>
          <w:i/>
        </w:rPr>
        <w:t>s</w:t>
      </w:r>
      <w:r w:rsidR="00F74F9E" w:rsidRPr="00D440BF">
        <w:rPr>
          <w:i/>
        </w:rPr>
        <w:t>—</w:t>
      </w:r>
      <w:r w:rsidR="00513078">
        <w:rPr>
          <w:i/>
        </w:rPr>
        <w:t>Construction Sector Recovery</w:t>
      </w:r>
      <w:r w:rsidR="00D954EA" w:rsidRPr="00D440BF">
        <w:rPr>
          <w:i/>
        </w:rPr>
        <w:t>) Determination 20</w:t>
      </w:r>
      <w:r w:rsidR="00513078">
        <w:rPr>
          <w:i/>
        </w:rPr>
        <w:t>20</w:t>
      </w:r>
      <w:r w:rsidRPr="00D440BF">
        <w:rPr>
          <w:bCs/>
          <w:iCs/>
        </w:rPr>
        <w:t>.</w:t>
      </w:r>
    </w:p>
    <w:p w14:paraId="4D047D11" w14:textId="77777777" w:rsidR="00CA682D" w:rsidRPr="00D440BF" w:rsidRDefault="00CA682D" w:rsidP="0051307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D440BF">
        <w:rPr>
          <w:rFonts w:ascii="Arial" w:hAnsi="Arial" w:cs="Arial"/>
          <w:b/>
          <w:bCs/>
        </w:rPr>
        <w:t>2</w:t>
      </w:r>
      <w:r w:rsidRPr="00D440BF">
        <w:rPr>
          <w:rFonts w:ascii="Arial" w:hAnsi="Arial" w:cs="Arial"/>
          <w:b/>
          <w:bCs/>
        </w:rPr>
        <w:tab/>
        <w:t xml:space="preserve">Commencement </w:t>
      </w:r>
    </w:p>
    <w:p w14:paraId="403EE3EC" w14:textId="77777777" w:rsidR="00CA682D" w:rsidRDefault="00CA682D" w:rsidP="00513078">
      <w:pPr>
        <w:spacing w:before="80" w:after="60"/>
        <w:ind w:left="720"/>
      </w:pPr>
      <w:r w:rsidRPr="00771A47">
        <w:t xml:space="preserve">This instrument </w:t>
      </w:r>
      <w:r w:rsidR="004D4067" w:rsidRPr="00771A47">
        <w:t xml:space="preserve">is taken to have commenced on </w:t>
      </w:r>
      <w:r w:rsidR="00654CA6" w:rsidRPr="00771A47">
        <w:t>25 June</w:t>
      </w:r>
      <w:r w:rsidR="00513078" w:rsidRPr="00771A47">
        <w:t xml:space="preserve"> 2020</w:t>
      </w:r>
      <w:r w:rsidRPr="00771A47">
        <w:t>.</w:t>
      </w:r>
      <w:r w:rsidRPr="00D440BF">
        <w:t xml:space="preserve"> </w:t>
      </w:r>
    </w:p>
    <w:p w14:paraId="47BA9A0B" w14:textId="77777777" w:rsidR="00E54F4D" w:rsidRPr="00D440BF" w:rsidRDefault="00E54F4D" w:rsidP="00E54F4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D440BF">
        <w:rPr>
          <w:rFonts w:ascii="Arial" w:hAnsi="Arial" w:cs="Arial"/>
          <w:b/>
          <w:bCs/>
        </w:rPr>
        <w:t>3</w:t>
      </w:r>
      <w:r w:rsidRPr="00D440B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</w:t>
      </w:r>
      <w:r w:rsidR="00A63AD1">
        <w:rPr>
          <w:rFonts w:ascii="Arial" w:hAnsi="Arial" w:cs="Arial"/>
          <w:b/>
          <w:bCs/>
        </w:rPr>
        <w:t>s</w:t>
      </w:r>
    </w:p>
    <w:p w14:paraId="5CB47282" w14:textId="77777777" w:rsidR="00E54F4D" w:rsidRDefault="00A63AD1" w:rsidP="00A63AD1">
      <w:pPr>
        <w:spacing w:before="240" w:after="60"/>
        <w:ind w:left="720"/>
      </w:pPr>
      <w:r>
        <w:t>In t</w:t>
      </w:r>
      <w:r w:rsidRPr="00D440BF">
        <w:t>his instrument</w:t>
      </w:r>
      <w:r>
        <w:t>:</w:t>
      </w:r>
    </w:p>
    <w:p w14:paraId="1199CF41" w14:textId="77777777" w:rsidR="00484E74" w:rsidRDefault="00484E74" w:rsidP="00484E74">
      <w:pPr>
        <w:spacing w:before="140"/>
        <w:ind w:left="720"/>
      </w:pPr>
      <w:r w:rsidRPr="001554AB">
        <w:rPr>
          <w:b/>
          <w:i/>
        </w:rPr>
        <w:t>Act</w:t>
      </w:r>
      <w:r w:rsidRPr="001554AB">
        <w:t xml:space="preserve"> means the </w:t>
      </w:r>
      <w:r>
        <w:rPr>
          <w:i/>
        </w:rPr>
        <w:t>Planning and Development Act 2007</w:t>
      </w:r>
      <w:r w:rsidRPr="001554AB">
        <w:t xml:space="preserve">. </w:t>
      </w:r>
    </w:p>
    <w:p w14:paraId="54B0A4EA" w14:textId="77777777" w:rsidR="003549CC" w:rsidRPr="00EA2B05" w:rsidRDefault="003549CC" w:rsidP="003549CC">
      <w:pPr>
        <w:spacing w:before="140"/>
        <w:ind w:left="720"/>
        <w:rPr>
          <w:bCs/>
          <w:iCs/>
        </w:rPr>
      </w:pPr>
      <w:r>
        <w:rPr>
          <w:b/>
          <w:i/>
        </w:rPr>
        <w:t>approved</w:t>
      </w:r>
      <w:r>
        <w:rPr>
          <w:bCs/>
          <w:iCs/>
        </w:rPr>
        <w:t>—in relation to a development application, means approved under the Act, chapter 7.</w:t>
      </w:r>
    </w:p>
    <w:p w14:paraId="17B3769C" w14:textId="77777777" w:rsidR="000F268E" w:rsidRPr="0028676B" w:rsidRDefault="000F268E" w:rsidP="0028676B">
      <w:pPr>
        <w:spacing w:before="140"/>
        <w:ind w:left="720"/>
        <w:rPr>
          <w:bCs/>
          <w:iCs/>
        </w:rPr>
      </w:pPr>
      <w:r w:rsidRPr="0028676B">
        <w:rPr>
          <w:b/>
          <w:i/>
        </w:rPr>
        <w:t>chargeable variation</w:t>
      </w:r>
      <w:r w:rsidR="006D36D0" w:rsidRPr="00D65251">
        <w:rPr>
          <w:b/>
          <w:i/>
        </w:rPr>
        <w:t xml:space="preserve"> </w:t>
      </w:r>
      <w:r w:rsidR="006D36D0" w:rsidRPr="00D65251">
        <w:rPr>
          <w:bCs/>
          <w:iCs/>
        </w:rPr>
        <w:t>means s 276E chargeable variation and s 277 chargeable variation.</w:t>
      </w:r>
    </w:p>
    <w:p w14:paraId="5AD9EABA" w14:textId="77777777" w:rsidR="00A61AF8" w:rsidRPr="0028676B" w:rsidRDefault="00A61AF8" w:rsidP="00A61AF8">
      <w:pPr>
        <w:spacing w:before="140"/>
        <w:ind w:left="720"/>
        <w:rPr>
          <w:b/>
          <w:i/>
        </w:rPr>
      </w:pPr>
      <w:r w:rsidRPr="0028676B">
        <w:rPr>
          <w:b/>
          <w:i/>
        </w:rPr>
        <w:t>commence</w:t>
      </w:r>
      <w:bookmarkStart w:id="2" w:name="_Hlk44592637"/>
      <w:r>
        <w:rPr>
          <w:bCs/>
          <w:iCs/>
        </w:rPr>
        <w:t>—</w:t>
      </w:r>
      <w:bookmarkEnd w:id="2"/>
      <w:r>
        <w:rPr>
          <w:bCs/>
          <w:iCs/>
        </w:rPr>
        <w:t xml:space="preserve">in relation to </w:t>
      </w:r>
      <w:r w:rsidRPr="0028676B">
        <w:rPr>
          <w:bCs/>
          <w:iCs/>
        </w:rPr>
        <w:t>construction of a</w:t>
      </w:r>
      <w:r>
        <w:rPr>
          <w:bCs/>
          <w:iCs/>
        </w:rPr>
        <w:t xml:space="preserve"> development</w:t>
      </w:r>
      <w:r w:rsidRPr="0028676B">
        <w:rPr>
          <w:bCs/>
          <w:iCs/>
        </w:rPr>
        <w:t>:</w:t>
      </w:r>
    </w:p>
    <w:p w14:paraId="750EDA47" w14:textId="77777777" w:rsidR="00A61AF8" w:rsidRPr="0028676B" w:rsidRDefault="00A61AF8" w:rsidP="00A61AF8">
      <w:pPr>
        <w:numPr>
          <w:ilvl w:val="0"/>
          <w:numId w:val="11"/>
        </w:numPr>
        <w:spacing w:before="140"/>
        <w:rPr>
          <w:bCs/>
          <w:iCs/>
        </w:rPr>
      </w:pPr>
      <w:r>
        <w:rPr>
          <w:bCs/>
          <w:iCs/>
        </w:rPr>
        <w:t xml:space="preserve">means substantial </w:t>
      </w:r>
      <w:r>
        <w:t>earthworks, excavations, demolition and physical building work</w:t>
      </w:r>
      <w:r w:rsidRPr="0028676B">
        <w:rPr>
          <w:bCs/>
          <w:iCs/>
        </w:rPr>
        <w:t>; and</w:t>
      </w:r>
    </w:p>
    <w:p w14:paraId="55D8C788" w14:textId="77777777" w:rsidR="00A61AF8" w:rsidRPr="0028676B" w:rsidRDefault="00A61AF8" w:rsidP="00A61AF8">
      <w:pPr>
        <w:numPr>
          <w:ilvl w:val="0"/>
          <w:numId w:val="11"/>
        </w:numPr>
        <w:spacing w:before="140"/>
        <w:rPr>
          <w:bCs/>
          <w:iCs/>
        </w:rPr>
      </w:pPr>
      <w:r w:rsidRPr="0028676B">
        <w:rPr>
          <w:bCs/>
          <w:iCs/>
        </w:rPr>
        <w:t>does not include</w:t>
      </w:r>
      <w:r>
        <w:rPr>
          <w:bCs/>
          <w:iCs/>
        </w:rPr>
        <w:t xml:space="preserve"> </w:t>
      </w:r>
      <w:r w:rsidRPr="0028676B">
        <w:rPr>
          <w:bCs/>
          <w:iCs/>
        </w:rPr>
        <w:t>preparatory works.</w:t>
      </w:r>
    </w:p>
    <w:p w14:paraId="786BA26A" w14:textId="77777777" w:rsidR="003549CC" w:rsidRPr="00E83622" w:rsidRDefault="003549CC" w:rsidP="003549CC">
      <w:pPr>
        <w:spacing w:before="140"/>
        <w:ind w:left="720"/>
        <w:rPr>
          <w:bCs/>
          <w:iCs/>
        </w:rPr>
      </w:pPr>
      <w:r w:rsidRPr="009405AF">
        <w:rPr>
          <w:b/>
          <w:i/>
        </w:rPr>
        <w:t>development</w:t>
      </w:r>
      <w:r w:rsidRPr="009405AF">
        <w:rPr>
          <w:bCs/>
          <w:iCs/>
        </w:rPr>
        <w:t>—see the Act, dictionary</w:t>
      </w:r>
    </w:p>
    <w:p w14:paraId="5442BFEE" w14:textId="77777777" w:rsidR="00D225D7" w:rsidRDefault="00D225D7" w:rsidP="00A63AD1">
      <w:pPr>
        <w:spacing w:before="140"/>
        <w:ind w:left="720"/>
        <w:rPr>
          <w:b/>
          <w:i/>
        </w:rPr>
      </w:pPr>
      <w:r>
        <w:rPr>
          <w:b/>
          <w:i/>
        </w:rPr>
        <w:t>development application</w:t>
      </w:r>
      <w:r w:rsidRPr="008071CE">
        <w:t>—see the</w:t>
      </w:r>
      <w:r w:rsidR="00484E74">
        <w:t xml:space="preserve"> Act</w:t>
      </w:r>
      <w:r w:rsidRPr="008071CE">
        <w:t>,</w:t>
      </w:r>
      <w:r>
        <w:t xml:space="preserve"> dictionary</w:t>
      </w:r>
      <w:r w:rsidRPr="008071CE">
        <w:t>.</w:t>
      </w:r>
    </w:p>
    <w:p w14:paraId="1FC9FE61" w14:textId="77777777" w:rsidR="003549CC" w:rsidRPr="00D16689" w:rsidRDefault="003549CC" w:rsidP="003549CC">
      <w:pPr>
        <w:spacing w:before="140"/>
        <w:ind w:left="720"/>
        <w:rPr>
          <w:bCs/>
          <w:iCs/>
        </w:rPr>
      </w:pPr>
      <w:r w:rsidRPr="009405AF">
        <w:rPr>
          <w:b/>
          <w:i/>
        </w:rPr>
        <w:t>lease</w:t>
      </w:r>
      <w:r w:rsidRPr="009405AF">
        <w:rPr>
          <w:bCs/>
          <w:iCs/>
        </w:rPr>
        <w:t>—see the Act, dictionary.</w:t>
      </w:r>
    </w:p>
    <w:p w14:paraId="23309ED0" w14:textId="77777777" w:rsidR="007F6812" w:rsidRPr="003F149D" w:rsidRDefault="00F920E8" w:rsidP="007F6812">
      <w:pPr>
        <w:spacing w:before="140"/>
        <w:ind w:left="720"/>
      </w:pPr>
      <w:r>
        <w:rPr>
          <w:b/>
          <w:i/>
        </w:rPr>
        <w:t>lease variation charge</w:t>
      </w:r>
      <w:r w:rsidRPr="008071CE">
        <w:t xml:space="preserve">—see the </w:t>
      </w:r>
      <w:r w:rsidR="00484E74">
        <w:t>Act</w:t>
      </w:r>
      <w:r w:rsidRPr="008071CE">
        <w:t>,</w:t>
      </w:r>
      <w:r>
        <w:t xml:space="preserve"> dictionary</w:t>
      </w:r>
      <w:r w:rsidRPr="008071CE">
        <w:t>.</w:t>
      </w:r>
    </w:p>
    <w:p w14:paraId="1B4967A8" w14:textId="77777777" w:rsidR="007F6812" w:rsidRPr="00B02394" w:rsidRDefault="007F6812" w:rsidP="003F149D">
      <w:pPr>
        <w:pStyle w:val="IMain"/>
        <w:tabs>
          <w:tab w:val="clear" w:pos="900"/>
          <w:tab w:val="clear" w:pos="1100"/>
        </w:tabs>
        <w:ind w:left="1276" w:hanging="567"/>
        <w:jc w:val="left"/>
        <w:rPr>
          <w:rFonts w:ascii="Arial" w:hAnsi="Arial" w:cs="Arial"/>
          <w:b/>
          <w:bCs/>
        </w:rPr>
      </w:pPr>
      <w:r w:rsidRPr="003F149D">
        <w:rPr>
          <w:i/>
          <w:iCs/>
          <w:sz w:val="20"/>
        </w:rPr>
        <w:t>Note</w:t>
      </w:r>
      <w:r w:rsidRPr="003F149D">
        <w:rPr>
          <w:i/>
          <w:iCs/>
          <w:sz w:val="20"/>
        </w:rPr>
        <w:tab/>
      </w:r>
      <w:r w:rsidRPr="003F149D">
        <w:rPr>
          <w:sz w:val="20"/>
        </w:rPr>
        <w:t>The lease variation charge is the amount as calculated under the Act before any other remission or concession.</w:t>
      </w:r>
      <w:r w:rsidRPr="0028676B">
        <w:rPr>
          <w:sz w:val="20"/>
        </w:rPr>
        <w:t xml:space="preserve"> </w:t>
      </w:r>
    </w:p>
    <w:p w14:paraId="6A1A668E" w14:textId="77777777" w:rsidR="00D77C31" w:rsidRPr="00264ACD" w:rsidRDefault="00D77C31" w:rsidP="00264ACD">
      <w:pPr>
        <w:spacing w:before="140"/>
        <w:ind w:left="720"/>
        <w:rPr>
          <w:b/>
          <w:i/>
        </w:rPr>
      </w:pPr>
      <w:r>
        <w:rPr>
          <w:b/>
          <w:i/>
        </w:rPr>
        <w:t>nominal rent lease</w:t>
      </w:r>
      <w:r w:rsidRPr="008071CE">
        <w:t xml:space="preserve">—see the </w:t>
      </w:r>
      <w:r w:rsidR="00484E74">
        <w:t>Act</w:t>
      </w:r>
      <w:r w:rsidRPr="008071CE">
        <w:t>,</w:t>
      </w:r>
      <w:r>
        <w:t xml:space="preserve"> dictionary</w:t>
      </w:r>
      <w:r w:rsidRPr="008071CE">
        <w:t>.</w:t>
      </w:r>
    </w:p>
    <w:p w14:paraId="11DD3D37" w14:textId="77777777" w:rsidR="006D36D0" w:rsidRDefault="006D36D0" w:rsidP="00115BAD">
      <w:pPr>
        <w:spacing w:before="140" w:after="60"/>
        <w:ind w:left="720"/>
      </w:pPr>
      <w:r>
        <w:rPr>
          <w:b/>
          <w:bCs/>
          <w:i/>
        </w:rPr>
        <w:t xml:space="preserve">s 276E </w:t>
      </w:r>
      <w:r w:rsidR="00515123" w:rsidRPr="00B23F1A">
        <w:rPr>
          <w:b/>
          <w:bCs/>
          <w:i/>
        </w:rPr>
        <w:t>chargeable variation</w:t>
      </w:r>
      <w:r w:rsidR="00515123" w:rsidRPr="00B23F1A">
        <w:t xml:space="preserve">—see the </w:t>
      </w:r>
      <w:r w:rsidR="00484E74" w:rsidRPr="00B23F1A">
        <w:t>Act</w:t>
      </w:r>
      <w:r w:rsidR="00515123" w:rsidRPr="00B23F1A">
        <w:t xml:space="preserve">, </w:t>
      </w:r>
      <w:r>
        <w:t>section 276</w:t>
      </w:r>
      <w:r w:rsidR="00515123" w:rsidRPr="00B23F1A">
        <w:t>.</w:t>
      </w:r>
    </w:p>
    <w:p w14:paraId="6F822279" w14:textId="77777777" w:rsidR="00972AC8" w:rsidRDefault="006D36D0" w:rsidP="006D7E68">
      <w:pPr>
        <w:spacing w:before="140" w:after="60"/>
        <w:ind w:left="720"/>
      </w:pPr>
      <w:r>
        <w:rPr>
          <w:b/>
          <w:bCs/>
          <w:i/>
        </w:rPr>
        <w:lastRenderedPageBreak/>
        <w:t xml:space="preserve">s 277 </w:t>
      </w:r>
      <w:r w:rsidRPr="00B23F1A">
        <w:rPr>
          <w:b/>
          <w:bCs/>
          <w:i/>
        </w:rPr>
        <w:t>chargeable variation</w:t>
      </w:r>
      <w:r w:rsidRPr="00B23F1A">
        <w:t xml:space="preserve">—see the Act, </w:t>
      </w:r>
      <w:r>
        <w:t>section 276</w:t>
      </w:r>
      <w:r w:rsidRPr="00B23F1A">
        <w:t>.</w:t>
      </w:r>
    </w:p>
    <w:p w14:paraId="6E715E56" w14:textId="77777777" w:rsidR="00CA682D" w:rsidRPr="00D440BF" w:rsidRDefault="00F70440" w:rsidP="005D2B2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A682D" w:rsidRPr="00D440BF">
        <w:rPr>
          <w:rFonts w:ascii="Arial" w:hAnsi="Arial" w:cs="Arial"/>
          <w:b/>
          <w:bCs/>
        </w:rPr>
        <w:tab/>
      </w:r>
      <w:r w:rsidR="0057173F">
        <w:rPr>
          <w:rFonts w:ascii="Arial" w:hAnsi="Arial" w:cs="Arial"/>
          <w:b/>
          <w:bCs/>
        </w:rPr>
        <w:t>Determination of circumstances</w:t>
      </w:r>
      <w:r w:rsidR="00115BAD" w:rsidRPr="00115BAD">
        <w:rPr>
          <w:rFonts w:ascii="Arial" w:hAnsi="Arial" w:cs="Arial"/>
          <w:b/>
          <w:bCs/>
        </w:rPr>
        <w:t>—</w:t>
      </w:r>
      <w:r w:rsidR="00A86F5E" w:rsidRPr="00D440BF">
        <w:rPr>
          <w:rFonts w:ascii="Arial" w:hAnsi="Arial" w:cs="Arial"/>
          <w:b/>
          <w:bCs/>
        </w:rPr>
        <w:t>s 278</w:t>
      </w:r>
      <w:r w:rsidR="001404F9" w:rsidRPr="00D440BF">
        <w:rPr>
          <w:rFonts w:ascii="Arial" w:hAnsi="Arial" w:cs="Arial"/>
          <w:b/>
          <w:bCs/>
        </w:rPr>
        <w:t xml:space="preserve"> (1</w:t>
      </w:r>
      <w:r w:rsidR="00A86F5E" w:rsidRPr="00D440BF">
        <w:rPr>
          <w:rFonts w:ascii="Arial" w:hAnsi="Arial" w:cs="Arial"/>
          <w:b/>
          <w:bCs/>
        </w:rPr>
        <w:t>)</w:t>
      </w:r>
    </w:p>
    <w:p w14:paraId="0E3CF61E" w14:textId="77777777" w:rsidR="00CA682D" w:rsidRPr="00D440BF" w:rsidRDefault="00A86F5E" w:rsidP="00513078">
      <w:pPr>
        <w:spacing w:before="80" w:after="60"/>
        <w:ind w:left="720"/>
      </w:pPr>
      <w:r w:rsidRPr="00D440BF">
        <w:t xml:space="preserve">I, the Minister for the </w:t>
      </w:r>
      <w:r w:rsidR="002E2601">
        <w:t>Planning and Land Management</w:t>
      </w:r>
      <w:r w:rsidRPr="00D440BF">
        <w:t>, determine</w:t>
      </w:r>
      <w:r w:rsidR="00055259" w:rsidRPr="00D440BF">
        <w:t xml:space="preserve"> the</w:t>
      </w:r>
      <w:r w:rsidRPr="00D440BF">
        <w:t xml:space="preserve"> following </w:t>
      </w:r>
      <w:r w:rsidR="009737CF" w:rsidRPr="00D440BF">
        <w:t>circumstances</w:t>
      </w:r>
      <w:r w:rsidR="00282199">
        <w:t xml:space="preserve"> in which an amount of a lease variation charge for a chargeable variation of a nominal rent lease must be remitted</w:t>
      </w:r>
      <w:r w:rsidR="009737CF" w:rsidRPr="00D440BF">
        <w:t>:</w:t>
      </w:r>
    </w:p>
    <w:p w14:paraId="53BA8D87" w14:textId="77777777" w:rsidR="003809C2" w:rsidRPr="00D440BF" w:rsidRDefault="003809C2" w:rsidP="003809C2">
      <w:pPr>
        <w:spacing w:before="80" w:after="60"/>
        <w:ind w:left="1418" w:hanging="709"/>
      </w:pPr>
      <w:r w:rsidRPr="00D440BF">
        <w:t>(a)</w:t>
      </w:r>
      <w:r w:rsidRPr="00D440BF">
        <w:tab/>
        <w:t xml:space="preserve">a development application for the variation </w:t>
      </w:r>
      <w:r w:rsidR="00654CA6">
        <w:t>has been</w:t>
      </w:r>
      <w:r w:rsidR="00654CA6" w:rsidRPr="00D440BF">
        <w:t xml:space="preserve"> </w:t>
      </w:r>
      <w:r w:rsidRPr="00D440BF">
        <w:t>approved;</w:t>
      </w:r>
      <w:r w:rsidR="00D970CA">
        <w:t xml:space="preserve"> and</w:t>
      </w:r>
    </w:p>
    <w:p w14:paraId="36D44976" w14:textId="77777777" w:rsidR="003809C2" w:rsidRDefault="003809C2" w:rsidP="003809C2">
      <w:pPr>
        <w:spacing w:before="80" w:after="60"/>
        <w:ind w:left="1418" w:hanging="709"/>
      </w:pPr>
      <w:r w:rsidRPr="00D440BF">
        <w:t>(b)</w:t>
      </w:r>
      <w:r w:rsidRPr="00D440BF">
        <w:tab/>
        <w:t xml:space="preserve">the </w:t>
      </w:r>
      <w:r w:rsidR="00D35565">
        <w:t xml:space="preserve">development </w:t>
      </w:r>
      <w:r w:rsidRPr="00D440BF">
        <w:t xml:space="preserve">approval </w:t>
      </w:r>
      <w:r w:rsidR="00D35565">
        <w:t>in</w:t>
      </w:r>
      <w:r>
        <w:t xml:space="preserve"> </w:t>
      </w:r>
      <w:r w:rsidR="00F70440">
        <w:t>sub</w:t>
      </w:r>
      <w:r w:rsidRPr="00730DF3">
        <w:t xml:space="preserve">section </w:t>
      </w:r>
      <w:r w:rsidR="00F70440">
        <w:t xml:space="preserve">4 </w:t>
      </w:r>
      <w:r>
        <w:t xml:space="preserve">(a) </w:t>
      </w:r>
      <w:r w:rsidRPr="00D440BF">
        <w:t>relates to the development of a building on the land under the lease</w:t>
      </w:r>
      <w:r>
        <w:t xml:space="preserve">; </w:t>
      </w:r>
      <w:r w:rsidR="00D970CA">
        <w:t>and</w:t>
      </w:r>
    </w:p>
    <w:p w14:paraId="09131068" w14:textId="77777777" w:rsidR="00BD34ED" w:rsidRDefault="00D970CA" w:rsidP="00BD34ED">
      <w:pPr>
        <w:spacing w:before="80" w:after="60"/>
        <w:ind w:left="1418" w:hanging="709"/>
      </w:pPr>
      <w:r w:rsidRPr="006D7E68">
        <w:t>(</w:t>
      </w:r>
      <w:r w:rsidR="007F6812">
        <w:t>c</w:t>
      </w:r>
      <w:r w:rsidRPr="006D7E68">
        <w:t>)</w:t>
      </w:r>
      <w:r w:rsidRPr="006D7E68">
        <w:tab/>
      </w:r>
      <w:r w:rsidR="00BD34ED">
        <w:t xml:space="preserve">the lease variation charge to be remitted is only in respect of that </w:t>
      </w:r>
      <w:bookmarkStart w:id="3" w:name="_Hlk45617841"/>
      <w:r w:rsidR="00BD34ED" w:rsidRPr="00E63167">
        <w:t xml:space="preserve">part of a lease variation charge </w:t>
      </w:r>
      <w:r w:rsidR="00BD34ED">
        <w:t xml:space="preserve">that is </w:t>
      </w:r>
      <w:r w:rsidR="00BD34ED" w:rsidRPr="00E63167">
        <w:t>less than or equal to $500,000</w:t>
      </w:r>
      <w:bookmarkEnd w:id="3"/>
      <w:r w:rsidR="00BD34ED">
        <w:t>; and</w:t>
      </w:r>
    </w:p>
    <w:p w14:paraId="3B6925C5" w14:textId="77777777" w:rsidR="00F70440" w:rsidRDefault="00BD34ED" w:rsidP="00F70440">
      <w:pPr>
        <w:spacing w:before="80" w:after="60"/>
        <w:ind w:left="1418" w:hanging="709"/>
      </w:pPr>
      <w:r>
        <w:t>(d)</w:t>
      </w:r>
      <w:r>
        <w:tab/>
      </w:r>
      <w:r w:rsidR="00F70440">
        <w:t>prior to 25 June 2020, the lease variation charge:</w:t>
      </w:r>
    </w:p>
    <w:p w14:paraId="4BDAD50D" w14:textId="77777777" w:rsidR="00F70440" w:rsidRDefault="00F70440" w:rsidP="00F70440">
      <w:pPr>
        <w:tabs>
          <w:tab w:val="left" w:pos="1843"/>
        </w:tabs>
        <w:spacing w:before="80" w:after="60"/>
        <w:ind w:left="1418"/>
      </w:pPr>
      <w:r>
        <w:t>(i)</w:t>
      </w:r>
      <w:r>
        <w:tab/>
        <w:t>had not been paid; or</w:t>
      </w:r>
    </w:p>
    <w:p w14:paraId="252C2F70" w14:textId="77777777" w:rsidR="00F70440" w:rsidRDefault="00F70440" w:rsidP="00F70440">
      <w:pPr>
        <w:tabs>
          <w:tab w:val="left" w:pos="1843"/>
        </w:tabs>
        <w:spacing w:before="80" w:after="60"/>
        <w:ind w:left="1843" w:hanging="425"/>
      </w:pPr>
      <w:r>
        <w:t>(ii)</w:t>
      </w:r>
      <w:r>
        <w:tab/>
        <w:t>was not already subject to</w:t>
      </w:r>
      <w:r w:rsidRPr="005A77F9">
        <w:t xml:space="preserve"> </w:t>
      </w:r>
      <w:r>
        <w:t>a deferral arrangement under s</w:t>
      </w:r>
      <w:r w:rsidRPr="00D970CA">
        <w:t>ubdivision 9.6.3.3</w:t>
      </w:r>
      <w:r>
        <w:t xml:space="preserve"> of the Act; and</w:t>
      </w:r>
    </w:p>
    <w:p w14:paraId="2B249BC1" w14:textId="77777777" w:rsidR="003809C2" w:rsidRDefault="00F70440" w:rsidP="003809C2">
      <w:pPr>
        <w:spacing w:before="80" w:after="60"/>
        <w:ind w:left="1418" w:hanging="709"/>
      </w:pPr>
      <w:r>
        <w:t>(</w:t>
      </w:r>
      <w:r w:rsidR="00BD34ED">
        <w:t>e</w:t>
      </w:r>
      <w:r>
        <w:t>)</w:t>
      </w:r>
      <w:r>
        <w:tab/>
      </w:r>
      <w:r w:rsidR="003809C2" w:rsidRPr="006D7E68">
        <w:t xml:space="preserve">an application </w:t>
      </w:r>
      <w:r w:rsidR="0028290C" w:rsidRPr="006D7E68">
        <w:t>under section 279A</w:t>
      </w:r>
      <w:r w:rsidR="008A4862" w:rsidRPr="006D7E68">
        <w:t>A</w:t>
      </w:r>
      <w:r w:rsidR="0028290C" w:rsidRPr="006D7E68">
        <w:t xml:space="preserve"> of the Act </w:t>
      </w:r>
      <w:r w:rsidR="003809C2" w:rsidRPr="006D7E68">
        <w:t>to defer payment of the lease variation charge is</w:t>
      </w:r>
      <w:r w:rsidR="003809C2">
        <w:t xml:space="preserve"> </w:t>
      </w:r>
      <w:r w:rsidR="00C60E91">
        <w:t xml:space="preserve">lodged </w:t>
      </w:r>
      <w:r w:rsidR="003809C2">
        <w:t xml:space="preserve">on or before </w:t>
      </w:r>
      <w:r w:rsidR="00264ACD">
        <w:t>23 </w:t>
      </w:r>
      <w:r w:rsidR="003809C2">
        <w:t>December 2020</w:t>
      </w:r>
      <w:r w:rsidR="00C60E91">
        <w:t xml:space="preserve"> and subsequently approved</w:t>
      </w:r>
      <w:r>
        <w:t xml:space="preserve"> under section 279AB of the Act</w:t>
      </w:r>
      <w:r w:rsidR="003809C2">
        <w:t>; and</w:t>
      </w:r>
    </w:p>
    <w:p w14:paraId="3677FA34" w14:textId="77777777" w:rsidR="00065423" w:rsidRDefault="003809C2" w:rsidP="009657E5">
      <w:pPr>
        <w:spacing w:before="80" w:after="60"/>
        <w:ind w:left="1418" w:hanging="709"/>
      </w:pPr>
      <w:r>
        <w:t>(</w:t>
      </w:r>
      <w:r w:rsidR="00BD34ED">
        <w:t>f</w:t>
      </w:r>
      <w:r>
        <w:t>)</w:t>
      </w:r>
      <w:r>
        <w:tab/>
        <w:t>construction</w:t>
      </w:r>
      <w:r w:rsidR="00D35565">
        <w:t xml:space="preserve"> under the development approval</w:t>
      </w:r>
      <w:r w:rsidR="00F70440" w:rsidRPr="00F70440">
        <w:t xml:space="preserve"> </w:t>
      </w:r>
      <w:r w:rsidR="00F70440">
        <w:t>has not commenced prior to 25 June 2020 but commences on or before 31 March 2021</w:t>
      </w:r>
      <w:r>
        <w:t>.</w:t>
      </w:r>
    </w:p>
    <w:p w14:paraId="33C6747C" w14:textId="77777777" w:rsidR="00CA682D" w:rsidRPr="00D440BF" w:rsidRDefault="00BD34ED" w:rsidP="0051307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828C8">
        <w:rPr>
          <w:rFonts w:ascii="Arial" w:hAnsi="Arial" w:cs="Arial"/>
          <w:b/>
          <w:bCs/>
        </w:rPr>
        <w:tab/>
      </w:r>
      <w:r w:rsidR="00AB1B8C">
        <w:rPr>
          <w:rFonts w:ascii="Arial" w:hAnsi="Arial" w:cs="Arial"/>
          <w:b/>
          <w:bCs/>
        </w:rPr>
        <w:t>Determination of the amount to be remitted</w:t>
      </w:r>
      <w:r w:rsidR="009C3DD5" w:rsidRPr="00D440BF">
        <w:rPr>
          <w:rFonts w:ascii="Arial" w:hAnsi="Arial" w:cs="Arial"/>
          <w:b/>
          <w:bCs/>
        </w:rPr>
        <w:t>—s 278 (2)</w:t>
      </w:r>
    </w:p>
    <w:p w14:paraId="5F6F797C" w14:textId="77777777" w:rsidR="00096B5B" w:rsidRPr="00D440BF" w:rsidRDefault="00096B5B" w:rsidP="00264ACD">
      <w:pPr>
        <w:pStyle w:val="IMain"/>
        <w:tabs>
          <w:tab w:val="clear" w:pos="1100"/>
        </w:tabs>
        <w:ind w:left="1418" w:hanging="709"/>
        <w:jc w:val="left"/>
      </w:pPr>
      <w:r w:rsidRPr="00D440BF">
        <w:t>(1)</w:t>
      </w:r>
      <w:r w:rsidRPr="00D440BF">
        <w:tab/>
        <w:t>This section applies to a chargeable variation of a nominal r</w:t>
      </w:r>
      <w:r w:rsidR="009B5F3E" w:rsidRPr="00D440BF">
        <w:t>ent lease to which the circumstance</w:t>
      </w:r>
      <w:r w:rsidR="00490DDA" w:rsidRPr="00D440BF">
        <w:t>s</w:t>
      </w:r>
      <w:r w:rsidR="009B5F3E" w:rsidRPr="00D440BF">
        <w:t xml:space="preserve"> m</w:t>
      </w:r>
      <w:r w:rsidR="004531C2" w:rsidRPr="00D440BF">
        <w:t xml:space="preserve">entioned in section </w:t>
      </w:r>
      <w:r w:rsidR="004531C2" w:rsidRPr="0025405F">
        <w:t>4</w:t>
      </w:r>
      <w:r w:rsidR="003C00A7">
        <w:t xml:space="preserve"> applies</w:t>
      </w:r>
      <w:r w:rsidR="009B5F3E" w:rsidRPr="00D440BF">
        <w:t>.</w:t>
      </w:r>
    </w:p>
    <w:p w14:paraId="52946BFA" w14:textId="77777777" w:rsidR="007F6812" w:rsidRPr="003F149D" w:rsidRDefault="00096B5B" w:rsidP="005D2B2B">
      <w:pPr>
        <w:pStyle w:val="IMain"/>
        <w:tabs>
          <w:tab w:val="clear" w:pos="1100"/>
        </w:tabs>
        <w:ind w:left="1418" w:hanging="709"/>
        <w:jc w:val="left"/>
      </w:pPr>
      <w:r w:rsidRPr="003F149D">
        <w:t>(2)</w:t>
      </w:r>
      <w:r w:rsidRPr="003F149D">
        <w:tab/>
        <w:t xml:space="preserve">I, the Treasurer, determine the amount of the lease variation charge for the chargeable variation to be remitted </w:t>
      </w:r>
      <w:r w:rsidR="00BD34ED">
        <w:t xml:space="preserve">is </w:t>
      </w:r>
      <w:r w:rsidR="007F6812" w:rsidRPr="003F149D">
        <w:t>50% of the lease variation charge.</w:t>
      </w:r>
    </w:p>
    <w:p w14:paraId="22FF3F2C" w14:textId="77777777" w:rsidR="00BD34ED" w:rsidRPr="005D2B2B" w:rsidRDefault="007F6812" w:rsidP="005D2B2B">
      <w:pPr>
        <w:pStyle w:val="IMain"/>
        <w:tabs>
          <w:tab w:val="clear" w:pos="900"/>
          <w:tab w:val="clear" w:pos="1100"/>
        </w:tabs>
        <w:ind w:left="2160" w:hanging="747"/>
        <w:jc w:val="left"/>
        <w:rPr>
          <w:sz w:val="20"/>
        </w:rPr>
      </w:pPr>
      <w:r w:rsidRPr="003F149D">
        <w:rPr>
          <w:i/>
          <w:iCs/>
          <w:sz w:val="20"/>
        </w:rPr>
        <w:t>Note</w:t>
      </w:r>
      <w:r w:rsidRPr="003F149D">
        <w:rPr>
          <w:i/>
          <w:iCs/>
          <w:sz w:val="20"/>
        </w:rPr>
        <w:tab/>
      </w:r>
      <w:r w:rsidRPr="003F149D">
        <w:rPr>
          <w:sz w:val="20"/>
        </w:rPr>
        <w:t>The maximum amount of remission for a lease variation charge is $250,000</w:t>
      </w:r>
      <w:r w:rsidR="003C00A7">
        <w:rPr>
          <w:sz w:val="20"/>
        </w:rPr>
        <w:t xml:space="preserve"> by virtue of </w:t>
      </w:r>
      <w:r w:rsidR="005D2B2B">
        <w:rPr>
          <w:sz w:val="20"/>
        </w:rPr>
        <w:t>sub</w:t>
      </w:r>
      <w:r w:rsidR="003C00A7">
        <w:rPr>
          <w:sz w:val="20"/>
        </w:rPr>
        <w:t>section 4</w:t>
      </w:r>
      <w:r w:rsidR="005D2B2B">
        <w:rPr>
          <w:sz w:val="20"/>
        </w:rPr>
        <w:t xml:space="preserve"> </w:t>
      </w:r>
      <w:r w:rsidR="003C00A7">
        <w:rPr>
          <w:sz w:val="20"/>
        </w:rPr>
        <w:t>(c)</w:t>
      </w:r>
      <w:r w:rsidRPr="003F149D">
        <w:rPr>
          <w:sz w:val="20"/>
        </w:rPr>
        <w:t>.</w:t>
      </w:r>
      <w:r w:rsidRPr="0028676B">
        <w:rPr>
          <w:sz w:val="20"/>
        </w:rPr>
        <w:t xml:space="preserve"> </w:t>
      </w:r>
    </w:p>
    <w:p w14:paraId="35273D4C" w14:textId="77777777" w:rsidR="00A14126" w:rsidRPr="00D440BF" w:rsidRDefault="00BD34ED" w:rsidP="00A14126">
      <w:pPr>
        <w:spacing w:before="24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A14126" w:rsidRPr="00D440BF">
        <w:rPr>
          <w:rFonts w:ascii="Arial" w:hAnsi="Arial" w:cs="Arial"/>
          <w:b/>
          <w:bCs/>
        </w:rPr>
        <w:tab/>
        <w:t>Expiry</w:t>
      </w:r>
    </w:p>
    <w:p w14:paraId="3D675CEF" w14:textId="77777777" w:rsidR="00CA682D" w:rsidRPr="00D440BF" w:rsidRDefault="002D7600" w:rsidP="00A14126">
      <w:pPr>
        <w:spacing w:before="80" w:after="60"/>
        <w:ind w:left="720"/>
      </w:pPr>
      <w:r w:rsidRPr="00D440BF">
        <w:t xml:space="preserve">This instrument expires </w:t>
      </w:r>
      <w:r w:rsidR="00C5029A" w:rsidRPr="00D440BF">
        <w:t xml:space="preserve">on </w:t>
      </w:r>
      <w:r w:rsidR="00115BAD" w:rsidRPr="00654CA6">
        <w:t xml:space="preserve">31 </w:t>
      </w:r>
      <w:r w:rsidR="000D177D">
        <w:t>March</w:t>
      </w:r>
      <w:r w:rsidR="000D177D" w:rsidRPr="00654CA6">
        <w:t xml:space="preserve"> </w:t>
      </w:r>
      <w:r w:rsidR="0025405F" w:rsidRPr="00654CA6">
        <w:t>2021</w:t>
      </w:r>
      <w:r w:rsidR="00A14126" w:rsidRPr="00D440BF">
        <w:t>.</w:t>
      </w:r>
    </w:p>
    <w:p w14:paraId="41650BE0" w14:textId="77777777" w:rsidR="00D970CA" w:rsidRDefault="00D970CA">
      <w:pPr>
        <w:tabs>
          <w:tab w:val="left" w:pos="4320"/>
        </w:tabs>
        <w:spacing w:before="480"/>
      </w:pPr>
    </w:p>
    <w:p w14:paraId="5C855C0D" w14:textId="77777777" w:rsidR="005D2B2B" w:rsidRDefault="005C4C50" w:rsidP="00730DF3">
      <w:pPr>
        <w:tabs>
          <w:tab w:val="left" w:pos="3828"/>
        </w:tabs>
        <w:spacing w:before="480"/>
      </w:pPr>
      <w:r w:rsidRPr="00D440BF">
        <w:t>Andrew Barr</w:t>
      </w:r>
      <w:r w:rsidR="00D970CA">
        <w:tab/>
      </w:r>
      <w:r w:rsidR="00D970CA" w:rsidRPr="002E2601">
        <w:t>Mick Gentleman</w:t>
      </w:r>
      <w:r w:rsidR="00D970CA">
        <w:tab/>
      </w:r>
      <w:r w:rsidRPr="00D440BF">
        <w:br/>
        <w:t>Treasurer</w:t>
      </w:r>
      <w:r w:rsidR="00D970CA">
        <w:tab/>
      </w:r>
      <w:r w:rsidR="00D970CA" w:rsidRPr="00D440BF">
        <w:t xml:space="preserve">Minister for </w:t>
      </w:r>
      <w:r w:rsidR="00D970CA">
        <w:t>Planning and Land Management</w:t>
      </w:r>
      <w:r w:rsidR="00513078">
        <w:br/>
      </w:r>
    </w:p>
    <w:p w14:paraId="03294A19" w14:textId="32979DF1" w:rsidR="004455DD" w:rsidRDefault="00532983" w:rsidP="005D2B2B">
      <w:pPr>
        <w:tabs>
          <w:tab w:val="left" w:pos="3828"/>
        </w:tabs>
        <w:spacing w:before="240"/>
      </w:pPr>
      <w:r>
        <w:t xml:space="preserve">23 </w:t>
      </w:r>
      <w:r w:rsidR="00776BFF">
        <w:t xml:space="preserve">July </w:t>
      </w:r>
      <w:r w:rsidR="00513078">
        <w:t>2020</w:t>
      </w:r>
      <w:r w:rsidR="00D970CA">
        <w:tab/>
      </w:r>
      <w:r>
        <w:t>23</w:t>
      </w:r>
      <w:r w:rsidR="00563BC6">
        <w:t xml:space="preserve"> </w:t>
      </w:r>
      <w:r w:rsidR="00776BFF">
        <w:t xml:space="preserve">July </w:t>
      </w:r>
      <w:r w:rsidR="00D970CA">
        <w:t>2020</w:t>
      </w:r>
      <w:r w:rsidR="00CA682D" w:rsidRPr="00D440BF">
        <w:br/>
      </w:r>
      <w:bookmarkEnd w:id="0"/>
      <w:r w:rsidR="00513078">
        <w:t xml:space="preserve">   </w:t>
      </w:r>
    </w:p>
    <w:sectPr w:rsidR="004455DD" w:rsidSect="005D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36DB" w14:textId="77777777" w:rsidR="00F92E0B" w:rsidRDefault="00F92E0B">
      <w:r>
        <w:separator/>
      </w:r>
    </w:p>
  </w:endnote>
  <w:endnote w:type="continuationSeparator" w:id="0">
    <w:p w14:paraId="3BFC97A8" w14:textId="77777777" w:rsidR="00F92E0B" w:rsidRDefault="00F9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4517A" w14:textId="77777777" w:rsidR="0015203A" w:rsidRDefault="00152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892E" w14:textId="65B46B14" w:rsidR="0015203A" w:rsidRPr="0015203A" w:rsidRDefault="0015203A" w:rsidP="0015203A">
    <w:pPr>
      <w:pStyle w:val="Footer"/>
      <w:jc w:val="center"/>
      <w:rPr>
        <w:rFonts w:cs="Arial"/>
        <w:sz w:val="14"/>
      </w:rPr>
    </w:pPr>
    <w:r w:rsidRPr="001520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B2E3" w14:textId="77777777" w:rsidR="0015203A" w:rsidRDefault="00152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5FB8" w14:textId="77777777" w:rsidR="00F92E0B" w:rsidRDefault="00F92E0B">
      <w:r>
        <w:separator/>
      </w:r>
    </w:p>
  </w:footnote>
  <w:footnote w:type="continuationSeparator" w:id="0">
    <w:p w14:paraId="7C9D3CDC" w14:textId="77777777" w:rsidR="00F92E0B" w:rsidRDefault="00F9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B6E8" w14:textId="77777777" w:rsidR="0015203A" w:rsidRDefault="00152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33C4" w14:textId="77777777" w:rsidR="0015203A" w:rsidRDefault="00152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DFE1" w14:textId="77777777" w:rsidR="0015203A" w:rsidRDefault="00152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2711A0"/>
    <w:multiLevelType w:val="hybridMultilevel"/>
    <w:tmpl w:val="A94C415C"/>
    <w:lvl w:ilvl="0" w:tplc="C5C6E5E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73EF428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E0FCD4E6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5716E1"/>
    <w:multiLevelType w:val="hybridMultilevel"/>
    <w:tmpl w:val="A5F67EE4"/>
    <w:lvl w:ilvl="0" w:tplc="F6441A9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65B4A03"/>
    <w:multiLevelType w:val="hybridMultilevel"/>
    <w:tmpl w:val="10669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3143"/>
    <w:multiLevelType w:val="hybridMultilevel"/>
    <w:tmpl w:val="2CA8A85E"/>
    <w:lvl w:ilvl="0" w:tplc="E7867DA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BF30591"/>
    <w:multiLevelType w:val="multilevel"/>
    <w:tmpl w:val="8218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01C2E"/>
    <w:rsid w:val="00006150"/>
    <w:rsid w:val="00010125"/>
    <w:rsid w:val="00014FBC"/>
    <w:rsid w:val="000164B6"/>
    <w:rsid w:val="00021230"/>
    <w:rsid w:val="00021D91"/>
    <w:rsid w:val="00025053"/>
    <w:rsid w:val="000502A8"/>
    <w:rsid w:val="00052598"/>
    <w:rsid w:val="00052CC5"/>
    <w:rsid w:val="00052F97"/>
    <w:rsid w:val="00054D95"/>
    <w:rsid w:val="00055259"/>
    <w:rsid w:val="000611F4"/>
    <w:rsid w:val="00065423"/>
    <w:rsid w:val="00080D4A"/>
    <w:rsid w:val="000945F3"/>
    <w:rsid w:val="00094BCE"/>
    <w:rsid w:val="00095CE5"/>
    <w:rsid w:val="00096B5B"/>
    <w:rsid w:val="00097637"/>
    <w:rsid w:val="000A59DD"/>
    <w:rsid w:val="000A6D91"/>
    <w:rsid w:val="000B0D5D"/>
    <w:rsid w:val="000B4A63"/>
    <w:rsid w:val="000C032D"/>
    <w:rsid w:val="000C343C"/>
    <w:rsid w:val="000C4C78"/>
    <w:rsid w:val="000D0704"/>
    <w:rsid w:val="000D177D"/>
    <w:rsid w:val="000E0305"/>
    <w:rsid w:val="000E200C"/>
    <w:rsid w:val="000F268E"/>
    <w:rsid w:val="000F4D05"/>
    <w:rsid w:val="000F5C30"/>
    <w:rsid w:val="00115BAD"/>
    <w:rsid w:val="00121D1B"/>
    <w:rsid w:val="00125B58"/>
    <w:rsid w:val="001264BE"/>
    <w:rsid w:val="0013231D"/>
    <w:rsid w:val="001332EE"/>
    <w:rsid w:val="001353A7"/>
    <w:rsid w:val="001404F9"/>
    <w:rsid w:val="0014358E"/>
    <w:rsid w:val="00150022"/>
    <w:rsid w:val="001518B3"/>
    <w:rsid w:val="0015203A"/>
    <w:rsid w:val="001554AB"/>
    <w:rsid w:val="0016701F"/>
    <w:rsid w:val="001758A8"/>
    <w:rsid w:val="0018148D"/>
    <w:rsid w:val="00182B04"/>
    <w:rsid w:val="00183183"/>
    <w:rsid w:val="00193190"/>
    <w:rsid w:val="00194037"/>
    <w:rsid w:val="00195721"/>
    <w:rsid w:val="00195751"/>
    <w:rsid w:val="00195D38"/>
    <w:rsid w:val="001A1B64"/>
    <w:rsid w:val="001A387D"/>
    <w:rsid w:val="001A556E"/>
    <w:rsid w:val="001A5A3F"/>
    <w:rsid w:val="001B3758"/>
    <w:rsid w:val="001B4C5F"/>
    <w:rsid w:val="001C48D4"/>
    <w:rsid w:val="001C48F5"/>
    <w:rsid w:val="001D101B"/>
    <w:rsid w:val="001D24DC"/>
    <w:rsid w:val="001D4D92"/>
    <w:rsid w:val="001D65ED"/>
    <w:rsid w:val="001D6E86"/>
    <w:rsid w:val="001D71BE"/>
    <w:rsid w:val="001E1BB4"/>
    <w:rsid w:val="001E4E66"/>
    <w:rsid w:val="001E6F5A"/>
    <w:rsid w:val="001F29A9"/>
    <w:rsid w:val="001F2D4F"/>
    <w:rsid w:val="001F342A"/>
    <w:rsid w:val="001F641B"/>
    <w:rsid w:val="00201400"/>
    <w:rsid w:val="0020391A"/>
    <w:rsid w:val="00222816"/>
    <w:rsid w:val="00223123"/>
    <w:rsid w:val="00225F51"/>
    <w:rsid w:val="0023162B"/>
    <w:rsid w:val="00232332"/>
    <w:rsid w:val="00232A5E"/>
    <w:rsid w:val="00235C9A"/>
    <w:rsid w:val="00237338"/>
    <w:rsid w:val="0025405F"/>
    <w:rsid w:val="0025656C"/>
    <w:rsid w:val="00260DEB"/>
    <w:rsid w:val="00264ACD"/>
    <w:rsid w:val="0026601F"/>
    <w:rsid w:val="0027329D"/>
    <w:rsid w:val="002812E5"/>
    <w:rsid w:val="00282199"/>
    <w:rsid w:val="0028290C"/>
    <w:rsid w:val="00283E43"/>
    <w:rsid w:val="0028676B"/>
    <w:rsid w:val="002A1A47"/>
    <w:rsid w:val="002A6747"/>
    <w:rsid w:val="002B4C9D"/>
    <w:rsid w:val="002B5803"/>
    <w:rsid w:val="002C3B66"/>
    <w:rsid w:val="002D2D67"/>
    <w:rsid w:val="002D4146"/>
    <w:rsid w:val="002D4C51"/>
    <w:rsid w:val="002D5341"/>
    <w:rsid w:val="002D7600"/>
    <w:rsid w:val="002E2601"/>
    <w:rsid w:val="002F21DE"/>
    <w:rsid w:val="003038A1"/>
    <w:rsid w:val="003108E8"/>
    <w:rsid w:val="0031188F"/>
    <w:rsid w:val="00312EEF"/>
    <w:rsid w:val="003147E2"/>
    <w:rsid w:val="00315B67"/>
    <w:rsid w:val="00316A11"/>
    <w:rsid w:val="00316B3E"/>
    <w:rsid w:val="00321134"/>
    <w:rsid w:val="00322695"/>
    <w:rsid w:val="0032394F"/>
    <w:rsid w:val="00331CE0"/>
    <w:rsid w:val="0033227F"/>
    <w:rsid w:val="003365DC"/>
    <w:rsid w:val="00336E3E"/>
    <w:rsid w:val="00343301"/>
    <w:rsid w:val="00350A88"/>
    <w:rsid w:val="003549CC"/>
    <w:rsid w:val="00355B85"/>
    <w:rsid w:val="00356A19"/>
    <w:rsid w:val="0036126B"/>
    <w:rsid w:val="0036531C"/>
    <w:rsid w:val="00367BE1"/>
    <w:rsid w:val="0037106B"/>
    <w:rsid w:val="0037135A"/>
    <w:rsid w:val="00374DD7"/>
    <w:rsid w:val="003809C2"/>
    <w:rsid w:val="00385E92"/>
    <w:rsid w:val="00386BCD"/>
    <w:rsid w:val="003933B9"/>
    <w:rsid w:val="003A288F"/>
    <w:rsid w:val="003A4D69"/>
    <w:rsid w:val="003A6CBB"/>
    <w:rsid w:val="003A7D81"/>
    <w:rsid w:val="003B23B2"/>
    <w:rsid w:val="003B7D5B"/>
    <w:rsid w:val="003C00A7"/>
    <w:rsid w:val="003C44D6"/>
    <w:rsid w:val="003D7D31"/>
    <w:rsid w:val="003D7F93"/>
    <w:rsid w:val="003E0D85"/>
    <w:rsid w:val="003E3175"/>
    <w:rsid w:val="003E39F9"/>
    <w:rsid w:val="003E667E"/>
    <w:rsid w:val="003F149D"/>
    <w:rsid w:val="003F1876"/>
    <w:rsid w:val="003F1A61"/>
    <w:rsid w:val="003F4FC2"/>
    <w:rsid w:val="003F63D2"/>
    <w:rsid w:val="0040063E"/>
    <w:rsid w:val="00400FC5"/>
    <w:rsid w:val="00403CFD"/>
    <w:rsid w:val="0040674E"/>
    <w:rsid w:val="0043449C"/>
    <w:rsid w:val="00440136"/>
    <w:rsid w:val="0044179A"/>
    <w:rsid w:val="004455DD"/>
    <w:rsid w:val="00446A39"/>
    <w:rsid w:val="00447636"/>
    <w:rsid w:val="00447E9B"/>
    <w:rsid w:val="004501CD"/>
    <w:rsid w:val="004531C2"/>
    <w:rsid w:val="004577AE"/>
    <w:rsid w:val="00461B0B"/>
    <w:rsid w:val="00480267"/>
    <w:rsid w:val="004815C6"/>
    <w:rsid w:val="00482324"/>
    <w:rsid w:val="00484E74"/>
    <w:rsid w:val="00490DDA"/>
    <w:rsid w:val="004B4F72"/>
    <w:rsid w:val="004C1A43"/>
    <w:rsid w:val="004C2733"/>
    <w:rsid w:val="004C4AC8"/>
    <w:rsid w:val="004C71E7"/>
    <w:rsid w:val="004C77DE"/>
    <w:rsid w:val="004D2280"/>
    <w:rsid w:val="004D3DF8"/>
    <w:rsid w:val="004D4067"/>
    <w:rsid w:val="004D4BD5"/>
    <w:rsid w:val="004E3E53"/>
    <w:rsid w:val="004E60FB"/>
    <w:rsid w:val="004F2755"/>
    <w:rsid w:val="00504876"/>
    <w:rsid w:val="00506A68"/>
    <w:rsid w:val="00513078"/>
    <w:rsid w:val="00515123"/>
    <w:rsid w:val="005254C5"/>
    <w:rsid w:val="00526892"/>
    <w:rsid w:val="005319C8"/>
    <w:rsid w:val="00532983"/>
    <w:rsid w:val="0053770E"/>
    <w:rsid w:val="00546FCF"/>
    <w:rsid w:val="00550A7D"/>
    <w:rsid w:val="00550E01"/>
    <w:rsid w:val="0055103F"/>
    <w:rsid w:val="00563BC6"/>
    <w:rsid w:val="00564796"/>
    <w:rsid w:val="0056722C"/>
    <w:rsid w:val="0057173F"/>
    <w:rsid w:val="0057259C"/>
    <w:rsid w:val="00573A92"/>
    <w:rsid w:val="005742BE"/>
    <w:rsid w:val="0058439E"/>
    <w:rsid w:val="0059107E"/>
    <w:rsid w:val="005A0817"/>
    <w:rsid w:val="005A35FE"/>
    <w:rsid w:val="005A77F9"/>
    <w:rsid w:val="005B578B"/>
    <w:rsid w:val="005C4C50"/>
    <w:rsid w:val="005C6448"/>
    <w:rsid w:val="005C6A68"/>
    <w:rsid w:val="005D2B2B"/>
    <w:rsid w:val="005F544B"/>
    <w:rsid w:val="00601E42"/>
    <w:rsid w:val="00603BAA"/>
    <w:rsid w:val="00605285"/>
    <w:rsid w:val="00606803"/>
    <w:rsid w:val="00610180"/>
    <w:rsid w:val="00614F69"/>
    <w:rsid w:val="00623743"/>
    <w:rsid w:val="0063449A"/>
    <w:rsid w:val="00634DED"/>
    <w:rsid w:val="006424B2"/>
    <w:rsid w:val="006471E4"/>
    <w:rsid w:val="00654CA6"/>
    <w:rsid w:val="0066338B"/>
    <w:rsid w:val="00666FF3"/>
    <w:rsid w:val="00673705"/>
    <w:rsid w:val="006849B9"/>
    <w:rsid w:val="006870E2"/>
    <w:rsid w:val="006901A4"/>
    <w:rsid w:val="00693F6C"/>
    <w:rsid w:val="00694532"/>
    <w:rsid w:val="006A3A08"/>
    <w:rsid w:val="006B0BBE"/>
    <w:rsid w:val="006B3284"/>
    <w:rsid w:val="006C2AFB"/>
    <w:rsid w:val="006C33DD"/>
    <w:rsid w:val="006C7D3F"/>
    <w:rsid w:val="006D36D0"/>
    <w:rsid w:val="006D59A1"/>
    <w:rsid w:val="006D7147"/>
    <w:rsid w:val="006D7E68"/>
    <w:rsid w:val="006E085B"/>
    <w:rsid w:val="006E7F01"/>
    <w:rsid w:val="006F4ED2"/>
    <w:rsid w:val="007003D1"/>
    <w:rsid w:val="00712846"/>
    <w:rsid w:val="00713A7C"/>
    <w:rsid w:val="00721341"/>
    <w:rsid w:val="0072453A"/>
    <w:rsid w:val="00726B52"/>
    <w:rsid w:val="00730AE1"/>
    <w:rsid w:val="00730DF3"/>
    <w:rsid w:val="007349EA"/>
    <w:rsid w:val="00740767"/>
    <w:rsid w:val="00746AE4"/>
    <w:rsid w:val="00747D7F"/>
    <w:rsid w:val="007534BC"/>
    <w:rsid w:val="00753C42"/>
    <w:rsid w:val="00755453"/>
    <w:rsid w:val="00764239"/>
    <w:rsid w:val="007668A2"/>
    <w:rsid w:val="007669F6"/>
    <w:rsid w:val="00766B96"/>
    <w:rsid w:val="007706FF"/>
    <w:rsid w:val="00771A47"/>
    <w:rsid w:val="00773908"/>
    <w:rsid w:val="00773CBA"/>
    <w:rsid w:val="00776BFF"/>
    <w:rsid w:val="0078551C"/>
    <w:rsid w:val="00794EA1"/>
    <w:rsid w:val="007B13CD"/>
    <w:rsid w:val="007B5D2C"/>
    <w:rsid w:val="007B7962"/>
    <w:rsid w:val="007C10BF"/>
    <w:rsid w:val="007C372D"/>
    <w:rsid w:val="007C45BE"/>
    <w:rsid w:val="007C6FC5"/>
    <w:rsid w:val="007D0492"/>
    <w:rsid w:val="007D3520"/>
    <w:rsid w:val="007D66AC"/>
    <w:rsid w:val="007E3130"/>
    <w:rsid w:val="007E6C66"/>
    <w:rsid w:val="007F1183"/>
    <w:rsid w:val="007F6812"/>
    <w:rsid w:val="007F6E97"/>
    <w:rsid w:val="00802764"/>
    <w:rsid w:val="0080499C"/>
    <w:rsid w:val="00804E33"/>
    <w:rsid w:val="0080694B"/>
    <w:rsid w:val="008071CE"/>
    <w:rsid w:val="00822924"/>
    <w:rsid w:val="008348EB"/>
    <w:rsid w:val="00835F98"/>
    <w:rsid w:val="00841FFB"/>
    <w:rsid w:val="008450D6"/>
    <w:rsid w:val="008524E1"/>
    <w:rsid w:val="00854A4C"/>
    <w:rsid w:val="008552F3"/>
    <w:rsid w:val="00861566"/>
    <w:rsid w:val="00862E19"/>
    <w:rsid w:val="00863B64"/>
    <w:rsid w:val="00865F98"/>
    <w:rsid w:val="00871811"/>
    <w:rsid w:val="00872336"/>
    <w:rsid w:val="00873971"/>
    <w:rsid w:val="008770FD"/>
    <w:rsid w:val="00883CF0"/>
    <w:rsid w:val="00885C6B"/>
    <w:rsid w:val="00886EC5"/>
    <w:rsid w:val="00893360"/>
    <w:rsid w:val="008A4862"/>
    <w:rsid w:val="008B3E4B"/>
    <w:rsid w:val="008B4685"/>
    <w:rsid w:val="008B70F0"/>
    <w:rsid w:val="008C197E"/>
    <w:rsid w:val="008C311A"/>
    <w:rsid w:val="008C3316"/>
    <w:rsid w:val="008C4B73"/>
    <w:rsid w:val="008C7DE3"/>
    <w:rsid w:val="008D10F3"/>
    <w:rsid w:val="008D2DA9"/>
    <w:rsid w:val="008D78D5"/>
    <w:rsid w:val="008F0657"/>
    <w:rsid w:val="008F2B03"/>
    <w:rsid w:val="008F7055"/>
    <w:rsid w:val="00900EFF"/>
    <w:rsid w:val="0090422B"/>
    <w:rsid w:val="00907C2A"/>
    <w:rsid w:val="00913D03"/>
    <w:rsid w:val="009202B6"/>
    <w:rsid w:val="00920E0B"/>
    <w:rsid w:val="00922A3F"/>
    <w:rsid w:val="00924B4A"/>
    <w:rsid w:val="00924C48"/>
    <w:rsid w:val="00926927"/>
    <w:rsid w:val="00927752"/>
    <w:rsid w:val="00933174"/>
    <w:rsid w:val="0093459D"/>
    <w:rsid w:val="009361F1"/>
    <w:rsid w:val="0093751C"/>
    <w:rsid w:val="009405AF"/>
    <w:rsid w:val="0094179F"/>
    <w:rsid w:val="00943D77"/>
    <w:rsid w:val="00945075"/>
    <w:rsid w:val="009477C4"/>
    <w:rsid w:val="00951043"/>
    <w:rsid w:val="00960859"/>
    <w:rsid w:val="0096146E"/>
    <w:rsid w:val="009657E5"/>
    <w:rsid w:val="00967C1B"/>
    <w:rsid w:val="009729A4"/>
    <w:rsid w:val="00972AC8"/>
    <w:rsid w:val="009737CF"/>
    <w:rsid w:val="0097455C"/>
    <w:rsid w:val="00987175"/>
    <w:rsid w:val="00993EB7"/>
    <w:rsid w:val="00994FBC"/>
    <w:rsid w:val="009A1784"/>
    <w:rsid w:val="009A27CE"/>
    <w:rsid w:val="009A4082"/>
    <w:rsid w:val="009A496A"/>
    <w:rsid w:val="009B36CB"/>
    <w:rsid w:val="009B5955"/>
    <w:rsid w:val="009B5ACF"/>
    <w:rsid w:val="009B5F3E"/>
    <w:rsid w:val="009C3DD5"/>
    <w:rsid w:val="009C6FE8"/>
    <w:rsid w:val="009E2DD3"/>
    <w:rsid w:val="009E42C7"/>
    <w:rsid w:val="009E5FD6"/>
    <w:rsid w:val="009E768B"/>
    <w:rsid w:val="009F1E02"/>
    <w:rsid w:val="009F450C"/>
    <w:rsid w:val="009F5067"/>
    <w:rsid w:val="00A009C5"/>
    <w:rsid w:val="00A00CFE"/>
    <w:rsid w:val="00A0153B"/>
    <w:rsid w:val="00A04B6D"/>
    <w:rsid w:val="00A13BAD"/>
    <w:rsid w:val="00A14126"/>
    <w:rsid w:val="00A2206C"/>
    <w:rsid w:val="00A25D66"/>
    <w:rsid w:val="00A33B3D"/>
    <w:rsid w:val="00A340D2"/>
    <w:rsid w:val="00A41B5F"/>
    <w:rsid w:val="00A41F06"/>
    <w:rsid w:val="00A563DA"/>
    <w:rsid w:val="00A61AF8"/>
    <w:rsid w:val="00A631D1"/>
    <w:rsid w:val="00A63AD1"/>
    <w:rsid w:val="00A72E2F"/>
    <w:rsid w:val="00A80EFF"/>
    <w:rsid w:val="00A85D83"/>
    <w:rsid w:val="00A86F5E"/>
    <w:rsid w:val="00A964CA"/>
    <w:rsid w:val="00AA01C8"/>
    <w:rsid w:val="00AA0DE8"/>
    <w:rsid w:val="00AA1023"/>
    <w:rsid w:val="00AB05B1"/>
    <w:rsid w:val="00AB1B8C"/>
    <w:rsid w:val="00AB1E90"/>
    <w:rsid w:val="00AB21D0"/>
    <w:rsid w:val="00AB2428"/>
    <w:rsid w:val="00AB3284"/>
    <w:rsid w:val="00AB4981"/>
    <w:rsid w:val="00AB5B7F"/>
    <w:rsid w:val="00AB5D59"/>
    <w:rsid w:val="00AD01E9"/>
    <w:rsid w:val="00AD057E"/>
    <w:rsid w:val="00AD545E"/>
    <w:rsid w:val="00AF571E"/>
    <w:rsid w:val="00AF6B9B"/>
    <w:rsid w:val="00B01826"/>
    <w:rsid w:val="00B02394"/>
    <w:rsid w:val="00B06847"/>
    <w:rsid w:val="00B1643F"/>
    <w:rsid w:val="00B23BDB"/>
    <w:rsid w:val="00B23F1A"/>
    <w:rsid w:val="00B3351B"/>
    <w:rsid w:val="00B359C5"/>
    <w:rsid w:val="00B52947"/>
    <w:rsid w:val="00B529EE"/>
    <w:rsid w:val="00B618DF"/>
    <w:rsid w:val="00B64225"/>
    <w:rsid w:val="00B64384"/>
    <w:rsid w:val="00B71045"/>
    <w:rsid w:val="00B74A11"/>
    <w:rsid w:val="00B77F5A"/>
    <w:rsid w:val="00B8256E"/>
    <w:rsid w:val="00B94807"/>
    <w:rsid w:val="00BA00E9"/>
    <w:rsid w:val="00BA5D83"/>
    <w:rsid w:val="00BB28A3"/>
    <w:rsid w:val="00BC5145"/>
    <w:rsid w:val="00BD256D"/>
    <w:rsid w:val="00BD34ED"/>
    <w:rsid w:val="00BE133E"/>
    <w:rsid w:val="00BE1BF5"/>
    <w:rsid w:val="00BE1D7B"/>
    <w:rsid w:val="00BE2548"/>
    <w:rsid w:val="00BE30A1"/>
    <w:rsid w:val="00BF5F8E"/>
    <w:rsid w:val="00BF6797"/>
    <w:rsid w:val="00C02AAD"/>
    <w:rsid w:val="00C0758C"/>
    <w:rsid w:val="00C11BA7"/>
    <w:rsid w:val="00C13571"/>
    <w:rsid w:val="00C143BE"/>
    <w:rsid w:val="00C14D8C"/>
    <w:rsid w:val="00C17F12"/>
    <w:rsid w:val="00C20778"/>
    <w:rsid w:val="00C23FF7"/>
    <w:rsid w:val="00C27877"/>
    <w:rsid w:val="00C3304C"/>
    <w:rsid w:val="00C45ED3"/>
    <w:rsid w:val="00C477FD"/>
    <w:rsid w:val="00C5029A"/>
    <w:rsid w:val="00C54422"/>
    <w:rsid w:val="00C54442"/>
    <w:rsid w:val="00C55F8B"/>
    <w:rsid w:val="00C57560"/>
    <w:rsid w:val="00C60E91"/>
    <w:rsid w:val="00C63AA3"/>
    <w:rsid w:val="00C75DBF"/>
    <w:rsid w:val="00C80F87"/>
    <w:rsid w:val="00C95A55"/>
    <w:rsid w:val="00CA1535"/>
    <w:rsid w:val="00CA273B"/>
    <w:rsid w:val="00CA2933"/>
    <w:rsid w:val="00CA51F4"/>
    <w:rsid w:val="00CA682D"/>
    <w:rsid w:val="00CD555D"/>
    <w:rsid w:val="00CE4347"/>
    <w:rsid w:val="00CF01A5"/>
    <w:rsid w:val="00D00DDE"/>
    <w:rsid w:val="00D01C0B"/>
    <w:rsid w:val="00D051E4"/>
    <w:rsid w:val="00D12024"/>
    <w:rsid w:val="00D16689"/>
    <w:rsid w:val="00D225D7"/>
    <w:rsid w:val="00D26177"/>
    <w:rsid w:val="00D30794"/>
    <w:rsid w:val="00D32952"/>
    <w:rsid w:val="00D339B3"/>
    <w:rsid w:val="00D35565"/>
    <w:rsid w:val="00D37519"/>
    <w:rsid w:val="00D41B2A"/>
    <w:rsid w:val="00D440BF"/>
    <w:rsid w:val="00D44B42"/>
    <w:rsid w:val="00D46A5F"/>
    <w:rsid w:val="00D52174"/>
    <w:rsid w:val="00D61447"/>
    <w:rsid w:val="00D621EE"/>
    <w:rsid w:val="00D65251"/>
    <w:rsid w:val="00D6791B"/>
    <w:rsid w:val="00D7070A"/>
    <w:rsid w:val="00D721E5"/>
    <w:rsid w:val="00D7479E"/>
    <w:rsid w:val="00D75061"/>
    <w:rsid w:val="00D75173"/>
    <w:rsid w:val="00D757E9"/>
    <w:rsid w:val="00D772F1"/>
    <w:rsid w:val="00D77C31"/>
    <w:rsid w:val="00D851F3"/>
    <w:rsid w:val="00D873CB"/>
    <w:rsid w:val="00D902A6"/>
    <w:rsid w:val="00D93A6D"/>
    <w:rsid w:val="00D954EA"/>
    <w:rsid w:val="00D970CA"/>
    <w:rsid w:val="00DB3320"/>
    <w:rsid w:val="00DC3836"/>
    <w:rsid w:val="00DC5094"/>
    <w:rsid w:val="00DD07A0"/>
    <w:rsid w:val="00DD1402"/>
    <w:rsid w:val="00DD53BE"/>
    <w:rsid w:val="00DE55E9"/>
    <w:rsid w:val="00DF4F17"/>
    <w:rsid w:val="00DF5C60"/>
    <w:rsid w:val="00E03E5B"/>
    <w:rsid w:val="00E1363C"/>
    <w:rsid w:val="00E15F88"/>
    <w:rsid w:val="00E20408"/>
    <w:rsid w:val="00E21173"/>
    <w:rsid w:val="00E21941"/>
    <w:rsid w:val="00E25181"/>
    <w:rsid w:val="00E25BD1"/>
    <w:rsid w:val="00E27DE4"/>
    <w:rsid w:val="00E3118C"/>
    <w:rsid w:val="00E356CE"/>
    <w:rsid w:val="00E40231"/>
    <w:rsid w:val="00E54F4D"/>
    <w:rsid w:val="00E55830"/>
    <w:rsid w:val="00E56469"/>
    <w:rsid w:val="00E56628"/>
    <w:rsid w:val="00E63167"/>
    <w:rsid w:val="00E828C8"/>
    <w:rsid w:val="00E83622"/>
    <w:rsid w:val="00E97C8A"/>
    <w:rsid w:val="00EA0702"/>
    <w:rsid w:val="00EA09C4"/>
    <w:rsid w:val="00EA2B05"/>
    <w:rsid w:val="00EB1DDC"/>
    <w:rsid w:val="00EB678F"/>
    <w:rsid w:val="00EC3510"/>
    <w:rsid w:val="00EC3604"/>
    <w:rsid w:val="00EC42ED"/>
    <w:rsid w:val="00EC55C0"/>
    <w:rsid w:val="00ED00A5"/>
    <w:rsid w:val="00ED31D2"/>
    <w:rsid w:val="00EE21F7"/>
    <w:rsid w:val="00EF60BD"/>
    <w:rsid w:val="00F01FC1"/>
    <w:rsid w:val="00F04745"/>
    <w:rsid w:val="00F10214"/>
    <w:rsid w:val="00F10A7A"/>
    <w:rsid w:val="00F11462"/>
    <w:rsid w:val="00F121B4"/>
    <w:rsid w:val="00F23BE0"/>
    <w:rsid w:val="00F265D0"/>
    <w:rsid w:val="00F27733"/>
    <w:rsid w:val="00F34B41"/>
    <w:rsid w:val="00F350D6"/>
    <w:rsid w:val="00F378D1"/>
    <w:rsid w:val="00F40937"/>
    <w:rsid w:val="00F42241"/>
    <w:rsid w:val="00F53BFD"/>
    <w:rsid w:val="00F6083B"/>
    <w:rsid w:val="00F70440"/>
    <w:rsid w:val="00F73FCA"/>
    <w:rsid w:val="00F74F9E"/>
    <w:rsid w:val="00F82333"/>
    <w:rsid w:val="00F82DDB"/>
    <w:rsid w:val="00F856DB"/>
    <w:rsid w:val="00F920E8"/>
    <w:rsid w:val="00F928DF"/>
    <w:rsid w:val="00F92E0B"/>
    <w:rsid w:val="00F93F02"/>
    <w:rsid w:val="00FA149E"/>
    <w:rsid w:val="00FA2F53"/>
    <w:rsid w:val="00FA7347"/>
    <w:rsid w:val="00FB184C"/>
    <w:rsid w:val="00FB4345"/>
    <w:rsid w:val="00FB67EE"/>
    <w:rsid w:val="00FC0C83"/>
    <w:rsid w:val="00FC7294"/>
    <w:rsid w:val="00FD2684"/>
    <w:rsid w:val="00FD4BB3"/>
    <w:rsid w:val="00FD52DF"/>
    <w:rsid w:val="00FE1DAA"/>
    <w:rsid w:val="00FE1EA4"/>
    <w:rsid w:val="00FE5BD9"/>
    <w:rsid w:val="00FF2AF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9C713"/>
  <w14:defaultImageDpi w14:val="0"/>
  <w15:docId w15:val="{31294B01-1749-4780-9AF6-65CF9540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link w:val="AparaChar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IMain">
    <w:name w:val="I Main"/>
    <w:basedOn w:val="Normal"/>
    <w:uiPriority w:val="99"/>
    <w:rsid w:val="00096B5B"/>
    <w:pPr>
      <w:tabs>
        <w:tab w:val="right" w:pos="900"/>
        <w:tab w:val="left" w:pos="1100"/>
      </w:tabs>
      <w:spacing w:before="80" w:after="60"/>
      <w:ind w:left="1100" w:hanging="1100"/>
      <w:jc w:val="both"/>
    </w:pPr>
  </w:style>
  <w:style w:type="character" w:customStyle="1" w:styleId="AparaChar">
    <w:name w:val="A para Char"/>
    <w:basedOn w:val="DefaultParagraphFont"/>
    <w:link w:val="Apara"/>
    <w:locked/>
    <w:rsid w:val="00EA0702"/>
    <w:rPr>
      <w:rFonts w:cs="Times New Roman"/>
      <w:sz w:val="24"/>
      <w:lang w:val="x-none" w:eastAsia="en-US"/>
    </w:rPr>
  </w:style>
  <w:style w:type="paragraph" w:customStyle="1" w:styleId="aExam">
    <w:name w:val="aExam"/>
    <w:basedOn w:val="Normal"/>
    <w:rsid w:val="001518B3"/>
    <w:pPr>
      <w:tabs>
        <w:tab w:val="left" w:pos="1100"/>
        <w:tab w:val="left" w:pos="2381"/>
      </w:tabs>
      <w:spacing w:before="60"/>
      <w:ind w:left="1100"/>
      <w:jc w:val="both"/>
    </w:pPr>
    <w:rPr>
      <w:sz w:val="20"/>
    </w:rPr>
  </w:style>
  <w:style w:type="paragraph" w:customStyle="1" w:styleId="aNote">
    <w:name w:val="aNote"/>
    <w:basedOn w:val="Normal"/>
    <w:link w:val="aNoteChar"/>
    <w:rsid w:val="001518B3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1518B3"/>
    <w:rPr>
      <w:rFonts w:cs="Times New Roman"/>
      <w:i/>
    </w:rPr>
  </w:style>
  <w:style w:type="paragraph" w:customStyle="1" w:styleId="aExamHdgss">
    <w:name w:val="aExamHdgss"/>
    <w:basedOn w:val="Normal"/>
    <w:next w:val="Normal"/>
    <w:rsid w:val="001518B3"/>
    <w:pPr>
      <w:keepNext/>
      <w:spacing w:before="140"/>
      <w:ind w:left="1100"/>
    </w:pPr>
    <w:rPr>
      <w:rFonts w:ascii="Arial" w:hAnsi="Arial"/>
      <w:b/>
      <w:sz w:val="18"/>
    </w:rPr>
  </w:style>
  <w:style w:type="character" w:customStyle="1" w:styleId="aNoteChar">
    <w:name w:val="aNote Char"/>
    <w:basedOn w:val="DefaultParagraphFont"/>
    <w:link w:val="aNote"/>
    <w:locked/>
    <w:rsid w:val="001518B3"/>
    <w:rPr>
      <w:rFonts w:cs="Times New Roman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518B3"/>
    <w:rPr>
      <w:rFonts w:cs="Times New Roman"/>
      <w:color w:val="0000FF"/>
      <w:u w:val="none"/>
    </w:rPr>
  </w:style>
  <w:style w:type="character" w:customStyle="1" w:styleId="charBoldItals">
    <w:name w:val="charBoldItals"/>
    <w:basedOn w:val="DefaultParagraphFont"/>
    <w:rsid w:val="003E0D85"/>
    <w:rPr>
      <w:rFonts w:cs="Times New Roman"/>
      <w:b/>
      <w:i/>
    </w:rPr>
  </w:style>
  <w:style w:type="paragraph" w:styleId="BalloonText">
    <w:name w:val="Balloon Text"/>
    <w:basedOn w:val="Normal"/>
    <w:link w:val="BalloonTextChar"/>
    <w:uiPriority w:val="99"/>
    <w:rsid w:val="0030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38A1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EF60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60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60BD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60BD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13231D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65423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8676B"/>
    <w:pPr>
      <w:ind w:left="720"/>
    </w:pPr>
    <w:rPr>
      <w:rFonts w:ascii="Calibr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52A3-1282-4556-97AB-41DD74C9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2611</Characters>
  <Application>Microsoft Office Word</Application>
  <DocSecurity>0</DocSecurity>
  <Lines>68</Lines>
  <Paragraphs>43</Paragraphs>
  <ScaleCrop>false</ScaleCrop>
  <Company>InTACT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2014-03-19T03:12:00Z</cp:lastPrinted>
  <dcterms:created xsi:type="dcterms:W3CDTF">2020-07-28T02:02:00Z</dcterms:created>
  <dcterms:modified xsi:type="dcterms:W3CDTF">2020-07-28T02:02:00Z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A9341426</vt:lpwstr>
  </property>
  <property fmtid="{D5CDD505-2E9C-101B-9397-08002B2CF9AE}" pid="3" name="Objective-Title">
    <vt:lpwstr>Attachment A - 20140325 - J2014-43-P&amp;D(RmssionLeaseVarChrgsBldgDvlpmt)Determination 2014 (No 1)-D11 (Final)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2014-02-12T14:00:00Z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2014-02-12T14:00:00Z</vt:filetime>
  </property>
  <property fmtid="{D5CDD505-2E9C-101B-9397-08002B2CF9AE}" pid="9" name="Objective-ModificationStamp">
    <vt:filetime>2014-02-12T14:00:00Z</vt:filetime>
  </property>
  <property fmtid="{D5CDD505-2E9C-101B-9397-08002B2CF9AE}" pid="10" name="Objective-Owner">
    <vt:lpwstr>Sherridan Marsh</vt:lpwstr>
  </property>
  <property fmtid="{D5CDD505-2E9C-101B-9397-08002B2CF9AE}" pid="11" name="Objective-Path">
    <vt:lpwstr>Whole of ACT Government:ESDD - Environment and Sustainable Development Directorate:07. Ministerial, Cabinet and Government Relations:06. Ministerials:2014 - Ministerial and Chief Ministerial Correspondence:Planning Delivery:PD - Ministerial Directorate Su</vt:lpwstr>
  </property>
  <property fmtid="{D5CDD505-2E9C-101B-9397-08002B2CF9AE}" pid="12" name="Objective-Parent">
    <vt:lpwstr>14/05930 - Ministerial-ACT Government Stimulus Package - DI for remissions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i4>1</vt:i4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1-2014/05930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