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9FD7"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05BDEC07" w14:textId="5B595F61" w:rsidR="00F10CB2" w:rsidRPr="00951497" w:rsidRDefault="001C737C">
      <w:pPr>
        <w:pStyle w:val="Billname"/>
        <w:spacing w:before="700"/>
      </w:pPr>
      <w:r>
        <w:t>Public Place Names</w:t>
      </w:r>
      <w:r w:rsidR="00F10CB2">
        <w:t xml:space="preserve"> (</w:t>
      </w:r>
      <w:r w:rsidR="00951497">
        <w:t>Beard</w:t>
      </w:r>
      <w:r w:rsidR="00F10CB2">
        <w:t xml:space="preserve">) </w:t>
      </w:r>
      <w:r>
        <w:t>Determination</w:t>
      </w:r>
      <w:r w:rsidR="00B30B9A">
        <w:t xml:space="preserve"> </w:t>
      </w:r>
      <w:r w:rsidR="00951497">
        <w:t>2021</w:t>
      </w:r>
    </w:p>
    <w:p w14:paraId="621471C0" w14:textId="7455CE6A" w:rsidR="00F10CB2" w:rsidRDefault="00F10CB2" w:rsidP="00D47F13">
      <w:pPr>
        <w:spacing w:before="340"/>
        <w:rPr>
          <w:rFonts w:ascii="Arial" w:hAnsi="Arial" w:cs="Arial"/>
          <w:b/>
          <w:bCs/>
        </w:rPr>
      </w:pPr>
      <w:r>
        <w:rPr>
          <w:rFonts w:ascii="Arial" w:hAnsi="Arial" w:cs="Arial"/>
          <w:b/>
          <w:bCs/>
        </w:rPr>
        <w:t>Disallowable instrument DI</w:t>
      </w:r>
      <w:r w:rsidR="00951497">
        <w:rPr>
          <w:rFonts w:ascii="Arial" w:hAnsi="Arial" w:cs="Arial"/>
          <w:b/>
          <w:bCs/>
        </w:rPr>
        <w:t>2021</w:t>
      </w:r>
      <w:r>
        <w:rPr>
          <w:rFonts w:ascii="Arial" w:hAnsi="Arial" w:cs="Arial"/>
          <w:b/>
          <w:bCs/>
        </w:rPr>
        <w:t>–</w:t>
      </w:r>
      <w:r w:rsidR="00B8246E">
        <w:rPr>
          <w:rFonts w:ascii="Arial" w:hAnsi="Arial" w:cs="Arial"/>
          <w:b/>
          <w:bCs/>
        </w:rPr>
        <w:t>43</w:t>
      </w:r>
    </w:p>
    <w:p w14:paraId="455CCF35" w14:textId="77777777" w:rsidR="00F10CB2" w:rsidRDefault="00F10CB2" w:rsidP="00CD4E55">
      <w:pPr>
        <w:pStyle w:val="madeunder"/>
        <w:spacing w:before="300" w:after="0"/>
      </w:pPr>
      <w:r>
        <w:t xml:space="preserve">made under the  </w:t>
      </w:r>
    </w:p>
    <w:p w14:paraId="1485F2C8" w14:textId="77777777" w:rsidR="00F10CB2" w:rsidRDefault="001C737C" w:rsidP="00CD4E55">
      <w:pPr>
        <w:pStyle w:val="CoverActName"/>
        <w:spacing w:before="320" w:after="0"/>
        <w:rPr>
          <w:rFonts w:cs="Arial"/>
          <w:sz w:val="20"/>
        </w:rPr>
      </w:pPr>
      <w:r>
        <w:rPr>
          <w:rFonts w:cs="Arial"/>
          <w:sz w:val="20"/>
        </w:rPr>
        <w:t>Public Place Names Act 1989</w:t>
      </w:r>
      <w:r w:rsidR="00F10CB2">
        <w:rPr>
          <w:rFonts w:cs="Arial"/>
          <w:sz w:val="20"/>
        </w:rPr>
        <w:t xml:space="preserve">, </w:t>
      </w:r>
      <w:r>
        <w:rPr>
          <w:rFonts w:cs="Arial"/>
          <w:sz w:val="20"/>
        </w:rPr>
        <w:t>s 3</w:t>
      </w:r>
      <w:r w:rsidR="00F10CB2">
        <w:rPr>
          <w:rFonts w:cs="Arial"/>
          <w:sz w:val="20"/>
        </w:rPr>
        <w:t xml:space="preserve"> (</w:t>
      </w:r>
      <w:r>
        <w:rPr>
          <w:rFonts w:cs="Arial"/>
          <w:sz w:val="20"/>
        </w:rPr>
        <w:t>Minister to determine names</w:t>
      </w:r>
      <w:r w:rsidR="00F10CB2">
        <w:rPr>
          <w:rFonts w:cs="Arial"/>
          <w:sz w:val="20"/>
        </w:rPr>
        <w:t>)</w:t>
      </w:r>
    </w:p>
    <w:p w14:paraId="71BFA3EB" w14:textId="77777777" w:rsidR="00F10CB2" w:rsidRDefault="00F10CB2" w:rsidP="00CD4E55">
      <w:pPr>
        <w:pStyle w:val="N-line3"/>
        <w:pBdr>
          <w:bottom w:val="none" w:sz="0" w:space="0" w:color="auto"/>
        </w:pBdr>
        <w:spacing w:before="60"/>
      </w:pPr>
    </w:p>
    <w:p w14:paraId="6000503A" w14:textId="77777777" w:rsidR="00F10CB2" w:rsidRDefault="00F10CB2">
      <w:pPr>
        <w:pStyle w:val="N-line3"/>
        <w:pBdr>
          <w:top w:val="single" w:sz="12" w:space="1" w:color="auto"/>
          <w:bottom w:val="none" w:sz="0" w:space="0" w:color="auto"/>
        </w:pBdr>
      </w:pPr>
    </w:p>
    <w:p w14:paraId="0712A39B"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711B1F50" w14:textId="0EACF644" w:rsidR="00F10CB2" w:rsidRPr="00793F48" w:rsidRDefault="00F10CB2" w:rsidP="00D47F13">
      <w:pPr>
        <w:spacing w:before="140"/>
        <w:ind w:left="720"/>
        <w:rPr>
          <w:i/>
          <w:iCs/>
        </w:rPr>
      </w:pPr>
      <w:r>
        <w:t>This instrument is the</w:t>
      </w:r>
      <w:r w:rsidR="00793F48">
        <w:t xml:space="preserve"> </w:t>
      </w:r>
      <w:r w:rsidR="00793F48" w:rsidRPr="00793F48">
        <w:rPr>
          <w:i/>
          <w:iCs/>
        </w:rPr>
        <w:t>Public Place Names (Beard) Determination 2021</w:t>
      </w:r>
      <w:r w:rsidRPr="00793F48">
        <w:rPr>
          <w:bCs/>
          <w:i/>
          <w:iCs/>
        </w:rPr>
        <w:t>.</w:t>
      </w:r>
    </w:p>
    <w:p w14:paraId="388D2E22"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B2FA1C0" w14:textId="29D60AAA" w:rsidR="00F10CB2" w:rsidRPr="00951497" w:rsidRDefault="00F10CB2" w:rsidP="00D47F13">
      <w:pPr>
        <w:spacing w:before="140"/>
        <w:ind w:left="720"/>
      </w:pPr>
      <w:r>
        <w:t xml:space="preserve">This instrument commences on </w:t>
      </w:r>
      <w:r w:rsidR="00492788">
        <w:t xml:space="preserve">the day after </w:t>
      </w:r>
      <w:r w:rsidR="000C501D" w:rsidRPr="00951497">
        <w:t xml:space="preserve">its </w:t>
      </w:r>
      <w:r w:rsidR="00492788" w:rsidRPr="00951497">
        <w:t>notification</w:t>
      </w:r>
      <w:r w:rsidR="000C501D" w:rsidRPr="00951497">
        <w:t xml:space="preserve"> day</w:t>
      </w:r>
      <w:r w:rsidRPr="00951497">
        <w:t xml:space="preserve">. </w:t>
      </w:r>
    </w:p>
    <w:p w14:paraId="1E4C3B64" w14:textId="2768F74E" w:rsidR="00951497" w:rsidRDefault="00F10CB2" w:rsidP="00951497">
      <w:pPr>
        <w:spacing w:before="300"/>
        <w:ind w:left="720" w:hanging="720"/>
        <w:rPr>
          <w:rFonts w:ascii="Arial" w:hAnsi="Arial" w:cs="Arial"/>
          <w:b/>
          <w:bCs/>
        </w:rPr>
      </w:pPr>
      <w:r w:rsidRPr="00951497">
        <w:rPr>
          <w:rFonts w:ascii="Arial" w:hAnsi="Arial" w:cs="Arial"/>
          <w:b/>
          <w:bCs/>
        </w:rPr>
        <w:t>3</w:t>
      </w:r>
      <w:r w:rsidRPr="00951497">
        <w:rPr>
          <w:rFonts w:ascii="Arial" w:hAnsi="Arial" w:cs="Arial"/>
          <w:b/>
          <w:bCs/>
        </w:rPr>
        <w:tab/>
      </w:r>
      <w:r w:rsidR="00951497" w:rsidRPr="00951497">
        <w:rPr>
          <w:rFonts w:ascii="Arial" w:hAnsi="Arial" w:cs="Arial"/>
          <w:b/>
          <w:bCs/>
        </w:rPr>
        <w:t>Revocation</w:t>
      </w:r>
    </w:p>
    <w:p w14:paraId="0A30C4A1" w14:textId="65FF1DBC" w:rsidR="00C127B0" w:rsidRPr="00C127B0" w:rsidRDefault="00951497" w:rsidP="00951497">
      <w:pPr>
        <w:spacing w:before="140"/>
        <w:ind w:left="720"/>
        <w:rPr>
          <w:bCs/>
          <w:noProof/>
          <w:szCs w:val="24"/>
          <w:lang w:eastAsia="en-AU"/>
        </w:rPr>
      </w:pPr>
      <w:r w:rsidRPr="0071268A">
        <w:rPr>
          <w:szCs w:val="24"/>
        </w:rPr>
        <w:t xml:space="preserve">This instrument </w:t>
      </w:r>
      <w:r>
        <w:rPr>
          <w:szCs w:val="24"/>
        </w:rPr>
        <w:t>revokes</w:t>
      </w:r>
      <w:r w:rsidRPr="0071268A">
        <w:rPr>
          <w:szCs w:val="24"/>
        </w:rPr>
        <w:t xml:space="preserve"> the determination </w:t>
      </w:r>
      <w:r>
        <w:rPr>
          <w:szCs w:val="24"/>
        </w:rPr>
        <w:t xml:space="preserve">of the public place name </w:t>
      </w:r>
      <w:r w:rsidR="00CE6AFD">
        <w:rPr>
          <w:szCs w:val="24"/>
        </w:rPr>
        <w:t>Copper</w:t>
      </w:r>
      <w:r w:rsidR="00CE6AFD">
        <w:t> </w:t>
      </w:r>
      <w:r>
        <w:rPr>
          <w:szCs w:val="24"/>
        </w:rPr>
        <w:t xml:space="preserve">Crescent, determined </w:t>
      </w:r>
      <w:r w:rsidRPr="0071268A">
        <w:rPr>
          <w:szCs w:val="24"/>
        </w:rPr>
        <w:t xml:space="preserve">in </w:t>
      </w:r>
      <w:r w:rsidR="00960DE4" w:rsidRPr="00960DE4">
        <w:rPr>
          <w:i/>
          <w:iCs/>
          <w:szCs w:val="24"/>
        </w:rPr>
        <w:t>Public Place Names (Beard) Determination 2010 (No 1)</w:t>
      </w:r>
      <w:r w:rsidR="00960DE4">
        <w:rPr>
          <w:szCs w:val="24"/>
        </w:rPr>
        <w:t xml:space="preserve"> (</w:t>
      </w:r>
      <w:r w:rsidR="00771C9E">
        <w:rPr>
          <w:szCs w:val="24"/>
        </w:rPr>
        <w:t>DI2010-45</w:t>
      </w:r>
      <w:r w:rsidR="00960DE4">
        <w:rPr>
          <w:szCs w:val="24"/>
        </w:rPr>
        <w:t>)</w:t>
      </w:r>
      <w:r w:rsidR="00793F48">
        <w:rPr>
          <w:noProof/>
          <w:szCs w:val="24"/>
          <w:lang w:eastAsia="en-AU"/>
        </w:rPr>
        <w:t>.</w:t>
      </w:r>
    </w:p>
    <w:p w14:paraId="01137DD4" w14:textId="3CDD9C41" w:rsidR="00951497" w:rsidRDefault="00951497" w:rsidP="00951497">
      <w:pPr>
        <w:spacing w:before="300"/>
        <w:ind w:left="720" w:hanging="720"/>
        <w:rPr>
          <w:rFonts w:ascii="Arial" w:hAnsi="Arial" w:cs="Arial"/>
          <w:b/>
          <w:bCs/>
        </w:rPr>
      </w:pPr>
      <w:r>
        <w:rPr>
          <w:rFonts w:ascii="Arial" w:hAnsi="Arial" w:cs="Arial"/>
          <w:b/>
          <w:bCs/>
        </w:rPr>
        <w:t>4</w:t>
      </w:r>
      <w:r>
        <w:rPr>
          <w:rFonts w:ascii="Arial" w:hAnsi="Arial" w:cs="Arial"/>
          <w:b/>
          <w:bCs/>
        </w:rPr>
        <w:tab/>
        <w:t>Determination of Place Name</w:t>
      </w:r>
    </w:p>
    <w:p w14:paraId="3F430D64" w14:textId="20B961B5" w:rsidR="00951497" w:rsidRPr="00883CFE" w:rsidRDefault="00951497" w:rsidP="006D0135">
      <w:pPr>
        <w:spacing w:before="140"/>
        <w:ind w:left="720"/>
      </w:pPr>
      <w:r>
        <w:t>I determine that the road previously named Copper Crescent is renamed in two parts</w:t>
      </w:r>
      <w:r w:rsidR="00116D47">
        <w:t>,</w:t>
      </w:r>
      <w:r>
        <w:t xml:space="preserve"> as </w:t>
      </w:r>
      <w:r w:rsidR="00116D47">
        <w:t xml:space="preserve">Copper Close and Tantalum Street, as </w:t>
      </w:r>
      <w:r>
        <w:t xml:space="preserve">indicated in the schedule and on the associated diagram. </w:t>
      </w:r>
    </w:p>
    <w:p w14:paraId="6A41DB1E" w14:textId="77777777" w:rsidR="00D47F13" w:rsidRDefault="00F236C5" w:rsidP="00232478">
      <w:pPr>
        <w:tabs>
          <w:tab w:val="left" w:pos="4320"/>
        </w:tabs>
        <w:spacing w:before="720"/>
      </w:pPr>
      <w:r>
        <w:t>Ben Ponton</w:t>
      </w:r>
    </w:p>
    <w:p w14:paraId="77F22C69" w14:textId="6B5FA9F7" w:rsidR="00F10CB2" w:rsidRDefault="001C737C" w:rsidP="00232478">
      <w:pPr>
        <w:tabs>
          <w:tab w:val="left" w:pos="4320"/>
        </w:tabs>
      </w:pPr>
      <w:r>
        <w:t>Delegate of the Minister</w:t>
      </w:r>
      <w:r w:rsidR="008F060D">
        <w:t xml:space="preserve"> for Planning and Land Management </w:t>
      </w:r>
      <w:bookmarkEnd w:id="0"/>
    </w:p>
    <w:p w14:paraId="209EB7C0" w14:textId="03514C8D" w:rsidR="001F1298" w:rsidRDefault="00B8246E" w:rsidP="00232478">
      <w:pPr>
        <w:tabs>
          <w:tab w:val="left" w:pos="4320"/>
        </w:tabs>
      </w:pPr>
      <w:r>
        <w:t>10 March 2021</w:t>
      </w:r>
    </w:p>
    <w:p w14:paraId="03FC011E" w14:textId="77777777" w:rsidR="001F1298" w:rsidRDefault="001F1298" w:rsidP="00232478">
      <w:pPr>
        <w:tabs>
          <w:tab w:val="left" w:pos="4320"/>
        </w:tabs>
      </w:pPr>
    </w:p>
    <w:p w14:paraId="75C3907F" w14:textId="77777777" w:rsidR="001F1298" w:rsidRDefault="001F1298" w:rsidP="00232478">
      <w:pPr>
        <w:tabs>
          <w:tab w:val="left" w:pos="4320"/>
        </w:tabs>
      </w:pPr>
    </w:p>
    <w:p w14:paraId="615F047F" w14:textId="77777777" w:rsidR="00AA02C9" w:rsidRDefault="00AA02C9" w:rsidP="00232478">
      <w:pPr>
        <w:tabs>
          <w:tab w:val="left" w:pos="4320"/>
        </w:tabs>
      </w:pPr>
    </w:p>
    <w:p w14:paraId="153C6CAF" w14:textId="77777777" w:rsidR="001056A5" w:rsidRDefault="001056A5">
      <w:pPr>
        <w:sectPr w:rsidR="001056A5" w:rsidSect="001056A5">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docGrid w:linePitch="326"/>
        </w:sectPr>
      </w:pPr>
    </w:p>
    <w:p w14:paraId="4A22224E" w14:textId="77777777" w:rsidR="003D7174" w:rsidRPr="00513572" w:rsidRDefault="002A039C" w:rsidP="002A039C">
      <w:pPr>
        <w:rPr>
          <w:b/>
          <w:bCs/>
          <w:szCs w:val="28"/>
        </w:rPr>
      </w:pPr>
      <w:r w:rsidRPr="00513572">
        <w:rPr>
          <w:b/>
          <w:bCs/>
          <w:szCs w:val="28"/>
        </w:rPr>
        <w:lastRenderedPageBreak/>
        <w:t>SCHEDULE</w:t>
      </w:r>
    </w:p>
    <w:p w14:paraId="1A8AF509" w14:textId="76352B0E" w:rsidR="008A3808" w:rsidRPr="00116D47" w:rsidRDefault="008A3808" w:rsidP="008A3808">
      <w:pPr>
        <w:pStyle w:val="Heading2"/>
        <w:pBdr>
          <w:bottom w:val="single" w:sz="12" w:space="24" w:color="auto"/>
        </w:pBdr>
        <w:jc w:val="left"/>
        <w:rPr>
          <w:rFonts w:ascii="Times New Roman" w:hAnsi="Times New Roman" w:cs="Times New Roman"/>
          <w:sz w:val="24"/>
          <w:szCs w:val="24"/>
        </w:rPr>
      </w:pPr>
      <w:r>
        <w:rPr>
          <w:rFonts w:ascii="Times New Roman" w:hAnsi="Times New Roman" w:cs="Times New Roman"/>
          <w:i w:val="0"/>
          <w:sz w:val="24"/>
          <w:szCs w:val="24"/>
        </w:rPr>
        <w:t xml:space="preserve">(See </w:t>
      </w:r>
      <w:r w:rsidR="00373830">
        <w:rPr>
          <w:rFonts w:ascii="Times New Roman" w:hAnsi="Times New Roman" w:cs="Times New Roman"/>
          <w:i w:val="0"/>
          <w:sz w:val="24"/>
          <w:szCs w:val="24"/>
        </w:rPr>
        <w:t xml:space="preserve">s </w:t>
      </w:r>
      <w:r w:rsidR="002F2ECC">
        <w:rPr>
          <w:rFonts w:ascii="Times New Roman" w:hAnsi="Times New Roman" w:cs="Times New Roman"/>
          <w:i w:val="0"/>
          <w:sz w:val="24"/>
          <w:szCs w:val="24"/>
        </w:rPr>
        <w:t>4</w:t>
      </w:r>
      <w:r>
        <w:rPr>
          <w:rFonts w:ascii="Times New Roman" w:hAnsi="Times New Roman" w:cs="Times New Roman"/>
          <w:i w:val="0"/>
          <w:sz w:val="24"/>
          <w:szCs w:val="24"/>
        </w:rPr>
        <w:t>)</w:t>
      </w:r>
      <w:r w:rsidR="00894148">
        <w:rPr>
          <w:rFonts w:ascii="Times New Roman" w:hAnsi="Times New Roman" w:cs="Times New Roman"/>
          <w:i w:val="0"/>
          <w:color w:val="FF0000"/>
          <w:sz w:val="24"/>
          <w:szCs w:val="24"/>
        </w:rPr>
        <w:t xml:space="preserve"> </w:t>
      </w:r>
    </w:p>
    <w:p w14:paraId="5FE726EB" w14:textId="77777777" w:rsidR="002A039C" w:rsidRDefault="002A039C" w:rsidP="002A039C"/>
    <w:p w14:paraId="41CCFE9B" w14:textId="77777777" w:rsidR="003D7174" w:rsidRPr="002A039C" w:rsidRDefault="003D7174" w:rsidP="002A039C"/>
    <w:p w14:paraId="70505619" w14:textId="6B82F4E9" w:rsidR="00B63A10" w:rsidRPr="00B63A10" w:rsidRDefault="00AA02C9" w:rsidP="00AA02C9">
      <w:pPr>
        <w:spacing w:before="120" w:after="120"/>
        <w:rPr>
          <w:b/>
          <w:bCs/>
          <w:noProof/>
          <w:szCs w:val="24"/>
        </w:rPr>
      </w:pPr>
      <w:r w:rsidRPr="00AA02C9">
        <w:rPr>
          <w:b/>
          <w:bCs/>
          <w:szCs w:val="24"/>
        </w:rPr>
        <w:t xml:space="preserve">Division of </w:t>
      </w:r>
      <w:r w:rsidR="00951497">
        <w:rPr>
          <w:b/>
          <w:bCs/>
          <w:noProof/>
          <w:szCs w:val="24"/>
        </w:rPr>
        <w:t>Beard</w:t>
      </w:r>
      <w:r w:rsidRPr="00AA02C9">
        <w:rPr>
          <w:b/>
          <w:bCs/>
          <w:noProof/>
          <w:szCs w:val="24"/>
        </w:rPr>
        <w:t xml:space="preserve"> – </w:t>
      </w:r>
      <w:r w:rsidR="00951497" w:rsidRPr="001D305C">
        <w:rPr>
          <w:b/>
          <w:bCs/>
          <w:i/>
          <w:iCs/>
        </w:rPr>
        <w:t>Australian geological resources</w:t>
      </w:r>
    </w:p>
    <w:p w14:paraId="5503FC76" w14:textId="77777777" w:rsidR="00B63A10" w:rsidRPr="00B63A10" w:rsidRDefault="00B63A10" w:rsidP="00AA02C9">
      <w:pPr>
        <w:spacing w:before="120" w:after="120"/>
        <w:rPr>
          <w:bCs/>
          <w:noProof/>
        </w:rPr>
      </w:pPr>
      <w:r w:rsidRPr="00B63A10">
        <w:rPr>
          <w:bCs/>
          <w:noProof/>
        </w:rPr>
        <w:t xml:space="preserve">The location of the public place </w:t>
      </w:r>
      <w:r w:rsidR="008B556F">
        <w:rPr>
          <w:bCs/>
          <w:noProof/>
        </w:rPr>
        <w:t>with the following name</w:t>
      </w:r>
      <w:r w:rsidRPr="00B63A10">
        <w:rPr>
          <w:bCs/>
          <w:noProof/>
        </w:rPr>
        <w:t xml:space="preserve"> is indicated on the associated </w:t>
      </w:r>
      <w:r w:rsidR="00B96911">
        <w:rPr>
          <w:bCs/>
          <w:noProof/>
        </w:rPr>
        <w:t>diagram</w:t>
      </w:r>
      <w:r w:rsidRPr="00B63A10">
        <w:rPr>
          <w:bCs/>
          <w:noProof/>
        </w:rPr>
        <w:t>.</w:t>
      </w:r>
    </w:p>
    <w:tbl>
      <w:tblPr>
        <w:tblW w:w="8897" w:type="dxa"/>
        <w:tblLayout w:type="fixed"/>
        <w:tblLook w:val="0000" w:firstRow="0" w:lastRow="0" w:firstColumn="0" w:lastColumn="0" w:noHBand="0" w:noVBand="0"/>
      </w:tblPr>
      <w:tblGrid>
        <w:gridCol w:w="2093"/>
        <w:gridCol w:w="2410"/>
        <w:gridCol w:w="4394"/>
      </w:tblGrid>
      <w:tr w:rsidR="00AA02C9" w14:paraId="0035353E" w14:textId="77777777" w:rsidTr="00CE3399">
        <w:trPr>
          <w:cantSplit/>
        </w:trPr>
        <w:tc>
          <w:tcPr>
            <w:tcW w:w="2093" w:type="dxa"/>
            <w:tcBorders>
              <w:top w:val="nil"/>
              <w:left w:val="nil"/>
              <w:bottom w:val="nil"/>
              <w:right w:val="nil"/>
            </w:tcBorders>
          </w:tcPr>
          <w:p w14:paraId="14F90C9E" w14:textId="77777777" w:rsidR="00AA02C9" w:rsidRPr="00CE3399" w:rsidRDefault="00AA02C9" w:rsidP="00951497">
            <w:pPr>
              <w:pStyle w:val="Heading2"/>
              <w:spacing w:before="120" w:after="120"/>
              <w:jc w:val="left"/>
              <w:rPr>
                <w:rFonts w:ascii="Times New Roman" w:hAnsi="Times New Roman" w:cs="Times New Roman"/>
                <w:b/>
                <w:i w:val="0"/>
                <w:sz w:val="24"/>
                <w:szCs w:val="24"/>
              </w:rPr>
            </w:pPr>
            <w:r w:rsidRPr="00CE3399">
              <w:rPr>
                <w:rFonts w:ascii="Times New Roman" w:hAnsi="Times New Roman" w:cs="Times New Roman"/>
                <w:b/>
                <w:i w:val="0"/>
                <w:sz w:val="24"/>
                <w:szCs w:val="24"/>
              </w:rPr>
              <w:t>NAME</w:t>
            </w:r>
          </w:p>
        </w:tc>
        <w:tc>
          <w:tcPr>
            <w:tcW w:w="2410" w:type="dxa"/>
            <w:tcBorders>
              <w:top w:val="nil"/>
              <w:left w:val="nil"/>
              <w:bottom w:val="nil"/>
              <w:right w:val="nil"/>
            </w:tcBorders>
          </w:tcPr>
          <w:p w14:paraId="3165C365" w14:textId="77777777" w:rsidR="00AA02C9" w:rsidRPr="002929A6" w:rsidRDefault="00AA02C9" w:rsidP="002A039C">
            <w:pPr>
              <w:spacing w:before="120" w:after="120"/>
              <w:rPr>
                <w:szCs w:val="24"/>
              </w:rPr>
            </w:pPr>
            <w:r w:rsidRPr="002929A6">
              <w:rPr>
                <w:b/>
                <w:bCs/>
                <w:szCs w:val="24"/>
              </w:rPr>
              <w:t>ORIGIN</w:t>
            </w:r>
          </w:p>
        </w:tc>
        <w:tc>
          <w:tcPr>
            <w:tcW w:w="4394" w:type="dxa"/>
            <w:tcBorders>
              <w:top w:val="nil"/>
              <w:left w:val="nil"/>
              <w:bottom w:val="nil"/>
              <w:right w:val="nil"/>
            </w:tcBorders>
          </w:tcPr>
          <w:p w14:paraId="2805C3CC" w14:textId="77777777" w:rsidR="00AA02C9" w:rsidRPr="002929A6" w:rsidRDefault="00AA02C9" w:rsidP="002A039C">
            <w:pPr>
              <w:pStyle w:val="CoverActName"/>
              <w:tabs>
                <w:tab w:val="clear" w:pos="2600"/>
              </w:tabs>
              <w:spacing w:before="120" w:after="120"/>
              <w:rPr>
                <w:rFonts w:ascii="Times New Roman" w:hAnsi="Times New Roman"/>
                <w:szCs w:val="24"/>
                <w:lang w:val="en-GB"/>
              </w:rPr>
            </w:pPr>
            <w:r w:rsidRPr="002929A6">
              <w:rPr>
                <w:rFonts w:ascii="Times New Roman" w:hAnsi="Times New Roman"/>
                <w:szCs w:val="24"/>
                <w:lang w:val="en-GB"/>
              </w:rPr>
              <w:t>SIGNIFICANCE</w:t>
            </w:r>
          </w:p>
        </w:tc>
      </w:tr>
      <w:tr w:rsidR="00CE3399" w14:paraId="1ECCF6C8" w14:textId="77777777" w:rsidTr="009A5D0A">
        <w:trPr>
          <w:cantSplit/>
        </w:trPr>
        <w:tc>
          <w:tcPr>
            <w:tcW w:w="2093" w:type="dxa"/>
            <w:tcBorders>
              <w:top w:val="nil"/>
              <w:left w:val="nil"/>
              <w:bottom w:val="nil"/>
              <w:right w:val="nil"/>
            </w:tcBorders>
          </w:tcPr>
          <w:p w14:paraId="14482D9E" w14:textId="79CC5E6C" w:rsidR="00CE3399" w:rsidRPr="00CE3399" w:rsidRDefault="00951497" w:rsidP="00951497">
            <w:pPr>
              <w:pStyle w:val="Heading2"/>
              <w:spacing w:before="120" w:after="120"/>
              <w:jc w:val="left"/>
              <w:rPr>
                <w:rFonts w:ascii="Times New Roman" w:hAnsi="Times New Roman" w:cs="Times New Roman"/>
                <w:b/>
                <w:i w:val="0"/>
                <w:sz w:val="24"/>
                <w:szCs w:val="24"/>
              </w:rPr>
            </w:pPr>
            <w:r>
              <w:rPr>
                <w:rFonts w:ascii="Times New Roman" w:hAnsi="Times New Roman" w:cs="Times New Roman"/>
                <w:b/>
                <w:i w:val="0"/>
                <w:sz w:val="24"/>
                <w:szCs w:val="24"/>
              </w:rPr>
              <w:t>Copper</w:t>
            </w:r>
            <w:r w:rsidR="00116D47">
              <w:rPr>
                <w:rFonts w:ascii="Times New Roman" w:hAnsi="Times New Roman" w:cs="Times New Roman"/>
                <w:b/>
                <w:i w:val="0"/>
                <w:sz w:val="24"/>
                <w:szCs w:val="24"/>
              </w:rPr>
              <w:t xml:space="preserve"> </w:t>
            </w:r>
            <w:r>
              <w:rPr>
                <w:rFonts w:ascii="Times New Roman" w:hAnsi="Times New Roman" w:cs="Times New Roman"/>
                <w:b/>
                <w:i w:val="0"/>
                <w:sz w:val="24"/>
                <w:szCs w:val="24"/>
              </w:rPr>
              <w:t>Close</w:t>
            </w:r>
          </w:p>
        </w:tc>
        <w:tc>
          <w:tcPr>
            <w:tcW w:w="2410" w:type="dxa"/>
            <w:tcBorders>
              <w:top w:val="nil"/>
              <w:left w:val="nil"/>
              <w:bottom w:val="nil"/>
              <w:right w:val="nil"/>
            </w:tcBorders>
          </w:tcPr>
          <w:p w14:paraId="010237D9" w14:textId="77777777" w:rsidR="00CE3399" w:rsidRPr="00951497" w:rsidRDefault="00951497" w:rsidP="002A039C">
            <w:pPr>
              <w:spacing w:before="120" w:after="120"/>
              <w:rPr>
                <w:szCs w:val="24"/>
              </w:rPr>
            </w:pPr>
            <w:r w:rsidRPr="00951497">
              <w:rPr>
                <w:szCs w:val="24"/>
              </w:rPr>
              <w:t xml:space="preserve">Copper </w:t>
            </w:r>
          </w:p>
          <w:p w14:paraId="300AD2AE" w14:textId="07AEF324" w:rsidR="00951497" w:rsidRPr="002929A6" w:rsidRDefault="000F425C" w:rsidP="002A039C">
            <w:pPr>
              <w:spacing w:before="120" w:after="120"/>
              <w:rPr>
                <w:b/>
                <w:bCs/>
                <w:szCs w:val="24"/>
              </w:rPr>
            </w:pPr>
            <w:r>
              <w:rPr>
                <w:szCs w:val="24"/>
              </w:rPr>
              <w:t>Chemical s</w:t>
            </w:r>
            <w:r w:rsidR="00951497" w:rsidRPr="00951497">
              <w:rPr>
                <w:szCs w:val="24"/>
              </w:rPr>
              <w:t xml:space="preserve">ymbol </w:t>
            </w:r>
            <w:r w:rsidR="00951497" w:rsidRPr="00951497">
              <w:rPr>
                <w:i/>
                <w:iCs/>
                <w:szCs w:val="24"/>
              </w:rPr>
              <w:t>Cu</w:t>
            </w:r>
          </w:p>
        </w:tc>
        <w:tc>
          <w:tcPr>
            <w:tcW w:w="4394" w:type="dxa"/>
            <w:tcBorders>
              <w:top w:val="nil"/>
              <w:left w:val="nil"/>
              <w:bottom w:val="nil"/>
              <w:right w:val="nil"/>
            </w:tcBorders>
          </w:tcPr>
          <w:p w14:paraId="30B94953" w14:textId="07F61405" w:rsidR="00951497" w:rsidRDefault="00383F96" w:rsidP="00951497">
            <w:pPr>
              <w:spacing w:before="120"/>
              <w:rPr>
                <w:szCs w:val="24"/>
              </w:rPr>
            </w:pPr>
            <w:r w:rsidRPr="00577C8C">
              <w:rPr>
                <w:color w:val="2F2F2F"/>
                <w:szCs w:val="24"/>
                <w:shd w:val="clear" w:color="auto" w:fill="FFFFFF"/>
              </w:rPr>
              <w:t>Metallic element</w:t>
            </w:r>
            <w:r w:rsidR="00951497" w:rsidRPr="00577C8C">
              <w:rPr>
                <w:szCs w:val="24"/>
              </w:rPr>
              <w:t xml:space="preserve">. </w:t>
            </w:r>
            <w:r w:rsidR="000F425C">
              <w:rPr>
                <w:szCs w:val="24"/>
              </w:rPr>
              <w:br w:type="textWrapping" w:clear="all"/>
            </w:r>
          </w:p>
          <w:p w14:paraId="2512009E" w14:textId="56F30018" w:rsidR="00C25038" w:rsidRDefault="00C25038" w:rsidP="00C25038">
            <w:pPr>
              <w:rPr>
                <w:sz w:val="22"/>
              </w:rPr>
            </w:pPr>
            <w:r>
              <w:rPr>
                <w:shd w:val="clear" w:color="auto" w:fill="FFFFFF"/>
              </w:rPr>
              <w:t>Australia is a major copper producer and exporter</w:t>
            </w:r>
            <w:r>
              <w:t xml:space="preserve">. Significant </w:t>
            </w:r>
            <w:r>
              <w:rPr>
                <w:shd w:val="clear" w:color="auto" w:fill="FFFFFF"/>
              </w:rPr>
              <w:t xml:space="preserve">mining and smelting operations </w:t>
            </w:r>
            <w:r>
              <w:t xml:space="preserve">include the copper, lead, zinc deposit at Mount Isa, Queensland and the Olympic Dam deposit in South Australia, </w:t>
            </w:r>
            <w:r>
              <w:rPr>
                <w:shd w:val="clear" w:color="auto" w:fill="FFFFFF"/>
              </w:rPr>
              <w:t>producing copper, gold, silver and uranium. </w:t>
            </w:r>
            <w:r>
              <w:t>Copper is an important and widely used metal due to its properties of high ductility and malleability, good thermal and electrical conductivity and resistance to corrosion. The natural resource can be mixed with other metals to form alloys such as bronze, brass and nickel silver.</w:t>
            </w:r>
          </w:p>
          <w:p w14:paraId="2A411B9C" w14:textId="4A2BC216" w:rsidR="00501918" w:rsidRPr="00951497" w:rsidRDefault="00C25038" w:rsidP="00C25038">
            <w:pPr>
              <w:rPr>
                <w:lang w:val="en-GB"/>
              </w:rPr>
            </w:pPr>
            <w:r>
              <w:t xml:space="preserve">In Australia, </w:t>
            </w:r>
            <w:r>
              <w:rPr>
                <w:rStyle w:val="Emphasis"/>
                <w:rFonts w:ascii="Calibri" w:hAnsi="Calibri" w:cs="Calibri"/>
                <w:i w:val="0"/>
                <w:iCs w:val="0"/>
                <w:szCs w:val="24"/>
                <w:shd w:val="clear" w:color="auto" w:fill="FFFFFF"/>
              </w:rPr>
              <w:t>the f</w:t>
            </w:r>
            <w:r>
              <w:rPr>
                <w:shd w:val="clear" w:color="auto" w:fill="FFFFFF"/>
              </w:rPr>
              <w:t xml:space="preserve">irst major discovery of copper was made in 1842 at Kapunda in South Australia. </w:t>
            </w:r>
            <w:r>
              <w:t>Mining commenced in 1844 with many Cornish miners immigrating to South Australia to work at the Kapunda Mine.</w:t>
            </w:r>
          </w:p>
        </w:tc>
      </w:tr>
      <w:tr w:rsidR="002F2ECC" w14:paraId="6C86E9C5" w14:textId="77777777" w:rsidTr="00B64C72">
        <w:trPr>
          <w:cantSplit/>
        </w:trPr>
        <w:tc>
          <w:tcPr>
            <w:tcW w:w="2093" w:type="dxa"/>
            <w:tcBorders>
              <w:top w:val="nil"/>
              <w:left w:val="nil"/>
              <w:bottom w:val="nil"/>
              <w:right w:val="nil"/>
            </w:tcBorders>
          </w:tcPr>
          <w:p w14:paraId="014C4113" w14:textId="77777777" w:rsidR="002F2ECC" w:rsidRDefault="002F2ECC" w:rsidP="00B64C72">
            <w:pPr>
              <w:pStyle w:val="Heading2"/>
              <w:spacing w:before="120" w:after="120"/>
              <w:jc w:val="left"/>
              <w:rPr>
                <w:rFonts w:ascii="Times New Roman" w:hAnsi="Times New Roman" w:cs="Times New Roman"/>
                <w:b/>
                <w:i w:val="0"/>
                <w:sz w:val="24"/>
                <w:szCs w:val="24"/>
              </w:rPr>
            </w:pPr>
            <w:r w:rsidRPr="007E7603">
              <w:rPr>
                <w:rFonts w:ascii="Times New Roman" w:hAnsi="Times New Roman" w:cs="Times New Roman"/>
                <w:b/>
                <w:i w:val="0"/>
                <w:sz w:val="24"/>
                <w:szCs w:val="24"/>
              </w:rPr>
              <w:t>Tantalum Street</w:t>
            </w:r>
          </w:p>
        </w:tc>
        <w:tc>
          <w:tcPr>
            <w:tcW w:w="2410" w:type="dxa"/>
            <w:tcBorders>
              <w:top w:val="nil"/>
              <w:left w:val="nil"/>
              <w:bottom w:val="nil"/>
              <w:right w:val="nil"/>
            </w:tcBorders>
          </w:tcPr>
          <w:p w14:paraId="65693477" w14:textId="77777777" w:rsidR="002F2ECC" w:rsidRDefault="002F2ECC" w:rsidP="00B64C72">
            <w:pPr>
              <w:spacing w:before="120" w:after="120"/>
              <w:rPr>
                <w:szCs w:val="24"/>
              </w:rPr>
            </w:pPr>
            <w:r>
              <w:rPr>
                <w:szCs w:val="24"/>
              </w:rPr>
              <w:t>Tantalum</w:t>
            </w:r>
          </w:p>
          <w:p w14:paraId="100EACC6" w14:textId="77777777" w:rsidR="002F2ECC" w:rsidRPr="00FE0C50" w:rsidRDefault="002F2ECC" w:rsidP="00B64C72">
            <w:pPr>
              <w:spacing w:before="120" w:after="120"/>
              <w:rPr>
                <w:szCs w:val="24"/>
              </w:rPr>
            </w:pPr>
            <w:r>
              <w:rPr>
                <w:szCs w:val="24"/>
              </w:rPr>
              <w:t xml:space="preserve">Chemical symbol </w:t>
            </w:r>
            <w:r>
              <w:rPr>
                <w:i/>
                <w:iCs/>
                <w:szCs w:val="24"/>
              </w:rPr>
              <w:t>Ta</w:t>
            </w:r>
          </w:p>
        </w:tc>
        <w:tc>
          <w:tcPr>
            <w:tcW w:w="4394" w:type="dxa"/>
            <w:tcBorders>
              <w:top w:val="nil"/>
              <w:left w:val="nil"/>
              <w:bottom w:val="nil"/>
              <w:right w:val="nil"/>
            </w:tcBorders>
          </w:tcPr>
          <w:p w14:paraId="1E06EA52" w14:textId="77777777" w:rsidR="002F2ECC" w:rsidRPr="003D7656" w:rsidRDefault="002F2ECC" w:rsidP="00B64C72">
            <w:pPr>
              <w:spacing w:before="120"/>
              <w:rPr>
                <w:szCs w:val="24"/>
              </w:rPr>
            </w:pPr>
            <w:r w:rsidRPr="003D7656">
              <w:rPr>
                <w:szCs w:val="24"/>
              </w:rPr>
              <w:t>Tantalum is a heavy, hard grey metal.</w:t>
            </w:r>
            <w:r w:rsidRPr="00577C8C">
              <w:rPr>
                <w:szCs w:val="24"/>
              </w:rPr>
              <w:t xml:space="preserve"> </w:t>
            </w:r>
            <w:r>
              <w:rPr>
                <w:szCs w:val="24"/>
              </w:rPr>
              <w:br w:type="textWrapping" w:clear="all"/>
            </w:r>
          </w:p>
          <w:p w14:paraId="0A57FCB9" w14:textId="77777777" w:rsidR="002F2ECC" w:rsidRPr="003D7656" w:rsidRDefault="002F2ECC" w:rsidP="00B64C72">
            <w:pPr>
              <w:rPr>
                <w:szCs w:val="24"/>
              </w:rPr>
            </w:pPr>
            <w:r w:rsidRPr="003D7656">
              <w:rPr>
                <w:szCs w:val="24"/>
              </w:rPr>
              <w:t>Australia is the world’s largest producer of tantalum which is used in the production of electrical components.</w:t>
            </w:r>
          </w:p>
        </w:tc>
      </w:tr>
    </w:tbl>
    <w:p w14:paraId="38241898" w14:textId="77777777" w:rsidR="00AA02C9" w:rsidRDefault="00AA02C9" w:rsidP="00232478">
      <w:pPr>
        <w:tabs>
          <w:tab w:val="left" w:pos="4320"/>
        </w:tabs>
      </w:pPr>
    </w:p>
    <w:p w14:paraId="5BD05310" w14:textId="5C1A80E3" w:rsidR="009A5D0A" w:rsidRPr="002F2ECC" w:rsidRDefault="009A5D0A">
      <w:r>
        <w:rPr>
          <w:color w:val="FF0000"/>
        </w:rPr>
        <w:br w:type="page"/>
      </w:r>
      <w:r w:rsidR="001A16A9">
        <w:rPr>
          <w:noProof/>
          <w:color w:val="FF0000"/>
        </w:rPr>
        <w:lastRenderedPageBreak/>
        <w:drawing>
          <wp:inline distT="0" distB="0" distL="0" distR="0" wp14:anchorId="7FCF7501" wp14:editId="233788E4">
            <wp:extent cx="5274945" cy="7459980"/>
            <wp:effectExtent l="0" t="0" r="0" b="0"/>
            <wp:docPr id="3" name="Picture 3" descr="Diagram, engineering drawing&#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945" cy="7459980"/>
                    </a:xfrm>
                    <a:prstGeom prst="rect">
                      <a:avLst/>
                    </a:prstGeom>
                  </pic:spPr>
                </pic:pic>
              </a:graphicData>
            </a:graphic>
          </wp:inline>
        </w:drawing>
      </w:r>
    </w:p>
    <w:sectPr w:rsidR="009A5D0A" w:rsidRPr="002F2ECC" w:rsidSect="00D25901">
      <w:footerReference w:type="default" r:id="rId14"/>
      <w:headerReference w:type="first" r:id="rId15"/>
      <w:footerReference w:type="first" r:id="rId16"/>
      <w:pgSz w:w="11907" w:h="16839" w:code="9"/>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813BF" w14:textId="77777777" w:rsidR="00D16828" w:rsidRDefault="00D16828" w:rsidP="00F10CB2">
      <w:r>
        <w:separator/>
      </w:r>
    </w:p>
  </w:endnote>
  <w:endnote w:type="continuationSeparator" w:id="0">
    <w:p w14:paraId="6C83CB59" w14:textId="77777777" w:rsidR="00D16828" w:rsidRDefault="00D16828"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56EE" w14:textId="77777777" w:rsidR="00B00332" w:rsidRDefault="00B00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87B6" w14:textId="3417B900" w:rsidR="002A039C" w:rsidRPr="00B00332" w:rsidRDefault="00B00332" w:rsidP="00B00332">
    <w:pPr>
      <w:pStyle w:val="Footer"/>
      <w:spacing w:before="120"/>
      <w:jc w:val="center"/>
      <w:rPr>
        <w:rFonts w:ascii="Arial" w:hAnsi="Arial" w:cs="Arial"/>
        <w:sz w:val="14"/>
        <w:szCs w:val="14"/>
      </w:rPr>
    </w:pPr>
    <w:r w:rsidRPr="00B00332">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napToGrid/>
        <w:sz w:val="24"/>
        <w:szCs w:val="20"/>
      </w:rPr>
      <w:id w:val="325054323"/>
      <w:docPartObj>
        <w:docPartGallery w:val="Page Numbers (Bottom of Page)"/>
        <w:docPartUnique/>
      </w:docPartObj>
    </w:sdtPr>
    <w:sdtEndPr>
      <w:rPr>
        <w:rFonts w:ascii="Arial" w:hAnsi="Arial" w:cs="Arial"/>
        <w:sz w:val="14"/>
        <w:szCs w:val="14"/>
      </w:rPr>
    </w:sdtEndPr>
    <w:sdtContent>
      <w:sdt>
        <w:sdtPr>
          <w:rPr>
            <w:snapToGrid/>
            <w:sz w:val="24"/>
            <w:szCs w:val="20"/>
          </w:rPr>
          <w:id w:val="98381352"/>
          <w:docPartObj>
            <w:docPartGallery w:val="Page Numbers (Top of Page)"/>
            <w:docPartUnique/>
          </w:docPartObj>
        </w:sdtPr>
        <w:sdtEndPr>
          <w:rPr>
            <w:rFonts w:ascii="Arial" w:hAnsi="Arial" w:cs="Arial"/>
            <w:sz w:val="14"/>
            <w:szCs w:val="14"/>
          </w:rPr>
        </w:sdtEndPr>
        <w:sdtContent>
          <w:p w14:paraId="4C97A2D4" w14:textId="579025F8" w:rsidR="001056A5" w:rsidRPr="00AF1C0D" w:rsidRDefault="001056A5" w:rsidP="001056A5">
            <w:pPr>
              <w:pStyle w:val="Footer"/>
              <w:tabs>
                <w:tab w:val="clear" w:pos="2880"/>
              </w:tabs>
            </w:pPr>
            <w:r>
              <w:t xml:space="preserve">Page </w:t>
            </w:r>
            <w:r w:rsidR="00522381">
              <w:fldChar w:fldCharType="begin"/>
            </w:r>
            <w:r w:rsidR="00522381">
              <w:instrText xml:space="preserve"> PAGE </w:instrText>
            </w:r>
            <w:r w:rsidR="00522381">
              <w:fldChar w:fldCharType="separate"/>
            </w:r>
            <w:r w:rsidR="00373830">
              <w:rPr>
                <w:noProof/>
              </w:rPr>
              <w:t>1</w:t>
            </w:r>
            <w:r w:rsidR="00522381">
              <w:rPr>
                <w:noProof/>
              </w:rPr>
              <w:fldChar w:fldCharType="end"/>
            </w:r>
            <w:r>
              <w:t xml:space="preserve"> of </w:t>
            </w:r>
            <w:r w:rsidR="00D25901">
              <w:rPr>
                <w:noProof/>
              </w:rPr>
              <w:fldChar w:fldCharType="begin"/>
            </w:r>
            <w:r w:rsidR="00D25901">
              <w:rPr>
                <w:noProof/>
              </w:rPr>
              <w:instrText xml:space="preserve"> NUMPAGES  </w:instrText>
            </w:r>
            <w:r w:rsidR="00D25901">
              <w:rPr>
                <w:noProof/>
              </w:rPr>
              <w:fldChar w:fldCharType="separate"/>
            </w:r>
            <w:r w:rsidR="00D25901">
              <w:rPr>
                <w:noProof/>
              </w:rPr>
              <w:t>3</w:t>
            </w:r>
            <w:r w:rsidR="00D25901">
              <w:rPr>
                <w:noProof/>
              </w:rPr>
              <w:fldChar w:fldCharType="end"/>
            </w:r>
          </w:p>
          <w:p w14:paraId="704E709C" w14:textId="77777777" w:rsidR="002A039C" w:rsidRPr="007B49D3" w:rsidRDefault="00B00332" w:rsidP="007B49D3">
            <w:pPr>
              <w:spacing w:before="120"/>
              <w:jc w:val="center"/>
              <w:rPr>
                <w:rFonts w:ascii="Arial" w:hAnsi="Arial" w:cs="Arial"/>
                <w:sz w:val="14"/>
                <w:szCs w:val="14"/>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napToGrid/>
        <w:sz w:val="24"/>
        <w:szCs w:val="20"/>
      </w:rPr>
      <w:id w:val="325054370"/>
      <w:docPartObj>
        <w:docPartGallery w:val="Page Numbers (Top of Page)"/>
        <w:docPartUnique/>
      </w:docPartObj>
    </w:sdtPr>
    <w:sdtEndPr>
      <w:rPr>
        <w:rFonts w:ascii="Arial" w:hAnsi="Arial" w:cs="Arial"/>
        <w:sz w:val="14"/>
        <w:szCs w:val="14"/>
      </w:rPr>
    </w:sdtEndPr>
    <w:sdtContent>
      <w:sdt>
        <w:sdtPr>
          <w:rPr>
            <w:snapToGrid/>
            <w:sz w:val="24"/>
            <w:szCs w:val="20"/>
          </w:rPr>
          <w:id w:val="325054371"/>
          <w:docPartObj>
            <w:docPartGallery w:val="Page Numbers (Top of Page)"/>
            <w:docPartUnique/>
          </w:docPartObj>
        </w:sdtPr>
        <w:sdtEndPr>
          <w:rPr>
            <w:rFonts w:ascii="Arial" w:hAnsi="Arial" w:cs="Arial"/>
            <w:sz w:val="14"/>
            <w:szCs w:val="14"/>
          </w:rPr>
        </w:sdtEndPr>
        <w:sdtContent>
          <w:sdt>
            <w:sdtPr>
              <w:rPr>
                <w:snapToGrid/>
                <w:sz w:val="24"/>
                <w:szCs w:val="20"/>
              </w:rPr>
              <w:id w:val="325054372"/>
              <w:docPartObj>
                <w:docPartGallery w:val="Page Numbers (Top of Page)"/>
                <w:docPartUnique/>
              </w:docPartObj>
            </w:sdtPr>
            <w:sdtEndPr>
              <w:rPr>
                <w:rFonts w:ascii="Arial" w:hAnsi="Arial" w:cs="Arial"/>
                <w:sz w:val="14"/>
                <w:szCs w:val="14"/>
              </w:rPr>
            </w:sdtEndPr>
            <w:sdtContent>
              <w:p w14:paraId="58539E0C" w14:textId="13055B33" w:rsidR="002F2ECC" w:rsidRDefault="001056A5" w:rsidP="001056A5">
                <w:pPr>
                  <w:pStyle w:val="Footer"/>
                  <w:tabs>
                    <w:tab w:val="clear" w:pos="2880"/>
                  </w:tabs>
                </w:pPr>
                <w:r>
                  <w:t xml:space="preserve">Page </w:t>
                </w:r>
                <w:r w:rsidR="00522381">
                  <w:fldChar w:fldCharType="begin"/>
                </w:r>
                <w:r w:rsidR="00522381">
                  <w:instrText xml:space="preserve"> PAGE </w:instrText>
                </w:r>
                <w:r w:rsidR="00522381">
                  <w:fldChar w:fldCharType="separate"/>
                </w:r>
                <w:r w:rsidR="00373830">
                  <w:rPr>
                    <w:noProof/>
                  </w:rPr>
                  <w:t>2</w:t>
                </w:r>
                <w:r w:rsidR="00522381">
                  <w:rPr>
                    <w:noProof/>
                  </w:rPr>
                  <w:fldChar w:fldCharType="end"/>
                </w:r>
                <w:r>
                  <w:t xml:space="preserve"> of </w:t>
                </w:r>
                <w:r w:rsidR="00D25901">
                  <w:rPr>
                    <w:noProof/>
                  </w:rPr>
                  <w:fldChar w:fldCharType="begin"/>
                </w:r>
                <w:r w:rsidR="00D25901">
                  <w:rPr>
                    <w:noProof/>
                  </w:rPr>
                  <w:instrText xml:space="preserve"> NUMPAGES  </w:instrText>
                </w:r>
                <w:r w:rsidR="00D25901">
                  <w:rPr>
                    <w:noProof/>
                  </w:rPr>
                  <w:fldChar w:fldCharType="separate"/>
                </w:r>
                <w:r w:rsidR="00D25901">
                  <w:rPr>
                    <w:noProof/>
                  </w:rPr>
                  <w:t>3</w:t>
                </w:r>
                <w:r w:rsidR="00D25901">
                  <w:rPr>
                    <w:noProof/>
                  </w:rPr>
                  <w:fldChar w:fldCharType="end"/>
                </w:r>
              </w:p>
              <w:p w14:paraId="68DBFE7A" w14:textId="77777777" w:rsidR="00B00332" w:rsidRDefault="00B00332" w:rsidP="002F2ECC">
                <w:pPr>
                  <w:spacing w:before="120"/>
                  <w:jc w:val="center"/>
                  <w:rPr>
                    <w:rFonts w:ascii="Arial" w:hAnsi="Arial" w:cs="Arial"/>
                    <w:sz w:val="14"/>
                    <w:szCs w:val="14"/>
                  </w:rPr>
                </w:pPr>
              </w:p>
            </w:sdtContent>
          </w:sdt>
        </w:sdtContent>
      </w:sdt>
    </w:sdtContent>
  </w:sdt>
  <w:p w14:paraId="02CE9FDB" w14:textId="5ABE8F0C" w:rsidR="001056A5" w:rsidRPr="00B00332" w:rsidRDefault="00B00332" w:rsidP="00B00332">
    <w:pPr>
      <w:spacing w:before="120"/>
      <w:jc w:val="center"/>
      <w:rPr>
        <w:rFonts w:ascii="Arial" w:hAnsi="Arial" w:cs="Arial"/>
        <w:sz w:val="14"/>
        <w:szCs w:val="14"/>
      </w:rPr>
    </w:pPr>
    <w:r w:rsidRPr="00B00332">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napToGrid/>
        <w:sz w:val="24"/>
        <w:szCs w:val="20"/>
      </w:rPr>
      <w:id w:val="-522316262"/>
      <w:docPartObj>
        <w:docPartGallery w:val="Page Numbers (Bottom of Page)"/>
        <w:docPartUnique/>
      </w:docPartObj>
    </w:sdtPr>
    <w:sdtEndPr>
      <w:rPr>
        <w:rFonts w:ascii="Arial" w:hAnsi="Arial" w:cs="Arial"/>
        <w:sz w:val="14"/>
        <w:szCs w:val="14"/>
      </w:rPr>
    </w:sdtEndPr>
    <w:sdtContent>
      <w:sdt>
        <w:sdtPr>
          <w:rPr>
            <w:snapToGrid/>
            <w:sz w:val="24"/>
            <w:szCs w:val="20"/>
          </w:rPr>
          <w:id w:val="682093584"/>
          <w:docPartObj>
            <w:docPartGallery w:val="Page Numbers (Top of Page)"/>
            <w:docPartUnique/>
          </w:docPartObj>
        </w:sdtPr>
        <w:sdtEndPr>
          <w:rPr>
            <w:rFonts w:ascii="Arial" w:hAnsi="Arial" w:cs="Arial"/>
            <w:sz w:val="14"/>
            <w:szCs w:val="14"/>
          </w:rPr>
        </w:sdtEndPr>
        <w:sdtContent>
          <w:p w14:paraId="3FC9F3C5" w14:textId="77777777" w:rsidR="00B06971" w:rsidRPr="00AF1C0D" w:rsidRDefault="00B06971" w:rsidP="001056A5">
            <w:pPr>
              <w:pStyle w:val="Footer"/>
              <w:tabs>
                <w:tab w:val="clear" w:pos="2880"/>
              </w:tabs>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p w14:paraId="48D8990D" w14:textId="77777777" w:rsidR="00B00332" w:rsidRDefault="00B00332" w:rsidP="007B49D3">
            <w:pPr>
              <w:spacing w:before="120"/>
              <w:jc w:val="center"/>
              <w:rPr>
                <w:rFonts w:ascii="Arial" w:hAnsi="Arial" w:cs="Arial"/>
                <w:sz w:val="14"/>
                <w:szCs w:val="14"/>
              </w:rPr>
            </w:pPr>
          </w:p>
        </w:sdtContent>
      </w:sdt>
    </w:sdtContent>
  </w:sdt>
  <w:p w14:paraId="41999147" w14:textId="387470FF" w:rsidR="00B06971" w:rsidRPr="00B00332" w:rsidRDefault="00B00332" w:rsidP="00B00332">
    <w:pPr>
      <w:spacing w:before="120"/>
      <w:jc w:val="center"/>
      <w:rPr>
        <w:rFonts w:ascii="Arial" w:hAnsi="Arial" w:cs="Arial"/>
        <w:sz w:val="14"/>
        <w:szCs w:val="14"/>
      </w:rPr>
    </w:pPr>
    <w:r w:rsidRPr="00B0033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42D57" w14:textId="77777777" w:rsidR="00D16828" w:rsidRDefault="00D16828" w:rsidP="00F10CB2">
      <w:r>
        <w:separator/>
      </w:r>
    </w:p>
  </w:footnote>
  <w:footnote w:type="continuationSeparator" w:id="0">
    <w:p w14:paraId="191176F8" w14:textId="77777777" w:rsidR="00D16828" w:rsidRDefault="00D16828"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FC7C" w14:textId="77777777" w:rsidR="00B00332" w:rsidRDefault="00B00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6918" w14:textId="77777777" w:rsidR="00B00332" w:rsidRDefault="00B00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7D88" w14:textId="77777777" w:rsidR="00B00332" w:rsidRDefault="00B003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3D9D" w14:textId="77777777" w:rsidR="00B06971" w:rsidRDefault="00B06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B1988"/>
    <w:multiLevelType w:val="multilevel"/>
    <w:tmpl w:val="5D98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10"/>
  </w:num>
  <w:num w:numId="6">
    <w:abstractNumId w:val="1"/>
  </w:num>
  <w:num w:numId="7">
    <w:abstractNumId w:val="7"/>
  </w:num>
  <w:num w:numId="8">
    <w:abstractNumId w:val="8"/>
  </w:num>
  <w:num w:numId="9">
    <w:abstractNumId w:val="6"/>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15921"/>
    <w:rsid w:val="00022B16"/>
    <w:rsid w:val="0004515E"/>
    <w:rsid w:val="0008365F"/>
    <w:rsid w:val="000A1A69"/>
    <w:rsid w:val="000C501D"/>
    <w:rsid w:val="000F425C"/>
    <w:rsid w:val="001056A5"/>
    <w:rsid w:val="00111262"/>
    <w:rsid w:val="00116D47"/>
    <w:rsid w:val="00134786"/>
    <w:rsid w:val="00175276"/>
    <w:rsid w:val="00182D9B"/>
    <w:rsid w:val="00194AC7"/>
    <w:rsid w:val="001A16A9"/>
    <w:rsid w:val="001C737C"/>
    <w:rsid w:val="001F1298"/>
    <w:rsid w:val="00205E99"/>
    <w:rsid w:val="00213022"/>
    <w:rsid w:val="00223F90"/>
    <w:rsid w:val="00232478"/>
    <w:rsid w:val="00262C1B"/>
    <w:rsid w:val="00267FC1"/>
    <w:rsid w:val="00281B3A"/>
    <w:rsid w:val="002A039C"/>
    <w:rsid w:val="002B4420"/>
    <w:rsid w:val="002E1060"/>
    <w:rsid w:val="002F2ECC"/>
    <w:rsid w:val="00373830"/>
    <w:rsid w:val="00383F96"/>
    <w:rsid w:val="003C330F"/>
    <w:rsid w:val="003D7174"/>
    <w:rsid w:val="003D7656"/>
    <w:rsid w:val="003F578F"/>
    <w:rsid w:val="00445322"/>
    <w:rsid w:val="00481934"/>
    <w:rsid w:val="00492788"/>
    <w:rsid w:val="00501918"/>
    <w:rsid w:val="00512606"/>
    <w:rsid w:val="00513572"/>
    <w:rsid w:val="00522381"/>
    <w:rsid w:val="00554CD5"/>
    <w:rsid w:val="00577C8C"/>
    <w:rsid w:val="005805DD"/>
    <w:rsid w:val="00580D29"/>
    <w:rsid w:val="005961A3"/>
    <w:rsid w:val="005C0658"/>
    <w:rsid w:val="005D3928"/>
    <w:rsid w:val="005D55E0"/>
    <w:rsid w:val="005D68B8"/>
    <w:rsid w:val="005F75A1"/>
    <w:rsid w:val="00627F0C"/>
    <w:rsid w:val="006441AF"/>
    <w:rsid w:val="006668F6"/>
    <w:rsid w:val="00667281"/>
    <w:rsid w:val="00685113"/>
    <w:rsid w:val="006A3A2F"/>
    <w:rsid w:val="006D0135"/>
    <w:rsid w:val="00704DC3"/>
    <w:rsid w:val="0072003E"/>
    <w:rsid w:val="00757DD8"/>
    <w:rsid w:val="0077162F"/>
    <w:rsid w:val="00771C9E"/>
    <w:rsid w:val="00784B87"/>
    <w:rsid w:val="00793F48"/>
    <w:rsid w:val="007A3299"/>
    <w:rsid w:val="007B2E24"/>
    <w:rsid w:val="007B49D3"/>
    <w:rsid w:val="007C3B22"/>
    <w:rsid w:val="007E50BA"/>
    <w:rsid w:val="008036F7"/>
    <w:rsid w:val="00824EB1"/>
    <w:rsid w:val="00894148"/>
    <w:rsid w:val="008A1D96"/>
    <w:rsid w:val="008A3808"/>
    <w:rsid w:val="008B556F"/>
    <w:rsid w:val="008E4A39"/>
    <w:rsid w:val="008F060D"/>
    <w:rsid w:val="008F1E41"/>
    <w:rsid w:val="008F60A5"/>
    <w:rsid w:val="009070F7"/>
    <w:rsid w:val="00951497"/>
    <w:rsid w:val="00960DE4"/>
    <w:rsid w:val="00970517"/>
    <w:rsid w:val="009876DB"/>
    <w:rsid w:val="009A5D0A"/>
    <w:rsid w:val="009B0726"/>
    <w:rsid w:val="00A0585C"/>
    <w:rsid w:val="00A07BFA"/>
    <w:rsid w:val="00A43FE7"/>
    <w:rsid w:val="00A502EA"/>
    <w:rsid w:val="00A74247"/>
    <w:rsid w:val="00A910AA"/>
    <w:rsid w:val="00A9655D"/>
    <w:rsid w:val="00AA02C9"/>
    <w:rsid w:val="00B00332"/>
    <w:rsid w:val="00B021A5"/>
    <w:rsid w:val="00B06971"/>
    <w:rsid w:val="00B1549F"/>
    <w:rsid w:val="00B30B9A"/>
    <w:rsid w:val="00B63A10"/>
    <w:rsid w:val="00B6603C"/>
    <w:rsid w:val="00B8246E"/>
    <w:rsid w:val="00B96911"/>
    <w:rsid w:val="00BA52F5"/>
    <w:rsid w:val="00BB241F"/>
    <w:rsid w:val="00BD02C6"/>
    <w:rsid w:val="00C127B0"/>
    <w:rsid w:val="00C25038"/>
    <w:rsid w:val="00C41B1B"/>
    <w:rsid w:val="00C56CD3"/>
    <w:rsid w:val="00C65523"/>
    <w:rsid w:val="00CD4E55"/>
    <w:rsid w:val="00CE3399"/>
    <w:rsid w:val="00CE6AFD"/>
    <w:rsid w:val="00CF28EB"/>
    <w:rsid w:val="00CF526A"/>
    <w:rsid w:val="00D07849"/>
    <w:rsid w:val="00D16828"/>
    <w:rsid w:val="00D25901"/>
    <w:rsid w:val="00D36CFC"/>
    <w:rsid w:val="00D47F13"/>
    <w:rsid w:val="00D9612A"/>
    <w:rsid w:val="00DA69F6"/>
    <w:rsid w:val="00DB1051"/>
    <w:rsid w:val="00DF1D10"/>
    <w:rsid w:val="00E34F68"/>
    <w:rsid w:val="00E358BC"/>
    <w:rsid w:val="00E73C6D"/>
    <w:rsid w:val="00E8033E"/>
    <w:rsid w:val="00F0488B"/>
    <w:rsid w:val="00F10CB2"/>
    <w:rsid w:val="00F15AC3"/>
    <w:rsid w:val="00F236C5"/>
    <w:rsid w:val="00F56AED"/>
    <w:rsid w:val="00FB30D8"/>
    <w:rsid w:val="00FB4806"/>
    <w:rsid w:val="00FE5879"/>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FDACF0"/>
  <w15:docId w15:val="{4FB4717D-5267-4DB7-B0CC-7F37108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character" w:styleId="Emphasis">
    <w:name w:val="Emphasis"/>
    <w:basedOn w:val="DefaultParagraphFont"/>
    <w:uiPriority w:val="20"/>
    <w:qFormat/>
    <w:rsid w:val="00951497"/>
    <w:rPr>
      <w:i/>
      <w:iCs/>
    </w:rPr>
  </w:style>
  <w:style w:type="paragraph" w:styleId="NormalWeb">
    <w:name w:val="Normal (Web)"/>
    <w:basedOn w:val="Normal"/>
    <w:uiPriority w:val="99"/>
    <w:semiHidden/>
    <w:unhideWhenUsed/>
    <w:rsid w:val="00E8033E"/>
    <w:pPr>
      <w:spacing w:before="100" w:beforeAutospacing="1" w:after="100" w:afterAutospacing="1"/>
    </w:pPr>
    <w:rPr>
      <w:szCs w:val="24"/>
      <w:lang w:eastAsia="en-AU"/>
    </w:rPr>
  </w:style>
  <w:style w:type="character" w:customStyle="1" w:styleId="mntl-sc-block-subheadingtext">
    <w:name w:val="mntl-sc-block-subheading__text"/>
    <w:basedOn w:val="DefaultParagraphFont"/>
    <w:rsid w:val="00262C1B"/>
  </w:style>
  <w:style w:type="character" w:styleId="CommentReference">
    <w:name w:val="annotation reference"/>
    <w:basedOn w:val="DefaultParagraphFont"/>
    <w:uiPriority w:val="99"/>
    <w:semiHidden/>
    <w:unhideWhenUsed/>
    <w:rsid w:val="00E34F68"/>
    <w:rPr>
      <w:sz w:val="16"/>
      <w:szCs w:val="16"/>
    </w:rPr>
  </w:style>
  <w:style w:type="paragraph" w:styleId="CommentText">
    <w:name w:val="annotation text"/>
    <w:basedOn w:val="Normal"/>
    <w:link w:val="CommentTextChar"/>
    <w:uiPriority w:val="99"/>
    <w:semiHidden/>
    <w:unhideWhenUsed/>
    <w:rsid w:val="00E34F68"/>
    <w:rPr>
      <w:sz w:val="20"/>
    </w:rPr>
  </w:style>
  <w:style w:type="character" w:customStyle="1" w:styleId="CommentTextChar">
    <w:name w:val="Comment Text Char"/>
    <w:basedOn w:val="DefaultParagraphFont"/>
    <w:link w:val="CommentText"/>
    <w:uiPriority w:val="99"/>
    <w:semiHidden/>
    <w:rsid w:val="00E34F68"/>
    <w:rPr>
      <w:lang w:eastAsia="en-US"/>
    </w:rPr>
  </w:style>
  <w:style w:type="paragraph" w:styleId="CommentSubject">
    <w:name w:val="annotation subject"/>
    <w:basedOn w:val="CommentText"/>
    <w:next w:val="CommentText"/>
    <w:link w:val="CommentSubjectChar"/>
    <w:uiPriority w:val="99"/>
    <w:semiHidden/>
    <w:unhideWhenUsed/>
    <w:rsid w:val="00E34F68"/>
    <w:rPr>
      <w:b/>
      <w:bCs/>
    </w:rPr>
  </w:style>
  <w:style w:type="character" w:customStyle="1" w:styleId="CommentSubjectChar">
    <w:name w:val="Comment Subject Char"/>
    <w:basedOn w:val="CommentTextChar"/>
    <w:link w:val="CommentSubject"/>
    <w:uiPriority w:val="99"/>
    <w:semiHidden/>
    <w:rsid w:val="00E34F6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57197">
      <w:bodyDiv w:val="1"/>
      <w:marLeft w:val="0"/>
      <w:marRight w:val="0"/>
      <w:marTop w:val="0"/>
      <w:marBottom w:val="0"/>
      <w:divBdr>
        <w:top w:val="none" w:sz="0" w:space="0" w:color="auto"/>
        <w:left w:val="none" w:sz="0" w:space="0" w:color="auto"/>
        <w:bottom w:val="none" w:sz="0" w:space="0" w:color="auto"/>
        <w:right w:val="none" w:sz="0" w:space="0" w:color="auto"/>
      </w:divBdr>
    </w:div>
    <w:div w:id="500891989">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834833506">
      <w:bodyDiv w:val="1"/>
      <w:marLeft w:val="0"/>
      <w:marRight w:val="0"/>
      <w:marTop w:val="0"/>
      <w:marBottom w:val="0"/>
      <w:divBdr>
        <w:top w:val="none" w:sz="0" w:space="0" w:color="auto"/>
        <w:left w:val="none" w:sz="0" w:space="0" w:color="auto"/>
        <w:bottom w:val="none" w:sz="0" w:space="0" w:color="auto"/>
        <w:right w:val="none" w:sz="0" w:space="0" w:color="auto"/>
      </w:divBdr>
    </w:div>
    <w:div w:id="19807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1701</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Moxon, KarenL</cp:lastModifiedBy>
  <cp:revision>4</cp:revision>
  <cp:lastPrinted>2004-04-05T00:37:00Z</cp:lastPrinted>
  <dcterms:created xsi:type="dcterms:W3CDTF">2021-03-14T23:00:00Z</dcterms:created>
  <dcterms:modified xsi:type="dcterms:W3CDTF">2021-03-14T23:00:00Z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A28453923</vt:lpwstr>
  </property>
  <property fmtid="{D5CDD505-2E9C-101B-9397-08002B2CF9AE}" pid="4" name="Objective-Title">
    <vt:lpwstr>02 - DI2021-43 Public Place Names (Beard) Determination 2021</vt:lpwstr>
  </property>
  <property fmtid="{D5CDD505-2E9C-101B-9397-08002B2CF9AE}" pid="5" name="Objective-Comment">
    <vt:lpwstr/>
  </property>
  <property fmtid="{D5CDD505-2E9C-101B-9397-08002B2CF9AE}" pid="6" name="Objective-CreationStamp">
    <vt:filetime>2021-03-11T23:42:21Z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2021-03-11T23:42:21Z</vt:filetime>
  </property>
  <property fmtid="{D5CDD505-2E9C-101B-9397-08002B2CF9AE}" pid="10" name="Objective-ModificationStamp">
    <vt:filetime>2021-03-11T23:57:17Z</vt:filetime>
  </property>
  <property fmtid="{D5CDD505-2E9C-101B-9397-08002B2CF9AE}" pid="11" name="Objective-Owner">
    <vt:lpwstr>Lisa Sampson</vt:lpwstr>
  </property>
  <property fmtid="{D5CDD505-2E9C-101B-9397-08002B2CF9AE}" pid="12" name="Objective-Path">
    <vt:lpwstr>Whole of ACT Government:EPSDD - Environment Planning and Sustainable Development Directorate:07. Ministerial, Cabinet and Government Relations:07. Executive Correspondence:Director-General, Chief Planning Executive and Utilities Technical Regulator:2015 -</vt:lpwstr>
  </property>
  <property fmtid="{D5CDD505-2E9C-101B-9397-08002B2CF9AE}" pid="13" name="Objective-Parent">
    <vt:lpwstr>21/06679 - Public Place Names (Beard) Determination 2021 - revoke Copper Crescent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1-2021/06679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