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CC9D" w14:textId="77777777" w:rsidR="00563BCC" w:rsidRPr="00D92186" w:rsidRDefault="00563BCC" w:rsidP="00563BCC">
      <w:pPr>
        <w:spacing w:before="120"/>
        <w:rPr>
          <w:rFonts w:ascii="Arial" w:hAnsi="Arial" w:cs="Arial"/>
        </w:rPr>
      </w:pPr>
      <w:bookmarkStart w:id="0" w:name="_Toc44738651"/>
      <w:bookmarkStart w:id="1" w:name="_Hlk61866164"/>
      <w:smartTag w:uri="urn:schemas-microsoft-com:office:smarttags" w:element="place">
        <w:smartTag w:uri="urn:schemas-microsoft-com:office:smarttags" w:element="State">
          <w:r w:rsidRPr="00D92186">
            <w:rPr>
              <w:rFonts w:ascii="Arial" w:hAnsi="Arial" w:cs="Arial"/>
            </w:rPr>
            <w:t>Australian Capital Territory</w:t>
          </w:r>
        </w:smartTag>
      </w:smartTag>
    </w:p>
    <w:p w14:paraId="5B3D6096" w14:textId="3EA54334" w:rsidR="00563BCC" w:rsidRPr="00D92186" w:rsidRDefault="00563BCC" w:rsidP="006C6CC2">
      <w:pPr>
        <w:pStyle w:val="Billname"/>
        <w:numPr>
          <w:ilvl w:val="0"/>
          <w:numId w:val="0"/>
        </w:numPr>
        <w:tabs>
          <w:tab w:val="clear" w:pos="2400"/>
          <w:tab w:val="clear" w:pos="2880"/>
        </w:tabs>
        <w:spacing w:before="700"/>
      </w:pPr>
      <w:r w:rsidRPr="00D92186">
        <w:t>Children and Young People (Work Experience) Standards 202</w:t>
      </w:r>
      <w:r w:rsidR="009A52B0">
        <w:t>2</w:t>
      </w:r>
      <w:r w:rsidR="00352B7D">
        <w:t xml:space="preserve"> (No 1)</w:t>
      </w:r>
    </w:p>
    <w:p w14:paraId="5CAF4FDE" w14:textId="7730E29D" w:rsidR="00563BCC" w:rsidRPr="00E2211A" w:rsidRDefault="00563BCC" w:rsidP="00E2211A">
      <w:pPr>
        <w:spacing w:before="340"/>
        <w:rPr>
          <w:rFonts w:ascii="Arial" w:hAnsi="Arial" w:cs="Arial"/>
          <w:b/>
          <w:bCs/>
        </w:rPr>
      </w:pPr>
      <w:r w:rsidRPr="00D92186">
        <w:rPr>
          <w:rFonts w:ascii="Arial" w:hAnsi="Arial" w:cs="Arial"/>
          <w:b/>
          <w:bCs/>
        </w:rPr>
        <w:t>Disallowable instrument DI202</w:t>
      </w:r>
      <w:r w:rsidR="009A52B0">
        <w:rPr>
          <w:rFonts w:ascii="Arial" w:hAnsi="Arial" w:cs="Arial"/>
          <w:b/>
          <w:bCs/>
        </w:rPr>
        <w:t>2</w:t>
      </w:r>
      <w:r w:rsidR="00E2211A">
        <w:rPr>
          <w:rFonts w:ascii="Arial" w:hAnsi="Arial" w:cs="Arial"/>
          <w:b/>
          <w:bCs/>
        </w:rPr>
        <w:t>–</w:t>
      </w:r>
      <w:r w:rsidR="00AB739B">
        <w:rPr>
          <w:rFonts w:ascii="Arial" w:hAnsi="Arial" w:cs="Arial"/>
          <w:b/>
          <w:bCs/>
        </w:rPr>
        <w:t>178</w:t>
      </w:r>
    </w:p>
    <w:p w14:paraId="4C97D30F" w14:textId="77777777" w:rsidR="00563BCC" w:rsidRPr="00D92186" w:rsidRDefault="00563BCC" w:rsidP="00E2211A">
      <w:pPr>
        <w:pStyle w:val="madeunder"/>
        <w:spacing w:before="300" w:after="0"/>
      </w:pPr>
      <w:r w:rsidRPr="00D92186">
        <w:t xml:space="preserve">made under the  </w:t>
      </w:r>
    </w:p>
    <w:p w14:paraId="7788D75D" w14:textId="12B4B8B9" w:rsidR="00563BCC" w:rsidRPr="00E2211A" w:rsidRDefault="00563BCC" w:rsidP="00E2211A">
      <w:pPr>
        <w:pStyle w:val="CoverActName"/>
        <w:spacing w:before="320" w:after="0"/>
        <w:rPr>
          <w:rFonts w:cs="Arial"/>
          <w:sz w:val="20"/>
        </w:rPr>
      </w:pPr>
      <w:r w:rsidRPr="00D92186">
        <w:rPr>
          <w:rFonts w:cs="Arial"/>
          <w:sz w:val="20"/>
        </w:rPr>
        <w:t xml:space="preserve">Children and Young People Act 2008, </w:t>
      </w:r>
      <w:r w:rsidR="00CB7A31">
        <w:rPr>
          <w:rFonts w:cs="Arial"/>
          <w:sz w:val="20"/>
        </w:rPr>
        <w:t>s</w:t>
      </w:r>
      <w:r w:rsidRPr="00D92186">
        <w:rPr>
          <w:rFonts w:cs="Arial"/>
          <w:sz w:val="20"/>
        </w:rPr>
        <w:t xml:space="preserve"> 887 (</w:t>
      </w:r>
      <w:r w:rsidR="00F278E5" w:rsidRPr="00F278E5">
        <w:rPr>
          <w:rFonts w:cs="Arial"/>
          <w:sz w:val="20"/>
        </w:rPr>
        <w:t>Standard-making power</w:t>
      </w:r>
      <w:r w:rsidRPr="00D92186">
        <w:rPr>
          <w:rFonts w:cs="Arial"/>
          <w:sz w:val="20"/>
        </w:rPr>
        <w:t>)</w:t>
      </w:r>
    </w:p>
    <w:p w14:paraId="5E9D4510" w14:textId="77777777" w:rsidR="00E2211A" w:rsidRDefault="00E2211A" w:rsidP="006C6CC2">
      <w:pPr>
        <w:pStyle w:val="N-line3"/>
        <w:numPr>
          <w:ilvl w:val="0"/>
          <w:numId w:val="0"/>
        </w:numPr>
        <w:pBdr>
          <w:bottom w:val="none" w:sz="0" w:space="0" w:color="auto"/>
        </w:pBdr>
        <w:spacing w:before="60"/>
      </w:pPr>
    </w:p>
    <w:p w14:paraId="526F6E9F" w14:textId="77777777" w:rsidR="00E2211A" w:rsidRDefault="00E2211A" w:rsidP="006C6CC2">
      <w:pPr>
        <w:pStyle w:val="N-line3"/>
        <w:numPr>
          <w:ilvl w:val="0"/>
          <w:numId w:val="0"/>
        </w:numPr>
        <w:pBdr>
          <w:top w:val="single" w:sz="12" w:space="1" w:color="auto"/>
          <w:bottom w:val="none" w:sz="0" w:space="0" w:color="auto"/>
        </w:pBdr>
      </w:pPr>
    </w:p>
    <w:p w14:paraId="6EE70B3C" w14:textId="173C7638" w:rsidR="00563BCC" w:rsidRDefault="00563BCC" w:rsidP="00563BCC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2211A">
        <w:rPr>
          <w:rFonts w:ascii="Arial" w:hAnsi="Arial" w:cs="Arial"/>
          <w:b/>
          <w:bCs/>
        </w:rPr>
        <w:t>1</w:t>
      </w:r>
      <w:r w:rsidRPr="00E2211A">
        <w:rPr>
          <w:rFonts w:ascii="Arial" w:hAnsi="Arial" w:cs="Arial"/>
          <w:b/>
          <w:bCs/>
        </w:rPr>
        <w:tab/>
      </w:r>
      <w:r w:rsidRPr="00D92186">
        <w:rPr>
          <w:rFonts w:ascii="Arial" w:hAnsi="Arial" w:cs="Arial"/>
          <w:b/>
          <w:bCs/>
        </w:rPr>
        <w:t>Name of instrument</w:t>
      </w:r>
    </w:p>
    <w:p w14:paraId="30A7028C" w14:textId="13C18662" w:rsidR="00563BCC" w:rsidRPr="00D92186" w:rsidRDefault="00563BCC" w:rsidP="00E2211A">
      <w:pPr>
        <w:spacing w:before="140"/>
        <w:ind w:left="720"/>
      </w:pPr>
      <w:r w:rsidRPr="00D92186">
        <w:t xml:space="preserve">This instrument is the </w:t>
      </w:r>
      <w:r w:rsidRPr="00CB7A31">
        <w:rPr>
          <w:i/>
          <w:iCs/>
        </w:rPr>
        <w:t>Children and Young People (Work Experience) Standards 202</w:t>
      </w:r>
      <w:r w:rsidR="009A52B0">
        <w:rPr>
          <w:i/>
          <w:iCs/>
        </w:rPr>
        <w:t>2</w:t>
      </w:r>
      <w:r w:rsidR="00352B7D">
        <w:rPr>
          <w:i/>
          <w:iCs/>
        </w:rPr>
        <w:t xml:space="preserve"> (No 1)</w:t>
      </w:r>
      <w:r w:rsidRPr="00E2211A">
        <w:t>.</w:t>
      </w:r>
    </w:p>
    <w:p w14:paraId="1219712E" w14:textId="7DE1F5F3" w:rsidR="00563BCC" w:rsidRDefault="00563BCC" w:rsidP="00E2211A">
      <w:pPr>
        <w:spacing w:before="300"/>
        <w:ind w:left="720" w:hanging="720"/>
        <w:rPr>
          <w:rFonts w:ascii="Arial" w:hAnsi="Arial" w:cs="Arial"/>
          <w:b/>
          <w:bCs/>
        </w:rPr>
      </w:pPr>
      <w:r w:rsidRPr="00E2211A">
        <w:rPr>
          <w:rFonts w:ascii="Arial" w:hAnsi="Arial" w:cs="Arial"/>
          <w:b/>
          <w:bCs/>
        </w:rPr>
        <w:t>2</w:t>
      </w:r>
      <w:r w:rsidRPr="00E2211A">
        <w:rPr>
          <w:rFonts w:ascii="Arial" w:hAnsi="Arial" w:cs="Arial"/>
          <w:b/>
          <w:bCs/>
        </w:rPr>
        <w:tab/>
      </w:r>
      <w:r w:rsidRPr="00D92186">
        <w:rPr>
          <w:rFonts w:ascii="Arial" w:hAnsi="Arial" w:cs="Arial"/>
          <w:b/>
          <w:bCs/>
        </w:rPr>
        <w:t>Commencement</w:t>
      </w:r>
    </w:p>
    <w:p w14:paraId="7517ADA7" w14:textId="30DC5D45" w:rsidR="00563BCC" w:rsidRPr="00D92186" w:rsidRDefault="00563BCC" w:rsidP="00E2211A">
      <w:pPr>
        <w:spacing w:before="140"/>
        <w:ind w:left="720"/>
      </w:pPr>
      <w:r w:rsidRPr="00D92186">
        <w:t>This instrument commences on the day after notification.</w:t>
      </w:r>
    </w:p>
    <w:p w14:paraId="286DC57F" w14:textId="45C87777" w:rsidR="00563BCC" w:rsidRDefault="00563BCC" w:rsidP="00E2211A">
      <w:pPr>
        <w:spacing w:before="300"/>
        <w:ind w:left="720" w:hanging="720"/>
        <w:rPr>
          <w:rFonts w:ascii="Arial" w:hAnsi="Arial" w:cs="Arial"/>
          <w:b/>
          <w:bCs/>
        </w:rPr>
      </w:pPr>
      <w:r w:rsidRPr="00E2211A">
        <w:rPr>
          <w:rFonts w:ascii="Arial" w:hAnsi="Arial" w:cs="Arial"/>
          <w:b/>
          <w:bCs/>
        </w:rPr>
        <w:t>3</w:t>
      </w:r>
      <w:r w:rsidRPr="00E2211A">
        <w:rPr>
          <w:rFonts w:ascii="Arial" w:hAnsi="Arial" w:cs="Arial"/>
          <w:b/>
          <w:bCs/>
        </w:rPr>
        <w:tab/>
      </w:r>
      <w:r w:rsidR="00376F16">
        <w:rPr>
          <w:rFonts w:ascii="Arial" w:hAnsi="Arial" w:cs="Arial"/>
          <w:b/>
          <w:bCs/>
        </w:rPr>
        <w:t>Standards</w:t>
      </w:r>
    </w:p>
    <w:p w14:paraId="59707685" w14:textId="64E18F71" w:rsidR="00616306" w:rsidRPr="00D92186" w:rsidRDefault="00616306" w:rsidP="00616306">
      <w:pPr>
        <w:spacing w:before="140"/>
        <w:ind w:left="720"/>
      </w:pPr>
      <w:r w:rsidRPr="00ED50C6">
        <w:t xml:space="preserve">I </w:t>
      </w:r>
      <w:r>
        <w:t>make</w:t>
      </w:r>
      <w:r w:rsidRPr="00D92186">
        <w:t xml:space="preserve"> the attached Work Experience Standards </w:t>
      </w:r>
      <w:r>
        <w:t>for</w:t>
      </w:r>
      <w:r w:rsidRPr="00D92186">
        <w:t xml:space="preserve"> </w:t>
      </w:r>
      <w:r>
        <w:t xml:space="preserve">Part 21.2: </w:t>
      </w:r>
      <w:r w:rsidR="00F278E5" w:rsidRPr="00F278E5">
        <w:t>Work experience programs—exemption</w:t>
      </w:r>
      <w:r>
        <w:t>.</w:t>
      </w:r>
    </w:p>
    <w:p w14:paraId="4A7FAE79" w14:textId="77777777" w:rsidR="00616306" w:rsidRDefault="00616306" w:rsidP="00616306">
      <w:pPr>
        <w:spacing w:before="300"/>
        <w:ind w:left="720" w:hanging="720"/>
        <w:rPr>
          <w:rFonts w:ascii="Arial" w:hAnsi="Arial" w:cs="Arial"/>
          <w:b/>
        </w:rPr>
      </w:pPr>
      <w:bookmarkStart w:id="2" w:name="_Hlk77778367"/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047AD3">
        <w:rPr>
          <w:rFonts w:ascii="Arial" w:hAnsi="Arial" w:cs="Arial"/>
          <w:b/>
        </w:rPr>
        <w:t>Disapplication of Legislation Act, s 47 (5)</w:t>
      </w:r>
    </w:p>
    <w:p w14:paraId="1F552FDA" w14:textId="77777777" w:rsidR="00616306" w:rsidRDefault="00616306" w:rsidP="00616306">
      <w:pPr>
        <w:spacing w:before="140"/>
        <w:ind w:left="720"/>
        <w:rPr>
          <w:bCs/>
          <w:iCs/>
        </w:rPr>
      </w:pPr>
      <w:r w:rsidRPr="00047AD3">
        <w:rPr>
          <w:bCs/>
          <w:iCs/>
        </w:rPr>
        <w:t>The Legislation Act, section 47 (5) does not apply to</w:t>
      </w:r>
      <w:r>
        <w:rPr>
          <w:bCs/>
          <w:iCs/>
        </w:rPr>
        <w:t xml:space="preserve"> the</w:t>
      </w:r>
      <w:r w:rsidRPr="00047AD3">
        <w:rPr>
          <w:bCs/>
          <w:iCs/>
        </w:rPr>
        <w:t xml:space="preserve"> </w:t>
      </w:r>
      <w:r w:rsidRPr="00793957">
        <w:rPr>
          <w:bCs/>
          <w:iCs/>
        </w:rPr>
        <w:t>ACT E</w:t>
      </w:r>
      <w:r>
        <w:rPr>
          <w:bCs/>
          <w:iCs/>
        </w:rPr>
        <w:t>ducation Directorate’s</w:t>
      </w:r>
      <w:r w:rsidRPr="00793957">
        <w:rPr>
          <w:bCs/>
          <w:iCs/>
        </w:rPr>
        <w:t xml:space="preserve"> Workplace Learning Program Guidelines and Requirements 2018</w:t>
      </w:r>
      <w:r w:rsidRPr="00047AD3">
        <w:rPr>
          <w:bCs/>
          <w:iCs/>
        </w:rPr>
        <w:t>.</w:t>
      </w:r>
    </w:p>
    <w:p w14:paraId="22197425" w14:textId="0556C177" w:rsidR="00616306" w:rsidRDefault="00616306" w:rsidP="00616306">
      <w:pPr>
        <w:spacing w:before="140"/>
        <w:ind w:left="1418" w:hanging="698"/>
        <w:rPr>
          <w:bCs/>
          <w:iCs/>
          <w:sz w:val="20"/>
        </w:rPr>
      </w:pPr>
      <w:r w:rsidRPr="00793957">
        <w:rPr>
          <w:bCs/>
          <w:i/>
          <w:sz w:val="20"/>
        </w:rPr>
        <w:t>Note</w:t>
      </w:r>
      <w:r w:rsidRPr="00793957">
        <w:rPr>
          <w:bCs/>
          <w:iCs/>
          <w:sz w:val="20"/>
        </w:rPr>
        <w:tab/>
        <w:t>The ACT Education Directorate’s Workplace Learning Program Guidelines and Requirements 2018</w:t>
      </w:r>
      <w:r>
        <w:rPr>
          <w:bCs/>
          <w:iCs/>
          <w:sz w:val="20"/>
        </w:rPr>
        <w:t xml:space="preserve"> are available at</w:t>
      </w:r>
      <w:r w:rsidR="001A1562">
        <w:t xml:space="preserve"> </w:t>
      </w:r>
      <w:hyperlink r:id="rId8" w:history="1">
        <w:r w:rsidR="001A1562" w:rsidRPr="001A1562">
          <w:rPr>
            <w:rStyle w:val="Hyperlink"/>
            <w:sz w:val="20"/>
          </w:rPr>
          <w:t>https://www.education.act.gov.au/public-school-life/transitions-careers/career-learning/workplace-learning</w:t>
        </w:r>
      </w:hyperlink>
      <w:r>
        <w:rPr>
          <w:bCs/>
          <w:iCs/>
          <w:sz w:val="20"/>
        </w:rPr>
        <w:t>.</w:t>
      </w:r>
      <w:r w:rsidR="001A1562">
        <w:rPr>
          <w:bCs/>
          <w:iCs/>
          <w:sz w:val="20"/>
        </w:rPr>
        <w:t xml:space="preserve"> </w:t>
      </w:r>
    </w:p>
    <w:bookmarkEnd w:id="2"/>
    <w:p w14:paraId="73F33C51" w14:textId="47226F50" w:rsidR="00563BCC" w:rsidRDefault="00616306" w:rsidP="00E22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563BCC" w:rsidRPr="00C33076">
        <w:rPr>
          <w:rFonts w:ascii="Arial" w:hAnsi="Arial" w:cs="Arial"/>
          <w:b/>
          <w:bCs/>
        </w:rPr>
        <w:tab/>
        <w:t>Revocation</w:t>
      </w:r>
    </w:p>
    <w:p w14:paraId="555DF579" w14:textId="6CF2D468" w:rsidR="00563BCC" w:rsidRPr="00D92186" w:rsidRDefault="00E2211A" w:rsidP="00E2211A">
      <w:pPr>
        <w:spacing w:before="140"/>
        <w:ind w:left="720"/>
      </w:pPr>
      <w:r>
        <w:t xml:space="preserve">This instrument revokes </w:t>
      </w:r>
      <w:r w:rsidR="00563BCC" w:rsidRPr="00D92186">
        <w:t xml:space="preserve">the </w:t>
      </w:r>
      <w:r w:rsidR="00563BCC" w:rsidRPr="00E2211A">
        <w:rPr>
          <w:i/>
          <w:iCs/>
        </w:rPr>
        <w:t>Children and Young People (Work Experience) Standards 2009 (No 1)</w:t>
      </w:r>
      <w:r w:rsidRPr="00D92186">
        <w:t xml:space="preserve"> DI2009-166</w:t>
      </w:r>
      <w:r w:rsidR="00563BCC" w:rsidRPr="00D92186">
        <w:t>.</w:t>
      </w:r>
    </w:p>
    <w:p w14:paraId="025CA721" w14:textId="77777777" w:rsidR="00563BCC" w:rsidRPr="00D92186" w:rsidRDefault="00563BCC" w:rsidP="00563BCC">
      <w:pPr>
        <w:spacing w:before="80" w:after="60"/>
        <w:ind w:left="720"/>
      </w:pPr>
    </w:p>
    <w:p w14:paraId="37844321" w14:textId="77777777" w:rsidR="00563BCC" w:rsidRPr="00D92186" w:rsidRDefault="00563BCC" w:rsidP="00563BCC">
      <w:pPr>
        <w:spacing w:before="80" w:after="60"/>
        <w:ind w:left="720"/>
      </w:pPr>
    </w:p>
    <w:p w14:paraId="2FE92EA9" w14:textId="177F8FB6" w:rsidR="00E2211A" w:rsidRDefault="002669C7" w:rsidP="00563BCC">
      <w:pPr>
        <w:tabs>
          <w:tab w:val="left" w:pos="4320"/>
        </w:tabs>
        <w:spacing w:before="480"/>
      </w:pPr>
      <w:r>
        <w:t>Rachel Stephen-Smith MLA</w:t>
      </w:r>
    </w:p>
    <w:p w14:paraId="68100DEC" w14:textId="5699FA1D" w:rsidR="00563BCC" w:rsidRPr="00D92186" w:rsidRDefault="00563BCC" w:rsidP="00E2211A">
      <w:pPr>
        <w:tabs>
          <w:tab w:val="left" w:pos="4320"/>
        </w:tabs>
      </w:pPr>
      <w:r w:rsidRPr="00D92186">
        <w:t xml:space="preserve">Minister </w:t>
      </w:r>
      <w:r w:rsidRPr="00DE6D65">
        <w:t xml:space="preserve">for </w:t>
      </w:r>
      <w:r w:rsidR="00F371D4">
        <w:t>Families and Community Services</w:t>
      </w:r>
    </w:p>
    <w:p w14:paraId="4AF30BC6" w14:textId="03AD034E" w:rsidR="00563BCC" w:rsidRDefault="00AB739B" w:rsidP="00563BCC">
      <w:pPr>
        <w:tabs>
          <w:tab w:val="left" w:pos="4320"/>
        </w:tabs>
      </w:pPr>
      <w:r>
        <w:t xml:space="preserve">27 July </w:t>
      </w:r>
      <w:r w:rsidR="00563BCC" w:rsidRPr="00D92186">
        <w:t>202</w:t>
      </w:r>
      <w:r w:rsidR="009A52B0">
        <w:t>2</w:t>
      </w:r>
    </w:p>
    <w:p w14:paraId="10635EF9" w14:textId="77777777" w:rsidR="00637C51" w:rsidRDefault="00637C51" w:rsidP="00563BCC">
      <w:pPr>
        <w:tabs>
          <w:tab w:val="left" w:pos="4320"/>
        </w:tabs>
        <w:sectPr w:rsidR="00637C51" w:rsidSect="00884D76">
          <w:footerReference w:type="default" r:id="rId9"/>
          <w:pgSz w:w="11907" w:h="16839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14:paraId="0E3D91E5" w14:textId="77777777" w:rsidR="00563BCC" w:rsidRPr="0074526C" w:rsidRDefault="00563BCC" w:rsidP="00CB7A31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lastRenderedPageBreak/>
        <w:t>Introduction</w:t>
      </w:r>
    </w:p>
    <w:p w14:paraId="0D0AC863" w14:textId="5A1C87DD" w:rsidR="008E685B" w:rsidRDefault="008E685B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>
        <w:t xml:space="preserve">The </w:t>
      </w:r>
      <w:r w:rsidRPr="0072742E">
        <w:rPr>
          <w:i/>
          <w:iCs/>
        </w:rPr>
        <w:t>Children and Young People (Work Experience) Standards 202</w:t>
      </w:r>
      <w:r w:rsidR="004A300D">
        <w:rPr>
          <w:i/>
          <w:iCs/>
        </w:rPr>
        <w:t xml:space="preserve">2 </w:t>
      </w:r>
      <w:r w:rsidR="00352B7D">
        <w:rPr>
          <w:i/>
          <w:iCs/>
        </w:rPr>
        <w:t>(No 1)</w:t>
      </w:r>
      <w:r w:rsidRPr="00A31AED">
        <w:t xml:space="preserve"> </w:t>
      </w:r>
      <w:r>
        <w:t>(the</w:t>
      </w:r>
      <w:r w:rsidR="00352B7D">
        <w:t xml:space="preserve"> </w:t>
      </w:r>
      <w:r>
        <w:t xml:space="preserve">Standards) apply to the work experience provisions found at Part 21.2: Work experience </w:t>
      </w:r>
      <w:r w:rsidR="00292A72" w:rsidRPr="00F278E5">
        <w:t>programs—exemption</w:t>
      </w:r>
      <w:r>
        <w:t xml:space="preserve">, in the </w:t>
      </w:r>
      <w:r w:rsidRPr="0072742E">
        <w:rPr>
          <w:i/>
          <w:iCs/>
        </w:rPr>
        <w:t>Children and Young</w:t>
      </w:r>
      <w:r w:rsidR="00996632">
        <w:rPr>
          <w:i/>
          <w:iCs/>
        </w:rPr>
        <w:t xml:space="preserve"> </w:t>
      </w:r>
      <w:r w:rsidRPr="0072742E">
        <w:rPr>
          <w:i/>
          <w:iCs/>
        </w:rPr>
        <w:t>People Act 2008</w:t>
      </w:r>
      <w:r>
        <w:t>.</w:t>
      </w:r>
    </w:p>
    <w:p w14:paraId="1C268BB0" w14:textId="05C5A30C" w:rsidR="008E685B" w:rsidRDefault="008E685B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74526C">
        <w:t xml:space="preserve">A </w:t>
      </w:r>
      <w:r>
        <w:t>work experience provider</w:t>
      </w:r>
      <w:r w:rsidRPr="0074526C">
        <w:t xml:space="preserve"> </w:t>
      </w:r>
      <w:r w:rsidRPr="004F1F47">
        <w:rPr>
          <w:b/>
          <w:bCs/>
        </w:rPr>
        <w:t>must</w:t>
      </w:r>
      <w:r w:rsidRPr="0074526C">
        <w:t xml:space="preserve"> apply to the Director-General of the </w:t>
      </w:r>
      <w:r>
        <w:t xml:space="preserve">ACT </w:t>
      </w:r>
      <w:r w:rsidRPr="0074526C">
        <w:t>Education Directorate for an exemption to the employment provisions at Chapter 2</w:t>
      </w:r>
      <w:r w:rsidR="00EF76C2">
        <w:t xml:space="preserve">1 </w:t>
      </w:r>
      <w:r w:rsidRPr="0074526C">
        <w:t xml:space="preserve">of the </w:t>
      </w:r>
      <w:r w:rsidRPr="0072742E">
        <w:rPr>
          <w:i/>
          <w:iCs/>
        </w:rPr>
        <w:t>Children and Young People Act 2008</w:t>
      </w:r>
      <w:r w:rsidRPr="0074526C">
        <w:t>.</w:t>
      </w:r>
    </w:p>
    <w:p w14:paraId="7A25792A" w14:textId="60F00CF5" w:rsidR="008E685B" w:rsidRDefault="008E685B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74526C">
        <w:t>The ACT Education Directorate is responsible for implementing the Standards.</w:t>
      </w:r>
    </w:p>
    <w:p w14:paraId="5725F619" w14:textId="749EE68E" w:rsidR="00563BC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>Interpretation</w:t>
      </w:r>
    </w:p>
    <w:p w14:paraId="664FF517" w14:textId="24314564" w:rsidR="00563BCC" w:rsidRPr="00BD2A2D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BD2A2D">
        <w:t>In this instrument, the definitions of the following terms apply</w:t>
      </w:r>
      <w:r w:rsidR="003A6A52" w:rsidRPr="00BD2A2D">
        <w:t>—</w:t>
      </w:r>
    </w:p>
    <w:p w14:paraId="4C1CFFE6" w14:textId="77777777" w:rsidR="00563BCC" w:rsidRPr="00CD6D1E" w:rsidRDefault="00563BCC" w:rsidP="007021D7">
      <w:pPr>
        <w:spacing w:before="140" w:after="60"/>
        <w:ind w:left="1100"/>
        <w:rPr>
          <w:szCs w:val="24"/>
        </w:rPr>
      </w:pPr>
      <w:r w:rsidRPr="00454E05">
        <w:rPr>
          <w:b/>
          <w:bCs/>
          <w:szCs w:val="24"/>
        </w:rPr>
        <w:t xml:space="preserve">Educational </w:t>
      </w:r>
      <w:r>
        <w:rPr>
          <w:b/>
          <w:bCs/>
          <w:szCs w:val="24"/>
        </w:rPr>
        <w:t>i</w:t>
      </w:r>
      <w:r w:rsidRPr="00454E05">
        <w:rPr>
          <w:b/>
          <w:bCs/>
          <w:szCs w:val="24"/>
        </w:rPr>
        <w:t xml:space="preserve">nstitution </w:t>
      </w:r>
      <w:r w:rsidRPr="00454E05">
        <w:rPr>
          <w:szCs w:val="24"/>
        </w:rPr>
        <w:t>means a school, college or other educational institution, whether or not operated by or on behalf of the Territory</w:t>
      </w:r>
      <w:r w:rsidRPr="00CD6D1E">
        <w:rPr>
          <w:szCs w:val="24"/>
        </w:rPr>
        <w:t>.</w:t>
      </w:r>
      <w:r w:rsidRPr="00CD6D1E">
        <w:rPr>
          <w:b/>
          <w:bCs/>
          <w:szCs w:val="24"/>
        </w:rPr>
        <w:t xml:space="preserve"> </w:t>
      </w:r>
    </w:p>
    <w:p w14:paraId="6F70404E" w14:textId="77777777" w:rsidR="00563BCC" w:rsidRPr="00454E05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454E05">
        <w:rPr>
          <w:b/>
          <w:bCs/>
          <w:szCs w:val="24"/>
        </w:rPr>
        <w:t>Four-way agreement</w:t>
      </w:r>
      <w:r w:rsidRPr="00454E05">
        <w:rPr>
          <w:szCs w:val="24"/>
        </w:rPr>
        <w:t xml:space="preserve"> means an agreement signed by the student, the student’s parent or guardian, the workplace learning coordinator of the host school, and the host employer.</w:t>
      </w:r>
    </w:p>
    <w:p w14:paraId="3BA72F5D" w14:textId="5917BBC1" w:rsidR="00563BCC" w:rsidRPr="00454E05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454E05">
        <w:rPr>
          <w:b/>
          <w:bCs/>
          <w:szCs w:val="24"/>
        </w:rPr>
        <w:t>High</w:t>
      </w:r>
      <w:r w:rsidR="00441BDE">
        <w:rPr>
          <w:b/>
          <w:bCs/>
          <w:szCs w:val="24"/>
        </w:rPr>
        <w:t>-</w:t>
      </w:r>
      <w:r w:rsidRPr="00454E05">
        <w:rPr>
          <w:b/>
          <w:bCs/>
          <w:szCs w:val="24"/>
        </w:rPr>
        <w:t xml:space="preserve">risk employment </w:t>
      </w:r>
      <w:r w:rsidRPr="00454E05">
        <w:rPr>
          <w:szCs w:val="24"/>
        </w:rPr>
        <w:t>means employment declared to be high</w:t>
      </w:r>
      <w:r w:rsidR="00441BDE">
        <w:rPr>
          <w:szCs w:val="24"/>
        </w:rPr>
        <w:t>-</w:t>
      </w:r>
      <w:r w:rsidRPr="00454E05">
        <w:rPr>
          <w:szCs w:val="24"/>
        </w:rPr>
        <w:t>risk under section 798 (1)</w:t>
      </w:r>
      <w:r>
        <w:rPr>
          <w:szCs w:val="24"/>
        </w:rPr>
        <w:t xml:space="preserve"> of the </w:t>
      </w:r>
      <w:r w:rsidRPr="0074526C">
        <w:rPr>
          <w:i/>
          <w:iCs/>
          <w:szCs w:val="24"/>
        </w:rPr>
        <w:t>Children and Young People Act 2008</w:t>
      </w:r>
      <w:r w:rsidRPr="00454E05">
        <w:rPr>
          <w:szCs w:val="24"/>
        </w:rPr>
        <w:t xml:space="preserve">. </w:t>
      </w:r>
    </w:p>
    <w:p w14:paraId="412E68FF" w14:textId="066A15F3" w:rsidR="00563BCC" w:rsidRPr="00454E05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CD6D1E">
        <w:rPr>
          <w:b/>
          <w:bCs/>
          <w:szCs w:val="24"/>
        </w:rPr>
        <w:t>Host employer</w:t>
      </w:r>
      <w:r w:rsidRPr="00CD6D1E">
        <w:rPr>
          <w:szCs w:val="24"/>
        </w:rPr>
        <w:t xml:space="preserve"> means an employer providing a work experience </w:t>
      </w:r>
      <w:r w:rsidR="002325D8">
        <w:rPr>
          <w:szCs w:val="24"/>
        </w:rPr>
        <w:t>placement</w:t>
      </w:r>
      <w:r w:rsidR="00AF6771">
        <w:rPr>
          <w:szCs w:val="24"/>
        </w:rPr>
        <w:t xml:space="preserve"> </w:t>
      </w:r>
      <w:r w:rsidRPr="00454E05">
        <w:rPr>
          <w:szCs w:val="24"/>
        </w:rPr>
        <w:t>for a student.</w:t>
      </w:r>
      <w:r w:rsidR="00AF6771">
        <w:rPr>
          <w:szCs w:val="24"/>
        </w:rPr>
        <w:t xml:space="preserve"> </w:t>
      </w:r>
    </w:p>
    <w:p w14:paraId="1AD8DFC3" w14:textId="28D6847E" w:rsidR="00563BCC" w:rsidRPr="00454E05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454E05">
        <w:rPr>
          <w:b/>
          <w:bCs/>
          <w:szCs w:val="24"/>
        </w:rPr>
        <w:t>Host school</w:t>
      </w:r>
      <w:r w:rsidRPr="00454E05">
        <w:rPr>
          <w:szCs w:val="24"/>
        </w:rPr>
        <w:t xml:space="preserve"> means the educational institution (within the meaning of the </w:t>
      </w:r>
      <w:r w:rsidRPr="0074526C">
        <w:rPr>
          <w:i/>
          <w:iCs/>
          <w:szCs w:val="24"/>
        </w:rPr>
        <w:t>Children and Young People Act 2008</w:t>
      </w:r>
      <w:r w:rsidR="005A204C">
        <w:rPr>
          <w:szCs w:val="24"/>
        </w:rPr>
        <w:t xml:space="preserve"> and the </w:t>
      </w:r>
      <w:r w:rsidR="005A204C" w:rsidRPr="005A204C">
        <w:rPr>
          <w:i/>
          <w:iCs/>
          <w:szCs w:val="24"/>
        </w:rPr>
        <w:t>Education Act 2004</w:t>
      </w:r>
      <w:r w:rsidRPr="00CD6D1E">
        <w:rPr>
          <w:szCs w:val="24"/>
        </w:rPr>
        <w:t xml:space="preserve">) at which the student is enrolled. </w:t>
      </w:r>
      <w:r w:rsidRPr="00454E05">
        <w:rPr>
          <w:szCs w:val="24"/>
        </w:rPr>
        <w:t xml:space="preserve">A reference to a host school includes reference to a workplace learning coordinator. </w:t>
      </w:r>
    </w:p>
    <w:p w14:paraId="435CF293" w14:textId="7E8ACFEC" w:rsidR="00563BCC" w:rsidRPr="00CD6D1E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74526C">
        <w:rPr>
          <w:b/>
          <w:bCs/>
          <w:szCs w:val="24"/>
        </w:rPr>
        <w:t xml:space="preserve">Light </w:t>
      </w:r>
      <w:r w:rsidR="004A1ED1">
        <w:rPr>
          <w:b/>
          <w:bCs/>
          <w:szCs w:val="24"/>
        </w:rPr>
        <w:t>w</w:t>
      </w:r>
      <w:r w:rsidRPr="0074526C">
        <w:rPr>
          <w:b/>
          <w:bCs/>
          <w:szCs w:val="24"/>
        </w:rPr>
        <w:t xml:space="preserve">ork </w:t>
      </w:r>
      <w:r w:rsidRPr="00CD6D1E">
        <w:rPr>
          <w:szCs w:val="24"/>
        </w:rPr>
        <w:t>means work that</w:t>
      </w:r>
      <w:r>
        <w:rPr>
          <w:szCs w:val="24"/>
        </w:rPr>
        <w:t xml:space="preserve"> is:</w:t>
      </w:r>
      <w:r w:rsidRPr="00CD6D1E">
        <w:rPr>
          <w:szCs w:val="24"/>
        </w:rPr>
        <w:t xml:space="preserve"> </w:t>
      </w:r>
    </w:p>
    <w:p w14:paraId="5FD2BF53" w14:textId="61A07A89" w:rsidR="00563BCC" w:rsidRDefault="00563BCC" w:rsidP="007021D7">
      <w:pPr>
        <w:numPr>
          <w:ilvl w:val="6"/>
          <w:numId w:val="29"/>
        </w:numPr>
        <w:tabs>
          <w:tab w:val="clear" w:pos="2611"/>
          <w:tab w:val="num" w:pos="1560"/>
        </w:tabs>
        <w:spacing w:before="140" w:after="60"/>
        <w:ind w:left="1559" w:hanging="198"/>
        <w:rPr>
          <w:szCs w:val="24"/>
        </w:rPr>
      </w:pPr>
      <w:r w:rsidRPr="00A46BEC">
        <w:rPr>
          <w:szCs w:val="24"/>
        </w:rPr>
        <w:t>not contrary to the best interests of a child or young person; and</w:t>
      </w:r>
    </w:p>
    <w:p w14:paraId="6489D121" w14:textId="310F2C71" w:rsidR="00A46BEC" w:rsidRPr="00A46BEC" w:rsidRDefault="00A46BEC" w:rsidP="007021D7">
      <w:pPr>
        <w:numPr>
          <w:ilvl w:val="6"/>
          <w:numId w:val="29"/>
        </w:numPr>
        <w:tabs>
          <w:tab w:val="clear" w:pos="2611"/>
          <w:tab w:val="num" w:pos="1560"/>
        </w:tabs>
        <w:spacing w:before="140" w:after="60"/>
        <w:ind w:left="1559" w:hanging="198"/>
        <w:rPr>
          <w:szCs w:val="24"/>
        </w:rPr>
      </w:pPr>
      <w:r w:rsidRPr="00454E05">
        <w:rPr>
          <w:szCs w:val="24"/>
        </w:rPr>
        <w:t xml:space="preserve">declared by regulation to be light work. </w:t>
      </w:r>
    </w:p>
    <w:p w14:paraId="43C7D392" w14:textId="77777777" w:rsidR="00563BCC" w:rsidRPr="00454E05" w:rsidRDefault="00563BCC" w:rsidP="007021D7">
      <w:pPr>
        <w:spacing w:before="140" w:after="60"/>
        <w:ind w:left="1100"/>
        <w:rPr>
          <w:rStyle w:val="EmailStyle61"/>
          <w:szCs w:val="24"/>
        </w:rPr>
      </w:pPr>
      <w:r w:rsidRPr="00F42A2E">
        <w:rPr>
          <w:b/>
        </w:rPr>
        <w:t>Oversight body</w:t>
      </w:r>
      <w:r w:rsidRPr="00454E05">
        <w:rPr>
          <w:rStyle w:val="EmailStyle61"/>
          <w:szCs w:val="24"/>
        </w:rPr>
        <w:t xml:space="preserve"> </w:t>
      </w:r>
      <w:r w:rsidRPr="00F42A2E">
        <w:t>means:</w:t>
      </w:r>
    </w:p>
    <w:p w14:paraId="640C6AA5" w14:textId="6D4E36A1" w:rsidR="00563BCC" w:rsidRDefault="0096110E" w:rsidP="007021D7">
      <w:pPr>
        <w:numPr>
          <w:ilvl w:val="6"/>
          <w:numId w:val="25"/>
        </w:numPr>
        <w:tabs>
          <w:tab w:val="clear" w:pos="2611"/>
          <w:tab w:val="num" w:pos="1600"/>
        </w:tabs>
        <w:spacing w:before="140" w:after="60"/>
        <w:ind w:left="1559" w:hanging="198"/>
        <w:rPr>
          <w:szCs w:val="24"/>
        </w:rPr>
      </w:pPr>
      <w:r w:rsidRPr="00C21505">
        <w:rPr>
          <w:szCs w:val="24"/>
        </w:rPr>
        <w:t>i</w:t>
      </w:r>
      <w:r w:rsidR="00563BCC" w:rsidRPr="00C21505">
        <w:rPr>
          <w:szCs w:val="24"/>
        </w:rPr>
        <w:t xml:space="preserve">n relation to government schools, the Director-General of the </w:t>
      </w:r>
      <w:r w:rsidR="002669C7">
        <w:rPr>
          <w:szCs w:val="24"/>
        </w:rPr>
        <w:t>ACT Education Directorate</w:t>
      </w:r>
      <w:r w:rsidR="00563BCC" w:rsidRPr="00C21505">
        <w:rPr>
          <w:szCs w:val="24"/>
        </w:rPr>
        <w:t xml:space="preserve">; or </w:t>
      </w:r>
    </w:p>
    <w:p w14:paraId="0A9D8898" w14:textId="1B359802" w:rsidR="00A46BEC" w:rsidRDefault="00A46BEC" w:rsidP="007021D7">
      <w:pPr>
        <w:numPr>
          <w:ilvl w:val="6"/>
          <w:numId w:val="25"/>
        </w:numPr>
        <w:tabs>
          <w:tab w:val="clear" w:pos="2611"/>
          <w:tab w:val="num" w:pos="1600"/>
        </w:tabs>
        <w:spacing w:before="140" w:after="60"/>
        <w:ind w:left="1559" w:hanging="198"/>
        <w:rPr>
          <w:szCs w:val="24"/>
        </w:rPr>
      </w:pPr>
      <w:r w:rsidRPr="001A17D1">
        <w:rPr>
          <w:szCs w:val="24"/>
        </w:rPr>
        <w:t>in relation to Catholic systemic schools, the Catholic Education Office; or</w:t>
      </w:r>
    </w:p>
    <w:p w14:paraId="72153354" w14:textId="18F4806F" w:rsidR="004F1F47" w:rsidRDefault="004F1F47" w:rsidP="007021D7">
      <w:pPr>
        <w:numPr>
          <w:ilvl w:val="6"/>
          <w:numId w:val="25"/>
        </w:numPr>
        <w:tabs>
          <w:tab w:val="clear" w:pos="2611"/>
          <w:tab w:val="num" w:pos="1600"/>
        </w:tabs>
        <w:spacing w:before="140" w:after="60"/>
        <w:ind w:left="1559" w:hanging="198"/>
        <w:rPr>
          <w:szCs w:val="24"/>
        </w:rPr>
      </w:pPr>
      <w:r w:rsidRPr="001A17D1">
        <w:rPr>
          <w:szCs w:val="24"/>
        </w:rPr>
        <w:t>in relation to independent schools, the Association of Independent Schools, or</w:t>
      </w:r>
    </w:p>
    <w:p w14:paraId="76EFD2A6" w14:textId="7AE4008F" w:rsidR="004F1F47" w:rsidRPr="00C21505" w:rsidRDefault="004F1F47" w:rsidP="007021D7">
      <w:pPr>
        <w:numPr>
          <w:ilvl w:val="6"/>
          <w:numId w:val="25"/>
        </w:numPr>
        <w:tabs>
          <w:tab w:val="clear" w:pos="2611"/>
          <w:tab w:val="num" w:pos="1600"/>
        </w:tabs>
        <w:spacing w:before="140" w:after="60"/>
        <w:ind w:left="1559" w:hanging="198"/>
        <w:rPr>
          <w:szCs w:val="24"/>
        </w:rPr>
      </w:pPr>
      <w:r w:rsidRPr="001A17D1">
        <w:rPr>
          <w:szCs w:val="24"/>
        </w:rPr>
        <w:t>in relation to any other school or system of schools, the body having the legal responsibility for the management of the school or system of schools.</w:t>
      </w:r>
    </w:p>
    <w:p w14:paraId="15F42C91" w14:textId="140E421C" w:rsidR="00563BCC" w:rsidRPr="001A17D1" w:rsidRDefault="00563BCC" w:rsidP="007021D7">
      <w:pPr>
        <w:tabs>
          <w:tab w:val="left" w:pos="4320"/>
        </w:tabs>
        <w:spacing w:before="140" w:after="60"/>
        <w:ind w:left="1100"/>
        <w:rPr>
          <w:b/>
          <w:bCs/>
          <w:szCs w:val="24"/>
        </w:rPr>
      </w:pPr>
      <w:r w:rsidRPr="00CD6D1E">
        <w:rPr>
          <w:b/>
          <w:bCs/>
          <w:szCs w:val="24"/>
        </w:rPr>
        <w:t xml:space="preserve">Provider </w:t>
      </w:r>
      <w:r w:rsidRPr="001A17D1">
        <w:rPr>
          <w:szCs w:val="24"/>
        </w:rPr>
        <w:t>means a body contracted to broker work placements.</w:t>
      </w:r>
    </w:p>
    <w:p w14:paraId="66F0394A" w14:textId="77777777" w:rsidR="00563BCC" w:rsidRPr="001A17D1" w:rsidRDefault="00563BCC" w:rsidP="007021D7">
      <w:pPr>
        <w:tabs>
          <w:tab w:val="left" w:pos="4320"/>
        </w:tabs>
        <w:spacing w:before="140" w:after="60"/>
        <w:ind w:left="1100"/>
        <w:rPr>
          <w:b/>
          <w:bCs/>
          <w:szCs w:val="24"/>
        </w:rPr>
      </w:pPr>
      <w:r w:rsidRPr="00454E05">
        <w:rPr>
          <w:b/>
          <w:bCs/>
          <w:szCs w:val="24"/>
        </w:rPr>
        <w:lastRenderedPageBreak/>
        <w:t xml:space="preserve">Prohibited activities </w:t>
      </w:r>
      <w:r w:rsidRPr="00B07C1E">
        <w:rPr>
          <w:szCs w:val="24"/>
        </w:rPr>
        <w:t>include activities that are not suitable for a child or young person in an approved work placement.</w:t>
      </w:r>
      <w:r w:rsidRPr="001A17D1">
        <w:rPr>
          <w:b/>
          <w:bCs/>
          <w:szCs w:val="24"/>
        </w:rPr>
        <w:t xml:space="preserve"> </w:t>
      </w:r>
    </w:p>
    <w:p w14:paraId="35183146" w14:textId="278DD11F" w:rsidR="00563BCC" w:rsidRPr="001A17D1" w:rsidRDefault="00563BCC" w:rsidP="007021D7">
      <w:pPr>
        <w:tabs>
          <w:tab w:val="left" w:pos="4320"/>
        </w:tabs>
        <w:spacing w:before="140" w:after="60"/>
        <w:ind w:left="1100"/>
        <w:rPr>
          <w:b/>
          <w:bCs/>
          <w:szCs w:val="24"/>
        </w:rPr>
      </w:pPr>
      <w:r w:rsidRPr="00CD6D1E">
        <w:rPr>
          <w:b/>
          <w:bCs/>
          <w:szCs w:val="24"/>
        </w:rPr>
        <w:t xml:space="preserve">Restricted activities </w:t>
      </w:r>
      <w:r w:rsidRPr="00B07C1E">
        <w:rPr>
          <w:szCs w:val="24"/>
        </w:rPr>
        <w:t xml:space="preserve">include work placements with butchers, as </w:t>
      </w:r>
      <w:r w:rsidR="00BB5D7D" w:rsidRPr="00B07C1E">
        <w:rPr>
          <w:szCs w:val="24"/>
        </w:rPr>
        <w:t xml:space="preserve">prescribed in </w:t>
      </w:r>
      <w:r w:rsidRPr="00B07C1E">
        <w:rPr>
          <w:szCs w:val="24"/>
        </w:rPr>
        <w:t>the ACT Education Directorate</w:t>
      </w:r>
      <w:r w:rsidR="00BB5D7D" w:rsidRPr="00B07C1E">
        <w:rPr>
          <w:szCs w:val="24"/>
        </w:rPr>
        <w:t xml:space="preserve">’s </w:t>
      </w:r>
      <w:r w:rsidRPr="00B07C1E">
        <w:rPr>
          <w:szCs w:val="24"/>
        </w:rPr>
        <w:t xml:space="preserve">workplace learning </w:t>
      </w:r>
      <w:r w:rsidR="00F42847" w:rsidRPr="00B07C1E">
        <w:rPr>
          <w:szCs w:val="24"/>
        </w:rPr>
        <w:t xml:space="preserve">program </w:t>
      </w:r>
      <w:r w:rsidRPr="00B07C1E">
        <w:rPr>
          <w:szCs w:val="24"/>
        </w:rPr>
        <w:t>guidelines and requirements.</w:t>
      </w:r>
      <w:r w:rsidRPr="001A17D1">
        <w:rPr>
          <w:b/>
          <w:bCs/>
          <w:szCs w:val="24"/>
        </w:rPr>
        <w:t xml:space="preserve">  </w:t>
      </w:r>
    </w:p>
    <w:p w14:paraId="05AFB0D8" w14:textId="0A0CA84D" w:rsidR="00563BCC" w:rsidRPr="001A17D1" w:rsidRDefault="00563BCC" w:rsidP="007021D7">
      <w:pPr>
        <w:tabs>
          <w:tab w:val="left" w:pos="4320"/>
        </w:tabs>
        <w:spacing w:before="140" w:after="60"/>
        <w:ind w:left="1100"/>
        <w:rPr>
          <w:b/>
          <w:bCs/>
          <w:szCs w:val="24"/>
        </w:rPr>
      </w:pPr>
      <w:r w:rsidRPr="00CD6D1E">
        <w:rPr>
          <w:b/>
          <w:bCs/>
          <w:szCs w:val="24"/>
        </w:rPr>
        <w:t>Student</w:t>
      </w:r>
      <w:r w:rsidRPr="001A17D1">
        <w:rPr>
          <w:b/>
          <w:bCs/>
          <w:szCs w:val="24"/>
        </w:rPr>
        <w:t xml:space="preserve"> </w:t>
      </w:r>
      <w:r w:rsidRPr="00B07C1E">
        <w:rPr>
          <w:szCs w:val="24"/>
        </w:rPr>
        <w:t>means a student a</w:t>
      </w:r>
      <w:r w:rsidR="008A215C" w:rsidRPr="00B07C1E">
        <w:rPr>
          <w:szCs w:val="24"/>
        </w:rPr>
        <w:t xml:space="preserve">pproved </w:t>
      </w:r>
      <w:r w:rsidR="00EF76C2">
        <w:rPr>
          <w:szCs w:val="24"/>
        </w:rPr>
        <w:t>t</w:t>
      </w:r>
      <w:r w:rsidRPr="00B07C1E">
        <w:rPr>
          <w:szCs w:val="24"/>
        </w:rPr>
        <w:t xml:space="preserve">o participate in a work experience </w:t>
      </w:r>
      <w:r w:rsidR="008A215C" w:rsidRPr="00B07C1E">
        <w:rPr>
          <w:szCs w:val="24"/>
        </w:rPr>
        <w:t>placement</w:t>
      </w:r>
      <w:r w:rsidR="00F42847" w:rsidRPr="00B07C1E">
        <w:rPr>
          <w:szCs w:val="24"/>
        </w:rPr>
        <w:t xml:space="preserve"> </w:t>
      </w:r>
      <w:r w:rsidRPr="00B07C1E">
        <w:rPr>
          <w:szCs w:val="24"/>
        </w:rPr>
        <w:t>with a host employer.</w:t>
      </w:r>
      <w:r w:rsidRPr="001A17D1">
        <w:rPr>
          <w:b/>
          <w:bCs/>
          <w:szCs w:val="24"/>
        </w:rPr>
        <w:t xml:space="preserve"> </w:t>
      </w:r>
    </w:p>
    <w:p w14:paraId="5CB15A70" w14:textId="2E5797C2" w:rsidR="0008437E" w:rsidRPr="001A17D1" w:rsidRDefault="0008437E" w:rsidP="007021D7">
      <w:pPr>
        <w:tabs>
          <w:tab w:val="left" w:pos="4320"/>
        </w:tabs>
        <w:spacing w:before="140" w:after="60"/>
        <w:ind w:left="1100"/>
        <w:rPr>
          <w:b/>
          <w:bCs/>
          <w:szCs w:val="24"/>
        </w:rPr>
      </w:pPr>
      <w:r w:rsidRPr="0008437E">
        <w:rPr>
          <w:b/>
          <w:bCs/>
          <w:szCs w:val="24"/>
        </w:rPr>
        <w:t xml:space="preserve">Work </w:t>
      </w:r>
      <w:r w:rsidR="00441BDE">
        <w:rPr>
          <w:b/>
          <w:bCs/>
          <w:szCs w:val="24"/>
        </w:rPr>
        <w:t>p</w:t>
      </w:r>
      <w:r w:rsidRPr="0008437E">
        <w:rPr>
          <w:b/>
          <w:bCs/>
          <w:szCs w:val="24"/>
        </w:rPr>
        <w:t xml:space="preserve">lacement </w:t>
      </w:r>
      <w:r w:rsidRPr="00B07C1E">
        <w:rPr>
          <w:szCs w:val="24"/>
        </w:rPr>
        <w:t>means the placement of a student for work experience or structured workplace learning under a work experience program.</w:t>
      </w:r>
    </w:p>
    <w:p w14:paraId="57461CCE" w14:textId="77777777" w:rsidR="00563BCC" w:rsidRPr="00B07C1E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454E05">
        <w:rPr>
          <w:b/>
          <w:bCs/>
          <w:szCs w:val="24"/>
        </w:rPr>
        <w:t>Workplace learning coordinator</w:t>
      </w:r>
      <w:r w:rsidRPr="001A17D1">
        <w:rPr>
          <w:b/>
          <w:bCs/>
          <w:szCs w:val="24"/>
        </w:rPr>
        <w:t xml:space="preserve"> </w:t>
      </w:r>
      <w:r w:rsidRPr="00B07C1E">
        <w:rPr>
          <w:szCs w:val="24"/>
        </w:rPr>
        <w:t>means an authorised staff member of a host school who is responsible for coordinating that school’s work experience placements.</w:t>
      </w:r>
    </w:p>
    <w:p w14:paraId="2397D7F4" w14:textId="5012F6AD" w:rsidR="00563BCC" w:rsidRPr="001A17D1" w:rsidRDefault="00563BCC" w:rsidP="007021D7">
      <w:pPr>
        <w:tabs>
          <w:tab w:val="left" w:pos="4320"/>
        </w:tabs>
        <w:spacing w:before="140" w:after="60"/>
        <w:ind w:left="1100"/>
        <w:rPr>
          <w:szCs w:val="24"/>
        </w:rPr>
      </w:pPr>
      <w:r w:rsidRPr="00D248C7">
        <w:rPr>
          <w:b/>
          <w:bCs/>
          <w:szCs w:val="24"/>
        </w:rPr>
        <w:t>Young person</w:t>
      </w:r>
      <w:r w:rsidRPr="001A17D1">
        <w:rPr>
          <w:b/>
          <w:bCs/>
          <w:szCs w:val="24"/>
        </w:rPr>
        <w:t xml:space="preserve"> </w:t>
      </w:r>
      <w:r w:rsidRPr="00D248C7">
        <w:rPr>
          <w:szCs w:val="24"/>
        </w:rPr>
        <w:t xml:space="preserve">means a person </w:t>
      </w:r>
      <w:r w:rsidR="006604A4">
        <w:rPr>
          <w:szCs w:val="24"/>
        </w:rPr>
        <w:t>aged</w:t>
      </w:r>
      <w:r w:rsidR="00E04B79">
        <w:rPr>
          <w:szCs w:val="24"/>
        </w:rPr>
        <w:t xml:space="preserve"> </w:t>
      </w:r>
      <w:r w:rsidRPr="00D248C7">
        <w:rPr>
          <w:szCs w:val="24"/>
        </w:rPr>
        <w:t>12 years or older, but not yet an adult</w:t>
      </w:r>
      <w:r w:rsidR="004A1ED1">
        <w:rPr>
          <w:szCs w:val="24"/>
        </w:rPr>
        <w:t>.</w:t>
      </w:r>
      <w:r w:rsidR="00B07C1E">
        <w:rPr>
          <w:rStyle w:val="FootnoteReference"/>
        </w:rPr>
        <w:footnoteReference w:id="1"/>
      </w:r>
      <w:r w:rsidRPr="001A17D1">
        <w:rPr>
          <w:szCs w:val="24"/>
        </w:rPr>
        <w:t xml:space="preserve"> </w:t>
      </w:r>
    </w:p>
    <w:p w14:paraId="43E1B277" w14:textId="77777777" w:rsidR="00563BCC" w:rsidRPr="0074526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 xml:space="preserve">Purpose of work experience </w:t>
      </w:r>
      <w:r>
        <w:rPr>
          <w:b/>
          <w:bCs/>
          <w:sz w:val="28"/>
          <w:szCs w:val="28"/>
        </w:rPr>
        <w:t xml:space="preserve">placements </w:t>
      </w:r>
    </w:p>
    <w:p w14:paraId="6EB7E38D" w14:textId="77777777" w:rsidR="00B07C1E" w:rsidRPr="001A17D1" w:rsidRDefault="00B07C1E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B07C1E">
        <w:t xml:space="preserve">These Standards relate to work experience placements organised by educational institutions, in collaboration with host employers, as part of workplace learning curricula for students aged </w:t>
      </w:r>
      <w:r w:rsidRPr="00C70779">
        <w:rPr>
          <w:b/>
          <w:bCs/>
        </w:rPr>
        <w:t>under 15 years</w:t>
      </w:r>
      <w:r w:rsidRPr="00B07C1E">
        <w:t>.</w:t>
      </w:r>
    </w:p>
    <w:p w14:paraId="3ADCBB18" w14:textId="4E6593FA" w:rsidR="00563BCC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>
        <w:t xml:space="preserve">The purpose of work experience placements is to provide valuable opportunities for students to develop vocational skills, knowledge, and attitudes in the context of real work environments. </w:t>
      </w:r>
    </w:p>
    <w:p w14:paraId="1428F3D4" w14:textId="746D20DD" w:rsidR="00563BCC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>
        <w:t xml:space="preserve">Work experience placements </w:t>
      </w:r>
      <w:r w:rsidRPr="002F1A28">
        <w:t xml:space="preserve">aim to build on work and career </w:t>
      </w:r>
      <w:r w:rsidR="00A50755" w:rsidRPr="002F1A28">
        <w:t>education program</w:t>
      </w:r>
      <w:r w:rsidR="00996632">
        <w:t>s</w:t>
      </w:r>
      <w:r>
        <w:t>,</w:t>
      </w:r>
      <w:r w:rsidRPr="002F1A28">
        <w:t xml:space="preserve"> as well as other course work and career planning activities that assist students in their transition from school to work and/or further study.</w:t>
      </w:r>
    </w:p>
    <w:p w14:paraId="3A4E5BE7" w14:textId="77777777" w:rsidR="00877099" w:rsidRPr="001A17D1" w:rsidRDefault="00877099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877099">
        <w:rPr>
          <w:b/>
          <w:bCs/>
          <w:sz w:val="28"/>
          <w:szCs w:val="28"/>
        </w:rPr>
        <w:t>Eligibility for an educational institution to conduct a work experience program</w:t>
      </w:r>
    </w:p>
    <w:p w14:paraId="05BAD40A" w14:textId="52A386E7" w:rsidR="00877099" w:rsidRDefault="00877099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1A17D1">
        <w:t xml:space="preserve">To conduct a work experience program for young people </w:t>
      </w:r>
      <w:r w:rsidRPr="00C70779">
        <w:rPr>
          <w:b/>
          <w:bCs/>
        </w:rPr>
        <w:t>aged 14 years and over</w:t>
      </w:r>
      <w:r w:rsidRPr="001A17D1">
        <w:t xml:space="preserve">, educational institutions must apply to the </w:t>
      </w:r>
      <w:bookmarkStart w:id="3" w:name="_Hlk75795062"/>
      <w:r w:rsidRPr="001A17D1">
        <w:t xml:space="preserve">Director-General of the ACT Education Directorate </w:t>
      </w:r>
      <w:bookmarkEnd w:id="3"/>
      <w:r w:rsidRPr="001A17D1">
        <w:t>for an exemption from the operation of Chapter 21 (Employment of Children and Young People) under section</w:t>
      </w:r>
      <w:r w:rsidR="00C70779">
        <w:t> </w:t>
      </w:r>
      <w:r w:rsidRPr="001A17D1">
        <w:t xml:space="preserve">783 of the </w:t>
      </w:r>
      <w:r w:rsidRPr="00C70779">
        <w:rPr>
          <w:i/>
          <w:iCs/>
        </w:rPr>
        <w:t>Children and Young People Act 2008</w:t>
      </w:r>
      <w:r w:rsidRPr="001A17D1">
        <w:t xml:space="preserve">. </w:t>
      </w:r>
    </w:p>
    <w:p w14:paraId="6B65481D" w14:textId="77777777" w:rsidR="00877099" w:rsidRPr="001A17D1" w:rsidRDefault="00877099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bookmarkStart w:id="4" w:name="_Hlk75795209"/>
      <w:r w:rsidRPr="00877099">
        <w:rPr>
          <w:b/>
          <w:bCs/>
          <w:sz w:val="28"/>
          <w:szCs w:val="28"/>
        </w:rPr>
        <w:t>Eligibility for a young person aged under 14 years to participate in a work experience program</w:t>
      </w:r>
    </w:p>
    <w:bookmarkEnd w:id="4"/>
    <w:p w14:paraId="54C3F5C7" w14:textId="433CD827" w:rsidR="00BD34E3" w:rsidRDefault="00877099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1A17D1">
        <w:t xml:space="preserve">Educational institutions arranging for students </w:t>
      </w:r>
      <w:r w:rsidRPr="00C70779">
        <w:rPr>
          <w:b/>
          <w:bCs/>
        </w:rPr>
        <w:t>under 14 years</w:t>
      </w:r>
      <w:r w:rsidRPr="001A17D1">
        <w:t xml:space="preserve"> of age to participate in a work experience program must apply to the </w:t>
      </w:r>
      <w:r w:rsidR="005E0AEC">
        <w:br/>
      </w:r>
      <w:r w:rsidRPr="001A17D1">
        <w:t xml:space="preserve">Director-General of the ACT Education Directorate </w:t>
      </w:r>
      <w:r w:rsidRPr="00EF76C2">
        <w:rPr>
          <w:b/>
          <w:bCs/>
        </w:rPr>
        <w:t>in addition</w:t>
      </w:r>
      <w:r w:rsidRPr="001A17D1">
        <w:t xml:space="preserve"> to seeking exemption from the operation of Chapter 21. </w:t>
      </w:r>
    </w:p>
    <w:p w14:paraId="2AF72D0C" w14:textId="044903B9" w:rsidR="00877099" w:rsidRPr="001A17D1" w:rsidRDefault="00877099" w:rsidP="008E4E86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right="-106" w:hanging="198"/>
      </w:pPr>
      <w:bookmarkStart w:id="5" w:name="_Hlk75795397"/>
      <w:r w:rsidRPr="001A17D1">
        <w:t xml:space="preserve">Participation in such targeted work experience programs is restricted to high school students </w:t>
      </w:r>
      <w:r w:rsidRPr="00C70779">
        <w:rPr>
          <w:b/>
          <w:bCs/>
        </w:rPr>
        <w:t>only</w:t>
      </w:r>
      <w:bookmarkEnd w:id="5"/>
      <w:r w:rsidRPr="001A17D1">
        <w:t>.</w:t>
      </w:r>
    </w:p>
    <w:p w14:paraId="02DE761D" w14:textId="77777777" w:rsidR="00563BCC" w:rsidRPr="0074526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lastRenderedPageBreak/>
        <w:t>Register of host employers</w:t>
      </w:r>
    </w:p>
    <w:p w14:paraId="002582E3" w14:textId="2319DA1C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 xml:space="preserve">The </w:t>
      </w:r>
      <w:r w:rsidRPr="00C33076">
        <w:t>oversight</w:t>
      </w:r>
      <w:r w:rsidRPr="00D92186">
        <w:t xml:space="preserve"> bodies of host schools</w:t>
      </w:r>
      <w:r w:rsidR="00EF76C2">
        <w:t>,</w:t>
      </w:r>
      <w:r>
        <w:t xml:space="preserve"> or where a provider is involved</w:t>
      </w:r>
      <w:r w:rsidR="00EF76C2">
        <w:t>,</w:t>
      </w:r>
      <w:r w:rsidR="00A353C2">
        <w:t xml:space="preserve"> </w:t>
      </w:r>
      <w:r w:rsidRPr="0087358A">
        <w:rPr>
          <w:b/>
          <w:bCs/>
        </w:rPr>
        <w:t>must</w:t>
      </w:r>
      <w:r w:rsidRPr="00D92186">
        <w:t xml:space="preserve"> keep a register of participating host employers. </w:t>
      </w:r>
    </w:p>
    <w:p w14:paraId="38DA040A" w14:textId="0B538096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 xml:space="preserve">The register of host employers </w:t>
      </w:r>
      <w:r w:rsidRPr="0087358A">
        <w:rPr>
          <w:b/>
          <w:bCs/>
        </w:rPr>
        <w:t>must</w:t>
      </w:r>
      <w:r w:rsidRPr="00D92186">
        <w:t xml:space="preserve"> include the following information: </w:t>
      </w:r>
    </w:p>
    <w:p w14:paraId="1ED9D80A" w14:textId="77777777" w:rsidR="00563BCC" w:rsidRPr="0074526C" w:rsidRDefault="00563BCC" w:rsidP="008713CD">
      <w:pPr>
        <w:numPr>
          <w:ilvl w:val="1"/>
          <w:numId w:val="6"/>
        </w:numPr>
        <w:spacing w:before="140"/>
        <w:ind w:left="1843" w:hanging="567"/>
      </w:pPr>
      <w:r w:rsidRPr="0074526C">
        <w:t>Host employer name (business/organisation) and name of contact person</w:t>
      </w:r>
      <w:r>
        <w:t>;</w:t>
      </w:r>
    </w:p>
    <w:p w14:paraId="2641BA65" w14:textId="77777777" w:rsidR="00563BCC" w:rsidRPr="0074526C" w:rsidRDefault="00563BCC" w:rsidP="00EC41F6">
      <w:pPr>
        <w:numPr>
          <w:ilvl w:val="1"/>
          <w:numId w:val="6"/>
        </w:numPr>
        <w:spacing w:before="140"/>
        <w:ind w:left="1843" w:hanging="567"/>
      </w:pPr>
      <w:r w:rsidRPr="0074526C">
        <w:t>Business/organisation address, phone number and email</w:t>
      </w:r>
      <w:r>
        <w:t>;</w:t>
      </w:r>
    </w:p>
    <w:p w14:paraId="42988876" w14:textId="71B41807" w:rsidR="00563BCC" w:rsidRPr="0074526C" w:rsidRDefault="00563BCC" w:rsidP="00EC41F6">
      <w:pPr>
        <w:numPr>
          <w:ilvl w:val="1"/>
          <w:numId w:val="6"/>
        </w:numPr>
        <w:spacing w:before="140"/>
        <w:ind w:left="1843" w:hanging="567"/>
      </w:pPr>
      <w:r w:rsidRPr="0074526C">
        <w:t>Industry area and occupation types (</w:t>
      </w:r>
      <w:r w:rsidR="004A6EEB">
        <w:t xml:space="preserve">i.e. </w:t>
      </w:r>
      <w:r w:rsidR="00170EEA">
        <w:t>Australian and New Zealand Standard Classification of Occupations</w:t>
      </w:r>
      <w:r w:rsidR="004A1ED1">
        <w:t xml:space="preserve">, </w:t>
      </w:r>
      <w:r w:rsidRPr="0074526C">
        <w:t>ANZSCO)</w:t>
      </w:r>
      <w:r>
        <w:t>;</w:t>
      </w:r>
    </w:p>
    <w:p w14:paraId="70B7F38D" w14:textId="2A92941C" w:rsidR="00563BCC" w:rsidRPr="0074526C" w:rsidRDefault="00563BCC" w:rsidP="00EC41F6">
      <w:pPr>
        <w:numPr>
          <w:ilvl w:val="1"/>
          <w:numId w:val="6"/>
        </w:numPr>
        <w:spacing w:before="140"/>
        <w:ind w:left="1843" w:hanging="567"/>
      </w:pPr>
      <w:r w:rsidRPr="0074526C">
        <w:t>A</w:t>
      </w:r>
      <w:r>
        <w:t xml:space="preserve">ustralian </w:t>
      </w:r>
      <w:r w:rsidRPr="0074526C">
        <w:t>B</w:t>
      </w:r>
      <w:r>
        <w:t>usiness</w:t>
      </w:r>
      <w:r w:rsidRPr="0074526C">
        <w:t xml:space="preserve"> </w:t>
      </w:r>
      <w:r>
        <w:t>N</w:t>
      </w:r>
      <w:r w:rsidRPr="0074526C">
        <w:t>umber</w:t>
      </w:r>
      <w:r>
        <w:t xml:space="preserve"> (ABN)</w:t>
      </w:r>
      <w:r w:rsidR="00DE49B5">
        <w:t xml:space="preserve"> and </w:t>
      </w:r>
      <w:r w:rsidR="00DE49B5" w:rsidRPr="00DE49B5">
        <w:t>Australian Company Numbers (ACNs)</w:t>
      </w:r>
      <w:r w:rsidR="00DE49B5">
        <w:t xml:space="preserve"> or </w:t>
      </w:r>
      <w:r w:rsidR="00DE49B5" w:rsidRPr="00DE49B5">
        <w:t>Australian Registered Body Numbers</w:t>
      </w:r>
      <w:r w:rsidR="00DE49B5">
        <w:t xml:space="preserve"> (ARNB), whichever is applicable</w:t>
      </w:r>
      <w:r>
        <w:t>;</w:t>
      </w:r>
    </w:p>
    <w:p w14:paraId="5C075C83" w14:textId="77777777" w:rsidR="00563BCC" w:rsidRPr="0074526C" w:rsidRDefault="00563BCC" w:rsidP="00EC41F6">
      <w:pPr>
        <w:numPr>
          <w:ilvl w:val="1"/>
          <w:numId w:val="6"/>
        </w:numPr>
        <w:spacing w:before="140"/>
        <w:ind w:left="1843" w:hanging="567"/>
      </w:pPr>
      <w:r w:rsidRPr="0074526C">
        <w:t>Name and contact details of workplace supervisor</w:t>
      </w:r>
      <w:r>
        <w:t>; and</w:t>
      </w:r>
    </w:p>
    <w:p w14:paraId="2174E3D6" w14:textId="77777777" w:rsidR="00563BCC" w:rsidRPr="0074526C" w:rsidRDefault="00563BCC" w:rsidP="00EC41F6">
      <w:pPr>
        <w:numPr>
          <w:ilvl w:val="1"/>
          <w:numId w:val="6"/>
        </w:numPr>
        <w:spacing w:before="140"/>
        <w:ind w:left="1843" w:hanging="567"/>
      </w:pPr>
      <w:r w:rsidRPr="0074526C">
        <w:t>Workplace accessibility for students with diverse needs/mobility issues</w:t>
      </w:r>
      <w:r>
        <w:t>.</w:t>
      </w:r>
    </w:p>
    <w:p w14:paraId="0D589D7E" w14:textId="60C648BE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 xml:space="preserve">Host schools </w:t>
      </w:r>
      <w:r w:rsidRPr="0087358A">
        <w:rPr>
          <w:b/>
          <w:bCs/>
        </w:rPr>
        <w:t>may</w:t>
      </w:r>
      <w:r w:rsidRPr="00D92186">
        <w:t xml:space="preserve"> request the oversight body</w:t>
      </w:r>
      <w:r>
        <w:t>/provider</w:t>
      </w:r>
      <w:r w:rsidRPr="00D92186">
        <w:t xml:space="preserve"> to register a host employer. </w:t>
      </w:r>
    </w:p>
    <w:p w14:paraId="307A1FCB" w14:textId="4CEAD949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 xml:space="preserve">Before requesting the registration of a host employer, the host school </w:t>
      </w:r>
      <w:r w:rsidRPr="0087358A">
        <w:rPr>
          <w:b/>
          <w:bCs/>
        </w:rPr>
        <w:t>must</w:t>
      </w:r>
      <w:r w:rsidRPr="00D92186">
        <w:t xml:space="preserve"> take reasonable steps to determine the suitability of the host employer and the proposed work experience</w:t>
      </w:r>
      <w:r>
        <w:t xml:space="preserve"> placement. </w:t>
      </w:r>
    </w:p>
    <w:p w14:paraId="3C88FA93" w14:textId="51EC12A8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>
        <w:t>Providers, h</w:t>
      </w:r>
      <w:r w:rsidRPr="00D92186">
        <w:t xml:space="preserve">ost schools and host employers </w:t>
      </w:r>
      <w:r w:rsidRPr="0087358A">
        <w:rPr>
          <w:b/>
          <w:bCs/>
        </w:rPr>
        <w:t>must</w:t>
      </w:r>
      <w:r w:rsidRPr="00D92186">
        <w:t xml:space="preserve"> comply with all reasonable requests for information from the </w:t>
      </w:r>
      <w:r>
        <w:t xml:space="preserve">ACT </w:t>
      </w:r>
      <w:r w:rsidRPr="00D92186">
        <w:t>Education Directorate.</w:t>
      </w:r>
    </w:p>
    <w:p w14:paraId="51A80A4F" w14:textId="77777777" w:rsidR="00563BCC" w:rsidRPr="0074526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Arrangement of w</w:t>
      </w:r>
      <w:r w:rsidRPr="0074526C">
        <w:rPr>
          <w:b/>
          <w:bCs/>
          <w:sz w:val="28"/>
          <w:szCs w:val="28"/>
        </w:rPr>
        <w:t>ork experience placements</w:t>
      </w:r>
    </w:p>
    <w:p w14:paraId="3EF5D088" w14:textId="002ED762" w:rsidR="00563BCC" w:rsidRPr="008A218F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8A218F">
        <w:t xml:space="preserve">A student </w:t>
      </w:r>
      <w:r w:rsidRPr="0087358A">
        <w:rPr>
          <w:b/>
          <w:bCs/>
        </w:rPr>
        <w:t>may</w:t>
      </w:r>
      <w:r w:rsidRPr="008A218F">
        <w:t xml:space="preserve"> apply to their host school for a work experience placement.</w:t>
      </w:r>
    </w:p>
    <w:p w14:paraId="7C085DC0" w14:textId="326E325F" w:rsidR="00563BCC" w:rsidRPr="008A218F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8A218F">
        <w:t xml:space="preserve">A host school </w:t>
      </w:r>
      <w:r w:rsidRPr="0087358A">
        <w:rPr>
          <w:b/>
          <w:bCs/>
        </w:rPr>
        <w:t>may</w:t>
      </w:r>
      <w:r w:rsidRPr="008A218F">
        <w:t xml:space="preserve"> refer a student to an approved provider to arrange for a work placement.</w:t>
      </w:r>
    </w:p>
    <w:p w14:paraId="1B6C1FB4" w14:textId="7EDFD935" w:rsidR="00563BCC" w:rsidRPr="008A218F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8A218F">
        <w:t>A</w:t>
      </w:r>
      <w:r w:rsidR="00D9433C">
        <w:t>n educational institution</w:t>
      </w:r>
      <w:r w:rsidRPr="008A218F">
        <w:t xml:space="preserve"> </w:t>
      </w:r>
      <w:r w:rsidRPr="0087358A">
        <w:rPr>
          <w:b/>
          <w:bCs/>
        </w:rPr>
        <w:t>must</w:t>
      </w:r>
      <w:r w:rsidRPr="008A218F">
        <w:t xml:space="preserve"> only refer a student to a host employer that is on the</w:t>
      </w:r>
      <w:r w:rsidR="004A6EEB">
        <w:t>ir</w:t>
      </w:r>
      <w:r w:rsidRPr="008A218F">
        <w:t xml:space="preserve"> register of host employers. </w:t>
      </w:r>
    </w:p>
    <w:p w14:paraId="5CA6D29D" w14:textId="17EF1AC7" w:rsidR="00563BCC" w:rsidRPr="008A218F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8A218F">
        <w:t xml:space="preserve">Placements in meat processing plants are </w:t>
      </w:r>
      <w:r w:rsidRPr="0087358A">
        <w:rPr>
          <w:b/>
          <w:bCs/>
        </w:rPr>
        <w:t>subject to</w:t>
      </w:r>
      <w:r w:rsidRPr="008A218F">
        <w:t xml:space="preserve"> mandatory requirements</w:t>
      </w:r>
      <w:r w:rsidR="00834D0D">
        <w:t xml:space="preserve">, </w:t>
      </w:r>
      <w:r w:rsidR="00834D0D" w:rsidRPr="00834D0D">
        <w:t xml:space="preserve">as </w:t>
      </w:r>
      <w:r w:rsidR="00834D0D">
        <w:t>pre</w:t>
      </w:r>
      <w:r w:rsidR="00834D0D" w:rsidRPr="00834D0D">
        <w:t xml:space="preserve">scribed </w:t>
      </w:r>
      <w:r w:rsidR="00834D0D">
        <w:t>by</w:t>
      </w:r>
      <w:r w:rsidR="00834D0D" w:rsidRPr="00834D0D">
        <w:t xml:space="preserve"> the ACT Education Directorate’s Workplace Learning</w:t>
      </w:r>
      <w:r w:rsidR="00467A08">
        <w:t xml:space="preserve"> Program</w:t>
      </w:r>
      <w:r w:rsidR="00834D0D" w:rsidRPr="00834D0D">
        <w:t xml:space="preserve"> Guidelines</w:t>
      </w:r>
      <w:r w:rsidR="00467A08">
        <w:t xml:space="preserve"> and Requirements </w:t>
      </w:r>
      <w:r w:rsidR="00834D0D">
        <w:t>and the Australian Meat Industry Council</w:t>
      </w:r>
      <w:r w:rsidRPr="008A218F">
        <w:t>.</w:t>
      </w:r>
    </w:p>
    <w:p w14:paraId="76D1E0B4" w14:textId="2A3B2A98" w:rsidR="00563BCC" w:rsidRPr="008A218F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8A218F">
        <w:t>Work experience will be taken to be contrary to the best interests of a child or young person if it is otherwise likely to harm the child or young person’s health, safety, personal and social development (including by sexual or financial exploitation)</w:t>
      </w:r>
      <w:r>
        <w:t>,</w:t>
      </w:r>
      <w:r w:rsidRPr="008A218F">
        <w:t xml:space="preserve"> as defined under section 781 of the </w:t>
      </w:r>
      <w:r w:rsidRPr="0087358A">
        <w:rPr>
          <w:i/>
          <w:iCs/>
        </w:rPr>
        <w:t>Children and Young People Act 2008</w:t>
      </w:r>
      <w:r w:rsidRPr="008A218F">
        <w:t>.</w:t>
      </w:r>
    </w:p>
    <w:p w14:paraId="7327CABD" w14:textId="77777777" w:rsidR="00563BCC" w:rsidRPr="0074526C" w:rsidRDefault="00563BCC" w:rsidP="007021D7">
      <w:pPr>
        <w:pStyle w:val="ListParagraph"/>
        <w:keepNext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lastRenderedPageBreak/>
        <w:t xml:space="preserve">Mandatory </w:t>
      </w:r>
      <w:r>
        <w:rPr>
          <w:b/>
          <w:bCs/>
          <w:sz w:val="28"/>
          <w:szCs w:val="28"/>
        </w:rPr>
        <w:t>f</w:t>
      </w:r>
      <w:r w:rsidRPr="0074526C">
        <w:rPr>
          <w:b/>
          <w:bCs/>
          <w:sz w:val="28"/>
          <w:szCs w:val="28"/>
        </w:rPr>
        <w:t>our-way agreement</w:t>
      </w:r>
    </w:p>
    <w:p w14:paraId="1AAE2031" w14:textId="704C8863" w:rsidR="00563BCC" w:rsidRPr="008A218F" w:rsidRDefault="00563BCC" w:rsidP="008E4E86">
      <w:pPr>
        <w:pStyle w:val="ListParagraph"/>
        <w:keepLines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8A218F">
        <w:t>Before entering into a work experience p</w:t>
      </w:r>
      <w:r>
        <w:t>lacement</w:t>
      </w:r>
      <w:r w:rsidRPr="008A218F">
        <w:t>, the student, host school, host employer and the student’s parent</w:t>
      </w:r>
      <w:r w:rsidR="000054BA">
        <w:t xml:space="preserve">/s or legal guardian/s </w:t>
      </w:r>
      <w:r w:rsidRPr="0087358A">
        <w:rPr>
          <w:b/>
          <w:bCs/>
        </w:rPr>
        <w:t>must</w:t>
      </w:r>
      <w:r w:rsidRPr="001A17D1">
        <w:t xml:space="preserve"> </w:t>
      </w:r>
      <w:r w:rsidRPr="008A218F">
        <w:t xml:space="preserve">enter into a four-way agreement, setting </w:t>
      </w:r>
      <w:r w:rsidR="004A6EEB">
        <w:t xml:space="preserve">out clear expectations of </w:t>
      </w:r>
      <w:r w:rsidRPr="008A218F">
        <w:t>the parties</w:t>
      </w:r>
      <w:r w:rsidR="004A6EEB">
        <w:t>.</w:t>
      </w:r>
      <w:r w:rsidRPr="008A218F">
        <w:t xml:space="preserve"> </w:t>
      </w:r>
    </w:p>
    <w:p w14:paraId="4CE262BF" w14:textId="0DBC371E" w:rsidR="00563BCC" w:rsidRPr="0074526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 xml:space="preserve">Complaint procedure </w:t>
      </w:r>
    </w:p>
    <w:p w14:paraId="40C4F7C4" w14:textId="089B273C" w:rsidR="00563BCC" w:rsidRPr="001A17D1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248C7">
        <w:t xml:space="preserve">The four-way agreement should </w:t>
      </w:r>
      <w:r w:rsidR="00DF3EA5" w:rsidRPr="00D248C7">
        <w:t xml:space="preserve">outline </w:t>
      </w:r>
      <w:r w:rsidRPr="003B056C">
        <w:t>a complaint procedure that includes:</w:t>
      </w:r>
    </w:p>
    <w:p w14:paraId="5F61F637" w14:textId="77777777" w:rsidR="00563BCC" w:rsidRPr="002F760C" w:rsidRDefault="00563BCC" w:rsidP="00AE725B">
      <w:pPr>
        <w:numPr>
          <w:ilvl w:val="1"/>
          <w:numId w:val="7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 xml:space="preserve">the right of a </w:t>
      </w:r>
      <w:r w:rsidRPr="002F760C">
        <w:rPr>
          <w:szCs w:val="24"/>
        </w:rPr>
        <w:t>parent/guardian and student to make a complaint about any aspect of the work experience p</w:t>
      </w:r>
      <w:r>
        <w:rPr>
          <w:szCs w:val="24"/>
        </w:rPr>
        <w:t>lacement</w:t>
      </w:r>
      <w:r w:rsidRPr="002F760C">
        <w:rPr>
          <w:szCs w:val="24"/>
        </w:rPr>
        <w:t>;</w:t>
      </w:r>
    </w:p>
    <w:p w14:paraId="4C2F77EB" w14:textId="77777777" w:rsidR="00563BCC" w:rsidRPr="002F760C" w:rsidRDefault="00563BCC" w:rsidP="00AE725B">
      <w:pPr>
        <w:numPr>
          <w:ilvl w:val="1"/>
          <w:numId w:val="7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 xml:space="preserve">the process for making a </w:t>
      </w:r>
      <w:r w:rsidRPr="002F760C">
        <w:rPr>
          <w:szCs w:val="24"/>
        </w:rPr>
        <w:t>complaint</w:t>
      </w:r>
      <w:r>
        <w:rPr>
          <w:szCs w:val="24"/>
        </w:rPr>
        <w:t>, where a complaint</w:t>
      </w:r>
      <w:r w:rsidRPr="002F760C">
        <w:rPr>
          <w:szCs w:val="24"/>
        </w:rPr>
        <w:t xml:space="preserve"> should be made in the first instance to the host school or workplace learning coordinator (where applicable) who</w:t>
      </w:r>
      <w:r>
        <w:rPr>
          <w:szCs w:val="24"/>
        </w:rPr>
        <w:t xml:space="preserve"> will </w:t>
      </w:r>
      <w:r w:rsidRPr="002F760C">
        <w:rPr>
          <w:szCs w:val="24"/>
        </w:rPr>
        <w:t>initially investigate the complaint;</w:t>
      </w:r>
    </w:p>
    <w:p w14:paraId="54184757" w14:textId="6AA7A8CC" w:rsidR="00563BCC" w:rsidRPr="000A7A75" w:rsidRDefault="00563BCC" w:rsidP="00AE725B">
      <w:pPr>
        <w:numPr>
          <w:ilvl w:val="1"/>
          <w:numId w:val="7"/>
        </w:numPr>
        <w:spacing w:before="140" w:after="60"/>
        <w:ind w:left="1843" w:hanging="567"/>
        <w:rPr>
          <w:szCs w:val="24"/>
        </w:rPr>
      </w:pPr>
      <w:r w:rsidRPr="000A7A75">
        <w:rPr>
          <w:szCs w:val="24"/>
        </w:rPr>
        <w:t>the process for esca</w:t>
      </w:r>
      <w:r w:rsidRPr="00861E01">
        <w:rPr>
          <w:szCs w:val="24"/>
        </w:rPr>
        <w:t>lating a comp</w:t>
      </w:r>
      <w:r w:rsidRPr="000B21F6">
        <w:rPr>
          <w:szCs w:val="24"/>
        </w:rPr>
        <w:t>laint, in the</w:t>
      </w:r>
      <w:r w:rsidRPr="00C8606A">
        <w:rPr>
          <w:szCs w:val="24"/>
        </w:rPr>
        <w:t xml:space="preserve"> event the resolution proposed by the host school</w:t>
      </w:r>
      <w:r w:rsidRPr="000A7A75">
        <w:rPr>
          <w:szCs w:val="24"/>
        </w:rPr>
        <w:t>, host employer or provider is not accepted by the person making a complaint</w:t>
      </w:r>
      <w:r w:rsidRPr="000B21F6">
        <w:rPr>
          <w:szCs w:val="24"/>
        </w:rPr>
        <w:t xml:space="preserve">. The process should </w:t>
      </w:r>
      <w:r w:rsidRPr="00C8606A">
        <w:rPr>
          <w:szCs w:val="24"/>
        </w:rPr>
        <w:t>ident</w:t>
      </w:r>
      <w:r w:rsidRPr="000A7A75">
        <w:rPr>
          <w:szCs w:val="24"/>
        </w:rPr>
        <w:t>ify that the person making the complaint may</w:t>
      </w:r>
      <w:r w:rsidR="000054BA">
        <w:rPr>
          <w:szCs w:val="24"/>
        </w:rPr>
        <w:t xml:space="preserve"> </w:t>
      </w:r>
      <w:r w:rsidRPr="000A7A75">
        <w:rPr>
          <w:szCs w:val="24"/>
        </w:rPr>
        <w:t>make a complaint with the host school’s oversight body;</w:t>
      </w:r>
    </w:p>
    <w:p w14:paraId="4275ADB2" w14:textId="074C1B33" w:rsidR="00563BCC" w:rsidRPr="002F760C" w:rsidRDefault="00563BCC" w:rsidP="00AE725B">
      <w:pPr>
        <w:numPr>
          <w:ilvl w:val="1"/>
          <w:numId w:val="7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 xml:space="preserve">if the person is still not satisfied with the resolution, the person may make a complaint to the Director-General of the </w:t>
      </w:r>
      <w:r w:rsidR="005E0AEC">
        <w:rPr>
          <w:szCs w:val="24"/>
        </w:rPr>
        <w:br/>
      </w:r>
      <w:r w:rsidRPr="002F760C">
        <w:rPr>
          <w:szCs w:val="24"/>
        </w:rPr>
        <w:t>ACT Education Directorate; and</w:t>
      </w:r>
    </w:p>
    <w:p w14:paraId="37955E61" w14:textId="2705098D" w:rsidR="00563BCC" w:rsidRPr="002F760C" w:rsidRDefault="00563BCC" w:rsidP="00AE725B">
      <w:pPr>
        <w:numPr>
          <w:ilvl w:val="1"/>
          <w:numId w:val="7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 xml:space="preserve">that parties comply with all reasonable requests by the </w:t>
      </w:r>
      <w:r w:rsidR="005E0AEC">
        <w:rPr>
          <w:szCs w:val="24"/>
        </w:rPr>
        <w:br/>
      </w:r>
      <w:r w:rsidRPr="002F760C">
        <w:rPr>
          <w:szCs w:val="24"/>
        </w:rPr>
        <w:t>Director-General of the ACT Education Directorate for documentation related to the work experience placement.</w:t>
      </w:r>
    </w:p>
    <w:p w14:paraId="11BD91CD" w14:textId="77777777" w:rsidR="00563BCC" w:rsidRPr="0074526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Obligations of h</w:t>
      </w:r>
      <w:r w:rsidRPr="0074526C">
        <w:rPr>
          <w:b/>
          <w:bCs/>
          <w:sz w:val="28"/>
          <w:szCs w:val="28"/>
        </w:rPr>
        <w:t>ost employers</w:t>
      </w:r>
    </w:p>
    <w:p w14:paraId="7FED4F38" w14:textId="77777777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 xml:space="preserve">Host employers </w:t>
      </w:r>
      <w:r>
        <w:t>should</w:t>
      </w:r>
      <w:r w:rsidRPr="00D92186">
        <w:t>:</w:t>
      </w:r>
    </w:p>
    <w:p w14:paraId="4E05039D" w14:textId="77777777" w:rsidR="00563BCC" w:rsidRPr="006F2BAD" w:rsidRDefault="00563BCC" w:rsidP="006F2BAD">
      <w:pPr>
        <w:numPr>
          <w:ilvl w:val="6"/>
          <w:numId w:val="26"/>
        </w:numPr>
        <w:tabs>
          <w:tab w:val="clear" w:pos="2611"/>
          <w:tab w:val="num" w:pos="1560"/>
        </w:tabs>
        <w:spacing w:before="140"/>
        <w:ind w:left="1559" w:hanging="198"/>
        <w:rPr>
          <w:szCs w:val="24"/>
        </w:rPr>
      </w:pPr>
      <w:r w:rsidRPr="006F2BAD">
        <w:rPr>
          <w:szCs w:val="24"/>
        </w:rPr>
        <w:t>not provide remuneration in any way to the student;</w:t>
      </w:r>
    </w:p>
    <w:p w14:paraId="31688A02" w14:textId="77777777" w:rsidR="00563BCC" w:rsidRPr="005A32CA" w:rsidRDefault="00563BCC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>ensure work premises comply with all legal requirements for a workplace, including any legal requirements in relation to children and young people;</w:t>
      </w:r>
    </w:p>
    <w:p w14:paraId="12833EC1" w14:textId="7C140C8B" w:rsidR="00563BCC" w:rsidRDefault="00563BCC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bookmarkStart w:id="6" w:name="_Hlk28944766"/>
      <w:r w:rsidRPr="005A32CA">
        <w:rPr>
          <w:szCs w:val="24"/>
        </w:rPr>
        <w:t>comply with all work</w:t>
      </w:r>
      <w:r>
        <w:rPr>
          <w:szCs w:val="24"/>
        </w:rPr>
        <w:t>,</w:t>
      </w:r>
      <w:r w:rsidRPr="005A32CA">
        <w:rPr>
          <w:szCs w:val="24"/>
        </w:rPr>
        <w:t xml:space="preserve"> </w:t>
      </w:r>
      <w:r>
        <w:rPr>
          <w:szCs w:val="24"/>
        </w:rPr>
        <w:t xml:space="preserve">health and </w:t>
      </w:r>
      <w:r w:rsidRPr="005A32CA">
        <w:rPr>
          <w:szCs w:val="24"/>
        </w:rPr>
        <w:t xml:space="preserve">safety </w:t>
      </w:r>
      <w:r w:rsidR="00D9433C">
        <w:rPr>
          <w:szCs w:val="24"/>
        </w:rPr>
        <w:t xml:space="preserve">laws and other </w:t>
      </w:r>
      <w:r w:rsidRPr="005A32CA">
        <w:rPr>
          <w:szCs w:val="24"/>
        </w:rPr>
        <w:t xml:space="preserve">requirements; </w:t>
      </w:r>
    </w:p>
    <w:p w14:paraId="28323964" w14:textId="5EF3FCD7" w:rsidR="006F2BAD" w:rsidRPr="005A32CA" w:rsidRDefault="006F2BAD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 xml:space="preserve">provide an induction session where the student is informed of the requirements for their workplace, including </w:t>
      </w:r>
      <w:r>
        <w:rPr>
          <w:szCs w:val="24"/>
        </w:rPr>
        <w:t xml:space="preserve">safety requirements and the use of </w:t>
      </w:r>
      <w:r w:rsidRPr="005A32CA">
        <w:rPr>
          <w:szCs w:val="24"/>
        </w:rPr>
        <w:t>required protective clothing;</w:t>
      </w:r>
    </w:p>
    <w:bookmarkEnd w:id="6"/>
    <w:p w14:paraId="500B254A" w14:textId="6C70F105" w:rsidR="00563BCC" w:rsidRDefault="006F2BAD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>ensure the student wears required protective clothing;</w:t>
      </w:r>
    </w:p>
    <w:p w14:paraId="43DB4E84" w14:textId="07910CCA" w:rsidR="006F2BAD" w:rsidRDefault="006F2BAD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>ensure working conditions are free from all types of harassment and unlawful discrimination;</w:t>
      </w:r>
    </w:p>
    <w:p w14:paraId="62A45FA5" w14:textId="20DDB735" w:rsidR="006F2BAD" w:rsidRDefault="006F2BAD" w:rsidP="008713CD">
      <w:pPr>
        <w:pStyle w:val="Apara"/>
        <w:keepNext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lastRenderedPageBreak/>
        <w:t>take appropriate steps to provide the student a positive work experience, this can include:</w:t>
      </w:r>
    </w:p>
    <w:p w14:paraId="13D92894" w14:textId="77777777" w:rsidR="006F2BAD" w:rsidRPr="006F2BAD" w:rsidRDefault="006F2BAD" w:rsidP="006F2BAD">
      <w:pPr>
        <w:pStyle w:val="Billname"/>
        <w:spacing w:before="140" w:after="0"/>
        <w:ind w:left="2137" w:hanging="198"/>
        <w:rPr>
          <w:rFonts w:ascii="Times New Roman" w:hAnsi="Times New Roman"/>
          <w:b w:val="0"/>
          <w:bCs/>
          <w:sz w:val="24"/>
          <w:szCs w:val="24"/>
        </w:rPr>
      </w:pPr>
      <w:r w:rsidRPr="006F2BAD">
        <w:rPr>
          <w:rFonts w:ascii="Times New Roman" w:hAnsi="Times New Roman"/>
          <w:b w:val="0"/>
          <w:bCs/>
          <w:sz w:val="24"/>
          <w:szCs w:val="24"/>
        </w:rPr>
        <w:t>job sampling;</w:t>
      </w:r>
    </w:p>
    <w:p w14:paraId="0CF67649" w14:textId="77777777" w:rsidR="006F2BAD" w:rsidRPr="006F74A3" w:rsidRDefault="006F2BAD" w:rsidP="006F2BAD">
      <w:pPr>
        <w:pStyle w:val="Asubpara"/>
        <w:numPr>
          <w:ilvl w:val="7"/>
          <w:numId w:val="22"/>
        </w:numPr>
        <w:tabs>
          <w:tab w:val="clear" w:pos="1900"/>
          <w:tab w:val="clear" w:pos="2100"/>
        </w:tabs>
      </w:pPr>
      <w:r w:rsidRPr="006F74A3">
        <w:t>research; and</w:t>
      </w:r>
    </w:p>
    <w:p w14:paraId="662481B2" w14:textId="77777777" w:rsidR="006F2BAD" w:rsidRPr="006F74A3" w:rsidRDefault="006F2BAD" w:rsidP="006F2BAD">
      <w:pPr>
        <w:pStyle w:val="Asubpara"/>
        <w:numPr>
          <w:ilvl w:val="7"/>
          <w:numId w:val="22"/>
        </w:numPr>
        <w:tabs>
          <w:tab w:val="clear" w:pos="1900"/>
          <w:tab w:val="clear" w:pos="2100"/>
        </w:tabs>
      </w:pPr>
      <w:r w:rsidRPr="006F74A3">
        <w:t>work shadowing.</w:t>
      </w:r>
    </w:p>
    <w:p w14:paraId="6EB8A20F" w14:textId="06989B1D" w:rsidR="006F2BAD" w:rsidRPr="005A32CA" w:rsidRDefault="006F2BAD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 xml:space="preserve">ensure the student has the opportunity to experience a variety of tasks </w:t>
      </w:r>
      <w:r w:rsidR="00601F44" w:rsidRPr="005A32CA">
        <w:rPr>
          <w:szCs w:val="24"/>
        </w:rPr>
        <w:t>while</w:t>
      </w:r>
      <w:r w:rsidRPr="005A32CA">
        <w:rPr>
          <w:szCs w:val="24"/>
        </w:rPr>
        <w:t xml:space="preserve"> being appropriately and directly supervised;</w:t>
      </w:r>
    </w:p>
    <w:p w14:paraId="56A2640B" w14:textId="02B1315B" w:rsidR="00563BCC" w:rsidRDefault="00E03929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 xml:space="preserve">report any difficulties in the work experience </w:t>
      </w:r>
      <w:r>
        <w:rPr>
          <w:szCs w:val="24"/>
        </w:rPr>
        <w:t xml:space="preserve">placement </w:t>
      </w:r>
      <w:r w:rsidRPr="005A32CA">
        <w:rPr>
          <w:szCs w:val="24"/>
        </w:rPr>
        <w:t>to the host school and workplace learning coordinator;</w:t>
      </w:r>
    </w:p>
    <w:p w14:paraId="62BF1DD7" w14:textId="326254B6" w:rsidR="00E03929" w:rsidRDefault="00E03929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>advise the school and workplace learning coordinator</w:t>
      </w:r>
      <w:r w:rsidRPr="005A32CA" w:rsidDel="00A769C5">
        <w:rPr>
          <w:szCs w:val="24"/>
        </w:rPr>
        <w:t xml:space="preserve"> </w:t>
      </w:r>
      <w:r w:rsidRPr="005A32CA">
        <w:rPr>
          <w:szCs w:val="24"/>
        </w:rPr>
        <w:t>in the event of an industrial dispute affecting the placement;</w:t>
      </w:r>
    </w:p>
    <w:p w14:paraId="01589786" w14:textId="5022717E" w:rsidR="00E03929" w:rsidRDefault="00E03929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5A32CA">
        <w:rPr>
          <w:szCs w:val="24"/>
        </w:rPr>
        <w:t>take reasonable steps as requested by the host school or its oversight body to resolve a complaint;</w:t>
      </w:r>
      <w:r>
        <w:rPr>
          <w:szCs w:val="24"/>
        </w:rPr>
        <w:t xml:space="preserve"> and</w:t>
      </w:r>
    </w:p>
    <w:p w14:paraId="5468DA72" w14:textId="763F7BB1" w:rsidR="00E03929" w:rsidRPr="005A32CA" w:rsidRDefault="00E03929" w:rsidP="006F74A3">
      <w:pPr>
        <w:pStyle w:val="Apara"/>
        <w:numPr>
          <w:ilvl w:val="6"/>
          <w:numId w:val="22"/>
        </w:numPr>
        <w:tabs>
          <w:tab w:val="clear" w:pos="2611"/>
          <w:tab w:val="num" w:pos="1560"/>
        </w:tabs>
        <w:ind w:left="1560" w:hanging="198"/>
        <w:jc w:val="left"/>
        <w:outlineLvl w:val="9"/>
        <w:rPr>
          <w:szCs w:val="24"/>
        </w:rPr>
      </w:pPr>
      <w:r w:rsidRPr="008A5613">
        <w:rPr>
          <w:szCs w:val="24"/>
        </w:rPr>
        <w:t>provide a report to the school and workplace learning coordinator at the conclusion of the placement.</w:t>
      </w:r>
    </w:p>
    <w:p w14:paraId="7CD987B6" w14:textId="77777777" w:rsidR="00563BCC" w:rsidRPr="0074526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Duty of care by h</w:t>
      </w:r>
      <w:r w:rsidRPr="0074526C">
        <w:rPr>
          <w:b/>
          <w:bCs/>
          <w:sz w:val="28"/>
          <w:szCs w:val="28"/>
        </w:rPr>
        <w:t>ost school</w:t>
      </w:r>
      <w:r>
        <w:rPr>
          <w:b/>
          <w:bCs/>
          <w:sz w:val="28"/>
          <w:szCs w:val="28"/>
        </w:rPr>
        <w:t>s</w:t>
      </w:r>
    </w:p>
    <w:p w14:paraId="4A9793EB" w14:textId="6A2DC2F5" w:rsidR="00563BCC" w:rsidRPr="006C6CC2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bookmarkStart w:id="7" w:name="_Hlk61613271"/>
      <w:r w:rsidRPr="006C6CC2">
        <w:t>The host school or</w:t>
      </w:r>
      <w:r w:rsidR="00601F44" w:rsidRPr="00601F44">
        <w:t xml:space="preserve"> </w:t>
      </w:r>
      <w:r w:rsidR="00601F44" w:rsidRPr="006C6CC2">
        <w:t>provider</w:t>
      </w:r>
      <w:r w:rsidRPr="006C6CC2">
        <w:t>, where a provider is involved, should take reasonable steps to:</w:t>
      </w:r>
    </w:p>
    <w:bookmarkEnd w:id="7"/>
    <w:p w14:paraId="341269C0" w14:textId="406FFBB2" w:rsidR="00563BCC" w:rsidRPr="002F760C" w:rsidRDefault="00563BCC" w:rsidP="007516A1">
      <w:pPr>
        <w:numPr>
          <w:ilvl w:val="0"/>
          <w:numId w:val="10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 xml:space="preserve">ensure the </w:t>
      </w:r>
      <w:r w:rsidR="00F42847">
        <w:rPr>
          <w:szCs w:val="24"/>
        </w:rPr>
        <w:t xml:space="preserve">program </w:t>
      </w:r>
      <w:r w:rsidRPr="002F760C">
        <w:rPr>
          <w:szCs w:val="24"/>
        </w:rPr>
        <w:t xml:space="preserve">complies with relevant legislation including the </w:t>
      </w:r>
      <w:r w:rsidRPr="002F760C">
        <w:rPr>
          <w:i/>
          <w:iCs/>
          <w:szCs w:val="24"/>
        </w:rPr>
        <w:t>Education Act 2004</w:t>
      </w:r>
      <w:r w:rsidRPr="002F760C">
        <w:rPr>
          <w:szCs w:val="24"/>
        </w:rPr>
        <w:t>, section 13</w:t>
      </w:r>
      <w:r w:rsidR="00675716">
        <w:rPr>
          <w:szCs w:val="24"/>
        </w:rPr>
        <w:t>;</w:t>
      </w:r>
      <w:r>
        <w:rPr>
          <w:szCs w:val="24"/>
        </w:rPr>
        <w:t xml:space="preserve"> </w:t>
      </w:r>
      <w:r w:rsidRPr="002F760C">
        <w:rPr>
          <w:szCs w:val="24"/>
        </w:rPr>
        <w:t xml:space="preserve">the </w:t>
      </w:r>
      <w:r w:rsidRPr="002F760C">
        <w:rPr>
          <w:i/>
          <w:iCs/>
          <w:szCs w:val="24"/>
        </w:rPr>
        <w:t>Children and Young People Act 2008</w:t>
      </w:r>
      <w:r w:rsidR="00675716">
        <w:rPr>
          <w:i/>
          <w:iCs/>
          <w:szCs w:val="24"/>
        </w:rPr>
        <w:t xml:space="preserve">, </w:t>
      </w:r>
      <w:r w:rsidR="00675716">
        <w:rPr>
          <w:szCs w:val="24"/>
        </w:rPr>
        <w:t>c</w:t>
      </w:r>
      <w:r w:rsidR="00675716" w:rsidRPr="002F760C">
        <w:rPr>
          <w:szCs w:val="24"/>
        </w:rPr>
        <w:t>hapter 21</w:t>
      </w:r>
      <w:r w:rsidRPr="002F760C">
        <w:rPr>
          <w:szCs w:val="24"/>
        </w:rPr>
        <w:t xml:space="preserve"> and the </w:t>
      </w:r>
      <w:r w:rsidRPr="002F760C">
        <w:rPr>
          <w:i/>
          <w:iCs/>
          <w:szCs w:val="24"/>
        </w:rPr>
        <w:t>Work Health and Safety Act</w:t>
      </w:r>
      <w:r w:rsidR="007516A1">
        <w:rPr>
          <w:i/>
          <w:iCs/>
          <w:szCs w:val="24"/>
        </w:rPr>
        <w:t> </w:t>
      </w:r>
      <w:r w:rsidRPr="002F760C">
        <w:rPr>
          <w:i/>
          <w:iCs/>
          <w:szCs w:val="24"/>
        </w:rPr>
        <w:t>2011</w:t>
      </w:r>
      <w:r w:rsidR="00601F44">
        <w:rPr>
          <w:szCs w:val="24"/>
        </w:rPr>
        <w:t>;</w:t>
      </w:r>
    </w:p>
    <w:p w14:paraId="416FBA40" w14:textId="2A001D82" w:rsidR="00563BCC" w:rsidRPr="002F760C" w:rsidRDefault="00563BCC" w:rsidP="007516A1">
      <w:pPr>
        <w:numPr>
          <w:ilvl w:val="0"/>
          <w:numId w:val="10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>ensure a student is not placed in a work situation where a hazard exists taking note of the student’s age, capacity and maturity in respect to the working conditions;</w:t>
      </w:r>
    </w:p>
    <w:p w14:paraId="7648F85F" w14:textId="77777777" w:rsidR="00563BCC" w:rsidRPr="002F760C" w:rsidRDefault="00563BCC" w:rsidP="007516A1">
      <w:pPr>
        <w:numPr>
          <w:ilvl w:val="0"/>
          <w:numId w:val="10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>ensure working conditions are free from all types of harassment and unlawful discrimination;</w:t>
      </w:r>
    </w:p>
    <w:p w14:paraId="686D4D85" w14:textId="77777777" w:rsidR="00563BCC" w:rsidRPr="002F760C" w:rsidRDefault="00563BCC" w:rsidP="007516A1">
      <w:pPr>
        <w:numPr>
          <w:ilvl w:val="0"/>
          <w:numId w:val="10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>ensure the student is covered by insurance, including personal accident and public liability insurance, while undertaking work experience;</w:t>
      </w:r>
      <w:r>
        <w:rPr>
          <w:szCs w:val="24"/>
        </w:rPr>
        <w:t xml:space="preserve"> and</w:t>
      </w:r>
    </w:p>
    <w:p w14:paraId="4443CEA5" w14:textId="77777777" w:rsidR="00563BCC" w:rsidRDefault="00563BCC" w:rsidP="007516A1">
      <w:pPr>
        <w:numPr>
          <w:ilvl w:val="0"/>
          <w:numId w:val="10"/>
        </w:numPr>
        <w:spacing w:before="140" w:after="60"/>
        <w:ind w:left="1843" w:hanging="567"/>
        <w:rPr>
          <w:szCs w:val="24"/>
        </w:rPr>
      </w:pPr>
      <w:r w:rsidRPr="002F760C">
        <w:rPr>
          <w:szCs w:val="24"/>
        </w:rPr>
        <w:t>adequately prepare the student for the work experience placement</w:t>
      </w:r>
      <w:r>
        <w:rPr>
          <w:szCs w:val="24"/>
        </w:rPr>
        <w:t>.</w:t>
      </w:r>
    </w:p>
    <w:p w14:paraId="62FC3199" w14:textId="19F05284" w:rsidR="00563BCC" w:rsidRDefault="00563BCC" w:rsidP="008E7BB9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 xml:space="preserve">Variations to </w:t>
      </w:r>
      <w:r w:rsidR="00D8098D">
        <w:rPr>
          <w:b/>
          <w:bCs/>
          <w:sz w:val="28"/>
          <w:szCs w:val="28"/>
        </w:rPr>
        <w:t>p</w:t>
      </w:r>
      <w:r w:rsidR="002E4F0F">
        <w:rPr>
          <w:b/>
          <w:bCs/>
          <w:sz w:val="28"/>
          <w:szCs w:val="28"/>
        </w:rPr>
        <w:t>lacement</w:t>
      </w:r>
      <w:r w:rsidRPr="0074526C">
        <w:rPr>
          <w:b/>
          <w:bCs/>
          <w:sz w:val="28"/>
          <w:szCs w:val="28"/>
        </w:rPr>
        <w:t xml:space="preserve"> </w:t>
      </w:r>
    </w:p>
    <w:p w14:paraId="407666A5" w14:textId="01F172D5" w:rsidR="00563BCC" w:rsidRPr="006C6CC2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6C6CC2">
        <w:t>The host school</w:t>
      </w:r>
      <w:r w:rsidR="00AF24FD">
        <w:t xml:space="preserve"> or provider</w:t>
      </w:r>
      <w:r w:rsidR="000054BA" w:rsidRPr="006C6CC2">
        <w:t xml:space="preserve">, </w:t>
      </w:r>
      <w:r w:rsidRPr="006C6CC2">
        <w:t>where a provider is involved</w:t>
      </w:r>
      <w:r w:rsidR="000054BA" w:rsidRPr="006C6CC2">
        <w:t>,</w:t>
      </w:r>
      <w:r w:rsidRPr="006C6CC2">
        <w:t xml:space="preserve"> </w:t>
      </w:r>
      <w:r w:rsidR="002E4F0F" w:rsidRPr="006C6CC2">
        <w:t>must</w:t>
      </w:r>
      <w:r w:rsidRPr="006C6CC2">
        <w:t xml:space="preserve"> take reasonable steps to:</w:t>
      </w:r>
    </w:p>
    <w:p w14:paraId="194C9C17" w14:textId="2E4DAC32" w:rsidR="00563BCC" w:rsidRPr="005A32CA" w:rsidRDefault="00563BCC" w:rsidP="007516A1">
      <w:pPr>
        <w:numPr>
          <w:ilvl w:val="0"/>
          <w:numId w:val="11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>complete an out</w:t>
      </w:r>
      <w:r w:rsidR="00AF24FD">
        <w:rPr>
          <w:szCs w:val="24"/>
        </w:rPr>
        <w:t>-</w:t>
      </w:r>
      <w:r>
        <w:rPr>
          <w:szCs w:val="24"/>
        </w:rPr>
        <w:t>of</w:t>
      </w:r>
      <w:r w:rsidR="00AF24FD">
        <w:rPr>
          <w:szCs w:val="24"/>
        </w:rPr>
        <w:t>-</w:t>
      </w:r>
      <w:r>
        <w:rPr>
          <w:szCs w:val="24"/>
        </w:rPr>
        <w:t>hours form where</w:t>
      </w:r>
      <w:r w:rsidRPr="005A32CA">
        <w:rPr>
          <w:szCs w:val="24"/>
        </w:rPr>
        <w:t xml:space="preserve"> the work </w:t>
      </w:r>
      <w:r w:rsidR="003B056C">
        <w:rPr>
          <w:szCs w:val="24"/>
        </w:rPr>
        <w:t>placement</w:t>
      </w:r>
      <w:r w:rsidR="00F42847">
        <w:rPr>
          <w:szCs w:val="24"/>
        </w:rPr>
        <w:t xml:space="preserve"> </w:t>
      </w:r>
      <w:r w:rsidRPr="005A32CA">
        <w:rPr>
          <w:szCs w:val="24"/>
        </w:rPr>
        <w:t xml:space="preserve">is to be undertaken outside </w:t>
      </w:r>
      <w:r>
        <w:rPr>
          <w:szCs w:val="24"/>
        </w:rPr>
        <w:t xml:space="preserve">standard </w:t>
      </w:r>
      <w:r w:rsidRPr="005A32CA">
        <w:rPr>
          <w:szCs w:val="24"/>
        </w:rPr>
        <w:t>hours</w:t>
      </w:r>
      <w:r>
        <w:rPr>
          <w:szCs w:val="24"/>
        </w:rPr>
        <w:t xml:space="preserve"> (7:00am and 7:00pm);</w:t>
      </w:r>
    </w:p>
    <w:p w14:paraId="2B0CDECC" w14:textId="31CB4FB5" w:rsidR="00563BCC" w:rsidRDefault="00563BCC" w:rsidP="007516A1">
      <w:pPr>
        <w:numPr>
          <w:ilvl w:val="0"/>
          <w:numId w:val="11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 xml:space="preserve">complete an interstate </w:t>
      </w:r>
      <w:r w:rsidR="00F42847">
        <w:rPr>
          <w:szCs w:val="24"/>
        </w:rPr>
        <w:t xml:space="preserve">program </w:t>
      </w:r>
      <w:r>
        <w:rPr>
          <w:szCs w:val="24"/>
        </w:rPr>
        <w:t xml:space="preserve">form </w:t>
      </w:r>
      <w:r w:rsidRPr="0074526C">
        <w:rPr>
          <w:szCs w:val="24"/>
        </w:rPr>
        <w:t xml:space="preserve">if the work </w:t>
      </w:r>
      <w:r w:rsidR="00F42847">
        <w:rPr>
          <w:szCs w:val="24"/>
        </w:rPr>
        <w:t>p</w:t>
      </w:r>
      <w:r w:rsidR="003B056C">
        <w:rPr>
          <w:szCs w:val="24"/>
        </w:rPr>
        <w:t>lacement</w:t>
      </w:r>
      <w:r w:rsidR="00F42847">
        <w:rPr>
          <w:szCs w:val="24"/>
        </w:rPr>
        <w:t xml:space="preserve"> </w:t>
      </w:r>
      <w:r w:rsidRPr="0074526C">
        <w:rPr>
          <w:szCs w:val="24"/>
        </w:rPr>
        <w:t xml:space="preserve">is to be undertaken interstate and sent to the ACT work </w:t>
      </w:r>
      <w:r w:rsidR="00F42847">
        <w:rPr>
          <w:szCs w:val="24"/>
        </w:rPr>
        <w:t>p</w:t>
      </w:r>
      <w:r w:rsidR="003B056C">
        <w:rPr>
          <w:szCs w:val="24"/>
        </w:rPr>
        <w:t>lacement</w:t>
      </w:r>
      <w:r w:rsidR="00F42847">
        <w:rPr>
          <w:szCs w:val="24"/>
        </w:rPr>
        <w:t xml:space="preserve"> </w:t>
      </w:r>
      <w:r w:rsidRPr="0074526C">
        <w:rPr>
          <w:szCs w:val="24"/>
        </w:rPr>
        <w:t>administrator for approval;</w:t>
      </w:r>
      <w:r>
        <w:rPr>
          <w:szCs w:val="24"/>
        </w:rPr>
        <w:t xml:space="preserve"> and</w:t>
      </w:r>
    </w:p>
    <w:p w14:paraId="27CBF3AE" w14:textId="5FBD9E0E" w:rsidR="00563BCC" w:rsidRDefault="00563BCC" w:rsidP="007516A1">
      <w:pPr>
        <w:numPr>
          <w:ilvl w:val="0"/>
          <w:numId w:val="11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lastRenderedPageBreak/>
        <w:t xml:space="preserve">be aware of any special needs to ensure that student safety at the workplace is maintained at all times. </w:t>
      </w:r>
    </w:p>
    <w:p w14:paraId="373F70C5" w14:textId="77777777" w:rsidR="00563BCC" w:rsidRDefault="00563BCC" w:rsidP="00A63F91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 xml:space="preserve">Preparation and </w:t>
      </w:r>
      <w:r>
        <w:rPr>
          <w:b/>
          <w:bCs/>
          <w:sz w:val="28"/>
          <w:szCs w:val="28"/>
        </w:rPr>
        <w:t>s</w:t>
      </w:r>
      <w:r w:rsidRPr="0074526C">
        <w:rPr>
          <w:b/>
          <w:bCs/>
          <w:sz w:val="28"/>
          <w:szCs w:val="28"/>
        </w:rPr>
        <w:t xml:space="preserve">upervision of students </w:t>
      </w:r>
    </w:p>
    <w:p w14:paraId="06FABE69" w14:textId="6D4D66F8" w:rsidR="00563BCC" w:rsidRPr="00F63FBD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F63FBD">
        <w:t>The host school or</w:t>
      </w:r>
      <w:r w:rsidR="00AF24FD" w:rsidRPr="00AF24FD">
        <w:t xml:space="preserve"> </w:t>
      </w:r>
      <w:r w:rsidR="00AF24FD" w:rsidRPr="00F63FBD">
        <w:t>the provider</w:t>
      </w:r>
      <w:r w:rsidRPr="00F63FBD">
        <w:t xml:space="preserve">, where a provider is involved, </w:t>
      </w:r>
      <w:r w:rsidR="002E4F0F">
        <w:t>must</w:t>
      </w:r>
      <w:r w:rsidRPr="00F63FBD">
        <w:t xml:space="preserve"> take reasonable steps to:</w:t>
      </w:r>
    </w:p>
    <w:p w14:paraId="5C676FED" w14:textId="08DDBF01" w:rsidR="00563BCC" w:rsidRPr="005A32CA" w:rsidRDefault="00563BCC" w:rsidP="00343F94">
      <w:pPr>
        <w:numPr>
          <w:ilvl w:val="0"/>
          <w:numId w:val="12"/>
        </w:numPr>
        <w:spacing w:before="140" w:after="60"/>
        <w:ind w:left="1843" w:hanging="567"/>
        <w:rPr>
          <w:szCs w:val="24"/>
        </w:rPr>
      </w:pPr>
      <w:r w:rsidRPr="005A32CA">
        <w:rPr>
          <w:szCs w:val="24"/>
        </w:rPr>
        <w:t xml:space="preserve">ensure a student undertaking a </w:t>
      </w:r>
      <w:r w:rsidR="00F42847">
        <w:rPr>
          <w:szCs w:val="24"/>
        </w:rPr>
        <w:t xml:space="preserve">program </w:t>
      </w:r>
      <w:r w:rsidRPr="005A32CA">
        <w:rPr>
          <w:szCs w:val="24"/>
        </w:rPr>
        <w:t xml:space="preserve">on a building site holds a </w:t>
      </w:r>
      <w:r w:rsidRPr="00F63FBD">
        <w:rPr>
          <w:szCs w:val="24"/>
        </w:rPr>
        <w:t>General Construction Induction ‘White Card’</w:t>
      </w:r>
      <w:r w:rsidRPr="005A32CA">
        <w:rPr>
          <w:szCs w:val="24"/>
        </w:rPr>
        <w:t xml:space="preserve"> and has also completed</w:t>
      </w:r>
      <w:r>
        <w:rPr>
          <w:szCs w:val="24"/>
        </w:rPr>
        <w:t xml:space="preserve"> </w:t>
      </w:r>
      <w:r w:rsidRPr="00F63FBD">
        <w:rPr>
          <w:szCs w:val="24"/>
        </w:rPr>
        <w:t>Asbestos Awareness training</w:t>
      </w:r>
      <w:r w:rsidRPr="005A32CA">
        <w:rPr>
          <w:szCs w:val="24"/>
        </w:rPr>
        <w:t>; and</w:t>
      </w:r>
    </w:p>
    <w:p w14:paraId="073DB044" w14:textId="0209C559" w:rsidR="00563BCC" w:rsidRPr="005A32CA" w:rsidRDefault="00563BCC" w:rsidP="00343F94">
      <w:pPr>
        <w:numPr>
          <w:ilvl w:val="0"/>
          <w:numId w:val="12"/>
        </w:numPr>
        <w:spacing w:before="140" w:after="60"/>
        <w:ind w:left="1843" w:hanging="567"/>
        <w:rPr>
          <w:szCs w:val="24"/>
        </w:rPr>
      </w:pPr>
      <w:r w:rsidRPr="005A32CA">
        <w:rPr>
          <w:szCs w:val="24"/>
        </w:rPr>
        <w:t xml:space="preserve">provide the student with a </w:t>
      </w:r>
      <w:r w:rsidRPr="0074526C">
        <w:rPr>
          <w:i/>
          <w:iCs/>
          <w:szCs w:val="24"/>
        </w:rPr>
        <w:t>Safety and Emergency Procedures Student Contact Card</w:t>
      </w:r>
      <w:r w:rsidRPr="005A32CA">
        <w:rPr>
          <w:szCs w:val="24"/>
        </w:rPr>
        <w:t xml:space="preserve"> that includes contact details for the school and, if the work experience </w:t>
      </w:r>
      <w:r w:rsidR="00F42847">
        <w:rPr>
          <w:szCs w:val="24"/>
        </w:rPr>
        <w:t xml:space="preserve">program </w:t>
      </w:r>
      <w:r w:rsidRPr="005A32CA">
        <w:rPr>
          <w:szCs w:val="24"/>
        </w:rPr>
        <w:t>extends after</w:t>
      </w:r>
      <w:r w:rsidR="00AF24FD">
        <w:rPr>
          <w:szCs w:val="24"/>
        </w:rPr>
        <w:t>-</w:t>
      </w:r>
      <w:r w:rsidRPr="005A32CA">
        <w:rPr>
          <w:szCs w:val="24"/>
        </w:rPr>
        <w:t>hours, with after-hours contact details for a person at the school.</w:t>
      </w:r>
    </w:p>
    <w:p w14:paraId="637BF04B" w14:textId="3F063219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>A host school</w:t>
      </w:r>
      <w:r>
        <w:t>/provider</w:t>
      </w:r>
      <w:r w:rsidRPr="00D92186">
        <w:t xml:space="preserve"> sh</w:t>
      </w:r>
      <w:r>
        <w:t>ould</w:t>
      </w:r>
      <w:r w:rsidRPr="00D92186">
        <w:t xml:space="preserve">, where practicable, arrange for a </w:t>
      </w:r>
      <w:r w:rsidR="005A18AA">
        <w:t xml:space="preserve">workplace learning coordinator or </w:t>
      </w:r>
      <w:r w:rsidRPr="00D92186">
        <w:t>teacher to visit each student at least once in each period of work experience with each host employer.</w:t>
      </w:r>
    </w:p>
    <w:p w14:paraId="363AC051" w14:textId="3417DE95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>Students sh</w:t>
      </w:r>
      <w:r>
        <w:t xml:space="preserve">ould </w:t>
      </w:r>
      <w:r w:rsidRPr="00D92186">
        <w:t>attend work experience placements on the same conditions that apply to ordinary workers in that workplace and shall be accountable to the school</w:t>
      </w:r>
      <w:r>
        <w:t>,</w:t>
      </w:r>
      <w:r w:rsidRPr="00D92186">
        <w:t xml:space="preserve"> as well as their host employer.</w:t>
      </w:r>
    </w:p>
    <w:p w14:paraId="59918E4B" w14:textId="77777777" w:rsidR="00563BCC" w:rsidRPr="0074526C" w:rsidRDefault="00563BCC" w:rsidP="00A63F91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 xml:space="preserve">Restricted and </w:t>
      </w:r>
      <w:r>
        <w:rPr>
          <w:b/>
          <w:bCs/>
          <w:sz w:val="28"/>
          <w:szCs w:val="28"/>
        </w:rPr>
        <w:t>p</w:t>
      </w:r>
      <w:r w:rsidRPr="0074526C">
        <w:rPr>
          <w:b/>
          <w:bCs/>
          <w:sz w:val="28"/>
          <w:szCs w:val="28"/>
        </w:rPr>
        <w:t>rohibited activities</w:t>
      </w:r>
    </w:p>
    <w:p w14:paraId="414D772E" w14:textId="2D11D174" w:rsidR="00563BCC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>Work experience p</w:t>
      </w:r>
      <w:r>
        <w:t>lacement</w:t>
      </w:r>
      <w:r w:rsidRPr="00D92186">
        <w:t>s sh</w:t>
      </w:r>
      <w:r>
        <w:t>ould</w:t>
      </w:r>
      <w:r w:rsidRPr="00D92186">
        <w:t xml:space="preserve"> not include an activity declared to be </w:t>
      </w:r>
      <w:r w:rsidRPr="0074526C">
        <w:t xml:space="preserve">high risk </w:t>
      </w:r>
      <w:r w:rsidRPr="00D92186">
        <w:t xml:space="preserve">under section 798 of the </w:t>
      </w:r>
      <w:r w:rsidRPr="00FE614F">
        <w:rPr>
          <w:i/>
          <w:iCs/>
        </w:rPr>
        <w:t>Children and Young People Act</w:t>
      </w:r>
      <w:r w:rsidR="00FE614F">
        <w:rPr>
          <w:i/>
          <w:iCs/>
        </w:rPr>
        <w:t xml:space="preserve"> </w:t>
      </w:r>
      <w:r w:rsidRPr="00FE614F">
        <w:rPr>
          <w:i/>
          <w:iCs/>
        </w:rPr>
        <w:t>2008</w:t>
      </w:r>
      <w:r w:rsidRPr="00D92186">
        <w:t xml:space="preserve">, or prohibited </w:t>
      </w:r>
      <w:bookmarkStart w:id="8" w:name="_Hlk66874695"/>
      <w:r w:rsidR="00131E37">
        <w:t xml:space="preserve">as described in </w:t>
      </w:r>
      <w:r w:rsidRPr="00D92186">
        <w:t>the ACT Education Directorate</w:t>
      </w:r>
      <w:r w:rsidR="00131E37">
        <w:t>’s Workplace Learning</w:t>
      </w:r>
      <w:r w:rsidR="00675716">
        <w:t xml:space="preserve"> Program</w:t>
      </w:r>
      <w:r w:rsidR="00131E37">
        <w:t xml:space="preserve"> Guidelines</w:t>
      </w:r>
      <w:bookmarkEnd w:id="8"/>
      <w:r w:rsidR="00131E37">
        <w:t xml:space="preserve"> and Requirements. </w:t>
      </w:r>
    </w:p>
    <w:p w14:paraId="41CCCEC7" w14:textId="7A761735" w:rsidR="00563BCC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751819">
        <w:t xml:space="preserve">Where a host school proposes work experience placements in a butcher, the host school’s workplace learning coordinator must </w:t>
      </w:r>
      <w:r w:rsidR="00171EBD">
        <w:t xml:space="preserve">comply with </w:t>
      </w:r>
      <w:r w:rsidR="00512929">
        <w:t xml:space="preserve">the Australian Meat Industry Council’s requirement and the ACT Education Directorate’s </w:t>
      </w:r>
      <w:r w:rsidR="00174EE7">
        <w:t>W</w:t>
      </w:r>
      <w:r w:rsidR="00512929" w:rsidRPr="00512929">
        <w:t xml:space="preserve">orkplace </w:t>
      </w:r>
      <w:r w:rsidR="00174EE7">
        <w:t>L</w:t>
      </w:r>
      <w:r w:rsidR="00512929" w:rsidRPr="00512929">
        <w:t xml:space="preserve">earning </w:t>
      </w:r>
      <w:r w:rsidR="00174EE7">
        <w:t>P</w:t>
      </w:r>
      <w:r w:rsidR="00512929" w:rsidRPr="00512929">
        <w:t xml:space="preserve">rogram </w:t>
      </w:r>
      <w:r w:rsidR="00174EE7">
        <w:t>G</w:t>
      </w:r>
      <w:r w:rsidR="00512929" w:rsidRPr="00512929">
        <w:t xml:space="preserve">uidelines and </w:t>
      </w:r>
      <w:r w:rsidR="00174EE7">
        <w:t>R</w:t>
      </w:r>
      <w:r w:rsidR="00512929" w:rsidRPr="00512929">
        <w:t>equirements</w:t>
      </w:r>
      <w:r w:rsidR="00512929">
        <w:t xml:space="preserve">.  </w:t>
      </w:r>
    </w:p>
    <w:p w14:paraId="69257684" w14:textId="77777777" w:rsidR="00563BCC" w:rsidRPr="001A17D1" w:rsidRDefault="00563BCC" w:rsidP="00A63F91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t xml:space="preserve">Hours of operation </w:t>
      </w:r>
    </w:p>
    <w:p w14:paraId="1216B685" w14:textId="77777777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>Except with the approval of the Director-General</w:t>
      </w:r>
      <w:r>
        <w:t xml:space="preserve"> of the ACT Education Directorate</w:t>
      </w:r>
      <w:r w:rsidRPr="00D92186">
        <w:t>:</w:t>
      </w:r>
    </w:p>
    <w:p w14:paraId="0C64C6D7" w14:textId="4C9889F4" w:rsidR="00563BCC" w:rsidRDefault="00563BCC" w:rsidP="00343F94">
      <w:pPr>
        <w:numPr>
          <w:ilvl w:val="0"/>
          <w:numId w:val="13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>w</w:t>
      </w:r>
      <w:r w:rsidRPr="0032040D">
        <w:rPr>
          <w:szCs w:val="24"/>
        </w:rPr>
        <w:t>ork placements sh</w:t>
      </w:r>
      <w:r>
        <w:rPr>
          <w:szCs w:val="24"/>
        </w:rPr>
        <w:t>ould</w:t>
      </w:r>
      <w:r w:rsidRPr="0032040D">
        <w:rPr>
          <w:szCs w:val="24"/>
        </w:rPr>
        <w:t xml:space="preserve"> generally </w:t>
      </w:r>
      <w:r>
        <w:rPr>
          <w:szCs w:val="24"/>
        </w:rPr>
        <w:t>occur during standard</w:t>
      </w:r>
      <w:r w:rsidRPr="0032040D">
        <w:rPr>
          <w:szCs w:val="24"/>
        </w:rPr>
        <w:t xml:space="preserve"> working hours </w:t>
      </w:r>
      <w:r>
        <w:rPr>
          <w:szCs w:val="24"/>
        </w:rPr>
        <w:t xml:space="preserve">and should </w:t>
      </w:r>
      <w:r w:rsidRPr="0032040D">
        <w:rPr>
          <w:szCs w:val="24"/>
        </w:rPr>
        <w:t>not take place outside the hours of 7.00am and 7.00pm</w:t>
      </w:r>
      <w:r w:rsidR="007B3604">
        <w:rPr>
          <w:szCs w:val="24"/>
        </w:rPr>
        <w:t xml:space="preserve"> (except as described under Standard </w:t>
      </w:r>
      <w:r w:rsidR="00C84BFD">
        <w:rPr>
          <w:szCs w:val="24"/>
        </w:rPr>
        <w:t>XII</w:t>
      </w:r>
      <w:r w:rsidR="007B3604">
        <w:rPr>
          <w:szCs w:val="24"/>
        </w:rPr>
        <w:t xml:space="preserve"> ‘Variations to </w:t>
      </w:r>
      <w:r w:rsidR="00F62D67">
        <w:rPr>
          <w:szCs w:val="24"/>
        </w:rPr>
        <w:t>p</w:t>
      </w:r>
      <w:r w:rsidR="00C24C80">
        <w:rPr>
          <w:szCs w:val="24"/>
        </w:rPr>
        <w:t>lacements</w:t>
      </w:r>
      <w:r w:rsidR="00C84BFD">
        <w:rPr>
          <w:szCs w:val="24"/>
        </w:rPr>
        <w:t>’</w:t>
      </w:r>
      <w:r w:rsidR="007B3604">
        <w:rPr>
          <w:szCs w:val="24"/>
        </w:rPr>
        <w:t>)</w:t>
      </w:r>
      <w:r>
        <w:rPr>
          <w:szCs w:val="24"/>
        </w:rPr>
        <w:t>;</w:t>
      </w:r>
    </w:p>
    <w:p w14:paraId="7FD7E3FB" w14:textId="1DA5A39C" w:rsidR="00563BCC" w:rsidRDefault="00563BCC" w:rsidP="00343F94">
      <w:pPr>
        <w:numPr>
          <w:ilvl w:val="0"/>
          <w:numId w:val="13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>w</w:t>
      </w:r>
      <w:r w:rsidRPr="0032040D">
        <w:rPr>
          <w:szCs w:val="24"/>
        </w:rPr>
        <w:t>orking hours should be for a full working day rather than school hours and not exceed working hours</w:t>
      </w:r>
      <w:r w:rsidR="00D22023">
        <w:rPr>
          <w:szCs w:val="24"/>
        </w:rPr>
        <w:t>,</w:t>
      </w:r>
      <w:r w:rsidRPr="0032040D">
        <w:rPr>
          <w:szCs w:val="24"/>
        </w:rPr>
        <w:t xml:space="preserve"> as specified by relevant legislation or industrial awards</w:t>
      </w:r>
      <w:r>
        <w:rPr>
          <w:szCs w:val="24"/>
        </w:rPr>
        <w:t>;</w:t>
      </w:r>
    </w:p>
    <w:p w14:paraId="1DAEA544" w14:textId="0EE19F00" w:rsidR="00563BCC" w:rsidRDefault="00563BCC" w:rsidP="00343F94">
      <w:pPr>
        <w:numPr>
          <w:ilvl w:val="0"/>
          <w:numId w:val="13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>r</w:t>
      </w:r>
      <w:r w:rsidRPr="0032040D">
        <w:rPr>
          <w:szCs w:val="24"/>
        </w:rPr>
        <w:t xml:space="preserve">egular breaks </w:t>
      </w:r>
      <w:r>
        <w:rPr>
          <w:szCs w:val="24"/>
        </w:rPr>
        <w:t>should</w:t>
      </w:r>
      <w:r w:rsidRPr="0032040D">
        <w:rPr>
          <w:szCs w:val="24"/>
        </w:rPr>
        <w:t xml:space="preserve"> be taken in negotiation with host employers to ensure students are adequately safeguarded against fatigue</w:t>
      </w:r>
      <w:r>
        <w:rPr>
          <w:szCs w:val="24"/>
        </w:rPr>
        <w:t>;</w:t>
      </w:r>
      <w:r w:rsidR="004A1ED1">
        <w:rPr>
          <w:szCs w:val="24"/>
        </w:rPr>
        <w:t xml:space="preserve"> and</w:t>
      </w:r>
    </w:p>
    <w:p w14:paraId="3421155F" w14:textId="48744E99" w:rsidR="00563BCC" w:rsidRDefault="00563BCC" w:rsidP="00343F94">
      <w:pPr>
        <w:numPr>
          <w:ilvl w:val="0"/>
          <w:numId w:val="13"/>
        </w:numPr>
        <w:spacing w:before="140" w:after="60"/>
        <w:ind w:left="1843" w:hanging="567"/>
        <w:rPr>
          <w:szCs w:val="24"/>
        </w:rPr>
      </w:pPr>
      <w:r>
        <w:rPr>
          <w:szCs w:val="24"/>
        </w:rPr>
        <w:t>w</w:t>
      </w:r>
      <w:r w:rsidRPr="0032040D">
        <w:rPr>
          <w:szCs w:val="24"/>
        </w:rPr>
        <w:t>ork placements sh</w:t>
      </w:r>
      <w:r>
        <w:rPr>
          <w:szCs w:val="24"/>
        </w:rPr>
        <w:t>ould</w:t>
      </w:r>
      <w:r w:rsidRPr="0032040D">
        <w:rPr>
          <w:szCs w:val="24"/>
        </w:rPr>
        <w:t xml:space="preserve"> not </w:t>
      </w:r>
      <w:r w:rsidR="00171EBD">
        <w:rPr>
          <w:szCs w:val="24"/>
        </w:rPr>
        <w:t xml:space="preserve">usually </w:t>
      </w:r>
      <w:r>
        <w:rPr>
          <w:szCs w:val="24"/>
        </w:rPr>
        <w:t xml:space="preserve">occur </w:t>
      </w:r>
      <w:r w:rsidRPr="0032040D">
        <w:rPr>
          <w:szCs w:val="24"/>
        </w:rPr>
        <w:t>for more than 40 days in each calendar year and 10 days during each school term</w:t>
      </w:r>
      <w:r w:rsidR="004A1ED1">
        <w:rPr>
          <w:szCs w:val="24"/>
        </w:rPr>
        <w:t>.</w:t>
      </w:r>
    </w:p>
    <w:p w14:paraId="6DF99341" w14:textId="23E6768F" w:rsidR="00563BCC" w:rsidRDefault="00563BCC" w:rsidP="00A63F91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 w:rsidRPr="0074526C">
        <w:rPr>
          <w:b/>
          <w:bCs/>
          <w:sz w:val="28"/>
          <w:szCs w:val="28"/>
        </w:rPr>
        <w:lastRenderedPageBreak/>
        <w:t>Suspension of work experience p</w:t>
      </w:r>
      <w:r w:rsidR="00171EBD">
        <w:rPr>
          <w:b/>
          <w:bCs/>
          <w:sz w:val="28"/>
          <w:szCs w:val="28"/>
        </w:rPr>
        <w:t xml:space="preserve">rogram </w:t>
      </w:r>
      <w:r w:rsidRPr="0074526C">
        <w:rPr>
          <w:b/>
          <w:bCs/>
          <w:sz w:val="28"/>
          <w:szCs w:val="28"/>
        </w:rPr>
        <w:t xml:space="preserve">exemption </w:t>
      </w:r>
    </w:p>
    <w:p w14:paraId="17AAF243" w14:textId="4D7F2E92" w:rsidR="00563BCC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>
        <w:t xml:space="preserve">The Director-General (ACT Education Directorate) may suspend an educational institution’s exemption under section 784 of the </w:t>
      </w:r>
      <w:r w:rsidRPr="00F31402">
        <w:rPr>
          <w:i/>
          <w:iCs/>
        </w:rPr>
        <w:t>Children and Young People Act 2008</w:t>
      </w:r>
      <w:r w:rsidR="00267A60">
        <w:t>, w</w:t>
      </w:r>
      <w:r>
        <w:t>here the Director-General suspects on reasonable grounds that the educational institution has not complied with, or</w:t>
      </w:r>
      <w:r w:rsidR="00D22023">
        <w:t xml:space="preserve"> </w:t>
      </w:r>
      <w:r>
        <w:t>continue</w:t>
      </w:r>
      <w:r w:rsidR="00D22023">
        <w:t>s</w:t>
      </w:r>
      <w:r>
        <w:t xml:space="preserve"> to </w:t>
      </w:r>
      <w:r w:rsidR="00B741A5">
        <w:t xml:space="preserve">not </w:t>
      </w:r>
      <w:r>
        <w:t>comply with, the Standards.</w:t>
      </w:r>
    </w:p>
    <w:p w14:paraId="2C83D5E6" w14:textId="4071C80F" w:rsidR="00563BCC" w:rsidRPr="0074526C" w:rsidRDefault="00563BCC" w:rsidP="00A63F91">
      <w:pPr>
        <w:pStyle w:val="ListParagraph"/>
        <w:numPr>
          <w:ilvl w:val="0"/>
          <w:numId w:val="3"/>
        </w:numPr>
        <w:spacing w:before="24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p</w:t>
      </w:r>
      <w:r w:rsidRPr="0074526C">
        <w:rPr>
          <w:b/>
          <w:bCs/>
          <w:sz w:val="28"/>
          <w:szCs w:val="28"/>
        </w:rPr>
        <w:t>ayment</w:t>
      </w:r>
      <w:r>
        <w:rPr>
          <w:b/>
          <w:bCs/>
          <w:sz w:val="28"/>
          <w:szCs w:val="28"/>
        </w:rPr>
        <w:t xml:space="preserve"> in cash or kind</w:t>
      </w:r>
    </w:p>
    <w:p w14:paraId="310AA169" w14:textId="487F2DE4" w:rsidR="00563BCC" w:rsidRPr="00D92186" w:rsidRDefault="00563BCC" w:rsidP="008713CD">
      <w:pPr>
        <w:pStyle w:val="ListParagraph"/>
        <w:numPr>
          <w:ilvl w:val="0"/>
          <w:numId w:val="28"/>
        </w:numPr>
        <w:tabs>
          <w:tab w:val="left" w:pos="1100"/>
        </w:tabs>
        <w:spacing w:before="140" w:after="60"/>
        <w:ind w:left="1100" w:hanging="198"/>
      </w:pPr>
      <w:r w:rsidRPr="00D92186">
        <w:t>No payment or remuneration of any sort sh</w:t>
      </w:r>
      <w:r>
        <w:t xml:space="preserve">ould </w:t>
      </w:r>
      <w:r w:rsidRPr="00D92186">
        <w:t xml:space="preserve">be paid to a student for participation in </w:t>
      </w:r>
      <w:r>
        <w:t xml:space="preserve">a </w:t>
      </w:r>
      <w:r w:rsidRPr="00D92186">
        <w:t>work experience</w:t>
      </w:r>
      <w:r>
        <w:t xml:space="preserve"> placement</w:t>
      </w:r>
      <w:r w:rsidRPr="00D92186">
        <w:t>.</w:t>
      </w:r>
    </w:p>
    <w:p w14:paraId="7FDF16CD" w14:textId="77777777" w:rsidR="00563BCC" w:rsidRDefault="00563BCC" w:rsidP="00563BCC">
      <w:pPr>
        <w:pBdr>
          <w:bottom w:val="single" w:sz="12" w:space="1" w:color="auto"/>
        </w:pBdr>
        <w:tabs>
          <w:tab w:val="left" w:pos="1418"/>
        </w:tabs>
      </w:pPr>
    </w:p>
    <w:bookmarkEnd w:id="0"/>
    <w:bookmarkEnd w:id="1"/>
    <w:p w14:paraId="46B73D19" w14:textId="77777777" w:rsidR="006C15B5" w:rsidRDefault="006C15B5"/>
    <w:sectPr w:rsidR="006C15B5" w:rsidSect="006C15B5">
      <w:footerReference w:type="default" r:id="rId10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17AF" w14:textId="77777777" w:rsidR="006C15B5" w:rsidRDefault="006C15B5" w:rsidP="00563BCC">
      <w:r>
        <w:separator/>
      </w:r>
    </w:p>
  </w:endnote>
  <w:endnote w:type="continuationSeparator" w:id="0">
    <w:p w14:paraId="2E247BA7" w14:textId="77777777" w:rsidR="006C15B5" w:rsidRDefault="006C15B5" w:rsidP="0056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3F08" w14:textId="5A39FAEE" w:rsidR="006C15B5" w:rsidRPr="00865087" w:rsidRDefault="00865087" w:rsidP="00865087">
    <w:pPr>
      <w:pStyle w:val="Footer"/>
      <w:jc w:val="center"/>
      <w:rPr>
        <w:rFonts w:ascii="Arial" w:hAnsi="Arial" w:cs="Arial"/>
        <w:sz w:val="14"/>
        <w:szCs w:val="14"/>
      </w:rPr>
    </w:pPr>
    <w:r w:rsidRPr="0086508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57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27526" w14:textId="77777777" w:rsidR="005469E7" w:rsidRDefault="005469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4F08C" w14:textId="77777777" w:rsidR="005469E7" w:rsidRPr="00865087" w:rsidRDefault="005469E7" w:rsidP="00865087">
    <w:pPr>
      <w:pStyle w:val="Footer"/>
      <w:jc w:val="center"/>
      <w:rPr>
        <w:rFonts w:ascii="Arial" w:hAnsi="Arial" w:cs="Arial"/>
        <w:sz w:val="14"/>
        <w:szCs w:val="14"/>
      </w:rPr>
    </w:pPr>
    <w:r w:rsidRPr="0086508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2538" w14:textId="77777777" w:rsidR="006C15B5" w:rsidRDefault="006C15B5" w:rsidP="00563BCC">
      <w:r>
        <w:separator/>
      </w:r>
    </w:p>
  </w:footnote>
  <w:footnote w:type="continuationSeparator" w:id="0">
    <w:p w14:paraId="258B1439" w14:textId="77777777" w:rsidR="006C15B5" w:rsidRDefault="006C15B5" w:rsidP="00563BCC">
      <w:r>
        <w:continuationSeparator/>
      </w:r>
    </w:p>
  </w:footnote>
  <w:footnote w:id="1">
    <w:p w14:paraId="27D1B044" w14:textId="04D6399B" w:rsidR="00B07C1E" w:rsidRDefault="00B07C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7C1E">
        <w:t xml:space="preserve">Adult is defined in the </w:t>
      </w:r>
      <w:r w:rsidRPr="00B07C1E">
        <w:rPr>
          <w:i/>
          <w:iCs/>
        </w:rPr>
        <w:t>Legislation Act 2001</w:t>
      </w:r>
      <w:r w:rsidRPr="00B07C1E">
        <w:t>, dict., pt. 1 as ‘an individual who is at least 18 years old’.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67"/>
    <w:multiLevelType w:val="hybridMultilevel"/>
    <w:tmpl w:val="FBC699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B64F7"/>
    <w:multiLevelType w:val="hybridMultilevel"/>
    <w:tmpl w:val="14928AC0"/>
    <w:lvl w:ilvl="0" w:tplc="0C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EB0"/>
    <w:multiLevelType w:val="hybridMultilevel"/>
    <w:tmpl w:val="4606C2D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4C8600B"/>
    <w:multiLevelType w:val="hybridMultilevel"/>
    <w:tmpl w:val="7D4C71CA"/>
    <w:lvl w:ilvl="0" w:tplc="1E5C3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A04FE4"/>
    <w:multiLevelType w:val="hybridMultilevel"/>
    <w:tmpl w:val="2D80D404"/>
    <w:lvl w:ilvl="0" w:tplc="0C09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  <w:lvl w:ilvl="1" w:tplc="13BC59A0">
      <w:start w:val="1"/>
      <w:numFmt w:val="lowerLetter"/>
      <w:lvlText w:val="%2)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5" w15:restartNumberingAfterBreak="0">
    <w:nsid w:val="21CF4923"/>
    <w:multiLevelType w:val="multilevel"/>
    <w:tmpl w:val="A82040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%7)"/>
      <w:lvlJc w:val="right"/>
      <w:pPr>
        <w:tabs>
          <w:tab w:val="num" w:pos="2611"/>
        </w:tabs>
        <w:ind w:left="2611" w:hanging="200"/>
      </w:pPr>
      <w:rPr>
        <w:rFonts w:hint="default"/>
        <w:b w:val="0"/>
        <w:i w:val="0"/>
      </w:rPr>
    </w:lvl>
    <w:lvl w:ilvl="7">
      <w:start w:val="1"/>
      <w:numFmt w:val="lowerRoman"/>
      <w:pStyle w:val="Billname"/>
      <w:lvlText w:val="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N-line3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6" w15:restartNumberingAfterBreak="0">
    <w:nsid w:val="28336589"/>
    <w:multiLevelType w:val="hybridMultilevel"/>
    <w:tmpl w:val="D1820E1C"/>
    <w:lvl w:ilvl="0" w:tplc="DB721E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2669"/>
    <w:multiLevelType w:val="hybridMultilevel"/>
    <w:tmpl w:val="C22ED562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6A4DC7"/>
    <w:multiLevelType w:val="hybridMultilevel"/>
    <w:tmpl w:val="4046347C"/>
    <w:lvl w:ilvl="0" w:tplc="4D4E1B6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A927FF"/>
    <w:multiLevelType w:val="hybridMultilevel"/>
    <w:tmpl w:val="3A94A2A4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243094"/>
    <w:multiLevelType w:val="hybridMultilevel"/>
    <w:tmpl w:val="8B10744A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3FB722D"/>
    <w:multiLevelType w:val="hybridMultilevel"/>
    <w:tmpl w:val="FBC699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70F84"/>
    <w:multiLevelType w:val="hybridMultilevel"/>
    <w:tmpl w:val="CBCABD52"/>
    <w:lvl w:ilvl="0" w:tplc="0C090017">
      <w:start w:val="1"/>
      <w:numFmt w:val="lowerLetter"/>
      <w:lvlText w:val="%1)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AE6819"/>
    <w:multiLevelType w:val="hybridMultilevel"/>
    <w:tmpl w:val="A6DCB1E6"/>
    <w:lvl w:ilvl="0" w:tplc="4D4E1B6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C7110"/>
    <w:multiLevelType w:val="hybridMultilevel"/>
    <w:tmpl w:val="8B10744A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186A2F"/>
    <w:multiLevelType w:val="hybridMultilevel"/>
    <w:tmpl w:val="C22ED562"/>
    <w:lvl w:ilvl="0" w:tplc="0C090017">
      <w:start w:val="1"/>
      <w:numFmt w:val="lowerLetter"/>
      <w:lvlText w:val="%1)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873E88"/>
    <w:multiLevelType w:val="hybridMultilevel"/>
    <w:tmpl w:val="528E8CD2"/>
    <w:lvl w:ilvl="0" w:tplc="7A56B370">
      <w:start w:val="1"/>
      <w:numFmt w:val="decimal"/>
      <w:lvlText w:val="%1)"/>
      <w:lvlJc w:val="left"/>
      <w:pPr>
        <w:ind w:left="0" w:hanging="360"/>
      </w:p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>
      <w:start w:val="1"/>
      <w:numFmt w:val="lowerRoman"/>
      <w:lvlText w:val="%3."/>
      <w:lvlJc w:val="right"/>
      <w:pPr>
        <w:ind w:left="1440" w:hanging="180"/>
      </w:pPr>
    </w:lvl>
    <w:lvl w:ilvl="3" w:tplc="0C09000F">
      <w:start w:val="1"/>
      <w:numFmt w:val="decimal"/>
      <w:lvlText w:val="%4."/>
      <w:lvlJc w:val="left"/>
      <w:pPr>
        <w:ind w:left="2160" w:hanging="360"/>
      </w:pPr>
    </w:lvl>
    <w:lvl w:ilvl="4" w:tplc="0C090019">
      <w:start w:val="1"/>
      <w:numFmt w:val="lowerLetter"/>
      <w:lvlText w:val="%5."/>
      <w:lvlJc w:val="left"/>
      <w:pPr>
        <w:ind w:left="2880" w:hanging="360"/>
      </w:pPr>
    </w:lvl>
    <w:lvl w:ilvl="5" w:tplc="0C09001B">
      <w:start w:val="1"/>
      <w:numFmt w:val="lowerRoman"/>
      <w:lvlText w:val="%6."/>
      <w:lvlJc w:val="right"/>
      <w:pPr>
        <w:ind w:left="3600" w:hanging="180"/>
      </w:pPr>
    </w:lvl>
    <w:lvl w:ilvl="6" w:tplc="0C09000F">
      <w:start w:val="1"/>
      <w:numFmt w:val="decimal"/>
      <w:lvlText w:val="%7."/>
      <w:lvlJc w:val="left"/>
      <w:pPr>
        <w:ind w:left="4320" w:hanging="360"/>
      </w:pPr>
    </w:lvl>
    <w:lvl w:ilvl="7" w:tplc="0C090019">
      <w:start w:val="1"/>
      <w:numFmt w:val="lowerLetter"/>
      <w:lvlText w:val="%8."/>
      <w:lvlJc w:val="left"/>
      <w:pPr>
        <w:ind w:left="5040" w:hanging="360"/>
      </w:pPr>
    </w:lvl>
    <w:lvl w:ilvl="8" w:tplc="0C09001B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51C5EA8"/>
    <w:multiLevelType w:val="hybridMultilevel"/>
    <w:tmpl w:val="2D80D404"/>
    <w:lvl w:ilvl="0" w:tplc="0C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13BC59A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CC37529"/>
    <w:multiLevelType w:val="hybridMultilevel"/>
    <w:tmpl w:val="44B43552"/>
    <w:lvl w:ilvl="0" w:tplc="54B4F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5A08"/>
    <w:multiLevelType w:val="hybridMultilevel"/>
    <w:tmpl w:val="6D5E1C82"/>
    <w:lvl w:ilvl="0" w:tplc="D13C7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6EA"/>
    <w:multiLevelType w:val="hybridMultilevel"/>
    <w:tmpl w:val="FBC699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E9684D"/>
    <w:multiLevelType w:val="multilevel"/>
    <w:tmpl w:val="09567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7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14"/>
  </w:num>
  <w:num w:numId="11">
    <w:abstractNumId w:val="15"/>
  </w:num>
  <w:num w:numId="12">
    <w:abstractNumId w:val="7"/>
  </w:num>
  <w:num w:numId="13">
    <w:abstractNumId w:val="10"/>
  </w:num>
  <w:num w:numId="14">
    <w:abstractNumId w:val="19"/>
  </w:num>
  <w:num w:numId="15">
    <w:abstractNumId w:val="18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21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CC"/>
    <w:rsid w:val="00003338"/>
    <w:rsid w:val="000054BA"/>
    <w:rsid w:val="0001025C"/>
    <w:rsid w:val="00054898"/>
    <w:rsid w:val="0008437E"/>
    <w:rsid w:val="000A6094"/>
    <w:rsid w:val="000E1913"/>
    <w:rsid w:val="000F0D9D"/>
    <w:rsid w:val="00107D16"/>
    <w:rsid w:val="00112E9E"/>
    <w:rsid w:val="00131E37"/>
    <w:rsid w:val="001345D0"/>
    <w:rsid w:val="00161A20"/>
    <w:rsid w:val="00170EEA"/>
    <w:rsid w:val="00171EBD"/>
    <w:rsid w:val="00174EE7"/>
    <w:rsid w:val="001A1562"/>
    <w:rsid w:val="001A17D1"/>
    <w:rsid w:val="002325D8"/>
    <w:rsid w:val="002669C7"/>
    <w:rsid w:val="00267A60"/>
    <w:rsid w:val="0028018A"/>
    <w:rsid w:val="00292A72"/>
    <w:rsid w:val="002A445A"/>
    <w:rsid w:val="002B01B1"/>
    <w:rsid w:val="002E4F0F"/>
    <w:rsid w:val="00343F94"/>
    <w:rsid w:val="00352B7D"/>
    <w:rsid w:val="00376F16"/>
    <w:rsid w:val="0038130B"/>
    <w:rsid w:val="0038750D"/>
    <w:rsid w:val="00387651"/>
    <w:rsid w:val="00397889"/>
    <w:rsid w:val="003A6A52"/>
    <w:rsid w:val="003B056C"/>
    <w:rsid w:val="003B0F2F"/>
    <w:rsid w:val="003B1BA3"/>
    <w:rsid w:val="003D4379"/>
    <w:rsid w:val="003E6556"/>
    <w:rsid w:val="00421B4B"/>
    <w:rsid w:val="004228A4"/>
    <w:rsid w:val="004333FD"/>
    <w:rsid w:val="00436841"/>
    <w:rsid w:val="00440886"/>
    <w:rsid w:val="00441BDE"/>
    <w:rsid w:val="00467A08"/>
    <w:rsid w:val="00477D46"/>
    <w:rsid w:val="00482DA6"/>
    <w:rsid w:val="00497D9B"/>
    <w:rsid w:val="004A1ED1"/>
    <w:rsid w:val="004A300D"/>
    <w:rsid w:val="004A6EEB"/>
    <w:rsid w:val="004B3332"/>
    <w:rsid w:val="004D3744"/>
    <w:rsid w:val="004F1F47"/>
    <w:rsid w:val="004F337C"/>
    <w:rsid w:val="00512929"/>
    <w:rsid w:val="00545EBE"/>
    <w:rsid w:val="005469E7"/>
    <w:rsid w:val="00547BC8"/>
    <w:rsid w:val="00561EE6"/>
    <w:rsid w:val="00563BCC"/>
    <w:rsid w:val="005A18AA"/>
    <w:rsid w:val="005A204C"/>
    <w:rsid w:val="005E0AEC"/>
    <w:rsid w:val="005E7F31"/>
    <w:rsid w:val="00601F44"/>
    <w:rsid w:val="006104CF"/>
    <w:rsid w:val="00616306"/>
    <w:rsid w:val="00634E96"/>
    <w:rsid w:val="00637C51"/>
    <w:rsid w:val="00655757"/>
    <w:rsid w:val="006604A4"/>
    <w:rsid w:val="00670722"/>
    <w:rsid w:val="00675716"/>
    <w:rsid w:val="006915F6"/>
    <w:rsid w:val="00696B30"/>
    <w:rsid w:val="006C15B5"/>
    <w:rsid w:val="006C2996"/>
    <w:rsid w:val="006C6CC2"/>
    <w:rsid w:val="006D478D"/>
    <w:rsid w:val="006F2BAD"/>
    <w:rsid w:val="006F74A3"/>
    <w:rsid w:val="007021D7"/>
    <w:rsid w:val="00703720"/>
    <w:rsid w:val="0071553D"/>
    <w:rsid w:val="0072742E"/>
    <w:rsid w:val="00743AE5"/>
    <w:rsid w:val="007516A1"/>
    <w:rsid w:val="00760C2A"/>
    <w:rsid w:val="00791077"/>
    <w:rsid w:val="00792E8C"/>
    <w:rsid w:val="00794887"/>
    <w:rsid w:val="007A6E11"/>
    <w:rsid w:val="007B3604"/>
    <w:rsid w:val="007B451E"/>
    <w:rsid w:val="007C0690"/>
    <w:rsid w:val="007C0D68"/>
    <w:rsid w:val="007C7B84"/>
    <w:rsid w:val="00800766"/>
    <w:rsid w:val="00812FB2"/>
    <w:rsid w:val="00830460"/>
    <w:rsid w:val="00834D0D"/>
    <w:rsid w:val="00865087"/>
    <w:rsid w:val="008713CD"/>
    <w:rsid w:val="0087358A"/>
    <w:rsid w:val="00877099"/>
    <w:rsid w:val="00884D76"/>
    <w:rsid w:val="008A215C"/>
    <w:rsid w:val="008C2059"/>
    <w:rsid w:val="008D1A4D"/>
    <w:rsid w:val="008E2BDB"/>
    <w:rsid w:val="008E4E86"/>
    <w:rsid w:val="008E685B"/>
    <w:rsid w:val="008E7BB9"/>
    <w:rsid w:val="0091408A"/>
    <w:rsid w:val="009179FB"/>
    <w:rsid w:val="009216FC"/>
    <w:rsid w:val="0093323E"/>
    <w:rsid w:val="00955D0B"/>
    <w:rsid w:val="00960C34"/>
    <w:rsid w:val="0096110E"/>
    <w:rsid w:val="009619EE"/>
    <w:rsid w:val="00996632"/>
    <w:rsid w:val="009A52B0"/>
    <w:rsid w:val="00A06AC5"/>
    <w:rsid w:val="00A31AED"/>
    <w:rsid w:val="00A353C2"/>
    <w:rsid w:val="00A46BEC"/>
    <w:rsid w:val="00A50755"/>
    <w:rsid w:val="00A63F91"/>
    <w:rsid w:val="00A654BE"/>
    <w:rsid w:val="00A907D7"/>
    <w:rsid w:val="00A936F8"/>
    <w:rsid w:val="00AA1E59"/>
    <w:rsid w:val="00AB739B"/>
    <w:rsid w:val="00AE5C22"/>
    <w:rsid w:val="00AE725B"/>
    <w:rsid w:val="00AF24FD"/>
    <w:rsid w:val="00AF6771"/>
    <w:rsid w:val="00B07C1E"/>
    <w:rsid w:val="00B10EAC"/>
    <w:rsid w:val="00B2401C"/>
    <w:rsid w:val="00B36C2F"/>
    <w:rsid w:val="00B56CA5"/>
    <w:rsid w:val="00B741A5"/>
    <w:rsid w:val="00B832BC"/>
    <w:rsid w:val="00B85C74"/>
    <w:rsid w:val="00BA2F84"/>
    <w:rsid w:val="00BB0DA5"/>
    <w:rsid w:val="00BB5D7D"/>
    <w:rsid w:val="00BD2A2D"/>
    <w:rsid w:val="00BD34E3"/>
    <w:rsid w:val="00BE0896"/>
    <w:rsid w:val="00BE2028"/>
    <w:rsid w:val="00BE4D64"/>
    <w:rsid w:val="00BF6DBD"/>
    <w:rsid w:val="00C02949"/>
    <w:rsid w:val="00C21505"/>
    <w:rsid w:val="00C24C80"/>
    <w:rsid w:val="00C30929"/>
    <w:rsid w:val="00C70779"/>
    <w:rsid w:val="00C84BFD"/>
    <w:rsid w:val="00C97D94"/>
    <w:rsid w:val="00CA2DC0"/>
    <w:rsid w:val="00CB7A31"/>
    <w:rsid w:val="00CD4C69"/>
    <w:rsid w:val="00D22023"/>
    <w:rsid w:val="00D248C7"/>
    <w:rsid w:val="00D3029A"/>
    <w:rsid w:val="00D75CBE"/>
    <w:rsid w:val="00D8098D"/>
    <w:rsid w:val="00D90245"/>
    <w:rsid w:val="00D9433C"/>
    <w:rsid w:val="00DA5A70"/>
    <w:rsid w:val="00DE49B5"/>
    <w:rsid w:val="00DE6D65"/>
    <w:rsid w:val="00DF3EA5"/>
    <w:rsid w:val="00DF5F55"/>
    <w:rsid w:val="00E03929"/>
    <w:rsid w:val="00E04B79"/>
    <w:rsid w:val="00E2211A"/>
    <w:rsid w:val="00E86478"/>
    <w:rsid w:val="00EC41F6"/>
    <w:rsid w:val="00ED50C6"/>
    <w:rsid w:val="00EE2CBE"/>
    <w:rsid w:val="00EE69F6"/>
    <w:rsid w:val="00EF7503"/>
    <w:rsid w:val="00EF76C2"/>
    <w:rsid w:val="00F278E5"/>
    <w:rsid w:val="00F31402"/>
    <w:rsid w:val="00F315D8"/>
    <w:rsid w:val="00F371D4"/>
    <w:rsid w:val="00F42847"/>
    <w:rsid w:val="00F42A2E"/>
    <w:rsid w:val="00F56C72"/>
    <w:rsid w:val="00F62D67"/>
    <w:rsid w:val="00F67726"/>
    <w:rsid w:val="00F778ED"/>
    <w:rsid w:val="00FB2AC4"/>
    <w:rsid w:val="00FB65AF"/>
    <w:rsid w:val="00FC1A61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71F92E0"/>
  <w15:chartTrackingRefBased/>
  <w15:docId w15:val="{569A4AAE-CC0C-4CE4-8388-D66AE48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BC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BCC"/>
    <w:pPr>
      <w:keepNext/>
      <w:ind w:left="720" w:hanging="72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BCC"/>
  </w:style>
  <w:style w:type="paragraph" w:styleId="Header">
    <w:name w:val="header"/>
    <w:basedOn w:val="Normal"/>
    <w:link w:val="HeaderChar"/>
    <w:uiPriority w:val="99"/>
    <w:unhideWhenUsed/>
    <w:rsid w:val="00563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BCC"/>
  </w:style>
  <w:style w:type="paragraph" w:styleId="FootnoteText">
    <w:name w:val="footnote text"/>
    <w:basedOn w:val="Normal"/>
    <w:link w:val="FootnoteTextChar"/>
    <w:uiPriority w:val="99"/>
    <w:semiHidden/>
    <w:unhideWhenUsed/>
    <w:rsid w:val="00563BC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BCC"/>
    <w:rPr>
      <w:sz w:val="20"/>
      <w:szCs w:val="20"/>
    </w:rPr>
  </w:style>
  <w:style w:type="character" w:styleId="FootnoteReference">
    <w:name w:val="footnote reference"/>
    <w:uiPriority w:val="99"/>
    <w:semiHidden/>
    <w:rsid w:val="00563BCC"/>
    <w:rPr>
      <w:rFonts w:ascii="Times New Roman" w:hAnsi="Times New Roman" w:cs="Times New Roman"/>
      <w:sz w:val="24"/>
      <w:szCs w:val="24"/>
      <w:vertAlign w:val="superscript"/>
    </w:rPr>
  </w:style>
  <w:style w:type="character" w:styleId="CommentReference">
    <w:name w:val="annotation reference"/>
    <w:uiPriority w:val="99"/>
    <w:semiHidden/>
    <w:rsid w:val="00563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3B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63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3BCC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rsid w:val="00563BCC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563BCC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illname">
    <w:name w:val="Billname"/>
    <w:basedOn w:val="Normal"/>
    <w:rsid w:val="00563BCC"/>
    <w:pPr>
      <w:numPr>
        <w:ilvl w:val="7"/>
        <w:numId w:val="22"/>
      </w:num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3BCC"/>
    <w:pPr>
      <w:numPr>
        <w:ilvl w:val="8"/>
        <w:numId w:val="22"/>
      </w:num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3B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3B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563BCC"/>
    <w:pPr>
      <w:tabs>
        <w:tab w:val="left" w:pos="2880"/>
      </w:tabs>
    </w:pPr>
  </w:style>
  <w:style w:type="paragraph" w:styleId="TOC4">
    <w:name w:val="toc 4"/>
    <w:basedOn w:val="Normal"/>
    <w:next w:val="Normal"/>
    <w:autoRedefine/>
    <w:uiPriority w:val="99"/>
    <w:semiHidden/>
    <w:rsid w:val="00563BCC"/>
    <w:pPr>
      <w:ind w:left="720"/>
    </w:pPr>
  </w:style>
  <w:style w:type="character" w:customStyle="1" w:styleId="EmailStyle61">
    <w:name w:val="EmailStyle61"/>
    <w:uiPriority w:val="99"/>
    <w:rsid w:val="00563BCC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63BCC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main">
    <w:name w:val="A main"/>
    <w:basedOn w:val="Normal"/>
    <w:link w:val="AmainChar"/>
    <w:rsid w:val="00BD2A2D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subpara">
    <w:name w:val="A subpara"/>
    <w:basedOn w:val="Normal"/>
    <w:link w:val="AsubparaChar"/>
    <w:rsid w:val="00BD2A2D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</w:style>
  <w:style w:type="paragraph" w:customStyle="1" w:styleId="aDef">
    <w:name w:val="aDef"/>
    <w:basedOn w:val="Normal"/>
    <w:link w:val="aDefChar"/>
    <w:rsid w:val="00BD2A2D"/>
    <w:pPr>
      <w:spacing w:before="140"/>
      <w:ind w:left="1100"/>
      <w:jc w:val="both"/>
    </w:pPr>
  </w:style>
  <w:style w:type="paragraph" w:customStyle="1" w:styleId="AH5Sec">
    <w:name w:val="A H5 Sec"/>
    <w:aliases w:val="s"/>
    <w:basedOn w:val="Normal"/>
    <w:next w:val="Amain"/>
    <w:link w:val="AH5SecChar"/>
    <w:rsid w:val="00BD2A2D"/>
    <w:pPr>
      <w:keepNext/>
      <w:tabs>
        <w:tab w:val="left" w:pos="1100"/>
      </w:tabs>
      <w:spacing w:before="240"/>
      <w:ind w:left="1100" w:hanging="1100"/>
      <w:outlineLvl w:val="4"/>
    </w:pPr>
    <w:rPr>
      <w:rFonts w:ascii="Arial" w:hAnsi="Arial"/>
      <w:b/>
    </w:rPr>
  </w:style>
  <w:style w:type="character" w:customStyle="1" w:styleId="CharSectNo">
    <w:name w:val="CharSectNo"/>
    <w:basedOn w:val="DefaultParagraphFont"/>
    <w:rsid w:val="00BD2A2D"/>
  </w:style>
  <w:style w:type="paragraph" w:customStyle="1" w:styleId="aDefpara">
    <w:name w:val="aDef para"/>
    <w:basedOn w:val="Normal"/>
    <w:rsid w:val="00BD2A2D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BD2A2D"/>
    <w:rPr>
      <w:b/>
      <w:i/>
    </w:rPr>
  </w:style>
  <w:style w:type="character" w:customStyle="1" w:styleId="charItals">
    <w:name w:val="charItals"/>
    <w:basedOn w:val="DefaultParagraphFont"/>
    <w:rsid w:val="00BD2A2D"/>
    <w:rPr>
      <w:i/>
    </w:rPr>
  </w:style>
  <w:style w:type="character" w:customStyle="1" w:styleId="aDefChar">
    <w:name w:val="aDef Char"/>
    <w:basedOn w:val="DefaultParagraphFont"/>
    <w:link w:val="aDef"/>
    <w:locked/>
    <w:rsid w:val="00BD2A2D"/>
    <w:rPr>
      <w:rFonts w:ascii="Times New Roman" w:eastAsia="Times New Roman" w:hAnsi="Times New Roman" w:cs="Times New Roman"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BD2A2D"/>
    <w:rPr>
      <w:rFonts w:ascii="Arial" w:eastAsia="Times New Roman" w:hAnsi="Arial" w:cs="Times New Roman"/>
      <w:b/>
      <w:sz w:val="24"/>
      <w:szCs w:val="20"/>
    </w:rPr>
  </w:style>
  <w:style w:type="character" w:customStyle="1" w:styleId="AsubparaChar">
    <w:name w:val="A subpara Char"/>
    <w:basedOn w:val="DefaultParagraphFont"/>
    <w:link w:val="Asubpara"/>
    <w:locked/>
    <w:rsid w:val="00BD2A2D"/>
    <w:rPr>
      <w:rFonts w:ascii="Times New Roman" w:eastAsia="Times New Roman" w:hAnsi="Times New Roman" w:cs="Times New Roman"/>
      <w:sz w:val="24"/>
      <w:szCs w:val="20"/>
    </w:rPr>
  </w:style>
  <w:style w:type="character" w:customStyle="1" w:styleId="AmainChar">
    <w:name w:val="A main Char"/>
    <w:basedOn w:val="DefaultParagraphFont"/>
    <w:link w:val="Amain"/>
    <w:locked/>
    <w:rsid w:val="00BD2A2D"/>
    <w:rPr>
      <w:rFonts w:ascii="Times New Roman" w:eastAsia="Times New Roman" w:hAnsi="Times New Roman" w:cs="Times New Roman"/>
      <w:sz w:val="24"/>
      <w:szCs w:val="20"/>
    </w:rPr>
  </w:style>
  <w:style w:type="paragraph" w:customStyle="1" w:styleId="IH5Sec">
    <w:name w:val="I H5 Sec"/>
    <w:basedOn w:val="Normal"/>
    <w:next w:val="Normal"/>
    <w:rsid w:val="00655757"/>
    <w:pPr>
      <w:keepNext/>
      <w:tabs>
        <w:tab w:val="left" w:pos="1100"/>
      </w:tabs>
      <w:spacing w:before="24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Normal"/>
    <w:rsid w:val="00655757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Defsubpara">
    <w:name w:val="aDef subpara"/>
    <w:basedOn w:val="Asubpara"/>
    <w:rsid w:val="00655757"/>
    <w:pPr>
      <w:tabs>
        <w:tab w:val="clear" w:pos="1900"/>
        <w:tab w:val="clear" w:pos="2100"/>
        <w:tab w:val="num" w:pos="2140"/>
      </w:tabs>
      <w:ind w:left="2140" w:hanging="200"/>
    </w:pPr>
  </w:style>
  <w:style w:type="paragraph" w:customStyle="1" w:styleId="Idefpara">
    <w:name w:val="I def para"/>
    <w:basedOn w:val="Normal"/>
    <w:rsid w:val="00655757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paragraph" w:customStyle="1" w:styleId="Idefsubpara">
    <w:name w:val="I def subpara"/>
    <w:basedOn w:val="Normal"/>
    <w:rsid w:val="00655757"/>
    <w:pPr>
      <w:tabs>
        <w:tab w:val="right" w:pos="1940"/>
        <w:tab w:val="left" w:pos="2140"/>
      </w:tabs>
      <w:spacing w:before="140"/>
      <w:ind w:left="2140" w:hanging="2140"/>
      <w:jc w:val="both"/>
    </w:pPr>
  </w:style>
  <w:style w:type="paragraph" w:customStyle="1" w:styleId="Ipara">
    <w:name w:val="I para"/>
    <w:basedOn w:val="Normal"/>
    <w:rsid w:val="00655757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paragraph" w:customStyle="1" w:styleId="Isubpara">
    <w:name w:val="I subpara"/>
    <w:basedOn w:val="Normal"/>
    <w:rsid w:val="00655757"/>
    <w:pPr>
      <w:tabs>
        <w:tab w:val="right" w:pos="1940"/>
        <w:tab w:val="left" w:pos="2140"/>
      </w:tabs>
      <w:spacing w:before="140"/>
      <w:ind w:left="2140" w:hanging="2140"/>
      <w:jc w:val="both"/>
    </w:pPr>
  </w:style>
  <w:style w:type="paragraph" w:customStyle="1" w:styleId="Apara">
    <w:name w:val="A para"/>
    <w:basedOn w:val="Normal"/>
    <w:rsid w:val="00A31AED"/>
    <w:pPr>
      <w:tabs>
        <w:tab w:val="num" w:pos="1600"/>
      </w:tabs>
      <w:spacing w:before="140"/>
      <w:ind w:left="1600" w:hanging="200"/>
      <w:jc w:val="both"/>
      <w:outlineLvl w:val="6"/>
    </w:pPr>
  </w:style>
  <w:style w:type="paragraph" w:customStyle="1" w:styleId="Asubsubpara">
    <w:name w:val="A subsubpara"/>
    <w:basedOn w:val="Normal"/>
    <w:rsid w:val="00A31AED"/>
    <w:pPr>
      <w:tabs>
        <w:tab w:val="num" w:pos="2660"/>
      </w:tabs>
      <w:spacing w:before="140"/>
      <w:ind w:left="2660" w:hanging="200"/>
      <w:jc w:val="both"/>
      <w:outlineLvl w:val="8"/>
    </w:pPr>
  </w:style>
  <w:style w:type="character" w:styleId="Hyperlink">
    <w:name w:val="Hyperlink"/>
    <w:basedOn w:val="DefaultParagraphFont"/>
    <w:uiPriority w:val="99"/>
    <w:unhideWhenUsed/>
    <w:rsid w:val="0061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-school-life/transitions-careers/career-learning/workplace-lear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0515-9FAB-47A7-BB60-9844B49E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2199</Words>
  <Characters>12008</Characters>
  <Application>Microsoft Office Word</Application>
  <DocSecurity>0</DocSecurity>
  <Lines>272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Jha, Kriti</dc:creator>
  <cp:keywords/>
  <dc:description/>
  <cp:lastModifiedBy>Moxon, KarenL</cp:lastModifiedBy>
  <cp:revision>5</cp:revision>
  <dcterms:created xsi:type="dcterms:W3CDTF">2022-07-28T00:29:00Z</dcterms:created>
  <dcterms:modified xsi:type="dcterms:W3CDTF">2022-08-01T00:41:00Z</dcterms:modified>
</cp:coreProperties>
</file>