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72" w:rsidRDefault="008B2B72" w:rsidP="008B2B72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City">
          <w:r>
            <w:rPr>
              <w:rFonts w:ascii="Arial" w:hAnsi="Arial" w:cs="Arial"/>
            </w:rPr>
            <w:t>Australian Capital Territory</w:t>
          </w:r>
        </w:smartTag>
      </w:smartTag>
    </w:p>
    <w:p w:rsidR="008B2B72" w:rsidRDefault="008B2B72" w:rsidP="008B2B72">
      <w:pPr>
        <w:pStyle w:val="Billname"/>
        <w:spacing w:before="700"/>
      </w:pPr>
      <w:r>
        <w:t>Explanatory Statement</w:t>
      </w:r>
    </w:p>
    <w:p w:rsidR="008B2B72" w:rsidRDefault="008B2B72" w:rsidP="008B2B72">
      <w:pPr>
        <w:pStyle w:val="Billname"/>
        <w:spacing w:before="700"/>
      </w:pPr>
      <w:r>
        <w:t>Health</w:t>
      </w:r>
      <w:r w:rsidR="00D67A4E">
        <w:t xml:space="preserve"> (Fees) Determination 201</w:t>
      </w:r>
      <w:r w:rsidR="00C56F4F">
        <w:t>9</w:t>
      </w:r>
      <w:r w:rsidR="00D67A4E">
        <w:t xml:space="preserve"> (No</w:t>
      </w:r>
      <w:r w:rsidR="000775AA">
        <w:t xml:space="preserve"> </w:t>
      </w:r>
      <w:r w:rsidR="00D01E86">
        <w:t>1</w:t>
      </w:r>
      <w:r>
        <w:t xml:space="preserve">) </w:t>
      </w:r>
    </w:p>
    <w:p w:rsidR="00C56F4F" w:rsidRDefault="001E0D5E" w:rsidP="008B2B72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C56F4F">
        <w:rPr>
          <w:rFonts w:ascii="Arial" w:hAnsi="Arial" w:cs="Arial"/>
          <w:b/>
          <w:bCs/>
        </w:rPr>
        <w:t>9</w:t>
      </w:r>
      <w:r w:rsidR="008B2B72">
        <w:rPr>
          <w:rFonts w:ascii="Arial" w:hAnsi="Arial" w:cs="Arial"/>
          <w:b/>
          <w:bCs/>
        </w:rPr>
        <w:t>-</w:t>
      </w:r>
      <w:r w:rsidR="00B60C4D">
        <w:rPr>
          <w:rFonts w:ascii="Arial" w:hAnsi="Arial" w:cs="Arial"/>
          <w:b/>
          <w:bCs/>
        </w:rPr>
        <w:t>180</w:t>
      </w:r>
      <w:bookmarkStart w:id="0" w:name="_GoBack"/>
      <w:bookmarkEnd w:id="0"/>
    </w:p>
    <w:p w:rsidR="008B2B72" w:rsidRPr="008B2B72" w:rsidRDefault="008B2B72" w:rsidP="008B2B72">
      <w:pPr>
        <w:spacing w:before="240" w:after="60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made under the</w:t>
      </w:r>
    </w:p>
    <w:p w:rsidR="008B2B72" w:rsidRPr="00031115" w:rsidRDefault="008B2B72" w:rsidP="008B2B72">
      <w:pPr>
        <w:pStyle w:val="CoverActName"/>
        <w:rPr>
          <w:sz w:val="20"/>
          <w:szCs w:val="20"/>
          <w:vertAlign w:val="superscript"/>
        </w:rPr>
      </w:pPr>
      <w:r w:rsidRPr="00307FD4">
        <w:rPr>
          <w:i/>
          <w:iCs/>
          <w:sz w:val="20"/>
          <w:szCs w:val="20"/>
        </w:rPr>
        <w:t>Health Act 1993</w:t>
      </w:r>
      <w:r w:rsidRPr="00031115">
        <w:rPr>
          <w:sz w:val="20"/>
          <w:szCs w:val="20"/>
        </w:rPr>
        <w:t>, s 192 (Determination of Fees)</w:t>
      </w:r>
    </w:p>
    <w:p w:rsidR="008B2B72" w:rsidRDefault="008B2B72" w:rsidP="008B2B72">
      <w:pPr>
        <w:pStyle w:val="N-line3"/>
        <w:pBdr>
          <w:bottom w:val="none" w:sz="0" w:space="0" w:color="auto"/>
        </w:pBdr>
      </w:pPr>
    </w:p>
    <w:p w:rsidR="008B2B72" w:rsidRDefault="008B2B72" w:rsidP="008B2B72">
      <w:pPr>
        <w:pStyle w:val="N-line3"/>
        <w:pBdr>
          <w:top w:val="single" w:sz="12" w:space="1" w:color="auto"/>
          <w:bottom w:val="none" w:sz="0" w:space="0" w:color="auto"/>
        </w:pBdr>
      </w:pPr>
    </w:p>
    <w:p w:rsidR="001F66B3" w:rsidRDefault="008B2B72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This Determination of Fees revokes and replaces the Determination of</w:t>
      </w:r>
      <w:r w:rsidR="00720C42">
        <w:rPr>
          <w:rFonts w:ascii="Times New Roman" w:hAnsi="Times New Roman"/>
          <w:sz w:val="24"/>
          <w:szCs w:val="24"/>
        </w:rPr>
        <w:t xml:space="preserve"> Fees DI201</w:t>
      </w:r>
      <w:r w:rsidR="00C56F4F">
        <w:rPr>
          <w:rFonts w:ascii="Times New Roman" w:hAnsi="Times New Roman"/>
          <w:sz w:val="24"/>
          <w:szCs w:val="24"/>
        </w:rPr>
        <w:t>8</w:t>
      </w:r>
      <w:r w:rsidRPr="008B2B72">
        <w:rPr>
          <w:rFonts w:ascii="Times New Roman" w:hAnsi="Times New Roman"/>
          <w:sz w:val="24"/>
          <w:szCs w:val="24"/>
        </w:rPr>
        <w:t>-</w:t>
      </w:r>
      <w:r w:rsidR="00A31F07">
        <w:rPr>
          <w:rFonts w:ascii="Times New Roman" w:hAnsi="Times New Roman"/>
          <w:sz w:val="24"/>
          <w:szCs w:val="24"/>
        </w:rPr>
        <w:t>1</w:t>
      </w:r>
      <w:r w:rsidR="00C56F4F">
        <w:rPr>
          <w:rFonts w:ascii="Times New Roman" w:hAnsi="Times New Roman"/>
          <w:sz w:val="24"/>
          <w:szCs w:val="24"/>
        </w:rPr>
        <w:t>5</w:t>
      </w:r>
      <w:r w:rsidR="00A31F07">
        <w:rPr>
          <w:rFonts w:ascii="Times New Roman" w:hAnsi="Times New Roman"/>
          <w:sz w:val="24"/>
          <w:szCs w:val="24"/>
        </w:rPr>
        <w:t>3</w:t>
      </w:r>
      <w:r w:rsidR="00D67A4E">
        <w:rPr>
          <w:rFonts w:ascii="Times New Roman" w:hAnsi="Times New Roman"/>
          <w:sz w:val="24"/>
          <w:szCs w:val="24"/>
        </w:rPr>
        <w:t xml:space="preserve">, dated </w:t>
      </w:r>
    </w:p>
    <w:p w:rsidR="008B2B72" w:rsidRDefault="00C56F4F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34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June 2018</w:t>
      </w:r>
      <w:r w:rsidR="008B2B72" w:rsidRPr="008B2B72">
        <w:rPr>
          <w:rFonts w:ascii="Times New Roman" w:hAnsi="Times New Roman"/>
          <w:sz w:val="24"/>
          <w:szCs w:val="24"/>
        </w:rPr>
        <w:t>.</w:t>
      </w:r>
    </w:p>
    <w:p w:rsidR="001F66B3" w:rsidRDefault="001F66B3" w:rsidP="001F6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CA" w:rsidRPr="008B2B72" w:rsidRDefault="00EE2CCA" w:rsidP="00EE2CCA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 xml:space="preserve">The Determination comes into effect on </w:t>
      </w:r>
      <w:r w:rsidR="000373F4">
        <w:rPr>
          <w:rFonts w:ascii="Times New Roman" w:hAnsi="Times New Roman"/>
          <w:sz w:val="24"/>
          <w:szCs w:val="24"/>
        </w:rPr>
        <w:t>1 July 201</w:t>
      </w:r>
      <w:r w:rsidR="00C56F4F">
        <w:rPr>
          <w:rFonts w:ascii="Times New Roman" w:hAnsi="Times New Roman"/>
          <w:sz w:val="24"/>
          <w:szCs w:val="24"/>
        </w:rPr>
        <w:t>9</w:t>
      </w:r>
      <w:r w:rsidR="000373F4">
        <w:rPr>
          <w:rFonts w:ascii="Times New Roman" w:hAnsi="Times New Roman"/>
          <w:sz w:val="24"/>
          <w:szCs w:val="24"/>
        </w:rPr>
        <w:t xml:space="preserve"> </w:t>
      </w:r>
      <w:r w:rsidRPr="008B2B72">
        <w:rPr>
          <w:rFonts w:ascii="Times New Roman" w:hAnsi="Times New Roman"/>
          <w:sz w:val="24"/>
          <w:szCs w:val="24"/>
        </w:rPr>
        <w:t xml:space="preserve">and reproduces Determination </w:t>
      </w:r>
    </w:p>
    <w:p w:rsidR="00271FA9" w:rsidRDefault="00EE2CCA" w:rsidP="00271FA9">
      <w:pPr>
        <w:tabs>
          <w:tab w:val="left" w:pos="851"/>
          <w:tab w:val="left" w:pos="1135"/>
          <w:tab w:val="right" w:pos="6521"/>
          <w:tab w:val="righ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72">
        <w:rPr>
          <w:rFonts w:ascii="Times New Roman" w:hAnsi="Times New Roman"/>
          <w:sz w:val="24"/>
          <w:szCs w:val="24"/>
        </w:rPr>
        <w:t>DI201</w:t>
      </w:r>
      <w:r w:rsidR="00C56F4F">
        <w:rPr>
          <w:rFonts w:ascii="Times New Roman" w:hAnsi="Times New Roman"/>
          <w:sz w:val="24"/>
          <w:szCs w:val="24"/>
        </w:rPr>
        <w:t>8</w:t>
      </w:r>
      <w:r w:rsidR="00846014">
        <w:rPr>
          <w:rFonts w:ascii="Times New Roman" w:hAnsi="Times New Roman"/>
          <w:sz w:val="24"/>
          <w:szCs w:val="24"/>
        </w:rPr>
        <w:t>-</w:t>
      </w:r>
      <w:r w:rsidR="00A31F07">
        <w:rPr>
          <w:rFonts w:ascii="Times New Roman" w:hAnsi="Times New Roman"/>
          <w:sz w:val="24"/>
          <w:szCs w:val="24"/>
        </w:rPr>
        <w:t>1</w:t>
      </w:r>
      <w:r w:rsidR="00C56F4F">
        <w:rPr>
          <w:rFonts w:ascii="Times New Roman" w:hAnsi="Times New Roman"/>
          <w:sz w:val="24"/>
          <w:szCs w:val="24"/>
        </w:rPr>
        <w:t>5</w:t>
      </w:r>
      <w:r w:rsidR="00A31F07">
        <w:rPr>
          <w:rFonts w:ascii="Times New Roman" w:hAnsi="Times New Roman"/>
          <w:sz w:val="24"/>
          <w:szCs w:val="24"/>
        </w:rPr>
        <w:t>3</w:t>
      </w:r>
      <w:r w:rsidR="00271FA9">
        <w:rPr>
          <w:rFonts w:ascii="Times New Roman" w:hAnsi="Times New Roman"/>
          <w:sz w:val="24"/>
          <w:szCs w:val="24"/>
        </w:rPr>
        <w:t xml:space="preserve"> except for:</w:t>
      </w:r>
    </w:p>
    <w:p w:rsidR="000F35EB" w:rsidRPr="00F6422D" w:rsidRDefault="000F35EB" w:rsidP="00F6422D">
      <w:pPr>
        <w:spacing w:after="6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A5180C" w:rsidRDefault="00A5180C" w:rsidP="00A5180C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B2B72">
        <w:rPr>
          <w:rFonts w:ascii="Times New Roman" w:hAnsi="Times New Roman"/>
          <w:sz w:val="24"/>
          <w:szCs w:val="24"/>
        </w:rPr>
        <w:t>tems on Attachment A, which have increase</w:t>
      </w:r>
      <w:r>
        <w:rPr>
          <w:rFonts w:ascii="Times New Roman" w:hAnsi="Times New Roman"/>
          <w:sz w:val="24"/>
          <w:szCs w:val="24"/>
        </w:rPr>
        <w:t xml:space="preserve">d by the Wage Price Index of </w:t>
      </w:r>
      <w:r w:rsidR="00353EC6" w:rsidRPr="00353EC6">
        <w:rPr>
          <w:rFonts w:ascii="Times New Roman" w:hAnsi="Times New Roman"/>
          <w:sz w:val="24"/>
          <w:szCs w:val="24"/>
        </w:rPr>
        <w:t>2.</w:t>
      </w:r>
      <w:r w:rsidR="000373F4">
        <w:rPr>
          <w:rFonts w:ascii="Times New Roman" w:hAnsi="Times New Roman"/>
          <w:sz w:val="24"/>
          <w:szCs w:val="24"/>
        </w:rPr>
        <w:t>5</w:t>
      </w:r>
      <w:r w:rsidRPr="00353EC6">
        <w:rPr>
          <w:rFonts w:ascii="Times New Roman" w:hAnsi="Times New Roman"/>
          <w:sz w:val="24"/>
          <w:szCs w:val="24"/>
        </w:rPr>
        <w:t>%</w:t>
      </w:r>
      <w:r w:rsidR="00DD442F">
        <w:rPr>
          <w:rFonts w:ascii="Times New Roman" w:hAnsi="Times New Roman"/>
          <w:sz w:val="24"/>
          <w:szCs w:val="24"/>
        </w:rPr>
        <w:t xml:space="preserve"> (subject to rounding)</w:t>
      </w:r>
      <w:r w:rsidRPr="008B2B72">
        <w:rPr>
          <w:rFonts w:ascii="Times New Roman" w:hAnsi="Times New Roman"/>
          <w:sz w:val="24"/>
          <w:szCs w:val="24"/>
        </w:rPr>
        <w:t>;</w:t>
      </w:r>
    </w:p>
    <w:p w:rsidR="00A5180C" w:rsidRPr="008B2B72" w:rsidRDefault="00A5180C" w:rsidP="000373F4">
      <w:pPr>
        <w:spacing w:after="60" w:line="24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:rsidR="00A5180C" w:rsidRPr="006267EF" w:rsidRDefault="00A5180C" w:rsidP="00A5180C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B2B72">
        <w:rPr>
          <w:rFonts w:ascii="Times New Roman" w:hAnsi="Times New Roman"/>
          <w:sz w:val="24"/>
          <w:szCs w:val="24"/>
        </w:rPr>
        <w:t xml:space="preserve">tems on Attachment B, which have increased </w:t>
      </w:r>
      <w:r w:rsidRPr="006267EF">
        <w:rPr>
          <w:rFonts w:ascii="Times New Roman" w:hAnsi="Times New Roman"/>
          <w:sz w:val="24"/>
          <w:szCs w:val="24"/>
        </w:rPr>
        <w:t xml:space="preserve">by </w:t>
      </w:r>
      <w:r w:rsidR="00040D83">
        <w:rPr>
          <w:rFonts w:ascii="Times New Roman" w:hAnsi="Times New Roman"/>
          <w:sz w:val="24"/>
          <w:szCs w:val="24"/>
        </w:rPr>
        <w:t>indexation rates</w:t>
      </w:r>
      <w:r w:rsidR="0063158A" w:rsidRPr="006267EF">
        <w:rPr>
          <w:rFonts w:ascii="Times New Roman" w:hAnsi="Times New Roman"/>
          <w:sz w:val="24"/>
          <w:szCs w:val="24"/>
        </w:rPr>
        <w:t xml:space="preserve"> as advised by the Commonwealth</w:t>
      </w:r>
      <w:r w:rsidRPr="006267EF">
        <w:rPr>
          <w:rFonts w:ascii="Times New Roman" w:hAnsi="Times New Roman"/>
          <w:sz w:val="24"/>
          <w:szCs w:val="24"/>
        </w:rPr>
        <w:t>;</w:t>
      </w:r>
    </w:p>
    <w:p w:rsidR="00A5180C" w:rsidRPr="008B2B72" w:rsidRDefault="00A5180C" w:rsidP="000373F4">
      <w:pPr>
        <w:spacing w:after="60" w:line="240" w:lineRule="auto"/>
        <w:ind w:left="3"/>
        <w:jc w:val="both"/>
        <w:rPr>
          <w:rFonts w:ascii="Times New Roman" w:hAnsi="Times New Roman"/>
          <w:sz w:val="24"/>
          <w:szCs w:val="24"/>
        </w:rPr>
      </w:pPr>
    </w:p>
    <w:p w:rsidR="00A5180C" w:rsidRDefault="00A5180C" w:rsidP="00A5180C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B2B72">
        <w:rPr>
          <w:rFonts w:ascii="Times New Roman" w:hAnsi="Times New Roman"/>
          <w:sz w:val="24"/>
          <w:szCs w:val="24"/>
        </w:rPr>
        <w:t xml:space="preserve">tems on Attachment C, which have </w:t>
      </w:r>
      <w:r w:rsidR="000373F4">
        <w:rPr>
          <w:rFonts w:ascii="Times New Roman" w:hAnsi="Times New Roman"/>
          <w:sz w:val="24"/>
          <w:szCs w:val="24"/>
        </w:rPr>
        <w:t>either been removed or added to the fee determination</w:t>
      </w:r>
      <w:r w:rsidRPr="008B2B72">
        <w:rPr>
          <w:rFonts w:ascii="Times New Roman" w:hAnsi="Times New Roman"/>
          <w:sz w:val="24"/>
          <w:szCs w:val="24"/>
        </w:rPr>
        <w:t>;</w:t>
      </w:r>
    </w:p>
    <w:p w:rsidR="00A5180C" w:rsidRPr="00A5180C" w:rsidRDefault="00A5180C" w:rsidP="00C56F4F">
      <w:pPr>
        <w:spacing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5180C" w:rsidRPr="006267EF" w:rsidRDefault="0031163A" w:rsidP="00A5180C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6267EF">
        <w:rPr>
          <w:rFonts w:ascii="Times New Roman" w:hAnsi="Times New Roman"/>
          <w:sz w:val="24"/>
          <w:szCs w:val="24"/>
        </w:rPr>
        <w:t>minor</w:t>
      </w:r>
      <w:r w:rsidR="00190B78" w:rsidRPr="006267EF">
        <w:rPr>
          <w:rFonts w:ascii="Times New Roman" w:hAnsi="Times New Roman"/>
          <w:sz w:val="24"/>
          <w:szCs w:val="24"/>
        </w:rPr>
        <w:t xml:space="preserve"> </w:t>
      </w:r>
      <w:r w:rsidR="00A5180C" w:rsidRPr="006267EF">
        <w:rPr>
          <w:rFonts w:ascii="Times New Roman" w:hAnsi="Times New Roman"/>
          <w:sz w:val="24"/>
          <w:szCs w:val="24"/>
        </w:rPr>
        <w:t>amendment</w:t>
      </w:r>
      <w:r w:rsidRPr="006267EF">
        <w:rPr>
          <w:rFonts w:ascii="Times New Roman" w:hAnsi="Times New Roman"/>
          <w:sz w:val="24"/>
          <w:szCs w:val="24"/>
        </w:rPr>
        <w:t>s</w:t>
      </w:r>
      <w:r w:rsidR="00A5180C" w:rsidRPr="006267EF">
        <w:rPr>
          <w:rFonts w:ascii="Times New Roman" w:hAnsi="Times New Roman"/>
          <w:sz w:val="24"/>
          <w:szCs w:val="24"/>
        </w:rPr>
        <w:t xml:space="preserve"> to</w:t>
      </w:r>
      <w:r w:rsidR="00353EC6" w:rsidRPr="006267EF">
        <w:rPr>
          <w:rFonts w:ascii="Times New Roman" w:hAnsi="Times New Roman"/>
          <w:sz w:val="24"/>
          <w:szCs w:val="24"/>
        </w:rPr>
        <w:t xml:space="preserve"> </w:t>
      </w:r>
      <w:r w:rsidR="00190B78" w:rsidRPr="006267EF">
        <w:rPr>
          <w:rFonts w:ascii="Times New Roman" w:hAnsi="Times New Roman"/>
          <w:sz w:val="24"/>
          <w:szCs w:val="24"/>
        </w:rPr>
        <w:t xml:space="preserve">the </w:t>
      </w:r>
      <w:r w:rsidR="008D34D0">
        <w:rPr>
          <w:rFonts w:ascii="Times New Roman" w:hAnsi="Times New Roman"/>
          <w:sz w:val="24"/>
          <w:szCs w:val="24"/>
        </w:rPr>
        <w:t>clauses (1), (5) and (9)</w:t>
      </w:r>
      <w:r w:rsidR="00A5180C" w:rsidRPr="006267EF">
        <w:rPr>
          <w:rFonts w:ascii="Times New Roman" w:hAnsi="Times New Roman"/>
          <w:sz w:val="24"/>
          <w:szCs w:val="24"/>
        </w:rPr>
        <w:t>;</w:t>
      </w:r>
    </w:p>
    <w:p w:rsidR="0031163A" w:rsidRPr="0031163A" w:rsidRDefault="0031163A" w:rsidP="0031163A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180C" w:rsidRPr="00353EC6" w:rsidRDefault="00A5180C" w:rsidP="00A5180C">
      <w:pPr>
        <w:numPr>
          <w:ilvl w:val="0"/>
          <w:numId w:val="1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53EC6">
        <w:rPr>
          <w:rFonts w:ascii="Times New Roman" w:hAnsi="Times New Roman"/>
          <w:sz w:val="24"/>
          <w:szCs w:val="24"/>
        </w:rPr>
        <w:t xml:space="preserve">minor </w:t>
      </w:r>
      <w:r w:rsidR="003F6310">
        <w:rPr>
          <w:rFonts w:ascii="Times New Roman" w:hAnsi="Times New Roman"/>
          <w:sz w:val="24"/>
          <w:szCs w:val="24"/>
        </w:rPr>
        <w:t>wording</w:t>
      </w:r>
      <w:r w:rsidR="008D34D0">
        <w:rPr>
          <w:rFonts w:ascii="Times New Roman" w:hAnsi="Times New Roman"/>
          <w:sz w:val="24"/>
          <w:szCs w:val="24"/>
        </w:rPr>
        <w:t xml:space="preserve"> and </w:t>
      </w:r>
      <w:r w:rsidR="00353EC6" w:rsidRPr="00353EC6">
        <w:rPr>
          <w:rFonts w:ascii="Times New Roman" w:hAnsi="Times New Roman"/>
          <w:sz w:val="24"/>
          <w:szCs w:val="24"/>
        </w:rPr>
        <w:t>numbering</w:t>
      </w:r>
      <w:r w:rsidRPr="00353EC6">
        <w:rPr>
          <w:rFonts w:ascii="Times New Roman" w:hAnsi="Times New Roman"/>
          <w:sz w:val="24"/>
          <w:szCs w:val="24"/>
        </w:rPr>
        <w:t xml:space="preserve"> changes; and</w:t>
      </w:r>
    </w:p>
    <w:p w:rsidR="00A5180C" w:rsidRPr="00B8481A" w:rsidRDefault="00A5180C" w:rsidP="00A5180C">
      <w:pPr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180C" w:rsidRPr="00353EC6" w:rsidRDefault="00A5180C" w:rsidP="00A5180C">
      <w:pPr>
        <w:numPr>
          <w:ilvl w:val="0"/>
          <w:numId w:val="1"/>
        </w:numPr>
        <w:spacing w:after="60" w:line="240" w:lineRule="auto"/>
        <w:ind w:hanging="357"/>
        <w:jc w:val="both"/>
      </w:pPr>
      <w:r w:rsidRPr="005A40E5">
        <w:rPr>
          <w:rFonts w:ascii="Times New Roman" w:hAnsi="Times New Roman"/>
          <w:sz w:val="24"/>
          <w:szCs w:val="24"/>
        </w:rPr>
        <w:t>the date of effect.</w:t>
      </w:r>
    </w:p>
    <w:p w:rsidR="00815EC1" w:rsidRDefault="00815EC1" w:rsidP="00815EC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  <w:sectPr w:rsidR="00815EC1" w:rsidSect="008974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1440" w:left="1440" w:header="708" w:footer="708" w:gutter="0"/>
          <w:cols w:space="708"/>
          <w:titlePg/>
          <w:docGrid w:linePitch="360"/>
        </w:sectPr>
      </w:pPr>
    </w:p>
    <w:tbl>
      <w:tblPr>
        <w:tblW w:w="10507" w:type="dxa"/>
        <w:tblInd w:w="-601" w:type="dxa"/>
        <w:tblLook w:val="04A0" w:firstRow="1" w:lastRow="0" w:firstColumn="1" w:lastColumn="0" w:noHBand="0" w:noVBand="1"/>
      </w:tblPr>
      <w:tblGrid>
        <w:gridCol w:w="350"/>
        <w:gridCol w:w="336"/>
        <w:gridCol w:w="356"/>
        <w:gridCol w:w="1035"/>
        <w:gridCol w:w="4172"/>
        <w:gridCol w:w="1495"/>
        <w:gridCol w:w="996"/>
        <w:gridCol w:w="928"/>
        <w:gridCol w:w="810"/>
        <w:gridCol w:w="118"/>
      </w:tblGrid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bookmarkStart w:id="1" w:name="RANGE!A1:I6"/>
            <w:bookmarkEnd w:id="1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lastRenderedPageBreak/>
              <w:t>A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and Other Admitted Patient Fees - Standard Patients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 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 single room at patients request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$624.20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$639.80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d 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$0.00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$217.30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$222.75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Compensable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Critical Care</w:t>
            </w:r>
            <w:r w:rsidRPr="00F84AE0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$3,934.95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$4,033.30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$1,720.95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$1,763.95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Other Inpatient</w:t>
            </w:r>
            <w:r w:rsidRPr="00F84AE0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$1,916.75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$1,964.65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$1,067.00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$1,093.65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$469.45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$481.20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Operating Room Charges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55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) If the treatment involves undergoing procedures that take longer than 1 hour carried out under general or regional anaesthetic or intravenous sedation and the patient is not a day only patient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$2,923.30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$2,996.40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ii) Other procedures (including day only surgical patients)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$1,023.95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$1,049.55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Non-Eligible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Critical Care</w:t>
            </w:r>
            <w:r w:rsidRPr="00F84AE0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$5,327.95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$5,461.15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$3,051.40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$3,127.70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Other Inpatient</w:t>
            </w:r>
            <w:r w:rsidRPr="00F84AE0">
              <w:rPr>
                <w:rFonts w:ascii="Arial" w:hAnsi="Arial" w:cs="Arial"/>
                <w:sz w:val="16"/>
                <w:szCs w:val="16"/>
                <w:vertAlign w:val="superscript"/>
                <w:lang w:eastAsia="en-A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First 21 days per episode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$2,102.25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$2,154.80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ii)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Over 21 Days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$1,232.05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$1,262.85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Hospital in the Home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$469.45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$481.20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Operating Room Charges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628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) If the treatment involves undergoing procedures that take longer than 1 hour carried out under general or regional anaesthetic or intravenous sedation and the patient is not a day only patient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$2,923.30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$2,996.40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ii) Other procedures (including day only surgical patients)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treatment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$1,023.95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$1,049.55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Nursing Home Type Patients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Private patient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$189.45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Hostel Fees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Hostel Accommodation Fees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House - Maintenance Fee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fortnight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Other Accommodation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 Residences - Patients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In Residences 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–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Non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Pat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Room Only (single)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$45.20 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Room Only (Double)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$63.00 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Pathology Service Fees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Non-Medicare Testing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Collection fee for collection of research trials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$32.95 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DNA Extraction and Storage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$101.45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$104.00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Spore Testing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ampoule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$13.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$13.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65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02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Environmental Testing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request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$60.12 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Surveillance Screening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15F51" w:rsidRPr="00F84AE0" w:rsidRDefault="00415F51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15F51" w:rsidRPr="00F84AE0" w:rsidRDefault="00415F51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51" w:rsidRPr="00F84AE0" w:rsidRDefault="00415F51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Incidental Outpatient Charges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PAP Machine Hire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hire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$230.60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$236.35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Tuberculosis Testing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$72.75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$74.55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 - Students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Eligible or Compensable Outpatient Service Fee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First Visit Medical Practitioner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$326.95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$335.10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Second &amp; Subsequent Visits Medical Practitioner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$154.40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Long (60 minutes or longer)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$137.35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$140.80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Standard (30 to 60 minutes)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$73.30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$75.15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Consult - Short (less than 30 minutes)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Nursing or Allied Health Education Services - Group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visit/per attendee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Compulsory Third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Party Motor Vehicle Insurance - Community Care Program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Business Hours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$88.00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$96.80 </w:t>
            </w:r>
          </w:p>
        </w:tc>
      </w:tr>
      <w:tr w:rsidR="00F84AE0" w:rsidRPr="00F84AE0" w:rsidTr="00040D83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Evening Shift - Mon-Fri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F84AE0" w:rsidRPr="00F84AE0" w:rsidTr="00040D83">
        <w:trPr>
          <w:trHeight w:val="4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Night Shift - Mon-Fri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F84AE0" w:rsidRPr="00F84AE0" w:rsidTr="00040D83">
        <w:trPr>
          <w:trHeight w:val="4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After Hours (midnight Fri - Sat)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F84AE0" w:rsidRPr="00F84AE0" w:rsidTr="00040D83">
        <w:trPr>
          <w:trHeight w:val="43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RACS Nursing - After Hours (midnight Sat - Sun)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Allied Health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$180.84 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Tuberculosis Testing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$249.05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$255.30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Standard Test and Medical Review - Students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test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$198.85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$203.80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Capital Region Cancer Service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Copies of mammograms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Staff Vaccinations for Private Purposes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6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All vaccinations attract a service fee plus the following vaccine cost -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Service Fee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Vaccinations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Flu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Hepatitis 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$79.35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Hepatitis B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Hepatitis A &amp; B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$68.15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MMR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Meningococcal C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$84.55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$86.65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Meningococcal A, C, W, 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Rabies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$125.05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$128.20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Pertussis (Whooping Cough)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Typhoid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Varicella (Chicken Pox)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$71.75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$73.55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Cholera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Hepatitis A &amp; Typhoid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$144.25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F84AE0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Japanese Encephalitis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pack for 3 doses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$394.35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$404.20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4AE0" w:rsidRPr="00F84AE0" w:rsidRDefault="00F84AE0" w:rsidP="00F84A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Yellow Fever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vaccine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vAlign w:val="center"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vAlign w:val="center"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Clinical Support Fees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Medical Physics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$187.55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$192.25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Biomedical Engineering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$146.00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Medical Records and Health Reports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Medical Practitioner / Health Professional Reports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 further examination of the patient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$265.45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$272.10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As "a" by practitioner who has not previously treated patient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$309.55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$317.30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Where a re-examination is required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$362.45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As "c" by practitioner who has not previously treated patient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$439.70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$450.70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Search Fees - includes cancellation fee, admin fee if nil records, medical certs not at time of consultation and time of birth.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$60.67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Health Records provided to patient's solicitor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$199.60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$219.56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Health Records provided to insurer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$199.60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$219.56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Emergency Department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Non-eligible, Compensable and Defence Patients: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Emergency Department Treatment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$518.65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$531.60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Dental Services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0 - Examination/Diagnostic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Comprehensive Oral Exam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Periodic Exam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Emergency Restorative Course of Care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Emergency Prosthodontic Course of Care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Consult (incl Exam)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Consult Ext + 30 (incl Exam)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Written report (not elsewhere included)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$10.73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X-Ray -1 film PA or BW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Intraoral radiograph - occlusal, maxillary or mandibular - single film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Extraoral radiograph - maxillary and/or mandibular - single film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Caries activity screening test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Biopsy of Tissue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Diagnostic cast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Photographic records - intraoral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Photographic records - extraoral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1 - Preventative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Plaque and / or stain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Recontouring 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–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pre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existing restoration/s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Calculus (supra &amp; 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subging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.) &amp; Plaque Removal 1st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Calculus (supra &amp; 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subging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.) &amp; Plaque Removal 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Addit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.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Enamel micro- abrasion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Bleaching, internal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Bleaching, external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Fluoride - Topical (including tooth mousse)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Concentrated fluoride, application single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Dietary advice. Analysis and advice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Oral Hygiene Instr.  (if more than 10 mins.)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Fissure Sealant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Apply Desensitising Agent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Odontoplasty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F84AE0" w:rsidTr="00040D83">
        <w:trPr>
          <w:gridAfter w:val="8"/>
          <w:wAfter w:w="9821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F51" w:rsidRPr="00F84AE0" w:rsidRDefault="00415F51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2 - Periodontics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Treatment of acute Periodontal Infection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Periodontal Debridement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Surgical Treatment of Peri Implant Disease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46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Gingivectomy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Periodontal flap surgery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Osseous surgery (per 8 teeth or less)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$77.25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Root resection - per root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$40.45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Periodontal surgery involving one tooth or an implant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3 - Oral Surgery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tooth or parts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Sectional removal of tooth.  Bone removal maybe necessary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not including bone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including bone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Surgical removal of tooth or tooth fragment requiring both bone and tooth division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$58.40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Alveolectomy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per segment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Ostectomy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$98.75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Reduction of fibrous tuberosity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Reduction of flabby ridge - per segment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fibrous hyperplasia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Removal of tumour, cyst or scar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tumour, cyst or scar involving muscle, bone or deep tissue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$133.40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Surgery to salivary duct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$113.75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$116.60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Surgery to salivary gland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or repair of soft tissue (not elsewhere defined)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Surgical removal of foreign body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Marsupialization of cyst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$68.15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Surgical exposure to unerupted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$155.50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Reposition tooth / Splint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Replantation of /&amp; Splinting of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$69.20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$70.95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Surgery to isolate and preserve neuro vascular tissue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Frenectomy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Drainage of abscess or cyst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Surgery involving the 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maxially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antrum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$151.70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$155.50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Control of reactionary or secondary post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operative haemorrhage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4 - Endodontics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Direct pulp capping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Pulpotomy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Incomplete endodontic therapy (tooth not suitable for further treatment)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Complete chemo-mechanical preparation of root canal - one canal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Complete chemo-mechanical preparation of root canal - each additional canal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Root Canal obturation - one canal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Root canal obturation - each additional canal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Extirpation of pulp and debridement of root canal(s) - emergency and palliative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$28.75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12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Resorbable root canal filling - primary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Periapical curettage - per root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Apicectomy- per root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Apical seal - per canal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Sealing of perforation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13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Surgical treatment or repair of external root resorption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$80.45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$82.45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Exploration and/or negotiation of calcified canal -per canal, 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root filling, per canal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cemented root canal post or post crown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Removing or bypassing fractured endodontic instrument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Additional visit for irrigation and/or dressing of the root canal system - per tooth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Interim therapeutic root filling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5 - Restorative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Metallic restoration - 1 surface - direct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Metallic restoration - 2 surface - direct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Metallic restoration - 3 surface - direct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Metallic restoration - 4 surface - direct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Metallic restoration - 5 surface - direct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- 1 surface - Anterior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- 2 surface - Anterior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- 3 surface - Anterior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- 4 surface - Anterior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- 5 surface - Anterior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Adhesive restoration - 1 surface 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- 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Posterior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- 2 surface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Posterior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- 3 surface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Posterior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- 4 surface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Posterior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- 5 surface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- 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Posterior tooth - direct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$47.65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Provisional (Intermediate / temporary) restoration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 band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Pin restoration -per pin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Stainless Steel Crown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Restoration of an incisal corner - per corner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inlay/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onlay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Recementing 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onlay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/inlay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0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Post - direct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Adhesive restoration - veneer - anterior - direct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$23.50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6 - Crown and Bridge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Provisional Crown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Recrement Crown or veneer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Recrement bridge or splint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crown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11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Removal of bridge or splint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$34.65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7 - Prosthodontics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Full Maxillary denture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$138.90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Full Mandibular denture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$138.90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 plate or mesh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$266.50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$273.15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Full Maxillary &amp; Full Mandibular dentures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$250.10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$256.35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Partial Max Denture - resin base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$112.75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$115.55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Partial Mand Denture - resin base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$112.75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$115.55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Partial Max Denture - cast CO/CR base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$395.15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$405.05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Partial Mand Denture - cast CO/CR base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$395.15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$405.05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Resilient Lining in 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addit'n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 new denture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Wrought Bar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Metal Backing - per backing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Denture Adjustment (not new)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Reline -Complete denture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Reline -Part denture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Remodel - complete denture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$105.05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Remodel - Partial denture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$80.45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$82.45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Clean and polish of pre-existing denture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Denture base modification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Repair to metal casting: one point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$130.70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$133.95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Tissue conditioning preparatory to impressions - per application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Identification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Obturator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$138.55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$142.00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13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9 - General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Palliative care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Travel to provide service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Provision of medication/ medicaments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Local anaesthesia (diagnosis or pain relief)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Minor Occlusal adjustment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Occlusal splint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$94.30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$96.65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Adjust occlusal splint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Repair/addition - occlusal splint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Splinting and stabilization - direct - per tooth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Post-operative care not elsewhere included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Treatment not otherwise included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$8.90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Sedation/Inhalation per appointment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A - Child &amp; Youth Dental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Standard Fee per course of care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$66.10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$67.75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B - Child and Youth Extra Fee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Passive/Active removable appliance - one arch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$66.15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Functional orthopaedic appliance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Passive fixed appliance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$42.55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Extra-oral appliance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Repair removable appliance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Repair removable appliance - clasp, spring or tooth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additional to removable appliance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$15.75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Relining removable appliance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Occlusal splint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$51.75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Q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Medical Imaging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Services to patients - Copies of films to patients/solicitors/coroner/police/insurers etc.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35cm x 43cm sheet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sheet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CDs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9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DVB Laser Film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sheet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$12.30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34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Service Fee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order processed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$41.58 </w:t>
            </w:r>
          </w:p>
        </w:tc>
      </w:tr>
      <w:tr w:rsidR="00DE5265" w:rsidRPr="00F84AE0" w:rsidTr="00040D83">
        <w:trPr>
          <w:trHeight w:val="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Research MRI - Non funded pilot project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$213.20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$218.55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3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Research MRI - Funded project without radiologist input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$294.15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$301.50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37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Research MRI - PPTF Funded project without Radiologist input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$240.85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$246.85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4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Research MRI - PPTF Funded project with Radiologist input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$374.10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$383.45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Aged Pensioner Service and Film Fee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$40.48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Coroners Fee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$209.10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$214.35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Radiographer services to external agencies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Monday to Friday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$170.15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$174.40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$191.84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Saturday and Sunday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$186.55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$191.20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$210.32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Public Holidays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$248.05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$254.25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$279.68 </w:t>
            </w:r>
          </w:p>
        </w:tc>
      </w:tr>
      <w:tr w:rsidR="00DE5265" w:rsidRPr="00F84AE0" w:rsidTr="00040D83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Processing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occasion of service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$67.05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rebatable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services to outpatients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MRI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$397.70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$407.65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MRI - Breast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$557.60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$571.55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MRI - Breast Core Biopsy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$432.55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$443.35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rebateable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Sedation in MRI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</w:t>
            </w: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rebateable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Contrast in MRI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$60.95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Positron Emission Tomography Scan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scan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$1,054.70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$1,081.05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Non-refundable CT Colonography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$800.50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$820.50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Non-refundable Bone Density Scan (DEXA)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each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$123.00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$126.05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Pain Management Service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Multidisciplinary Assessment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$1,326.35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$1,359.50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Cognitive Behaviour Therapy program (2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week program)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program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$5,633.40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$5,774.25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One-day Education Program for Chronic Pain (JUMP)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program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$563.75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$577.85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Psychology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0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Psychology Assessment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$408.95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$419.15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Group Psychology Session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$113.75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$116.60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Medical Assessment and Follow-ups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First Visit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$326.95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$335.10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Second &amp; Subsequent Visits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$150.65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$154.40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Rehabilitation, Aged &amp; Community Care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RACS Nursing and Allied Health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Allied Health Staff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$180.84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Seating Technician (Non manufacture)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Nursing Staff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$85.85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$88.00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44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Education and/or Training (for student groups, private and public sector staff groups) - Business Hours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$180.84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Maintenance Exercise Therapy Session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$8.20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Clinical Technology Service Workshop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Rehabilitation aids maintenance and repair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Equipment componentry manufacture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$144.75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$148.35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Prosthetic and Orthotic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New prosthesis for compensable and private clients - labour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$16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39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Repair prosthesis for compensable and private clients- labour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44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75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$14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8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New orthoses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160.40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$16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j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Repairs to Orthoses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$14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75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$14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8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k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Orthotics assessments for private and compensable clients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60.40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$16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Driver Rehabilitation Service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Non</w:t>
            </w:r>
            <w:r w:rsidR="00415F51"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Compensable Patients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39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Initial Assessment and Report by Occupational Therapist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$607.80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$623.00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Initial Assessment by Driving Instructor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$246.00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$252.15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$277.37 </w:t>
            </w:r>
          </w:p>
        </w:tc>
      </w:tr>
      <w:tr w:rsidR="00DE5265" w:rsidRPr="00F84AE0" w:rsidTr="00040D83">
        <w:trPr>
          <w:trHeight w:val="34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Joint Assessment and Report by Occupational Therapist and Driving Instructor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$562.65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$576.70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$634.37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Re-Assessment by Occupational Therapist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$149.65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Lesson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lesson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$129.15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$132.40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$145.64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Compensable Patients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431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Initial Assessment and Report by Occupational Therapist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$834.35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$855.20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Re-Assessment by Occupational Therapist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assessment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$370.85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Lesson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lesson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$129.15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$132.40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$145.64 </w:t>
            </w:r>
          </w:p>
        </w:tc>
      </w:tr>
      <w:tr w:rsidR="00415F51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</w:tr>
      <w:tr w:rsidR="00DE5265" w:rsidRPr="00F84AE0" w:rsidTr="00040D83">
        <w:trPr>
          <w:gridAfter w:val="1"/>
          <w:wAfter w:w="118" w:type="dxa"/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Specialised Wheelchair and Posture Seating (SWAPS)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For compensable and private clients: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) Seating Therapist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$164.40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T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Health Protection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Scientific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Other than the ACT Coroner's Office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$192.70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$197.50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$217.25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ACT Coroner's Office (Attorney-General's Dept)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$1,224.90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$1,255.50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$1,381.05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Asbestos Id single sample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$91.82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$94.55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$104.00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Asbestos Id additional samples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$54.55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$56.36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$62.00 </w:t>
            </w:r>
          </w:p>
        </w:tc>
      </w:tr>
      <w:tr w:rsidR="00DE5265" w:rsidRPr="00F84AE0" w:rsidTr="00040D83">
        <w:trPr>
          <w:trHeight w:val="149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Regular client Asbestos Fibre Count per Filter Counted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$110.91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$113.64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$125.00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Other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Consultation - Business hours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$136.30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$139.70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$153.67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Consultation - After hours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$167.05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$171.25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$188.38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Exhumations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matter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$480.70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$492.70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$541.97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Food Safety Training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$579.15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$593.65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$653.02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U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Acute Support Fees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Acute Support and Other Medical Services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Chronic pain management course for compensation clients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session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$54.30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$55.65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$61.22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Sale of infection control manual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manual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$103.50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$106.10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$116.71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Hydrotherapy Pool (External Users)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hour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$115.80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$118.70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$130.57 </w:t>
            </w:r>
          </w:p>
        </w:tc>
      </w:tr>
      <w:tr w:rsidR="00DE5265" w:rsidRPr="00F84AE0" w:rsidTr="00040D83">
        <w:trPr>
          <w:trHeight w:val="45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ar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"Replacement of Child Personal Health Record" (Blue Book)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$13.31 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au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Glucose Sensor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$87.35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$89.55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bn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Breast Pump Hire - per week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item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$8.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$8.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F84AE0" w:rsidRDefault="00415F51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F84AE0" w:rsidRDefault="00415F51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6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F84AE0" w:rsidRDefault="00415F51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Allied Health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F84AE0" w:rsidRDefault="00415F51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Compensable non-inpatients and non-eligible clients: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Physiotherapy - Antenatal Exercise Classes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visit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$8.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$8.</w:t>
            </w:r>
            <w:r w:rsidR="0058407B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Home Enteral Nutrition Program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Equipment Only 0-6 years 11 months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Equipment Only 7-12 years 11 months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Equipment Only 13+ years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$18.40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Supplementary Feeding 0-6 years 11 months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$30.05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$30.80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Supplementary Feeding 7-12 years 11 months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$52.80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$54.10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Supplementary Feeding 13+ years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$53.80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$55.15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Enteral Feeding 0-6 years 11 months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$37.40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$38.35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Enteral Feeding 7-12 yeas 11 months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$59.95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$61.45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DE5265" w:rsidRPr="00F84AE0" w:rsidTr="00040D83">
        <w:trPr>
          <w:trHeight w:val="22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Enteral Feeding 13+ years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per week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$64.05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5265" w:rsidRPr="00F84AE0" w:rsidRDefault="00DE5265" w:rsidP="00DE52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F84AE0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</w:tbl>
    <w:p w:rsidR="00415F51" w:rsidRDefault="00415F51" w:rsidP="00BB4D4C">
      <w:pPr>
        <w:sectPr w:rsidR="00415F51" w:rsidSect="00815EC1">
          <w:headerReference w:type="default" r:id="rId14"/>
          <w:headerReference w:type="first" r:id="rId15"/>
          <w:pgSz w:w="11906" w:h="16838"/>
          <w:pgMar w:top="851" w:right="1133" w:bottom="1440" w:left="1440" w:header="708" w:footer="708" w:gutter="0"/>
          <w:cols w:space="708"/>
          <w:docGrid w:linePitch="360"/>
        </w:sectPr>
      </w:pPr>
    </w:p>
    <w:tbl>
      <w:tblPr>
        <w:tblW w:w="10496" w:type="dxa"/>
        <w:tblInd w:w="-459" w:type="dxa"/>
        <w:tblLook w:val="04A0" w:firstRow="1" w:lastRow="0" w:firstColumn="1" w:lastColumn="0" w:noHBand="0" w:noVBand="1"/>
      </w:tblPr>
      <w:tblGrid>
        <w:gridCol w:w="336"/>
        <w:gridCol w:w="305"/>
        <w:gridCol w:w="305"/>
        <w:gridCol w:w="828"/>
        <w:gridCol w:w="4298"/>
        <w:gridCol w:w="1376"/>
        <w:gridCol w:w="1016"/>
        <w:gridCol w:w="1016"/>
        <w:gridCol w:w="1016"/>
      </w:tblGrid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lastRenderedPageBreak/>
              <w:t>A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Standard Patients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In multiple-bed room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$357.00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In single room not at patients request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$357.00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Day Care Patients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Type B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$259.00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$262.00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Local anaesthetic, no sedation - &lt; 1 hour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$294.00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General or regional anaesthetic/intravenous sedation - &lt; 1 hour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$318.00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$322.00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General or regional anaesthetic/intravenous sedation - &gt; 1 hour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$357.00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$362.00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Hospital Accommodation Fees - Nursing Home Type Patients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415F51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Hospital patient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per day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$60.05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$61.30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</w:tbl>
    <w:p w:rsidR="007F1FB3" w:rsidRDefault="007F1FB3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/>
    <w:p w:rsidR="00415F51" w:rsidRDefault="00415F51" w:rsidP="00415F51">
      <w:pPr>
        <w:sectPr w:rsidR="00415F51" w:rsidSect="00815EC1">
          <w:headerReference w:type="default" r:id="rId16"/>
          <w:pgSz w:w="11906" w:h="16838"/>
          <w:pgMar w:top="851" w:right="1133" w:bottom="1440" w:left="1440" w:header="708" w:footer="708" w:gutter="0"/>
          <w:cols w:space="708"/>
          <w:docGrid w:linePitch="360"/>
        </w:sectPr>
      </w:pPr>
    </w:p>
    <w:tbl>
      <w:tblPr>
        <w:tblW w:w="10368" w:type="dxa"/>
        <w:tblInd w:w="-459" w:type="dxa"/>
        <w:tblLook w:val="04A0" w:firstRow="1" w:lastRow="0" w:firstColumn="1" w:lastColumn="0" w:noHBand="0" w:noVBand="1"/>
      </w:tblPr>
      <w:tblGrid>
        <w:gridCol w:w="332"/>
        <w:gridCol w:w="215"/>
        <w:gridCol w:w="21"/>
        <w:gridCol w:w="284"/>
        <w:gridCol w:w="21"/>
        <w:gridCol w:w="394"/>
        <w:gridCol w:w="21"/>
        <w:gridCol w:w="5796"/>
        <w:gridCol w:w="7"/>
        <w:gridCol w:w="9"/>
        <w:gridCol w:w="1091"/>
        <w:gridCol w:w="7"/>
        <w:gridCol w:w="9"/>
        <w:gridCol w:w="1089"/>
        <w:gridCol w:w="7"/>
        <w:gridCol w:w="9"/>
        <w:gridCol w:w="1080"/>
        <w:gridCol w:w="16"/>
      </w:tblGrid>
      <w:tr w:rsidR="00415F51" w:rsidRPr="00415F51" w:rsidTr="00F34FEA">
        <w:trPr>
          <w:gridAfter w:val="1"/>
          <w:wAfter w:w="16" w:type="dxa"/>
          <w:trHeight w:val="315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67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Rehabilitation, Aged &amp; Community Services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RACS Nursing and Allied Health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e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Education and/or Training (for student groups, private and public sector staff groups) - After Hours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At cost + 10%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V</w:t>
            </w:r>
          </w:p>
        </w:tc>
        <w:tc>
          <w:tcPr>
            <w:tcW w:w="67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Health Policy and Research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Student Clinical Placement cancellation fee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$62.50 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$68.75 </w:t>
            </w:r>
          </w:p>
        </w:tc>
      </w:tr>
      <w:tr w:rsidR="00415F51" w:rsidRPr="00415F51" w:rsidTr="00040D83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040D83">
        <w:trPr>
          <w:gridAfter w:val="1"/>
          <w:wAfter w:w="16" w:type="dxa"/>
          <w:trHeight w:val="80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67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Non</w:t>
            </w:r>
            <w:r w:rsidR="00F34FEA"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Eligible or Compensable Service Fee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Compulsory Third</w:t>
            </w:r>
            <w:r w:rsidR="00F34FEA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-</w:t>
            </w: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Party Motor Vehicle Insurance - Community Care Program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Initial Consultation (standard)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$90.20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Initial Consultation (complex)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$137.35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Initial Consultation Home Visit (standard)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$110.70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Initial Consultation Home Visit (complex)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$162.95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Review (standard)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$74.80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Review (complex)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$121.95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g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Review Home Visit (standard)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$110.70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h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Review Home Visit (complex)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$141.45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67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  <w:t>Rehabilitation, Aged &amp; Community Care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Independent Living Centre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Appointment fee for clients with third party payer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) Assisted appointment and/or report writing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ii) Non</w:t>
            </w:r>
            <w:r w:rsidR="00F34FEA">
              <w:rPr>
                <w:rFonts w:ascii="Arial" w:hAnsi="Arial" w:cs="Arial"/>
                <w:sz w:val="16"/>
                <w:szCs w:val="16"/>
                <w:lang w:eastAsia="en-AU"/>
              </w:rPr>
              <w:t>-</w:t>
            </w: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attendance at appointment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$20.50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Unassisted appointments - service provided by third party agency with ILC facilities used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$44.60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c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Education and/or Training (for private organisations and interstate government staff)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) ILC Education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$97.35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ii) ILC Education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$179.35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Second hand register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) for items over $500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$26.65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ii) for items under $500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$14.35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iii) for more than 1 item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$26.65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e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Room Hire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) Room Hire - Commercial Sector rate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$37.40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ii) Room Hire - Public Sector and Community rate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$26.65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iii) Cancellation of Room Hire within seven days of booked date - Commercial Sector and Public Sector and Community Hirers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50% of total booking fee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Community Care Program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Education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) Nursing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$85.80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ii)Allied Health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040D83">
        <w:trPr>
          <w:trHeight w:val="3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b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Nursing and Allied Health education (tertiary standard) - business hours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$224.50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040D83">
        <w:trPr>
          <w:trHeight w:val="1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c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Nursing and Allied Health education (tertiary standard) - after hours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$334.15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d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Consultation in private hospitals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) Nursing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$85.80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 ii) Allied Health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040D83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040D83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040D83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040D83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83" w:rsidRPr="00415F51" w:rsidRDefault="00040D83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e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Community Nursing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Compensable non-inpatients and non-eligible clients of Community Health Service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) Business Hours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$85.85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ii) Evening shift Mon-Fri (excluding public holidays)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iii) Night shift Mon. - Fri. (excluding public holidays)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iv) After hours (midnight Fri. - midnight - Saturday)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v) After hours - midnight Sat. to midnight Sunday)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At cost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Consultation overseas clients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proofErr w:type="spellStart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</w:t>
            </w:r>
            <w:proofErr w:type="spellEnd"/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) Nursing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$85.85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ii) Allied Health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$160.40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Day Care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415F51" w:rsidRPr="00415F51" w:rsidTr="00F34FEA">
        <w:trPr>
          <w:trHeight w:val="2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Day care meals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 xml:space="preserve">$8.25 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F51" w:rsidRPr="00415F51" w:rsidRDefault="00415F51" w:rsidP="00415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15F51">
              <w:rPr>
                <w:rFonts w:ascii="Arial" w:hAnsi="Arial" w:cs="Arial"/>
                <w:sz w:val="16"/>
                <w:szCs w:val="16"/>
                <w:lang w:eastAsia="en-AU"/>
              </w:rPr>
              <w:t>n/a</w:t>
            </w:r>
          </w:p>
        </w:tc>
      </w:tr>
    </w:tbl>
    <w:p w:rsidR="00415F51" w:rsidRDefault="00415F51" w:rsidP="00415F51"/>
    <w:sectPr w:rsidR="00415F51" w:rsidSect="00815EC1">
      <w:headerReference w:type="default" r:id="rId17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A68" w:rsidRDefault="00961A68" w:rsidP="00775E53">
      <w:pPr>
        <w:spacing w:after="0" w:line="240" w:lineRule="auto"/>
      </w:pPr>
      <w:r>
        <w:separator/>
      </w:r>
    </w:p>
  </w:endnote>
  <w:endnote w:type="continuationSeparator" w:id="0">
    <w:p w:rsidR="00961A68" w:rsidRDefault="00961A68" w:rsidP="007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0" w:rsidRDefault="00C80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51" w:rsidRPr="00C802C0" w:rsidRDefault="00C802C0" w:rsidP="00C802C0">
    <w:pPr>
      <w:pStyle w:val="Footer"/>
      <w:jc w:val="center"/>
      <w:rPr>
        <w:rFonts w:ascii="Arial" w:hAnsi="Arial" w:cs="Arial"/>
        <w:sz w:val="14"/>
      </w:rPr>
    </w:pPr>
    <w:r w:rsidRPr="00C802C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51" w:rsidRPr="00C802C0" w:rsidRDefault="00C802C0" w:rsidP="00C802C0">
    <w:pPr>
      <w:pStyle w:val="Footer"/>
      <w:jc w:val="center"/>
      <w:rPr>
        <w:rFonts w:ascii="Arial" w:hAnsi="Arial" w:cs="Arial"/>
        <w:sz w:val="14"/>
      </w:rPr>
    </w:pPr>
    <w:r w:rsidRPr="00C802C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A68" w:rsidRDefault="00961A68" w:rsidP="00775E53">
      <w:pPr>
        <w:spacing w:after="0" w:line="240" w:lineRule="auto"/>
      </w:pPr>
      <w:r>
        <w:separator/>
      </w:r>
    </w:p>
  </w:footnote>
  <w:footnote w:type="continuationSeparator" w:id="0">
    <w:p w:rsidR="00961A68" w:rsidRDefault="00961A68" w:rsidP="0077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0" w:rsidRDefault="00C80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C0" w:rsidRDefault="00C80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F51" w:rsidRDefault="00415F51">
    <w:pPr>
      <w:pStyle w:val="Header"/>
    </w:pPr>
  </w:p>
  <w:p w:rsidR="00415F51" w:rsidRDefault="00415F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6" w:type="dxa"/>
      <w:tblInd w:w="-601" w:type="dxa"/>
      <w:tblLook w:val="04A0" w:firstRow="1" w:lastRow="0" w:firstColumn="1" w:lastColumn="0" w:noHBand="0" w:noVBand="1"/>
    </w:tblPr>
    <w:tblGrid>
      <w:gridCol w:w="350"/>
      <w:gridCol w:w="336"/>
      <w:gridCol w:w="356"/>
      <w:gridCol w:w="1035"/>
      <w:gridCol w:w="4172"/>
      <w:gridCol w:w="1495"/>
      <w:gridCol w:w="996"/>
      <w:gridCol w:w="928"/>
      <w:gridCol w:w="928"/>
    </w:tblGrid>
    <w:tr w:rsidR="00415F51" w:rsidRPr="00F84AE0" w:rsidTr="00415F51">
      <w:trPr>
        <w:trHeight w:val="300"/>
      </w:trPr>
      <w:tc>
        <w:tcPr>
          <w:tcW w:w="350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336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356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035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4172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495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2852" w:type="dxa"/>
          <w:gridSpan w:val="3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  <w:p w:rsidR="00415F51" w:rsidRPr="00F84AE0" w:rsidRDefault="00415F51" w:rsidP="00815EC1">
          <w:pPr>
            <w:spacing w:after="0" w:line="240" w:lineRule="auto"/>
            <w:jc w:val="right"/>
            <w:outlineLvl w:val="0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>ATTACHMENT A</w:t>
          </w:r>
        </w:p>
      </w:tc>
    </w:tr>
    <w:tr w:rsidR="00415F51" w:rsidRPr="00F84AE0" w:rsidTr="00415F51">
      <w:trPr>
        <w:trHeight w:val="300"/>
      </w:trPr>
      <w:tc>
        <w:tcPr>
          <w:tcW w:w="10596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color w:val="000000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lang w:eastAsia="en-AU"/>
            </w:rPr>
            <w:t>1 JULY 2019 - ANNUAL REVIEW OF FEES &amp; CHARGES</w:t>
          </w:r>
        </w:p>
      </w:tc>
    </w:tr>
    <w:tr w:rsidR="00415F51" w:rsidRPr="00F84AE0" w:rsidTr="00415F51">
      <w:trPr>
        <w:trHeight w:val="300"/>
      </w:trPr>
      <w:tc>
        <w:tcPr>
          <w:tcW w:w="10596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lang w:eastAsia="en-AU"/>
            </w:rPr>
          </w:pPr>
          <w:r w:rsidRPr="00F84AE0">
            <w:rPr>
              <w:rFonts w:ascii="Arial" w:hAnsi="Arial" w:cs="Arial"/>
              <w:b/>
              <w:bCs/>
              <w:lang w:eastAsia="en-AU"/>
            </w:rPr>
            <w:t>ITEMS INCREASING BY WAGE PRICE INDEX (2.50%)</w:t>
          </w:r>
        </w:p>
      </w:tc>
    </w:tr>
    <w:tr w:rsidR="00415F51" w:rsidRPr="00F84AE0" w:rsidTr="00415F51">
      <w:trPr>
        <w:trHeight w:val="450"/>
      </w:trPr>
      <w:tc>
        <w:tcPr>
          <w:tcW w:w="2077" w:type="dxa"/>
          <w:gridSpan w:val="4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noWrap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 Item</w:t>
          </w:r>
        </w:p>
      </w:tc>
      <w:tc>
        <w:tcPr>
          <w:tcW w:w="4172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Frequency</w:t>
          </w:r>
        </w:p>
      </w:tc>
      <w:tc>
        <w:tcPr>
          <w:tcW w:w="996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2018-19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</w:r>
          <w:proofErr w:type="spellStart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inc.</w:t>
          </w:r>
          <w:proofErr w:type="spellEnd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 GST</w:t>
          </w:r>
        </w:p>
      </w:tc>
    </w:tr>
    <w:tr w:rsidR="00415F51" w:rsidRPr="00F84AE0" w:rsidTr="00415F51">
      <w:trPr>
        <w:trHeight w:val="315"/>
      </w:trPr>
      <w:tc>
        <w:tcPr>
          <w:tcW w:w="2077" w:type="dxa"/>
          <w:gridSpan w:val="4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4172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96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</w:tr>
    <w:tr w:rsidR="00415F51" w:rsidRPr="00F84AE0" w:rsidTr="00415F51">
      <w:trPr>
        <w:trHeight w:val="225"/>
      </w:trPr>
      <w:tc>
        <w:tcPr>
          <w:tcW w:w="350" w:type="dxa"/>
          <w:tcBorders>
            <w:top w:val="nil"/>
            <w:left w:val="nil"/>
            <w:bottom w:val="nil"/>
            <w:right w:val="nil"/>
          </w:tcBorders>
          <w:noWrap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> </w:t>
          </w:r>
        </w:p>
      </w:tc>
      <w:tc>
        <w:tcPr>
          <w:tcW w:w="3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</w:p>
      </w:tc>
      <w:tc>
        <w:tcPr>
          <w:tcW w:w="3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103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417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14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</w:tr>
  </w:tbl>
  <w:p w:rsidR="00415F51" w:rsidRDefault="00415F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6" w:type="dxa"/>
      <w:tblInd w:w="-601" w:type="dxa"/>
      <w:tblLook w:val="04A0" w:firstRow="1" w:lastRow="0" w:firstColumn="1" w:lastColumn="0" w:noHBand="0" w:noVBand="1"/>
    </w:tblPr>
    <w:tblGrid>
      <w:gridCol w:w="1035"/>
      <w:gridCol w:w="1042"/>
      <w:gridCol w:w="3130"/>
      <w:gridCol w:w="1042"/>
      <w:gridCol w:w="453"/>
      <w:gridCol w:w="996"/>
      <w:gridCol w:w="46"/>
      <w:gridCol w:w="996"/>
      <w:gridCol w:w="814"/>
      <w:gridCol w:w="114"/>
      <w:gridCol w:w="928"/>
    </w:tblGrid>
    <w:tr w:rsidR="00415F51" w:rsidRPr="00F84AE0" w:rsidTr="00415F51">
      <w:trPr>
        <w:gridAfter w:val="2"/>
        <w:wAfter w:w="1042" w:type="dxa"/>
        <w:trHeight w:val="300"/>
      </w:trPr>
      <w:tc>
        <w:tcPr>
          <w:tcW w:w="1035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41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49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996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8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jc w:val="right"/>
            <w:outlineLvl w:val="0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>ATTACHMENT A</w:t>
          </w:r>
        </w:p>
      </w:tc>
    </w:tr>
    <w:tr w:rsidR="00415F51" w:rsidRPr="00F84AE0" w:rsidTr="00415F51">
      <w:trPr>
        <w:trHeight w:val="300"/>
      </w:trPr>
      <w:tc>
        <w:tcPr>
          <w:tcW w:w="10596" w:type="dxa"/>
          <w:gridSpan w:val="11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color w:val="000000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lang w:eastAsia="en-AU"/>
            </w:rPr>
            <w:t>1 JULY 2019 - ANNUAL REVIEW OF FEES &amp; CHARGES</w:t>
          </w:r>
        </w:p>
      </w:tc>
    </w:tr>
    <w:tr w:rsidR="00415F51" w:rsidRPr="00F84AE0" w:rsidTr="00415F51">
      <w:trPr>
        <w:trHeight w:val="300"/>
      </w:trPr>
      <w:tc>
        <w:tcPr>
          <w:tcW w:w="10596" w:type="dxa"/>
          <w:gridSpan w:val="11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lang w:eastAsia="en-AU"/>
            </w:rPr>
          </w:pPr>
          <w:r w:rsidRPr="00F84AE0">
            <w:rPr>
              <w:rFonts w:ascii="Arial" w:hAnsi="Arial" w:cs="Arial"/>
              <w:b/>
              <w:bCs/>
              <w:lang w:eastAsia="en-AU"/>
            </w:rPr>
            <w:t>ITEMS INCREASING BY WAGE PRICE INDEX (2.50%)</w:t>
          </w:r>
        </w:p>
      </w:tc>
    </w:tr>
    <w:tr w:rsidR="00415F51" w:rsidRPr="00F84AE0" w:rsidTr="00415F51">
      <w:trPr>
        <w:trHeight w:val="450"/>
      </w:trPr>
      <w:tc>
        <w:tcPr>
          <w:tcW w:w="2077" w:type="dxa"/>
          <w:gridSpan w:val="2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noWrap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 Item</w:t>
          </w:r>
        </w:p>
      </w:tc>
      <w:tc>
        <w:tcPr>
          <w:tcW w:w="4172" w:type="dxa"/>
          <w:gridSpan w:val="2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gridSpan w:val="3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Frequency</w:t>
          </w:r>
        </w:p>
      </w:tc>
      <w:tc>
        <w:tcPr>
          <w:tcW w:w="996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2018-19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gridSpan w:val="2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</w:r>
          <w:proofErr w:type="spellStart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inc.</w:t>
          </w:r>
          <w:proofErr w:type="spellEnd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 GST</w:t>
          </w:r>
        </w:p>
      </w:tc>
    </w:tr>
    <w:tr w:rsidR="00415F51" w:rsidRPr="00F84AE0" w:rsidTr="00415F51">
      <w:trPr>
        <w:trHeight w:val="315"/>
      </w:trPr>
      <w:tc>
        <w:tcPr>
          <w:tcW w:w="2077" w:type="dxa"/>
          <w:gridSpan w:val="2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4172" w:type="dxa"/>
          <w:gridSpan w:val="2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gridSpan w:val="3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96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gridSpan w:val="2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</w:tr>
  </w:tbl>
  <w:p w:rsidR="00415F51" w:rsidRDefault="00415F51">
    <w:pPr>
      <w:pStyle w:val="Header"/>
    </w:pPr>
  </w:p>
  <w:p w:rsidR="00415F51" w:rsidRDefault="00415F5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6" w:type="dxa"/>
      <w:tblInd w:w="-601" w:type="dxa"/>
      <w:tblLook w:val="04A0" w:firstRow="1" w:lastRow="0" w:firstColumn="1" w:lastColumn="0" w:noHBand="0" w:noVBand="1"/>
    </w:tblPr>
    <w:tblGrid>
      <w:gridCol w:w="350"/>
      <w:gridCol w:w="336"/>
      <w:gridCol w:w="356"/>
      <w:gridCol w:w="1035"/>
      <w:gridCol w:w="4172"/>
      <w:gridCol w:w="1495"/>
      <w:gridCol w:w="996"/>
      <w:gridCol w:w="928"/>
      <w:gridCol w:w="928"/>
    </w:tblGrid>
    <w:tr w:rsidR="00415F51" w:rsidRPr="00F84AE0" w:rsidTr="00415F51">
      <w:trPr>
        <w:trHeight w:val="300"/>
      </w:trPr>
      <w:tc>
        <w:tcPr>
          <w:tcW w:w="350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336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356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035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4172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495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2852" w:type="dxa"/>
          <w:gridSpan w:val="3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  <w:p w:rsidR="00415F51" w:rsidRPr="00F84AE0" w:rsidRDefault="00415F51" w:rsidP="00815EC1">
          <w:pPr>
            <w:spacing w:after="0" w:line="240" w:lineRule="auto"/>
            <w:jc w:val="right"/>
            <w:outlineLvl w:val="0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 xml:space="preserve">ATTACHMENT </w:t>
          </w:r>
          <w:r w:rsidR="00F34FEA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>B</w:t>
          </w:r>
        </w:p>
      </w:tc>
    </w:tr>
    <w:tr w:rsidR="00415F51" w:rsidRPr="00F84AE0" w:rsidTr="00415F51">
      <w:trPr>
        <w:trHeight w:val="300"/>
      </w:trPr>
      <w:tc>
        <w:tcPr>
          <w:tcW w:w="10596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color w:val="000000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lang w:eastAsia="en-AU"/>
            </w:rPr>
            <w:t>1 JULY 2019 - ANNUAL REVIEW OF FEES &amp; CHARGES</w:t>
          </w:r>
        </w:p>
      </w:tc>
    </w:tr>
    <w:tr w:rsidR="00415F51" w:rsidRPr="00F84AE0" w:rsidTr="00415F51">
      <w:trPr>
        <w:trHeight w:val="300"/>
      </w:trPr>
      <w:tc>
        <w:tcPr>
          <w:tcW w:w="10596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415F51" w:rsidRPr="00F84AE0" w:rsidRDefault="00F34FEA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lang w:eastAsia="en-AU"/>
            </w:rPr>
          </w:pPr>
          <w:r w:rsidRPr="00F34FEA">
            <w:rPr>
              <w:rFonts w:ascii="Arial" w:hAnsi="Arial" w:cs="Arial"/>
              <w:b/>
              <w:bCs/>
              <w:lang w:eastAsia="en-AU"/>
            </w:rPr>
            <w:t>ITEMS INCREASING BY INDEX</w:t>
          </w:r>
          <w:r w:rsidR="008D34D0">
            <w:rPr>
              <w:rFonts w:ascii="Arial" w:hAnsi="Arial" w:cs="Arial"/>
              <w:b/>
              <w:bCs/>
              <w:lang w:eastAsia="en-AU"/>
            </w:rPr>
            <w:t>ATION</w:t>
          </w:r>
          <w:r w:rsidRPr="00F34FEA">
            <w:rPr>
              <w:rFonts w:ascii="Arial" w:hAnsi="Arial" w:cs="Arial"/>
              <w:b/>
              <w:bCs/>
              <w:lang w:eastAsia="en-AU"/>
            </w:rPr>
            <w:t xml:space="preserve"> RATES ADVISED BY THE COMMONWEALTH</w:t>
          </w:r>
        </w:p>
      </w:tc>
    </w:tr>
    <w:tr w:rsidR="00415F51" w:rsidRPr="00F84AE0" w:rsidTr="00415F51">
      <w:trPr>
        <w:trHeight w:val="450"/>
      </w:trPr>
      <w:tc>
        <w:tcPr>
          <w:tcW w:w="2077" w:type="dxa"/>
          <w:gridSpan w:val="4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noWrap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 Item</w:t>
          </w:r>
        </w:p>
      </w:tc>
      <w:tc>
        <w:tcPr>
          <w:tcW w:w="4172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bottom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Frequency</w:t>
          </w:r>
        </w:p>
      </w:tc>
      <w:tc>
        <w:tcPr>
          <w:tcW w:w="996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2018-19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</w:r>
          <w:proofErr w:type="spellStart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inc.</w:t>
          </w:r>
          <w:proofErr w:type="spellEnd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 GST</w:t>
          </w:r>
        </w:p>
      </w:tc>
    </w:tr>
    <w:tr w:rsidR="00415F51" w:rsidRPr="00F84AE0" w:rsidTr="00415F51">
      <w:trPr>
        <w:trHeight w:val="315"/>
      </w:trPr>
      <w:tc>
        <w:tcPr>
          <w:tcW w:w="2077" w:type="dxa"/>
          <w:gridSpan w:val="4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4172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96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</w:tr>
    <w:tr w:rsidR="00415F51" w:rsidRPr="00F84AE0" w:rsidTr="00415F51">
      <w:trPr>
        <w:trHeight w:val="225"/>
      </w:trPr>
      <w:tc>
        <w:tcPr>
          <w:tcW w:w="350" w:type="dxa"/>
          <w:tcBorders>
            <w:top w:val="nil"/>
            <w:left w:val="nil"/>
            <w:bottom w:val="nil"/>
            <w:right w:val="nil"/>
          </w:tcBorders>
          <w:noWrap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> </w:t>
          </w:r>
        </w:p>
      </w:tc>
      <w:tc>
        <w:tcPr>
          <w:tcW w:w="3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</w:p>
      </w:tc>
      <w:tc>
        <w:tcPr>
          <w:tcW w:w="3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103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417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14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hideMark/>
        </w:tcPr>
        <w:p w:rsidR="00415F51" w:rsidRPr="00F84AE0" w:rsidRDefault="00415F51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</w:tr>
  </w:tbl>
  <w:p w:rsidR="00415F51" w:rsidRDefault="00415F5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6" w:type="dxa"/>
      <w:tblInd w:w="-601" w:type="dxa"/>
      <w:tblLook w:val="04A0" w:firstRow="1" w:lastRow="0" w:firstColumn="1" w:lastColumn="0" w:noHBand="0" w:noVBand="1"/>
    </w:tblPr>
    <w:tblGrid>
      <w:gridCol w:w="350"/>
      <w:gridCol w:w="336"/>
      <w:gridCol w:w="356"/>
      <w:gridCol w:w="1035"/>
      <w:gridCol w:w="4172"/>
      <w:gridCol w:w="1495"/>
      <w:gridCol w:w="996"/>
      <w:gridCol w:w="928"/>
      <w:gridCol w:w="928"/>
    </w:tblGrid>
    <w:tr w:rsidR="00F34FEA" w:rsidRPr="00F84AE0" w:rsidTr="00415F51">
      <w:trPr>
        <w:trHeight w:val="300"/>
      </w:trPr>
      <w:tc>
        <w:tcPr>
          <w:tcW w:w="350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336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356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035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4172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1495" w:type="dxa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</w:tc>
      <w:tc>
        <w:tcPr>
          <w:tcW w:w="2852" w:type="dxa"/>
          <w:gridSpan w:val="3"/>
          <w:tcBorders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outlineLvl w:val="0"/>
            <w:rPr>
              <w:rFonts w:ascii="Arial" w:hAnsi="Arial" w:cs="Arial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sz w:val="16"/>
              <w:szCs w:val="16"/>
              <w:lang w:eastAsia="en-AU"/>
            </w:rPr>
            <w:t> </w:t>
          </w:r>
        </w:p>
        <w:p w:rsidR="00F34FEA" w:rsidRPr="00F84AE0" w:rsidRDefault="00F34FEA" w:rsidP="00815EC1">
          <w:pPr>
            <w:spacing w:after="0" w:line="240" w:lineRule="auto"/>
            <w:jc w:val="right"/>
            <w:outlineLvl w:val="0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 xml:space="preserve">ATTACHMENT </w:t>
          </w:r>
          <w:r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>C</w:t>
          </w:r>
        </w:p>
      </w:tc>
    </w:tr>
    <w:tr w:rsidR="00F34FEA" w:rsidRPr="00F84AE0" w:rsidTr="00415F51">
      <w:trPr>
        <w:trHeight w:val="300"/>
      </w:trPr>
      <w:tc>
        <w:tcPr>
          <w:tcW w:w="10596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34FEA" w:rsidRPr="00F84AE0" w:rsidRDefault="00F34FEA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color w:val="000000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lang w:eastAsia="en-AU"/>
            </w:rPr>
            <w:t>1 JULY 2019 - ANNUAL REVIEW OF FEES &amp; CHARGES</w:t>
          </w:r>
        </w:p>
      </w:tc>
    </w:tr>
    <w:tr w:rsidR="00F34FEA" w:rsidRPr="00F84AE0" w:rsidTr="00415F51">
      <w:trPr>
        <w:trHeight w:val="300"/>
      </w:trPr>
      <w:tc>
        <w:tcPr>
          <w:tcW w:w="10596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F34FEA" w:rsidRPr="00F84AE0" w:rsidRDefault="00F34FEA" w:rsidP="00815EC1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lang w:eastAsia="en-AU"/>
            </w:rPr>
          </w:pPr>
          <w:r>
            <w:rPr>
              <w:rFonts w:ascii="Arial" w:hAnsi="Arial" w:cs="Arial"/>
              <w:b/>
              <w:bCs/>
              <w:lang w:eastAsia="en-AU"/>
            </w:rPr>
            <w:t>NEW AND DELETED FEES</w:t>
          </w:r>
        </w:p>
      </w:tc>
    </w:tr>
    <w:tr w:rsidR="00F34FEA" w:rsidRPr="00F84AE0" w:rsidTr="00415F51">
      <w:trPr>
        <w:trHeight w:val="450"/>
      </w:trPr>
      <w:tc>
        <w:tcPr>
          <w:tcW w:w="2077" w:type="dxa"/>
          <w:gridSpan w:val="4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noWrap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 Item</w:t>
          </w:r>
        </w:p>
      </w:tc>
      <w:tc>
        <w:tcPr>
          <w:tcW w:w="4172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bottom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F34FEA" w:rsidRPr="00F84AE0" w:rsidRDefault="00F34FEA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96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F34FEA" w:rsidRPr="00F84AE0" w:rsidRDefault="00F34FEA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2018-19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F34FEA" w:rsidRPr="00F84AE0" w:rsidRDefault="00F34FEA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  <w:t>ex. GST</w:t>
          </w:r>
        </w:p>
      </w:tc>
      <w:tc>
        <w:tcPr>
          <w:tcW w:w="928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F34FEA" w:rsidRPr="00F84AE0" w:rsidRDefault="00F34FEA" w:rsidP="00815EC1">
          <w:pPr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2019-20 Charge </w:t>
          </w:r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br/>
          </w:r>
          <w:proofErr w:type="spellStart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>inc.</w:t>
          </w:r>
          <w:proofErr w:type="spellEnd"/>
          <w:r w:rsidRPr="00F84AE0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  <w:t xml:space="preserve"> GST</w:t>
          </w:r>
        </w:p>
      </w:tc>
    </w:tr>
    <w:tr w:rsidR="00F34FEA" w:rsidRPr="00F84AE0" w:rsidTr="00415F51">
      <w:trPr>
        <w:trHeight w:val="315"/>
      </w:trPr>
      <w:tc>
        <w:tcPr>
          <w:tcW w:w="2077" w:type="dxa"/>
          <w:gridSpan w:val="4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4172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1495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96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  <w:tc>
        <w:tcPr>
          <w:tcW w:w="928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  <w:lang w:eastAsia="en-AU"/>
            </w:rPr>
          </w:pPr>
        </w:p>
      </w:tc>
    </w:tr>
    <w:tr w:rsidR="00F34FEA" w:rsidRPr="00F84AE0" w:rsidTr="00415F51">
      <w:trPr>
        <w:trHeight w:val="225"/>
      </w:trPr>
      <w:tc>
        <w:tcPr>
          <w:tcW w:w="350" w:type="dxa"/>
          <w:tcBorders>
            <w:top w:val="nil"/>
            <w:left w:val="nil"/>
            <w:bottom w:val="nil"/>
            <w:right w:val="nil"/>
          </w:tcBorders>
          <w:noWrap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  <w:r w:rsidRPr="00F84AE0">
            <w:rPr>
              <w:rFonts w:ascii="Arial" w:hAnsi="Arial" w:cs="Arial"/>
              <w:b/>
              <w:bCs/>
              <w:sz w:val="16"/>
              <w:szCs w:val="16"/>
              <w:lang w:eastAsia="en-AU"/>
            </w:rPr>
            <w:t> </w:t>
          </w:r>
        </w:p>
      </w:tc>
      <w:tc>
        <w:tcPr>
          <w:tcW w:w="33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  <w:lang w:eastAsia="en-AU"/>
            </w:rPr>
          </w:pPr>
        </w:p>
      </w:tc>
      <w:tc>
        <w:tcPr>
          <w:tcW w:w="35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103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417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14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hideMark/>
        </w:tcPr>
        <w:p w:rsidR="00F34FEA" w:rsidRPr="00F84AE0" w:rsidRDefault="00F34FEA" w:rsidP="00815EC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en-AU"/>
            </w:rPr>
          </w:pPr>
        </w:p>
      </w:tc>
    </w:tr>
  </w:tbl>
  <w:p w:rsidR="00F34FEA" w:rsidRDefault="00F34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8FB"/>
    <w:multiLevelType w:val="hybridMultilevel"/>
    <w:tmpl w:val="65CEF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2B5"/>
    <w:multiLevelType w:val="hybridMultilevel"/>
    <w:tmpl w:val="D4287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5109D"/>
    <w:multiLevelType w:val="hybridMultilevel"/>
    <w:tmpl w:val="F188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2C25A13"/>
    <w:multiLevelType w:val="hybridMultilevel"/>
    <w:tmpl w:val="AA4A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B2B72"/>
    <w:rsid w:val="00004004"/>
    <w:rsid w:val="00022B13"/>
    <w:rsid w:val="00031115"/>
    <w:rsid w:val="000373F4"/>
    <w:rsid w:val="00040D83"/>
    <w:rsid w:val="000448C3"/>
    <w:rsid w:val="00052AAB"/>
    <w:rsid w:val="0005401D"/>
    <w:rsid w:val="00067040"/>
    <w:rsid w:val="0007204F"/>
    <w:rsid w:val="00072A4B"/>
    <w:rsid w:val="000775AA"/>
    <w:rsid w:val="000A4001"/>
    <w:rsid w:val="000B1112"/>
    <w:rsid w:val="000D4788"/>
    <w:rsid w:val="000E4287"/>
    <w:rsid w:val="000E776C"/>
    <w:rsid w:val="000E7BC8"/>
    <w:rsid w:val="000F105D"/>
    <w:rsid w:val="000F35EB"/>
    <w:rsid w:val="001054DE"/>
    <w:rsid w:val="00107B5E"/>
    <w:rsid w:val="00121B87"/>
    <w:rsid w:val="001235DF"/>
    <w:rsid w:val="00161502"/>
    <w:rsid w:val="00190B78"/>
    <w:rsid w:val="001C415E"/>
    <w:rsid w:val="001D46B7"/>
    <w:rsid w:val="001E0D5E"/>
    <w:rsid w:val="001F242D"/>
    <w:rsid w:val="001F33F7"/>
    <w:rsid w:val="001F66B3"/>
    <w:rsid w:val="00202B73"/>
    <w:rsid w:val="00211EF2"/>
    <w:rsid w:val="00215FFE"/>
    <w:rsid w:val="002163AD"/>
    <w:rsid w:val="002215A8"/>
    <w:rsid w:val="00223F90"/>
    <w:rsid w:val="00224344"/>
    <w:rsid w:val="00245902"/>
    <w:rsid w:val="00254D6C"/>
    <w:rsid w:val="002559DC"/>
    <w:rsid w:val="0025714A"/>
    <w:rsid w:val="00271FA9"/>
    <w:rsid w:val="0027281A"/>
    <w:rsid w:val="002800C9"/>
    <w:rsid w:val="00282F0C"/>
    <w:rsid w:val="00285C7E"/>
    <w:rsid w:val="0028682D"/>
    <w:rsid w:val="0029554C"/>
    <w:rsid w:val="002B277C"/>
    <w:rsid w:val="002B2AFF"/>
    <w:rsid w:val="002D1EDE"/>
    <w:rsid w:val="002E758B"/>
    <w:rsid w:val="003024B7"/>
    <w:rsid w:val="00305514"/>
    <w:rsid w:val="00307FD4"/>
    <w:rsid w:val="0031163A"/>
    <w:rsid w:val="003449F7"/>
    <w:rsid w:val="00344D04"/>
    <w:rsid w:val="003450A9"/>
    <w:rsid w:val="00353EC6"/>
    <w:rsid w:val="003617F1"/>
    <w:rsid w:val="00363E52"/>
    <w:rsid w:val="00377697"/>
    <w:rsid w:val="00380FBB"/>
    <w:rsid w:val="003A345A"/>
    <w:rsid w:val="003A7520"/>
    <w:rsid w:val="003C4D2A"/>
    <w:rsid w:val="003F0887"/>
    <w:rsid w:val="003F46ED"/>
    <w:rsid w:val="003F6158"/>
    <w:rsid w:val="003F6310"/>
    <w:rsid w:val="003F732B"/>
    <w:rsid w:val="00402BAE"/>
    <w:rsid w:val="004069B0"/>
    <w:rsid w:val="00415F51"/>
    <w:rsid w:val="00421D7A"/>
    <w:rsid w:val="0043041D"/>
    <w:rsid w:val="004558F2"/>
    <w:rsid w:val="00465047"/>
    <w:rsid w:val="00494B5B"/>
    <w:rsid w:val="004969CF"/>
    <w:rsid w:val="004B18D0"/>
    <w:rsid w:val="0050659E"/>
    <w:rsid w:val="005166D1"/>
    <w:rsid w:val="005514A4"/>
    <w:rsid w:val="00561898"/>
    <w:rsid w:val="00563649"/>
    <w:rsid w:val="0058407B"/>
    <w:rsid w:val="0059282C"/>
    <w:rsid w:val="005A17FC"/>
    <w:rsid w:val="005A251D"/>
    <w:rsid w:val="005A40E5"/>
    <w:rsid w:val="005A4E80"/>
    <w:rsid w:val="005B3D3F"/>
    <w:rsid w:val="005C241D"/>
    <w:rsid w:val="005C3020"/>
    <w:rsid w:val="005D4D03"/>
    <w:rsid w:val="005D7BB9"/>
    <w:rsid w:val="005E1544"/>
    <w:rsid w:val="005E23DD"/>
    <w:rsid w:val="005E297A"/>
    <w:rsid w:val="005E2A56"/>
    <w:rsid w:val="005E362E"/>
    <w:rsid w:val="005F0755"/>
    <w:rsid w:val="00603DBB"/>
    <w:rsid w:val="00617174"/>
    <w:rsid w:val="00622372"/>
    <w:rsid w:val="00622BA7"/>
    <w:rsid w:val="00622C2A"/>
    <w:rsid w:val="006267EF"/>
    <w:rsid w:val="0063158A"/>
    <w:rsid w:val="006318B4"/>
    <w:rsid w:val="00642E6F"/>
    <w:rsid w:val="006601FB"/>
    <w:rsid w:val="006711B9"/>
    <w:rsid w:val="00676A4B"/>
    <w:rsid w:val="00692F5F"/>
    <w:rsid w:val="006944F2"/>
    <w:rsid w:val="006A03B0"/>
    <w:rsid w:val="006A05FC"/>
    <w:rsid w:val="006A07C0"/>
    <w:rsid w:val="006A5395"/>
    <w:rsid w:val="006D3829"/>
    <w:rsid w:val="006E17ED"/>
    <w:rsid w:val="006E241E"/>
    <w:rsid w:val="006F6C41"/>
    <w:rsid w:val="00707D1A"/>
    <w:rsid w:val="00720C42"/>
    <w:rsid w:val="0072470F"/>
    <w:rsid w:val="007356B3"/>
    <w:rsid w:val="00740B10"/>
    <w:rsid w:val="0075052C"/>
    <w:rsid w:val="00750642"/>
    <w:rsid w:val="00752896"/>
    <w:rsid w:val="00775E53"/>
    <w:rsid w:val="007805FC"/>
    <w:rsid w:val="007942CF"/>
    <w:rsid w:val="007D2CBD"/>
    <w:rsid w:val="007F1FB3"/>
    <w:rsid w:val="00815EC1"/>
    <w:rsid w:val="00846014"/>
    <w:rsid w:val="0085258F"/>
    <w:rsid w:val="00853169"/>
    <w:rsid w:val="008667B9"/>
    <w:rsid w:val="00867423"/>
    <w:rsid w:val="0087191D"/>
    <w:rsid w:val="0088172D"/>
    <w:rsid w:val="0089014E"/>
    <w:rsid w:val="0089466C"/>
    <w:rsid w:val="00897412"/>
    <w:rsid w:val="008A0DFD"/>
    <w:rsid w:val="008B2B72"/>
    <w:rsid w:val="008B332C"/>
    <w:rsid w:val="008B43C4"/>
    <w:rsid w:val="008B690D"/>
    <w:rsid w:val="008D34D0"/>
    <w:rsid w:val="008D39A9"/>
    <w:rsid w:val="00917A7D"/>
    <w:rsid w:val="00931AC0"/>
    <w:rsid w:val="0093673E"/>
    <w:rsid w:val="00950382"/>
    <w:rsid w:val="00951267"/>
    <w:rsid w:val="00954EC2"/>
    <w:rsid w:val="00957FBE"/>
    <w:rsid w:val="00961A68"/>
    <w:rsid w:val="00971F32"/>
    <w:rsid w:val="00974EB0"/>
    <w:rsid w:val="00984590"/>
    <w:rsid w:val="009A4CBA"/>
    <w:rsid w:val="009C06CC"/>
    <w:rsid w:val="009E2C00"/>
    <w:rsid w:val="009F5878"/>
    <w:rsid w:val="00A037C5"/>
    <w:rsid w:val="00A070DD"/>
    <w:rsid w:val="00A074B3"/>
    <w:rsid w:val="00A07B6E"/>
    <w:rsid w:val="00A111DD"/>
    <w:rsid w:val="00A1659A"/>
    <w:rsid w:val="00A22705"/>
    <w:rsid w:val="00A300B2"/>
    <w:rsid w:val="00A31F07"/>
    <w:rsid w:val="00A50287"/>
    <w:rsid w:val="00A5180C"/>
    <w:rsid w:val="00A52B0A"/>
    <w:rsid w:val="00A61658"/>
    <w:rsid w:val="00A64E67"/>
    <w:rsid w:val="00AB5C6F"/>
    <w:rsid w:val="00AB6ADE"/>
    <w:rsid w:val="00AC25C9"/>
    <w:rsid w:val="00AC33DB"/>
    <w:rsid w:val="00AC3744"/>
    <w:rsid w:val="00AD2A5A"/>
    <w:rsid w:val="00AF5732"/>
    <w:rsid w:val="00B02248"/>
    <w:rsid w:val="00B0525B"/>
    <w:rsid w:val="00B12105"/>
    <w:rsid w:val="00B169E6"/>
    <w:rsid w:val="00B2064A"/>
    <w:rsid w:val="00B24091"/>
    <w:rsid w:val="00B32056"/>
    <w:rsid w:val="00B40504"/>
    <w:rsid w:val="00B60C4D"/>
    <w:rsid w:val="00B8481A"/>
    <w:rsid w:val="00BA3842"/>
    <w:rsid w:val="00BB4D4C"/>
    <w:rsid w:val="00BC5D72"/>
    <w:rsid w:val="00C05A90"/>
    <w:rsid w:val="00C06102"/>
    <w:rsid w:val="00C167EF"/>
    <w:rsid w:val="00C40428"/>
    <w:rsid w:val="00C4388D"/>
    <w:rsid w:val="00C50331"/>
    <w:rsid w:val="00C56F4F"/>
    <w:rsid w:val="00C60D50"/>
    <w:rsid w:val="00C610BB"/>
    <w:rsid w:val="00C802C0"/>
    <w:rsid w:val="00C822CD"/>
    <w:rsid w:val="00C8235C"/>
    <w:rsid w:val="00C83BD7"/>
    <w:rsid w:val="00C86D22"/>
    <w:rsid w:val="00C9021E"/>
    <w:rsid w:val="00C91C6D"/>
    <w:rsid w:val="00C93D37"/>
    <w:rsid w:val="00CE4F97"/>
    <w:rsid w:val="00CE5DA6"/>
    <w:rsid w:val="00CF1BAD"/>
    <w:rsid w:val="00CF7804"/>
    <w:rsid w:val="00D01E86"/>
    <w:rsid w:val="00D11EE8"/>
    <w:rsid w:val="00D15F41"/>
    <w:rsid w:val="00D22AF8"/>
    <w:rsid w:val="00D22B6F"/>
    <w:rsid w:val="00D25EF5"/>
    <w:rsid w:val="00D36D0D"/>
    <w:rsid w:val="00D37F5C"/>
    <w:rsid w:val="00D41776"/>
    <w:rsid w:val="00D613ED"/>
    <w:rsid w:val="00D6705A"/>
    <w:rsid w:val="00D67A4E"/>
    <w:rsid w:val="00D71B7A"/>
    <w:rsid w:val="00D71F95"/>
    <w:rsid w:val="00D82FBD"/>
    <w:rsid w:val="00DA4FDA"/>
    <w:rsid w:val="00DA7BD2"/>
    <w:rsid w:val="00DB05E0"/>
    <w:rsid w:val="00DB1D67"/>
    <w:rsid w:val="00DD442F"/>
    <w:rsid w:val="00DE15AD"/>
    <w:rsid w:val="00DE2DB3"/>
    <w:rsid w:val="00DE5265"/>
    <w:rsid w:val="00E274E4"/>
    <w:rsid w:val="00E353E9"/>
    <w:rsid w:val="00E36FE4"/>
    <w:rsid w:val="00E41DD5"/>
    <w:rsid w:val="00E43C26"/>
    <w:rsid w:val="00E846AC"/>
    <w:rsid w:val="00E8719C"/>
    <w:rsid w:val="00E91CE0"/>
    <w:rsid w:val="00E970CD"/>
    <w:rsid w:val="00EA09E5"/>
    <w:rsid w:val="00EA3FD8"/>
    <w:rsid w:val="00EA49F9"/>
    <w:rsid w:val="00EA759A"/>
    <w:rsid w:val="00EC6EFB"/>
    <w:rsid w:val="00ED287C"/>
    <w:rsid w:val="00EE1043"/>
    <w:rsid w:val="00EE2CCA"/>
    <w:rsid w:val="00F27B90"/>
    <w:rsid w:val="00F3203D"/>
    <w:rsid w:val="00F344BF"/>
    <w:rsid w:val="00F34FEA"/>
    <w:rsid w:val="00F6422D"/>
    <w:rsid w:val="00F67C45"/>
    <w:rsid w:val="00F705B9"/>
    <w:rsid w:val="00F84AE0"/>
    <w:rsid w:val="00FB3A46"/>
    <w:rsid w:val="00FC165B"/>
    <w:rsid w:val="00FC4CD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B383A6"/>
  <w14:defaultImageDpi w14:val="0"/>
  <w15:docId w15:val="{72E5F0BA-DA90-4093-8E40-26A0E79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E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en-AU"/>
    </w:rPr>
  </w:style>
  <w:style w:type="paragraph" w:customStyle="1" w:styleId="font7">
    <w:name w:val="font7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en-AU"/>
    </w:rPr>
  </w:style>
  <w:style w:type="paragraph" w:customStyle="1" w:styleId="font8">
    <w:name w:val="font8"/>
    <w:basedOn w:val="Normal"/>
    <w:rsid w:val="008B2B7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en-AU"/>
    </w:rPr>
  </w:style>
  <w:style w:type="paragraph" w:customStyle="1" w:styleId="xl69">
    <w:name w:val="xl6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0">
    <w:name w:val="xl70"/>
    <w:basedOn w:val="Normal"/>
    <w:rsid w:val="008B2B72"/>
    <w:pPr>
      <w:spacing w:before="100" w:beforeAutospacing="1" w:after="100" w:afterAutospacing="1" w:line="240" w:lineRule="auto"/>
      <w:ind w:firstLineChars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1">
    <w:name w:val="xl7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2">
    <w:name w:val="xl7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3">
    <w:name w:val="xl73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5">
    <w:name w:val="xl7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8">
    <w:name w:val="xl78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0">
    <w:name w:val="xl8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1">
    <w:name w:val="xl8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82">
    <w:name w:val="xl8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3">
    <w:name w:val="xl8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4">
    <w:name w:val="xl8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5">
    <w:name w:val="xl85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1">
    <w:name w:val="xl9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2">
    <w:name w:val="xl9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3">
    <w:name w:val="xl9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xl95">
    <w:name w:val="xl9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96">
    <w:name w:val="xl9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97">
    <w:name w:val="xl9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customStyle="1" w:styleId="xl98">
    <w:name w:val="xl9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  <w:lang w:eastAsia="en-AU"/>
    </w:rPr>
  </w:style>
  <w:style w:type="paragraph" w:customStyle="1" w:styleId="xl99">
    <w:name w:val="xl9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0">
    <w:name w:val="xl100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1">
    <w:name w:val="xl101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02">
    <w:name w:val="xl10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4">
    <w:name w:val="xl104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5">
    <w:name w:val="xl10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6">
    <w:name w:val="xl10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7">
    <w:name w:val="xl10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8">
    <w:name w:val="xl108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16"/>
      <w:szCs w:val="16"/>
      <w:lang w:eastAsia="en-AU"/>
    </w:rPr>
  </w:style>
  <w:style w:type="paragraph" w:customStyle="1" w:styleId="xl109">
    <w:name w:val="xl109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0">
    <w:name w:val="xl11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1">
    <w:name w:val="xl11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2">
    <w:name w:val="xl112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xl113">
    <w:name w:val="xl113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4">
    <w:name w:val="xl114"/>
    <w:basedOn w:val="Normal"/>
    <w:rsid w:val="008B2B7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5">
    <w:name w:val="xl115"/>
    <w:basedOn w:val="Normal"/>
    <w:rsid w:val="008B2B7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6">
    <w:name w:val="xl11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117">
    <w:name w:val="xl11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8">
    <w:name w:val="xl118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19">
    <w:name w:val="xl119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0">
    <w:name w:val="xl120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i/>
      <w:iCs/>
      <w:sz w:val="14"/>
      <w:szCs w:val="14"/>
      <w:lang w:eastAsia="en-AU"/>
    </w:rPr>
  </w:style>
  <w:style w:type="paragraph" w:customStyle="1" w:styleId="xl121">
    <w:name w:val="xl121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FF0000"/>
      <w:sz w:val="16"/>
      <w:szCs w:val="16"/>
      <w:lang w:eastAsia="en-AU"/>
    </w:rPr>
  </w:style>
  <w:style w:type="paragraph" w:customStyle="1" w:styleId="xl122">
    <w:name w:val="xl122"/>
    <w:basedOn w:val="Normal"/>
    <w:rsid w:val="008B2B72"/>
    <w:pPr>
      <w:spacing w:before="100" w:beforeAutospacing="1" w:after="100" w:afterAutospacing="1" w:line="240" w:lineRule="auto"/>
      <w:ind w:firstLineChars="100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123">
    <w:name w:val="xl123"/>
    <w:basedOn w:val="Normal"/>
    <w:rsid w:val="008B2B7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en-AU"/>
    </w:rPr>
  </w:style>
  <w:style w:type="paragraph" w:customStyle="1" w:styleId="xl124">
    <w:name w:val="xl124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125">
    <w:name w:val="xl125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6">
    <w:name w:val="xl126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16"/>
      <w:szCs w:val="16"/>
      <w:lang w:eastAsia="en-AU"/>
    </w:rPr>
  </w:style>
  <w:style w:type="paragraph" w:customStyle="1" w:styleId="xl127">
    <w:name w:val="xl127"/>
    <w:basedOn w:val="Normal"/>
    <w:rsid w:val="008B2B7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8B2B7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B72"/>
    <w:rPr>
      <w:rFonts w:ascii="Times New Roman" w:hAnsi="Times New Roman" w:cs="Times New Roman"/>
      <w:sz w:val="24"/>
    </w:rPr>
  </w:style>
  <w:style w:type="paragraph" w:customStyle="1" w:styleId="Billname">
    <w:name w:val="Billname"/>
    <w:basedOn w:val="Normal"/>
    <w:rsid w:val="008B2B72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8B2B72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verActName">
    <w:name w:val="CoverActName"/>
    <w:basedOn w:val="Normal"/>
    <w:rsid w:val="008B2B72"/>
    <w:pPr>
      <w:tabs>
        <w:tab w:val="left" w:pos="2600"/>
      </w:tabs>
      <w:spacing w:before="200" w:after="6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E53"/>
    <w:rPr>
      <w:rFonts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F97"/>
    <w:rPr>
      <w:rFonts w:ascii="Tahoma" w:hAnsi="Tahoma" w:cs="Times New Roman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373F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243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34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D3E7-5BFD-4AAC-8C2D-945B991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2019-06-05T04:40:00Z</cp:lastPrinted>
  <dcterms:created xsi:type="dcterms:W3CDTF">2019-06-28T06:41:00Z</dcterms:created>
  <dcterms:modified xsi:type="dcterms:W3CDTF">2019-06-28T06:41:00Z</dcterms:modified>
</cp:coreProperties>
</file>