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9F7" w:rsidRPr="00FB59DD" w:rsidRDefault="00BA79F7">
      <w:pPr>
        <w:jc w:val="center"/>
        <w:rPr>
          <w:rFonts w:ascii="Arial Narrow" w:hAnsi="Arial Narrow" w:cs="Arial Narrow"/>
          <w:sz w:val="28"/>
          <w:szCs w:val="28"/>
          <w:lang w:val="en-GB"/>
        </w:rPr>
      </w:pPr>
      <w:bookmarkStart w:id="0" w:name="_GoBack"/>
      <w:bookmarkEnd w:id="0"/>
    </w:p>
    <w:p w:rsidR="00BA79F7" w:rsidRPr="00FB59DD" w:rsidRDefault="00BA79F7">
      <w:pPr>
        <w:jc w:val="center"/>
        <w:rPr>
          <w:rFonts w:ascii="Arial Narrow" w:hAnsi="Arial Narrow" w:cs="Arial Narrow"/>
          <w:sz w:val="28"/>
          <w:szCs w:val="28"/>
          <w:lang w:val="en-GB"/>
        </w:rPr>
      </w:pPr>
    </w:p>
    <w:p w:rsidR="00BA79F7" w:rsidRPr="00FB59DD" w:rsidRDefault="00BA79F7">
      <w:pPr>
        <w:jc w:val="center"/>
        <w:rPr>
          <w:rFonts w:ascii="Arial Narrow" w:hAnsi="Arial Narrow" w:cs="Arial Narrow"/>
          <w:sz w:val="28"/>
          <w:szCs w:val="28"/>
          <w:lang w:val="en-GB"/>
        </w:rPr>
      </w:pPr>
    </w:p>
    <w:p w:rsidR="00BA79F7" w:rsidRPr="00FB59DD" w:rsidRDefault="00BA79F7">
      <w:pPr>
        <w:jc w:val="center"/>
        <w:rPr>
          <w:rFonts w:ascii="Arial Narrow" w:hAnsi="Arial Narrow" w:cs="Arial Narrow"/>
          <w:sz w:val="28"/>
          <w:szCs w:val="28"/>
          <w:lang w:val="en-GB"/>
        </w:rPr>
      </w:pPr>
    </w:p>
    <w:p w:rsidR="00BA79F7" w:rsidRPr="00FB59DD" w:rsidRDefault="00BA79F7">
      <w:pPr>
        <w:pStyle w:val="Heading7"/>
        <w:spacing w:line="360" w:lineRule="auto"/>
        <w:rPr>
          <w:rFonts w:ascii="Arial Narrow" w:hAnsi="Arial Narrow" w:cs="Arial Narrow"/>
          <w:lang w:val="en-GB"/>
        </w:rPr>
      </w:pPr>
      <w:r w:rsidRPr="00FB59DD">
        <w:rPr>
          <w:rFonts w:ascii="Arial Narrow" w:hAnsi="Arial Narrow" w:cs="Arial Narrow"/>
          <w:lang w:val="en-GB"/>
        </w:rPr>
        <w:t>THE LEGISLATIVE ASSEMBLY FOR</w:t>
      </w:r>
    </w:p>
    <w:p w:rsidR="00BA79F7" w:rsidRPr="00FB59DD" w:rsidRDefault="00BA79F7">
      <w:pPr>
        <w:pStyle w:val="Heading7"/>
        <w:rPr>
          <w:rFonts w:ascii="Arial Narrow" w:hAnsi="Arial Narrow" w:cs="Arial Narrow"/>
          <w:lang w:val="en-GB"/>
        </w:rPr>
      </w:pPr>
      <w:r w:rsidRPr="00FB59DD">
        <w:rPr>
          <w:rFonts w:ascii="Arial Narrow" w:hAnsi="Arial Narrow" w:cs="Arial Narrow"/>
          <w:lang w:val="en-GB"/>
        </w:rPr>
        <w:t>THE AUSTRALIAN CAPITAL TERRITORY</w:t>
      </w:r>
    </w:p>
    <w:p w:rsidR="00BA79F7" w:rsidRPr="00FB59DD" w:rsidRDefault="00BA79F7">
      <w:pPr>
        <w:jc w:val="center"/>
        <w:rPr>
          <w:rFonts w:ascii="Arial Narrow" w:hAnsi="Arial Narrow" w:cs="Arial Narrow"/>
          <w:sz w:val="28"/>
          <w:szCs w:val="28"/>
          <w:lang w:val="en-GB"/>
        </w:rPr>
      </w:pPr>
    </w:p>
    <w:p w:rsidR="00BA79F7" w:rsidRPr="00FB59DD" w:rsidRDefault="00BA79F7">
      <w:pPr>
        <w:jc w:val="center"/>
        <w:rPr>
          <w:rFonts w:ascii="Arial Narrow" w:hAnsi="Arial Narrow" w:cs="Arial Narrow"/>
          <w:sz w:val="28"/>
          <w:szCs w:val="28"/>
          <w:lang w:val="en-GB"/>
        </w:rPr>
      </w:pPr>
    </w:p>
    <w:p w:rsidR="00BA79F7" w:rsidRPr="00FB59DD" w:rsidRDefault="00BA79F7">
      <w:pPr>
        <w:jc w:val="center"/>
        <w:rPr>
          <w:rFonts w:ascii="Arial Narrow" w:hAnsi="Arial Narrow" w:cs="Arial Narrow"/>
          <w:sz w:val="28"/>
          <w:szCs w:val="28"/>
          <w:lang w:val="en-GB"/>
        </w:rPr>
      </w:pPr>
    </w:p>
    <w:p w:rsidR="00BA79F7" w:rsidRPr="00FB59DD" w:rsidRDefault="00BA79F7">
      <w:pPr>
        <w:jc w:val="center"/>
        <w:rPr>
          <w:rFonts w:ascii="Arial Narrow" w:hAnsi="Arial Narrow" w:cs="Arial Narrow"/>
          <w:sz w:val="28"/>
          <w:szCs w:val="28"/>
          <w:lang w:val="en-GB"/>
        </w:rPr>
      </w:pPr>
    </w:p>
    <w:p w:rsidR="00BA79F7" w:rsidRPr="00FB59DD" w:rsidRDefault="00BA79F7">
      <w:pPr>
        <w:jc w:val="center"/>
        <w:rPr>
          <w:rFonts w:ascii="Arial Narrow" w:hAnsi="Arial Narrow" w:cs="Arial Narrow"/>
          <w:sz w:val="28"/>
          <w:szCs w:val="28"/>
          <w:lang w:val="en-GB"/>
        </w:rPr>
      </w:pPr>
    </w:p>
    <w:p w:rsidR="00BA79F7" w:rsidRPr="00FB59DD" w:rsidRDefault="00BA79F7">
      <w:pPr>
        <w:jc w:val="center"/>
        <w:rPr>
          <w:rFonts w:ascii="Arial Narrow" w:hAnsi="Arial Narrow" w:cs="Arial Narrow"/>
          <w:sz w:val="28"/>
          <w:szCs w:val="28"/>
          <w:lang w:val="en-GB"/>
        </w:rPr>
      </w:pPr>
    </w:p>
    <w:p w:rsidR="00BA79F7" w:rsidRPr="00FB59DD" w:rsidRDefault="00BA79F7">
      <w:pPr>
        <w:jc w:val="center"/>
        <w:rPr>
          <w:rFonts w:ascii="Arial Narrow" w:hAnsi="Arial Narrow" w:cs="Arial Narrow"/>
          <w:sz w:val="28"/>
          <w:szCs w:val="28"/>
          <w:lang w:val="en-GB"/>
        </w:rPr>
      </w:pPr>
    </w:p>
    <w:p w:rsidR="00BA79F7" w:rsidRPr="00FB59DD" w:rsidRDefault="00BA79F7">
      <w:pPr>
        <w:jc w:val="center"/>
        <w:rPr>
          <w:rFonts w:ascii="Arial Narrow" w:hAnsi="Arial Narrow" w:cs="Arial Narrow"/>
          <w:sz w:val="28"/>
          <w:szCs w:val="28"/>
          <w:lang w:val="en-GB"/>
        </w:rPr>
      </w:pPr>
    </w:p>
    <w:p w:rsidR="00BA79F7" w:rsidRPr="00FB59DD" w:rsidRDefault="00BA79F7">
      <w:pPr>
        <w:jc w:val="center"/>
        <w:rPr>
          <w:rFonts w:ascii="Arial Narrow" w:hAnsi="Arial Narrow" w:cs="Arial Narrow"/>
          <w:sz w:val="28"/>
          <w:szCs w:val="28"/>
          <w:lang w:val="en-GB"/>
        </w:rPr>
      </w:pPr>
    </w:p>
    <w:p w:rsidR="00BA79F7" w:rsidRPr="00FB59DD" w:rsidRDefault="00BA79F7">
      <w:pPr>
        <w:pStyle w:val="Heading7"/>
        <w:rPr>
          <w:rFonts w:ascii="Arial Narrow" w:hAnsi="Arial Narrow" w:cs="Arial Narrow"/>
          <w:b w:val="0"/>
          <w:bCs w:val="0"/>
          <w:caps/>
          <w:lang w:val="en-GB"/>
        </w:rPr>
      </w:pPr>
      <w:r w:rsidRPr="00FB59DD">
        <w:rPr>
          <w:rFonts w:ascii="Arial Narrow" w:hAnsi="Arial Narrow" w:cs="Arial Narrow"/>
          <w:caps/>
          <w:lang w:val="en-GB"/>
        </w:rPr>
        <w:t xml:space="preserve">Medicines, poisons and Therapeutic GOODS </w:t>
      </w:r>
      <w:r w:rsidR="00FB59DD" w:rsidRPr="00FB59DD">
        <w:rPr>
          <w:rFonts w:ascii="Arial Narrow" w:hAnsi="Arial Narrow" w:cs="Arial Narrow"/>
          <w:caps/>
          <w:lang w:val="en-GB"/>
        </w:rPr>
        <w:t>AMEN</w:t>
      </w:r>
      <w:r w:rsidR="00972570" w:rsidRPr="00FB59DD">
        <w:rPr>
          <w:rFonts w:ascii="Arial Narrow" w:hAnsi="Arial Narrow" w:cs="Arial Narrow"/>
          <w:caps/>
          <w:lang w:val="en-GB"/>
        </w:rPr>
        <w:t xml:space="preserve">DMENT </w:t>
      </w:r>
      <w:r w:rsidRPr="00FB59DD">
        <w:rPr>
          <w:rFonts w:ascii="Arial Narrow" w:hAnsi="Arial Narrow" w:cs="Arial Narrow"/>
          <w:caps/>
          <w:lang w:val="en-GB"/>
        </w:rPr>
        <w:t>Regulation 20</w:t>
      </w:r>
      <w:r w:rsidR="00F8707E" w:rsidRPr="00FB59DD">
        <w:rPr>
          <w:rFonts w:ascii="Arial Narrow" w:hAnsi="Arial Narrow" w:cs="Arial Narrow"/>
          <w:caps/>
          <w:lang w:val="en-GB"/>
        </w:rPr>
        <w:t>2</w:t>
      </w:r>
      <w:r w:rsidRPr="00FB59DD">
        <w:rPr>
          <w:rFonts w:ascii="Arial Narrow" w:hAnsi="Arial Narrow" w:cs="Arial Narrow"/>
          <w:caps/>
          <w:lang w:val="en-GB"/>
        </w:rPr>
        <w:t>0</w:t>
      </w:r>
      <w:r w:rsidR="00BA44DB" w:rsidRPr="00FB59DD">
        <w:rPr>
          <w:rFonts w:ascii="Arial Narrow" w:hAnsi="Arial Narrow" w:cs="Arial Narrow"/>
          <w:caps/>
          <w:lang w:val="en-GB"/>
        </w:rPr>
        <w:t> (N</w:t>
      </w:r>
      <w:r w:rsidR="00301C6F" w:rsidRPr="00301C6F">
        <w:rPr>
          <w:rFonts w:ascii="Arial Narrow" w:hAnsi="Arial Narrow" w:cs="Arial Narrow"/>
          <w:lang w:val="en-GB"/>
        </w:rPr>
        <w:t>o</w:t>
      </w:r>
      <w:r w:rsidR="00BA44DB" w:rsidRPr="00FB59DD">
        <w:rPr>
          <w:rFonts w:ascii="Arial Narrow" w:hAnsi="Arial Narrow" w:cs="Arial Narrow"/>
          <w:caps/>
          <w:lang w:val="en-GB"/>
        </w:rPr>
        <w:t> </w:t>
      </w:r>
      <w:r w:rsidR="00301C6F">
        <w:rPr>
          <w:rFonts w:ascii="Arial Narrow" w:hAnsi="Arial Narrow" w:cs="Arial Narrow"/>
          <w:caps/>
          <w:lang w:val="en-GB"/>
        </w:rPr>
        <w:t>1</w:t>
      </w:r>
      <w:r w:rsidR="00BA44DB" w:rsidRPr="00FB59DD">
        <w:rPr>
          <w:rFonts w:ascii="Arial Narrow" w:hAnsi="Arial Narrow" w:cs="Arial Narrow"/>
          <w:caps/>
          <w:lang w:val="en-GB"/>
        </w:rPr>
        <w:t>)</w:t>
      </w:r>
    </w:p>
    <w:p w:rsidR="00BA79F7" w:rsidRPr="00FB59DD" w:rsidRDefault="00BA79F7">
      <w:pPr>
        <w:jc w:val="center"/>
        <w:rPr>
          <w:rFonts w:ascii="Arial Narrow" w:hAnsi="Arial Narrow" w:cs="Arial Narrow"/>
          <w:sz w:val="28"/>
          <w:szCs w:val="28"/>
          <w:lang w:val="en-GB"/>
        </w:rPr>
      </w:pPr>
    </w:p>
    <w:p w:rsidR="00BA79F7" w:rsidRPr="00FB59DD" w:rsidRDefault="00BA79F7">
      <w:pPr>
        <w:jc w:val="center"/>
        <w:rPr>
          <w:rFonts w:ascii="Arial Narrow" w:hAnsi="Arial Narrow" w:cs="Arial Narrow"/>
          <w:sz w:val="28"/>
          <w:szCs w:val="28"/>
          <w:lang w:val="en-GB"/>
        </w:rPr>
      </w:pPr>
      <w:r w:rsidRPr="00FB59DD">
        <w:rPr>
          <w:rFonts w:ascii="Arial Narrow" w:hAnsi="Arial Narrow" w:cs="Arial Narrow"/>
          <w:sz w:val="28"/>
          <w:szCs w:val="28"/>
          <w:lang w:val="en-GB"/>
        </w:rPr>
        <w:t>SL20</w:t>
      </w:r>
      <w:r w:rsidR="00F8707E" w:rsidRPr="00FB59DD">
        <w:rPr>
          <w:rFonts w:ascii="Arial Narrow" w:hAnsi="Arial Narrow" w:cs="Arial Narrow"/>
          <w:sz w:val="28"/>
          <w:szCs w:val="28"/>
          <w:lang w:val="en-GB"/>
        </w:rPr>
        <w:t>2</w:t>
      </w:r>
      <w:r w:rsidRPr="00FB59DD">
        <w:rPr>
          <w:rFonts w:ascii="Arial Narrow" w:hAnsi="Arial Narrow" w:cs="Arial Narrow"/>
          <w:sz w:val="28"/>
          <w:szCs w:val="28"/>
          <w:lang w:val="en-GB"/>
        </w:rPr>
        <w:t>0-</w:t>
      </w:r>
      <w:r w:rsidR="00301C6F">
        <w:rPr>
          <w:rFonts w:ascii="Arial Narrow" w:hAnsi="Arial Narrow" w:cs="Arial Narrow"/>
          <w:sz w:val="28"/>
          <w:szCs w:val="28"/>
          <w:lang w:val="en-GB"/>
        </w:rPr>
        <w:t>13</w:t>
      </w:r>
    </w:p>
    <w:p w:rsidR="00BA79F7" w:rsidRPr="00FB59DD" w:rsidRDefault="00BA79F7">
      <w:pPr>
        <w:jc w:val="center"/>
        <w:rPr>
          <w:rFonts w:ascii="Arial Narrow" w:hAnsi="Arial Narrow" w:cs="Arial Narrow"/>
          <w:sz w:val="28"/>
          <w:szCs w:val="28"/>
          <w:lang w:val="en-GB"/>
        </w:rPr>
      </w:pPr>
    </w:p>
    <w:p w:rsidR="00BA79F7" w:rsidRPr="00FB59DD" w:rsidRDefault="00BA79F7">
      <w:pPr>
        <w:jc w:val="center"/>
        <w:rPr>
          <w:rFonts w:ascii="Arial Narrow" w:hAnsi="Arial Narrow" w:cs="Arial Narrow"/>
          <w:sz w:val="28"/>
          <w:szCs w:val="28"/>
          <w:lang w:val="en-GB"/>
        </w:rPr>
      </w:pPr>
    </w:p>
    <w:p w:rsidR="00BA79F7" w:rsidRPr="00FB59DD" w:rsidRDefault="00BA79F7">
      <w:pPr>
        <w:jc w:val="center"/>
        <w:rPr>
          <w:rFonts w:ascii="Arial Narrow" w:hAnsi="Arial Narrow" w:cs="Arial Narrow"/>
          <w:sz w:val="28"/>
          <w:szCs w:val="28"/>
          <w:lang w:val="en-GB"/>
        </w:rPr>
      </w:pPr>
    </w:p>
    <w:p w:rsidR="00BA79F7" w:rsidRPr="00FB59DD" w:rsidRDefault="00BA79F7">
      <w:pPr>
        <w:pStyle w:val="Heading7"/>
        <w:rPr>
          <w:rFonts w:ascii="Arial Narrow" w:hAnsi="Arial Narrow" w:cs="Arial Narrow"/>
          <w:lang w:val="en-GB"/>
        </w:rPr>
      </w:pPr>
      <w:r w:rsidRPr="00FB59DD">
        <w:rPr>
          <w:rFonts w:ascii="Arial Narrow" w:hAnsi="Arial Narrow" w:cs="Arial Narrow"/>
          <w:lang w:val="en-GB"/>
        </w:rPr>
        <w:t>EXPLANATORY STATEMENT</w:t>
      </w:r>
    </w:p>
    <w:p w:rsidR="00BA79F7" w:rsidRPr="00FB59DD" w:rsidRDefault="00BA79F7">
      <w:pPr>
        <w:jc w:val="center"/>
        <w:rPr>
          <w:rFonts w:ascii="Arial Narrow" w:hAnsi="Arial Narrow" w:cs="Arial Narrow"/>
          <w:sz w:val="28"/>
          <w:szCs w:val="28"/>
          <w:lang w:val="en-GB"/>
        </w:rPr>
      </w:pPr>
    </w:p>
    <w:p w:rsidR="00BA79F7" w:rsidRPr="00FB59DD" w:rsidRDefault="00BA79F7">
      <w:pPr>
        <w:jc w:val="center"/>
        <w:rPr>
          <w:rFonts w:ascii="Arial Narrow" w:hAnsi="Arial Narrow" w:cs="Arial Narrow"/>
          <w:sz w:val="28"/>
          <w:szCs w:val="28"/>
          <w:lang w:val="en-GB"/>
        </w:rPr>
      </w:pPr>
    </w:p>
    <w:p w:rsidR="00BA79F7" w:rsidRPr="00FB59DD" w:rsidRDefault="00BA79F7">
      <w:pPr>
        <w:jc w:val="center"/>
        <w:rPr>
          <w:rFonts w:ascii="Arial Narrow" w:hAnsi="Arial Narrow" w:cs="Arial Narrow"/>
          <w:sz w:val="28"/>
          <w:szCs w:val="28"/>
          <w:lang w:val="en-GB"/>
        </w:rPr>
      </w:pPr>
    </w:p>
    <w:p w:rsidR="00BA79F7" w:rsidRPr="00FB59DD" w:rsidRDefault="00BA79F7">
      <w:pPr>
        <w:jc w:val="center"/>
        <w:rPr>
          <w:rFonts w:ascii="Arial Narrow" w:hAnsi="Arial Narrow" w:cs="Arial Narrow"/>
          <w:sz w:val="28"/>
          <w:szCs w:val="28"/>
          <w:lang w:val="en-GB"/>
        </w:rPr>
      </w:pPr>
    </w:p>
    <w:p w:rsidR="00BA79F7" w:rsidRPr="00FB59DD" w:rsidRDefault="00BA79F7">
      <w:pPr>
        <w:jc w:val="center"/>
        <w:rPr>
          <w:rFonts w:ascii="Arial Narrow" w:hAnsi="Arial Narrow" w:cs="Arial Narrow"/>
          <w:sz w:val="28"/>
          <w:szCs w:val="28"/>
          <w:lang w:val="en-GB"/>
        </w:rPr>
      </w:pPr>
    </w:p>
    <w:p w:rsidR="00BA79F7" w:rsidRPr="00FB59DD" w:rsidRDefault="00BA79F7">
      <w:pPr>
        <w:jc w:val="center"/>
        <w:rPr>
          <w:rFonts w:ascii="Arial Narrow" w:hAnsi="Arial Narrow" w:cs="Arial Narrow"/>
          <w:sz w:val="28"/>
          <w:szCs w:val="28"/>
          <w:lang w:val="en-GB"/>
        </w:rPr>
      </w:pPr>
    </w:p>
    <w:p w:rsidR="00BA79F7" w:rsidRPr="00FB59DD" w:rsidRDefault="00BA79F7">
      <w:pPr>
        <w:jc w:val="center"/>
        <w:rPr>
          <w:rFonts w:ascii="Arial Narrow" w:hAnsi="Arial Narrow" w:cs="Arial Narrow"/>
          <w:sz w:val="28"/>
          <w:szCs w:val="28"/>
          <w:lang w:val="en-GB"/>
        </w:rPr>
      </w:pPr>
    </w:p>
    <w:p w:rsidR="00BA79F7" w:rsidRPr="00FB59DD" w:rsidRDefault="00BA79F7">
      <w:pPr>
        <w:jc w:val="center"/>
        <w:rPr>
          <w:rFonts w:ascii="Arial Narrow" w:hAnsi="Arial Narrow" w:cs="Arial Narrow"/>
          <w:sz w:val="28"/>
          <w:szCs w:val="28"/>
          <w:lang w:val="en-GB"/>
        </w:rPr>
      </w:pPr>
    </w:p>
    <w:p w:rsidR="00BA79F7" w:rsidRPr="00FB59DD" w:rsidRDefault="00BA79F7">
      <w:pPr>
        <w:jc w:val="center"/>
        <w:rPr>
          <w:rFonts w:ascii="Arial Narrow" w:hAnsi="Arial Narrow" w:cs="Arial Narrow"/>
          <w:sz w:val="28"/>
          <w:szCs w:val="28"/>
          <w:lang w:val="en-GB"/>
        </w:rPr>
      </w:pPr>
    </w:p>
    <w:p w:rsidR="00BA79F7" w:rsidRPr="00FB59DD" w:rsidRDefault="00BA79F7">
      <w:pPr>
        <w:jc w:val="center"/>
        <w:rPr>
          <w:rFonts w:ascii="Arial Narrow" w:hAnsi="Arial Narrow" w:cs="Arial Narrow"/>
          <w:sz w:val="28"/>
          <w:szCs w:val="28"/>
          <w:lang w:val="en-GB"/>
        </w:rPr>
      </w:pPr>
    </w:p>
    <w:p w:rsidR="00BA79F7" w:rsidRPr="00FB59DD" w:rsidRDefault="00BA79F7">
      <w:pPr>
        <w:jc w:val="center"/>
        <w:rPr>
          <w:rFonts w:ascii="Arial Narrow" w:hAnsi="Arial Narrow" w:cs="Arial Narrow"/>
          <w:sz w:val="28"/>
          <w:szCs w:val="28"/>
          <w:lang w:val="en-GB"/>
        </w:rPr>
      </w:pPr>
    </w:p>
    <w:p w:rsidR="00BA79F7" w:rsidRPr="00FB59DD" w:rsidRDefault="00BA79F7">
      <w:pPr>
        <w:jc w:val="center"/>
        <w:rPr>
          <w:rFonts w:ascii="Arial Narrow" w:hAnsi="Arial Narrow" w:cs="Arial Narrow"/>
          <w:sz w:val="28"/>
          <w:szCs w:val="28"/>
          <w:lang w:val="en-GB"/>
        </w:rPr>
      </w:pPr>
    </w:p>
    <w:p w:rsidR="00BA79F7" w:rsidRPr="00FB59DD" w:rsidRDefault="00BA79F7">
      <w:pPr>
        <w:jc w:val="center"/>
        <w:rPr>
          <w:rFonts w:ascii="Arial Narrow" w:hAnsi="Arial Narrow" w:cs="Arial Narrow"/>
          <w:sz w:val="28"/>
          <w:szCs w:val="28"/>
          <w:lang w:val="en-GB"/>
        </w:rPr>
      </w:pPr>
    </w:p>
    <w:p w:rsidR="00BA79F7" w:rsidRPr="00FB59DD" w:rsidRDefault="00BA79F7">
      <w:pPr>
        <w:jc w:val="center"/>
        <w:rPr>
          <w:rFonts w:ascii="Arial Narrow" w:hAnsi="Arial Narrow" w:cs="Arial Narrow"/>
          <w:sz w:val="28"/>
          <w:szCs w:val="28"/>
          <w:lang w:val="en-GB"/>
        </w:rPr>
      </w:pPr>
    </w:p>
    <w:p w:rsidR="00BA79F7" w:rsidRPr="00FB59DD" w:rsidRDefault="00BA79F7">
      <w:pPr>
        <w:jc w:val="center"/>
        <w:rPr>
          <w:rFonts w:ascii="Arial Narrow" w:hAnsi="Arial Narrow" w:cs="Arial Narrow"/>
          <w:sz w:val="28"/>
          <w:szCs w:val="28"/>
          <w:lang w:val="en-GB"/>
        </w:rPr>
      </w:pPr>
    </w:p>
    <w:p w:rsidR="00BA79F7" w:rsidRPr="00FB59DD" w:rsidRDefault="00BA79F7">
      <w:pPr>
        <w:jc w:val="center"/>
        <w:rPr>
          <w:rFonts w:ascii="Arial Narrow" w:hAnsi="Arial Narrow" w:cs="Arial Narrow"/>
          <w:sz w:val="28"/>
          <w:szCs w:val="28"/>
          <w:lang w:val="en-GB"/>
        </w:rPr>
      </w:pPr>
    </w:p>
    <w:p w:rsidR="00BA79F7" w:rsidRPr="00FB59DD" w:rsidRDefault="00BA79F7">
      <w:pPr>
        <w:jc w:val="center"/>
        <w:rPr>
          <w:rFonts w:ascii="Arial Narrow" w:hAnsi="Arial Narrow" w:cs="Arial Narrow"/>
          <w:sz w:val="28"/>
          <w:szCs w:val="28"/>
          <w:lang w:val="en-GB"/>
        </w:rPr>
      </w:pPr>
    </w:p>
    <w:p w:rsidR="00BA79F7" w:rsidRPr="00FB59DD" w:rsidRDefault="00BA79F7">
      <w:pPr>
        <w:jc w:val="center"/>
        <w:rPr>
          <w:rFonts w:ascii="Arial Narrow" w:hAnsi="Arial Narrow" w:cs="Arial Narrow"/>
          <w:sz w:val="28"/>
          <w:szCs w:val="28"/>
          <w:lang w:val="en-GB"/>
        </w:rPr>
      </w:pPr>
    </w:p>
    <w:p w:rsidR="00BA79F7" w:rsidRPr="00FB59DD" w:rsidRDefault="00BA79F7">
      <w:pPr>
        <w:pStyle w:val="Heading3"/>
        <w:ind w:right="-284"/>
        <w:jc w:val="right"/>
        <w:rPr>
          <w:rFonts w:ascii="Arial Narrow" w:hAnsi="Arial Narrow" w:cs="Arial Narrow"/>
          <w:sz w:val="28"/>
          <w:szCs w:val="28"/>
          <w:lang w:val="en-GB"/>
        </w:rPr>
      </w:pPr>
      <w:r w:rsidRPr="00FB59DD">
        <w:rPr>
          <w:rFonts w:ascii="Arial Narrow" w:hAnsi="Arial Narrow" w:cs="Arial Narrow"/>
          <w:sz w:val="28"/>
          <w:szCs w:val="28"/>
          <w:lang w:val="en-GB"/>
        </w:rPr>
        <w:t xml:space="preserve">Circulated by the authority of </w:t>
      </w:r>
    </w:p>
    <w:p w:rsidR="00BA79F7" w:rsidRPr="00FB59DD" w:rsidRDefault="00F8707E">
      <w:pPr>
        <w:pStyle w:val="Heading4"/>
        <w:ind w:right="-284"/>
        <w:rPr>
          <w:rFonts w:ascii="Arial Narrow" w:hAnsi="Arial Narrow" w:cs="Arial Narrow"/>
          <w:sz w:val="28"/>
          <w:szCs w:val="28"/>
          <w:lang w:val="en-GB"/>
        </w:rPr>
      </w:pPr>
      <w:r w:rsidRPr="00FB59DD">
        <w:rPr>
          <w:rFonts w:ascii="Arial Narrow" w:hAnsi="Arial Narrow" w:cs="Arial Narrow"/>
          <w:sz w:val="28"/>
          <w:szCs w:val="28"/>
          <w:lang w:val="en-GB"/>
        </w:rPr>
        <w:t>Rachel Stephen</w:t>
      </w:r>
      <w:r w:rsidRPr="00FB59DD">
        <w:rPr>
          <w:rFonts w:ascii="Arial Narrow" w:hAnsi="Arial Narrow" w:cs="Arial Narrow"/>
          <w:sz w:val="28"/>
          <w:szCs w:val="28"/>
          <w:lang w:val="en-GB"/>
        </w:rPr>
        <w:noBreakHyphen/>
        <w:t>Smi</w:t>
      </w:r>
      <w:r w:rsidR="00BA79F7" w:rsidRPr="00FB59DD">
        <w:rPr>
          <w:rFonts w:ascii="Arial Narrow" w:hAnsi="Arial Narrow" w:cs="Arial Narrow"/>
          <w:sz w:val="28"/>
          <w:szCs w:val="28"/>
          <w:lang w:val="en-GB"/>
        </w:rPr>
        <w:t>th</w:t>
      </w:r>
      <w:r w:rsidRPr="00FB59DD">
        <w:rPr>
          <w:rFonts w:ascii="Arial Narrow" w:hAnsi="Arial Narrow" w:cs="Arial Narrow"/>
          <w:sz w:val="28"/>
          <w:szCs w:val="28"/>
          <w:lang w:val="en-GB"/>
        </w:rPr>
        <w:t> </w:t>
      </w:r>
      <w:r w:rsidR="00BA79F7" w:rsidRPr="00FB59DD">
        <w:rPr>
          <w:rFonts w:ascii="Arial Narrow" w:hAnsi="Arial Narrow" w:cs="Arial Narrow"/>
          <w:sz w:val="28"/>
          <w:szCs w:val="28"/>
          <w:lang w:val="en-GB"/>
        </w:rPr>
        <w:t>MLA</w:t>
      </w:r>
    </w:p>
    <w:p w:rsidR="00BA79F7" w:rsidRPr="00FB59DD" w:rsidRDefault="00BA79F7">
      <w:pPr>
        <w:ind w:right="-284"/>
        <w:jc w:val="right"/>
        <w:rPr>
          <w:rFonts w:ascii="Arial Narrow" w:hAnsi="Arial Narrow" w:cs="Arial Narrow"/>
          <w:lang w:val="en-GB"/>
        </w:rPr>
      </w:pPr>
      <w:r w:rsidRPr="00FB59DD">
        <w:rPr>
          <w:rFonts w:ascii="Arial Narrow" w:hAnsi="Arial Narrow" w:cs="Arial Narrow"/>
          <w:sz w:val="28"/>
          <w:szCs w:val="28"/>
          <w:lang w:val="en-GB"/>
        </w:rPr>
        <w:t>Minister for Health</w:t>
      </w:r>
    </w:p>
    <w:p w:rsidR="00BA79F7" w:rsidRPr="00FB59DD" w:rsidRDefault="00BA79F7">
      <w:pPr>
        <w:autoSpaceDE w:val="0"/>
        <w:autoSpaceDN w:val="0"/>
        <w:adjustRightInd w:val="0"/>
        <w:jc w:val="center"/>
        <w:rPr>
          <w:rFonts w:ascii="Arial Narrow" w:hAnsi="Arial Narrow" w:cs="Arial Narrow"/>
          <w:sz w:val="28"/>
          <w:szCs w:val="28"/>
          <w:lang w:val="en-GB"/>
        </w:rPr>
      </w:pPr>
      <w:r w:rsidRPr="00FB59DD">
        <w:rPr>
          <w:rFonts w:ascii="Arial Narrow" w:hAnsi="Arial Narrow" w:cs="Arial Narrow"/>
          <w:b w:val="0"/>
          <w:bCs w:val="0"/>
          <w:lang w:val="en-GB"/>
        </w:rPr>
        <w:br w:type="page"/>
      </w:r>
      <w:r w:rsidRPr="00FB59DD">
        <w:rPr>
          <w:rFonts w:ascii="Arial Narrow" w:hAnsi="Arial Narrow" w:cs="Arial Narrow"/>
          <w:sz w:val="28"/>
          <w:szCs w:val="28"/>
          <w:lang w:val="en-GB"/>
        </w:rPr>
        <w:lastRenderedPageBreak/>
        <w:t xml:space="preserve">Medicines, Poisons and Therapeutic Goods </w:t>
      </w:r>
      <w:r w:rsidR="00972570" w:rsidRPr="00FB59DD">
        <w:rPr>
          <w:rFonts w:ascii="Arial Narrow" w:hAnsi="Arial Narrow" w:cs="Arial Narrow"/>
          <w:sz w:val="28"/>
          <w:szCs w:val="28"/>
          <w:lang w:val="en-GB"/>
        </w:rPr>
        <w:t xml:space="preserve">Amendment </w:t>
      </w:r>
      <w:r w:rsidRPr="00FB59DD">
        <w:rPr>
          <w:rFonts w:ascii="Arial Narrow" w:hAnsi="Arial Narrow" w:cs="Arial Narrow"/>
          <w:sz w:val="28"/>
          <w:szCs w:val="28"/>
          <w:lang w:val="en-GB"/>
        </w:rPr>
        <w:t>Regulation 20</w:t>
      </w:r>
      <w:r w:rsidR="00F8707E" w:rsidRPr="00FB59DD">
        <w:rPr>
          <w:rFonts w:ascii="Arial Narrow" w:hAnsi="Arial Narrow" w:cs="Arial Narrow"/>
          <w:sz w:val="28"/>
          <w:szCs w:val="28"/>
          <w:lang w:val="en-GB"/>
        </w:rPr>
        <w:t>2</w:t>
      </w:r>
      <w:r w:rsidRPr="00FB59DD">
        <w:rPr>
          <w:rFonts w:ascii="Arial Narrow" w:hAnsi="Arial Narrow" w:cs="Arial Narrow"/>
          <w:sz w:val="28"/>
          <w:szCs w:val="28"/>
          <w:lang w:val="en-GB"/>
        </w:rPr>
        <w:t>0</w:t>
      </w:r>
      <w:r w:rsidR="00BA44DB" w:rsidRPr="00FB59DD">
        <w:rPr>
          <w:rFonts w:ascii="Arial Narrow" w:hAnsi="Arial Narrow" w:cs="Arial Narrow"/>
          <w:sz w:val="28"/>
          <w:szCs w:val="28"/>
          <w:lang w:val="en-GB"/>
        </w:rPr>
        <w:t> (No </w:t>
      </w:r>
      <w:r w:rsidR="00301C6F">
        <w:rPr>
          <w:rFonts w:ascii="Arial Narrow" w:hAnsi="Arial Narrow" w:cs="Arial Narrow"/>
          <w:sz w:val="28"/>
          <w:szCs w:val="28"/>
          <w:lang w:val="en-GB"/>
        </w:rPr>
        <w:t>1</w:t>
      </w:r>
      <w:r w:rsidR="00BA44DB" w:rsidRPr="00FB59DD">
        <w:rPr>
          <w:rFonts w:ascii="Arial Narrow" w:hAnsi="Arial Narrow" w:cs="Arial Narrow"/>
          <w:sz w:val="28"/>
          <w:szCs w:val="28"/>
          <w:lang w:val="en-GB"/>
        </w:rPr>
        <w:t>)</w:t>
      </w:r>
    </w:p>
    <w:p w:rsidR="00BA79F7" w:rsidRPr="00FB59DD" w:rsidRDefault="00BA79F7">
      <w:pPr>
        <w:autoSpaceDE w:val="0"/>
        <w:autoSpaceDN w:val="0"/>
        <w:adjustRightInd w:val="0"/>
        <w:jc w:val="center"/>
        <w:rPr>
          <w:rFonts w:ascii="Arial Narrow" w:hAnsi="Arial Narrow" w:cs="Arial Narrow"/>
          <w:sz w:val="28"/>
          <w:szCs w:val="28"/>
          <w:lang w:val="en-GB"/>
        </w:rPr>
      </w:pPr>
    </w:p>
    <w:p w:rsidR="00BA79F7" w:rsidRPr="00FB59DD" w:rsidRDefault="00BA79F7">
      <w:pPr>
        <w:rPr>
          <w:rFonts w:ascii="Arial Narrow" w:hAnsi="Arial Narrow" w:cs="Arial Narrow"/>
          <w:b w:val="0"/>
          <w:bCs w:val="0"/>
          <w:lang w:val="en-GB"/>
        </w:rPr>
      </w:pPr>
    </w:p>
    <w:p w:rsidR="00BA79F7" w:rsidRPr="00FB59DD" w:rsidRDefault="00BA79F7" w:rsidP="00D864AA">
      <w:pPr>
        <w:pStyle w:val="Heading2"/>
        <w:rPr>
          <w:rFonts w:ascii="Arial Narrow" w:hAnsi="Arial Narrow" w:cs="Arial Narrow"/>
          <w:sz w:val="28"/>
          <w:szCs w:val="28"/>
          <w:u w:val="none"/>
          <w:lang w:val="en-GB"/>
        </w:rPr>
      </w:pPr>
      <w:r w:rsidRPr="00FB59DD">
        <w:rPr>
          <w:rFonts w:ascii="Arial Narrow" w:hAnsi="Arial Narrow" w:cs="Arial Narrow"/>
          <w:sz w:val="28"/>
          <w:szCs w:val="28"/>
          <w:u w:val="none"/>
          <w:lang w:val="en-GB"/>
        </w:rPr>
        <w:t>Overview</w:t>
      </w:r>
    </w:p>
    <w:p w:rsidR="00BA79F7" w:rsidRPr="00FB59DD" w:rsidRDefault="00BA79F7" w:rsidP="00D864AA">
      <w:pPr>
        <w:rPr>
          <w:rFonts w:ascii="Arial Narrow" w:hAnsi="Arial Narrow" w:cs="Arial Narrow"/>
          <w:b w:val="0"/>
          <w:bCs w:val="0"/>
          <w:lang w:val="en-GB"/>
        </w:rPr>
      </w:pPr>
    </w:p>
    <w:p w:rsidR="00D95CBE" w:rsidRPr="00FB59DD" w:rsidRDefault="00D95CBE" w:rsidP="00D95CBE">
      <w:pPr>
        <w:autoSpaceDE w:val="0"/>
        <w:autoSpaceDN w:val="0"/>
        <w:adjustRightInd w:val="0"/>
        <w:rPr>
          <w:rFonts w:ascii="Arial Narrow" w:hAnsi="Arial Narrow" w:cs="Arial Narrow"/>
          <w:b w:val="0"/>
          <w:lang w:val="en-GB"/>
        </w:rPr>
      </w:pPr>
      <w:r w:rsidRPr="00FB59DD">
        <w:rPr>
          <w:rFonts w:ascii="Arial Narrow" w:hAnsi="Arial Narrow" w:cs="Arial Narrow"/>
          <w:b w:val="0"/>
          <w:lang w:val="en-GB"/>
        </w:rPr>
        <w:t xml:space="preserve">The Therapeutic Goods Administration (TGA) administers the Standard for the Uniform Scheduling of Medicines and Poisons (the SUSMP), which classes medicines and poisons into schedules.  The ACT adopts the SUSMP under the Medicines, Poisons and Therapeutic Goods Act 2008 (the MPTG Act) to regulate the supply of scheduled medicines in the ACT. The SUSMP also contains appendices which subject some substances listed in the schedules to additional exceptions or restrictions. </w:t>
      </w:r>
    </w:p>
    <w:p w:rsidR="00D95CBE" w:rsidRPr="00FB59DD" w:rsidRDefault="00D95CBE" w:rsidP="00D95CBE">
      <w:pPr>
        <w:autoSpaceDE w:val="0"/>
        <w:autoSpaceDN w:val="0"/>
        <w:adjustRightInd w:val="0"/>
        <w:rPr>
          <w:rFonts w:ascii="Arial Narrow" w:hAnsi="Arial Narrow" w:cs="Arial Narrow"/>
          <w:b w:val="0"/>
          <w:lang w:val="en-GB"/>
        </w:rPr>
      </w:pPr>
    </w:p>
    <w:p w:rsidR="00D95CBE" w:rsidRPr="00FB59DD" w:rsidRDefault="00D95CBE" w:rsidP="00D95CBE">
      <w:pPr>
        <w:autoSpaceDE w:val="0"/>
        <w:autoSpaceDN w:val="0"/>
        <w:adjustRightInd w:val="0"/>
        <w:rPr>
          <w:rFonts w:ascii="Arial Narrow" w:hAnsi="Arial Narrow" w:cs="Arial Narrow"/>
          <w:b w:val="0"/>
          <w:lang w:val="en-GB"/>
        </w:rPr>
      </w:pPr>
      <w:r w:rsidRPr="00FB59DD">
        <w:rPr>
          <w:rFonts w:ascii="Arial Narrow" w:hAnsi="Arial Narrow" w:cs="Arial Narrow"/>
          <w:b w:val="0"/>
          <w:lang w:val="en-GB"/>
        </w:rPr>
        <w:t xml:space="preserve">The objective of the MPTG Act is to promote and protect public health and safety by minimising medicinal misadventure with, and diversion of, regulated substances, and the manufacture of regulated substances that are subject to abuse.  The MPTG Act also has the purpose of ensuring that consumers of prescription and non-prescription medicines have adequate information to allow them to use medicines safely and effectively.  The MPTG Act outlines a range of offences relating to dealings with regulated substances according to their listing in the SUSMP. </w:t>
      </w:r>
    </w:p>
    <w:p w:rsidR="00D95CBE" w:rsidRPr="00FB59DD" w:rsidRDefault="00D95CBE" w:rsidP="00D95CBE">
      <w:pPr>
        <w:autoSpaceDE w:val="0"/>
        <w:autoSpaceDN w:val="0"/>
        <w:adjustRightInd w:val="0"/>
        <w:rPr>
          <w:rFonts w:ascii="Arial Narrow" w:hAnsi="Arial Narrow" w:cs="Arial Narrow"/>
          <w:b w:val="0"/>
          <w:lang w:val="en-GB"/>
        </w:rPr>
      </w:pPr>
    </w:p>
    <w:p w:rsidR="00D95CBE" w:rsidRPr="00FB59DD" w:rsidRDefault="00D95CBE" w:rsidP="00D95CBE">
      <w:pPr>
        <w:autoSpaceDE w:val="0"/>
        <w:autoSpaceDN w:val="0"/>
        <w:adjustRightInd w:val="0"/>
        <w:rPr>
          <w:rFonts w:ascii="Arial Narrow" w:hAnsi="Arial Narrow" w:cs="Arial Narrow"/>
          <w:b w:val="0"/>
          <w:lang w:val="en-GB"/>
        </w:rPr>
      </w:pPr>
      <w:r w:rsidRPr="00FB59DD">
        <w:rPr>
          <w:rFonts w:ascii="Arial Narrow" w:hAnsi="Arial Narrow" w:cs="Arial Narrow"/>
          <w:b w:val="0"/>
          <w:lang w:val="en-GB"/>
        </w:rPr>
        <w:t xml:space="preserve">The Medicines, Poisons and Therapeutic Goods Regulation (the MPTG Regulation) provides the detail for the regulatory framework established by the MPTG Act.  The MPTG Regulation sets out which health professionals </w:t>
      </w:r>
      <w:r w:rsidR="00427C56" w:rsidRPr="00FB59DD">
        <w:rPr>
          <w:rFonts w:ascii="Arial Narrow" w:hAnsi="Arial Narrow" w:cs="Arial Narrow"/>
          <w:b w:val="0"/>
          <w:lang w:val="en-GB"/>
        </w:rPr>
        <w:t>can</w:t>
      </w:r>
      <w:r w:rsidRPr="00FB59DD">
        <w:rPr>
          <w:rFonts w:ascii="Arial Narrow" w:hAnsi="Arial Narrow" w:cs="Arial Narrow"/>
          <w:b w:val="0"/>
          <w:lang w:val="en-GB"/>
        </w:rPr>
        <w:t xml:space="preserve"> prescribe, administer and dispense medicines, and conditions relating to such dealings.  Some provisions of the MPTG Regulation prescribe additional information required for licences or authorisations, whereas other provisions impose statutory licence conditions.  There are also provisions of the Regulation that specify requirements for activities such as labelling or packaging.</w:t>
      </w:r>
    </w:p>
    <w:p w:rsidR="003D6EE3" w:rsidRPr="00FB59DD" w:rsidRDefault="003D6EE3" w:rsidP="00D95CBE">
      <w:pPr>
        <w:autoSpaceDE w:val="0"/>
        <w:autoSpaceDN w:val="0"/>
        <w:adjustRightInd w:val="0"/>
        <w:rPr>
          <w:rFonts w:ascii="Arial Narrow" w:hAnsi="Arial Narrow" w:cs="Arial Narrow"/>
          <w:b w:val="0"/>
          <w:lang w:val="en-GB"/>
        </w:rPr>
      </w:pPr>
    </w:p>
    <w:p w:rsidR="003D6EE3" w:rsidRPr="00FB59DD" w:rsidRDefault="003D6EE3" w:rsidP="003D6EE3">
      <w:pPr>
        <w:autoSpaceDE w:val="0"/>
        <w:autoSpaceDN w:val="0"/>
        <w:adjustRightInd w:val="0"/>
        <w:rPr>
          <w:rFonts w:ascii="Arial Narrow" w:hAnsi="Arial Narrow" w:cs="Arial Narrow"/>
          <w:b w:val="0"/>
          <w:lang w:val="en-GB"/>
        </w:rPr>
      </w:pPr>
      <w:r w:rsidRPr="00FB59DD">
        <w:rPr>
          <w:rFonts w:ascii="Arial Narrow" w:hAnsi="Arial Narrow" w:cs="Arial Narrow"/>
          <w:b w:val="0"/>
          <w:lang w:val="en-GB"/>
        </w:rPr>
        <w:t>In 2016 the MPTG Regulation was amended by SL2016</w:t>
      </w:r>
      <w:r w:rsidRPr="00FB59DD">
        <w:rPr>
          <w:rFonts w:ascii="Arial Narrow" w:hAnsi="Arial Narrow" w:cs="Arial Narrow"/>
          <w:b w:val="0"/>
          <w:lang w:val="en-GB"/>
        </w:rPr>
        <w:noBreakHyphen/>
        <w:t xml:space="preserve">5 to insert section 352 which authorises pharmacists and intern pharmacists to administer vaccines without a prescription in accordance with a direction of the Chief Health Officer. Under that section, the authorisation of pharmacists and intern pharmacists to administer vaccines is subject to directions </w:t>
      </w:r>
      <w:r w:rsidR="00E0709D" w:rsidRPr="00FB59DD">
        <w:rPr>
          <w:rFonts w:ascii="Arial Narrow" w:hAnsi="Arial Narrow" w:cs="Arial Narrow"/>
          <w:b w:val="0"/>
          <w:lang w:val="en-GB"/>
        </w:rPr>
        <w:t>made by the</w:t>
      </w:r>
      <w:r w:rsidRPr="00FB59DD">
        <w:rPr>
          <w:rFonts w:ascii="Arial Narrow" w:hAnsi="Arial Narrow" w:cs="Arial Narrow"/>
          <w:b w:val="0"/>
          <w:lang w:val="en-GB"/>
        </w:rPr>
        <w:t xml:space="preserve"> Chief Health Officer </w:t>
      </w:r>
      <w:r w:rsidR="00E0709D" w:rsidRPr="00FB59DD">
        <w:rPr>
          <w:rFonts w:ascii="Arial Narrow" w:hAnsi="Arial Narrow" w:cs="Arial Narrow"/>
          <w:b w:val="0"/>
          <w:lang w:val="en-GB"/>
        </w:rPr>
        <w:t xml:space="preserve">by way of a </w:t>
      </w:r>
      <w:r w:rsidRPr="00FB59DD">
        <w:rPr>
          <w:rFonts w:ascii="Arial Narrow" w:hAnsi="Arial Narrow" w:cs="Arial Narrow"/>
          <w:b w:val="0"/>
          <w:lang w:val="en-GB"/>
        </w:rPr>
        <w:t>disallowable instrument</w:t>
      </w:r>
      <w:r w:rsidR="00E0709D" w:rsidRPr="00FB59DD">
        <w:rPr>
          <w:rFonts w:ascii="Arial Narrow" w:hAnsi="Arial Narrow" w:cs="Arial Narrow"/>
          <w:b w:val="0"/>
          <w:lang w:val="en-GB"/>
        </w:rPr>
        <w:t>. The directions made by the Chief Health Officer address such matters as</w:t>
      </w:r>
      <w:r w:rsidRPr="00FB59DD">
        <w:rPr>
          <w:rFonts w:ascii="Arial Narrow" w:hAnsi="Arial Narrow" w:cs="Arial Narrow"/>
          <w:b w:val="0"/>
          <w:lang w:val="en-GB"/>
        </w:rPr>
        <w:t xml:space="preserve"> minimum training standards, </w:t>
      </w:r>
      <w:r w:rsidR="00E0709D" w:rsidRPr="00FB59DD">
        <w:rPr>
          <w:rFonts w:ascii="Arial Narrow" w:hAnsi="Arial Narrow" w:cs="Arial Narrow"/>
          <w:b w:val="0"/>
          <w:lang w:val="en-GB"/>
        </w:rPr>
        <w:t xml:space="preserve">and requirements concerning the pharmacy’s </w:t>
      </w:r>
      <w:r w:rsidRPr="00FB59DD">
        <w:rPr>
          <w:rFonts w:ascii="Arial Narrow" w:hAnsi="Arial Narrow" w:cs="Arial Narrow"/>
          <w:b w:val="0"/>
          <w:lang w:val="en-GB"/>
        </w:rPr>
        <w:t xml:space="preserve">premises and record keeping. </w:t>
      </w:r>
    </w:p>
    <w:p w:rsidR="003D6EE3" w:rsidRPr="00FB59DD" w:rsidRDefault="003D6EE3" w:rsidP="00D95CBE">
      <w:pPr>
        <w:autoSpaceDE w:val="0"/>
        <w:autoSpaceDN w:val="0"/>
        <w:adjustRightInd w:val="0"/>
        <w:rPr>
          <w:rFonts w:ascii="Arial Narrow" w:hAnsi="Arial Narrow" w:cs="Arial Narrow"/>
          <w:b w:val="0"/>
          <w:lang w:val="en-GB"/>
        </w:rPr>
      </w:pPr>
    </w:p>
    <w:p w:rsidR="008113F5" w:rsidRPr="00FB59DD" w:rsidRDefault="008113F5" w:rsidP="00255624">
      <w:pPr>
        <w:autoSpaceDE w:val="0"/>
        <w:autoSpaceDN w:val="0"/>
        <w:adjustRightInd w:val="0"/>
        <w:rPr>
          <w:rFonts w:ascii="Arial Narrow" w:hAnsi="Arial Narrow" w:cs="Arial Narrow"/>
          <w:b w:val="0"/>
          <w:lang w:val="en-GB"/>
        </w:rPr>
      </w:pPr>
      <w:r w:rsidRPr="00FB59DD">
        <w:rPr>
          <w:rFonts w:ascii="Arial Narrow" w:hAnsi="Arial Narrow" w:cs="Arial Narrow"/>
          <w:b w:val="0"/>
          <w:lang w:val="en-GB"/>
        </w:rPr>
        <w:t xml:space="preserve">The </w:t>
      </w:r>
      <w:r w:rsidR="00B0093D" w:rsidRPr="00FB59DD">
        <w:rPr>
          <w:rFonts w:ascii="Arial Narrow" w:hAnsi="Arial Narrow" w:cs="Arial Narrow"/>
          <w:b w:val="0"/>
          <w:lang w:val="en-GB"/>
        </w:rPr>
        <w:t xml:space="preserve">majority of other Australian states now enable pharmacists to administer vaccines to children; including </w:t>
      </w:r>
      <w:r w:rsidRPr="00FB59DD">
        <w:rPr>
          <w:rFonts w:ascii="Arial Narrow" w:hAnsi="Arial Narrow" w:cs="Arial Narrow"/>
          <w:b w:val="0"/>
          <w:lang w:val="en-GB"/>
        </w:rPr>
        <w:t>Queensland</w:t>
      </w:r>
      <w:r w:rsidR="00B0093D" w:rsidRPr="00FB59DD">
        <w:rPr>
          <w:rFonts w:ascii="Arial Narrow" w:hAnsi="Arial Narrow" w:cs="Arial Narrow"/>
          <w:b w:val="0"/>
          <w:lang w:val="en-GB"/>
        </w:rPr>
        <w:t xml:space="preserve">, </w:t>
      </w:r>
      <w:r w:rsidRPr="00FB59DD">
        <w:rPr>
          <w:rFonts w:ascii="Arial Narrow" w:hAnsi="Arial Narrow" w:cs="Arial Narrow"/>
          <w:b w:val="0"/>
          <w:lang w:val="en-GB"/>
        </w:rPr>
        <w:t>Tasmania</w:t>
      </w:r>
      <w:r w:rsidR="00B0093D" w:rsidRPr="00FB59DD">
        <w:rPr>
          <w:rFonts w:ascii="Arial Narrow" w:hAnsi="Arial Narrow" w:cs="Arial Narrow"/>
          <w:b w:val="0"/>
          <w:lang w:val="en-GB"/>
        </w:rPr>
        <w:t xml:space="preserve">, </w:t>
      </w:r>
      <w:r w:rsidRPr="00FB59DD">
        <w:rPr>
          <w:rFonts w:ascii="Arial Narrow" w:hAnsi="Arial Narrow" w:cs="Arial Narrow"/>
          <w:b w:val="0"/>
          <w:lang w:val="en-GB"/>
        </w:rPr>
        <w:t>Western Australia</w:t>
      </w:r>
      <w:r w:rsidR="00B0093D" w:rsidRPr="00FB59DD">
        <w:rPr>
          <w:rFonts w:ascii="Arial Narrow" w:hAnsi="Arial Narrow" w:cs="Arial Narrow"/>
          <w:b w:val="0"/>
          <w:lang w:val="en-GB"/>
        </w:rPr>
        <w:t>,</w:t>
      </w:r>
      <w:r w:rsidRPr="00FB59DD">
        <w:rPr>
          <w:rFonts w:ascii="Arial Narrow" w:hAnsi="Arial Narrow" w:cs="Arial Narrow"/>
          <w:b w:val="0"/>
          <w:lang w:val="en-GB"/>
        </w:rPr>
        <w:t xml:space="preserve"> </w:t>
      </w:r>
      <w:r w:rsidR="003D6EE3" w:rsidRPr="00FB59DD">
        <w:rPr>
          <w:rFonts w:ascii="Arial Narrow" w:hAnsi="Arial Narrow" w:cs="Arial Narrow"/>
          <w:b w:val="0"/>
          <w:lang w:val="en-GB"/>
        </w:rPr>
        <w:t>New South Wales and South Australia</w:t>
      </w:r>
      <w:r w:rsidR="00F05CA1" w:rsidRPr="00FB59DD">
        <w:rPr>
          <w:rFonts w:ascii="Arial Narrow" w:hAnsi="Arial Narrow" w:cs="Arial Narrow"/>
          <w:b w:val="0"/>
          <w:lang w:val="en-GB"/>
        </w:rPr>
        <w:t xml:space="preserve">. On 12 March 2020 it was announced that Victoria was also making similar changes which are to commence on 1 April 2020. </w:t>
      </w:r>
    </w:p>
    <w:p w:rsidR="008113F5" w:rsidRPr="00FB59DD" w:rsidRDefault="008113F5" w:rsidP="003D6EE3">
      <w:pPr>
        <w:autoSpaceDE w:val="0"/>
        <w:autoSpaceDN w:val="0"/>
        <w:adjustRightInd w:val="0"/>
        <w:rPr>
          <w:rFonts w:ascii="Arial Narrow" w:hAnsi="Arial Narrow" w:cs="Arial Narrow"/>
          <w:b w:val="0"/>
          <w:lang w:val="en-GB"/>
        </w:rPr>
      </w:pPr>
    </w:p>
    <w:p w:rsidR="003D6EE3" w:rsidRPr="00FB59DD" w:rsidRDefault="00C26B72" w:rsidP="003D6EE3">
      <w:pPr>
        <w:autoSpaceDE w:val="0"/>
        <w:autoSpaceDN w:val="0"/>
        <w:adjustRightInd w:val="0"/>
        <w:rPr>
          <w:rFonts w:ascii="Arial Narrow" w:hAnsi="Arial Narrow" w:cs="Arial Narrow"/>
          <w:b w:val="0"/>
          <w:lang w:val="en-GB"/>
        </w:rPr>
      </w:pPr>
      <w:r w:rsidRPr="00FB59DD">
        <w:rPr>
          <w:rFonts w:ascii="Arial Narrow" w:hAnsi="Arial Narrow" w:cs="Arial Narrow"/>
          <w:b w:val="0"/>
          <w:lang w:val="en-GB"/>
        </w:rPr>
        <w:t>Since 2019 t</w:t>
      </w:r>
      <w:r w:rsidR="003D6EE3" w:rsidRPr="00FB59DD">
        <w:rPr>
          <w:rFonts w:ascii="Arial Narrow" w:hAnsi="Arial Narrow" w:cs="Arial Narrow"/>
          <w:b w:val="0"/>
          <w:lang w:val="en-GB"/>
        </w:rPr>
        <w:t>he P</w:t>
      </w:r>
      <w:r w:rsidRPr="00FB59DD">
        <w:rPr>
          <w:rFonts w:ascii="Arial Narrow" w:hAnsi="Arial Narrow" w:cs="Arial Narrow"/>
          <w:b w:val="0"/>
          <w:lang w:val="en-GB"/>
        </w:rPr>
        <w:t xml:space="preserve">harmaceutical </w:t>
      </w:r>
      <w:r w:rsidR="003D6EE3" w:rsidRPr="00FB59DD">
        <w:rPr>
          <w:rFonts w:ascii="Arial Narrow" w:hAnsi="Arial Narrow" w:cs="Arial Narrow"/>
          <w:b w:val="0"/>
          <w:lang w:val="en-GB"/>
        </w:rPr>
        <w:t>S</w:t>
      </w:r>
      <w:r w:rsidRPr="00FB59DD">
        <w:rPr>
          <w:rFonts w:ascii="Arial Narrow" w:hAnsi="Arial Narrow" w:cs="Arial Narrow"/>
          <w:b w:val="0"/>
          <w:lang w:val="en-GB"/>
        </w:rPr>
        <w:t xml:space="preserve">ociety of </w:t>
      </w:r>
      <w:r w:rsidR="003D6EE3" w:rsidRPr="00FB59DD">
        <w:rPr>
          <w:rFonts w:ascii="Arial Narrow" w:hAnsi="Arial Narrow" w:cs="Arial Narrow"/>
          <w:b w:val="0"/>
          <w:lang w:val="en-GB"/>
        </w:rPr>
        <w:t>A</w:t>
      </w:r>
      <w:r w:rsidRPr="00FB59DD">
        <w:rPr>
          <w:rFonts w:ascii="Arial Narrow" w:hAnsi="Arial Narrow" w:cs="Arial Narrow"/>
          <w:b w:val="0"/>
          <w:lang w:val="en-GB"/>
        </w:rPr>
        <w:t>ustralia</w:t>
      </w:r>
      <w:r w:rsidR="003D6EE3" w:rsidRPr="00FB59DD">
        <w:rPr>
          <w:rFonts w:ascii="Arial Narrow" w:hAnsi="Arial Narrow" w:cs="Arial Narrow"/>
          <w:b w:val="0"/>
          <w:lang w:val="en-GB"/>
        </w:rPr>
        <w:t xml:space="preserve"> and </w:t>
      </w:r>
      <w:r w:rsidRPr="00FB59DD">
        <w:rPr>
          <w:rFonts w:ascii="Arial Narrow" w:hAnsi="Arial Narrow" w:cs="Arial Narrow"/>
          <w:b w:val="0"/>
          <w:lang w:val="en-GB"/>
        </w:rPr>
        <w:t xml:space="preserve">the </w:t>
      </w:r>
      <w:r w:rsidR="003D6EE3" w:rsidRPr="00FB59DD">
        <w:rPr>
          <w:rFonts w:ascii="Arial Narrow" w:hAnsi="Arial Narrow" w:cs="Arial Narrow"/>
          <w:b w:val="0"/>
          <w:lang w:val="en-GB"/>
        </w:rPr>
        <w:t>P</w:t>
      </w:r>
      <w:r w:rsidRPr="00FB59DD">
        <w:rPr>
          <w:rFonts w:ascii="Arial Narrow" w:hAnsi="Arial Narrow" w:cs="Arial Narrow"/>
          <w:b w:val="0"/>
          <w:lang w:val="en-GB"/>
        </w:rPr>
        <w:t xml:space="preserve">harmacy </w:t>
      </w:r>
      <w:r w:rsidR="003D6EE3" w:rsidRPr="00FB59DD">
        <w:rPr>
          <w:rFonts w:ascii="Arial Narrow" w:hAnsi="Arial Narrow" w:cs="Arial Narrow"/>
          <w:b w:val="0"/>
          <w:lang w:val="en-GB"/>
        </w:rPr>
        <w:t>G</w:t>
      </w:r>
      <w:r w:rsidRPr="00FB59DD">
        <w:rPr>
          <w:rFonts w:ascii="Arial Narrow" w:hAnsi="Arial Narrow" w:cs="Arial Narrow"/>
          <w:b w:val="0"/>
          <w:lang w:val="en-GB"/>
        </w:rPr>
        <w:t xml:space="preserve">uild of </w:t>
      </w:r>
      <w:r w:rsidR="003D6EE3" w:rsidRPr="00FB59DD">
        <w:rPr>
          <w:rFonts w:ascii="Arial Narrow" w:hAnsi="Arial Narrow" w:cs="Arial Narrow"/>
          <w:b w:val="0"/>
          <w:lang w:val="en-GB"/>
        </w:rPr>
        <w:t>A</w:t>
      </w:r>
      <w:r w:rsidRPr="00FB59DD">
        <w:rPr>
          <w:rFonts w:ascii="Arial Narrow" w:hAnsi="Arial Narrow" w:cs="Arial Narrow"/>
          <w:b w:val="0"/>
          <w:lang w:val="en-GB"/>
        </w:rPr>
        <w:t>ustralia</w:t>
      </w:r>
      <w:r w:rsidR="003D6EE3" w:rsidRPr="00FB59DD">
        <w:rPr>
          <w:rFonts w:ascii="Arial Narrow" w:hAnsi="Arial Narrow" w:cs="Arial Narrow"/>
          <w:b w:val="0"/>
          <w:lang w:val="en-GB"/>
        </w:rPr>
        <w:t xml:space="preserve"> </w:t>
      </w:r>
      <w:r w:rsidRPr="00FB59DD">
        <w:rPr>
          <w:rFonts w:ascii="Arial Narrow" w:hAnsi="Arial Narrow" w:cs="Arial Narrow"/>
          <w:b w:val="0"/>
          <w:lang w:val="en-GB"/>
        </w:rPr>
        <w:t xml:space="preserve">have </w:t>
      </w:r>
      <w:r w:rsidR="003D6EE3" w:rsidRPr="00FB59DD">
        <w:rPr>
          <w:rFonts w:ascii="Arial Narrow" w:hAnsi="Arial Narrow" w:cs="Arial Narrow"/>
          <w:b w:val="0"/>
          <w:lang w:val="en-GB"/>
        </w:rPr>
        <w:t>include</w:t>
      </w:r>
      <w:r w:rsidRPr="00FB59DD">
        <w:rPr>
          <w:rFonts w:ascii="Arial Narrow" w:hAnsi="Arial Narrow" w:cs="Arial Narrow"/>
          <w:b w:val="0"/>
          <w:lang w:val="en-GB"/>
        </w:rPr>
        <w:t>d</w:t>
      </w:r>
      <w:r w:rsidR="003D6EE3" w:rsidRPr="00FB59DD">
        <w:rPr>
          <w:rFonts w:ascii="Arial Narrow" w:hAnsi="Arial Narrow" w:cs="Arial Narrow"/>
          <w:b w:val="0"/>
          <w:lang w:val="en-GB"/>
        </w:rPr>
        <w:t xml:space="preserve"> standard childhood immunisation modules in their pharmacist vaccination training</w:t>
      </w:r>
      <w:r w:rsidRPr="00FB59DD">
        <w:rPr>
          <w:rFonts w:ascii="Arial Narrow" w:hAnsi="Arial Narrow" w:cs="Arial Narrow"/>
          <w:b w:val="0"/>
          <w:lang w:val="en-GB"/>
        </w:rPr>
        <w:t>,</w:t>
      </w:r>
      <w:r w:rsidR="006A5325" w:rsidRPr="00FB59DD">
        <w:rPr>
          <w:rFonts w:ascii="Arial Narrow" w:hAnsi="Arial Narrow" w:cs="Arial Narrow"/>
          <w:b w:val="0"/>
          <w:lang w:val="en-GB"/>
        </w:rPr>
        <w:t xml:space="preserve"> </w:t>
      </w:r>
      <w:r w:rsidRPr="00FB59DD">
        <w:rPr>
          <w:rFonts w:ascii="Arial Narrow" w:hAnsi="Arial Narrow" w:cs="Arial Narrow"/>
          <w:b w:val="0"/>
          <w:lang w:val="en-GB"/>
        </w:rPr>
        <w:t>and are making</w:t>
      </w:r>
      <w:r w:rsidR="003D6EE3" w:rsidRPr="00FB59DD">
        <w:rPr>
          <w:rFonts w:ascii="Arial Narrow" w:hAnsi="Arial Narrow" w:cs="Arial Narrow"/>
          <w:b w:val="0"/>
          <w:lang w:val="en-GB"/>
        </w:rPr>
        <w:t xml:space="preserve"> these modules available to pharmacists who completed their training prior to 2019. </w:t>
      </w:r>
    </w:p>
    <w:p w:rsidR="003D6EE3" w:rsidRPr="00FB59DD" w:rsidRDefault="001B3962" w:rsidP="003D6EE3">
      <w:pPr>
        <w:autoSpaceDE w:val="0"/>
        <w:autoSpaceDN w:val="0"/>
        <w:adjustRightInd w:val="0"/>
        <w:rPr>
          <w:rFonts w:ascii="Arial Narrow" w:hAnsi="Arial Narrow" w:cs="Arial Narrow"/>
          <w:b w:val="0"/>
          <w:lang w:val="en-GB"/>
        </w:rPr>
      </w:pPr>
      <w:r w:rsidRPr="00FB59DD">
        <w:rPr>
          <w:rFonts w:ascii="Arial Narrow" w:hAnsi="Arial Narrow" w:cs="Arial Narrow"/>
          <w:b w:val="0"/>
          <w:lang w:val="en-GB"/>
        </w:rPr>
        <w:br w:type="page"/>
      </w:r>
    </w:p>
    <w:p w:rsidR="003D6EE3" w:rsidRPr="00FB59DD" w:rsidRDefault="004A182B" w:rsidP="003D6EE3">
      <w:pPr>
        <w:autoSpaceDE w:val="0"/>
        <w:autoSpaceDN w:val="0"/>
        <w:adjustRightInd w:val="0"/>
        <w:rPr>
          <w:rFonts w:ascii="Arial Narrow" w:hAnsi="Arial Narrow" w:cs="Arial Narrow"/>
          <w:b w:val="0"/>
          <w:lang w:val="en-GB"/>
        </w:rPr>
      </w:pPr>
      <w:r w:rsidRPr="00FB59DD">
        <w:rPr>
          <w:rFonts w:ascii="Arial Narrow" w:hAnsi="Arial Narrow" w:cs="Arial Narrow"/>
          <w:b w:val="0"/>
          <w:lang w:val="en-GB"/>
        </w:rPr>
        <w:t>In the ACT the authorisation of pharmacists to administer a vaccine without a prescription is currently limited to adults. This amendment Regulation will remove the current restriction from section 352, enabling age restrictions for various types of vaccines to be directed by the Chief Health Officer by disallowable instrument. These changes will thereby bring the ACT into line with N</w:t>
      </w:r>
      <w:r w:rsidR="00F05CA1" w:rsidRPr="00FB59DD">
        <w:rPr>
          <w:rFonts w:ascii="Arial Narrow" w:hAnsi="Arial Narrow" w:cs="Arial Narrow"/>
          <w:b w:val="0"/>
          <w:lang w:val="en-GB"/>
        </w:rPr>
        <w:t xml:space="preserve">ew </w:t>
      </w:r>
      <w:r w:rsidRPr="00FB59DD">
        <w:rPr>
          <w:rFonts w:ascii="Arial Narrow" w:hAnsi="Arial Narrow" w:cs="Arial Narrow"/>
          <w:b w:val="0"/>
          <w:lang w:val="en-GB"/>
        </w:rPr>
        <w:t>S</w:t>
      </w:r>
      <w:r w:rsidR="00F05CA1" w:rsidRPr="00FB59DD">
        <w:rPr>
          <w:rFonts w:ascii="Arial Narrow" w:hAnsi="Arial Narrow" w:cs="Arial Narrow"/>
          <w:b w:val="0"/>
          <w:lang w:val="en-GB"/>
        </w:rPr>
        <w:t xml:space="preserve">outh </w:t>
      </w:r>
      <w:r w:rsidRPr="00FB59DD">
        <w:rPr>
          <w:rFonts w:ascii="Arial Narrow" w:hAnsi="Arial Narrow" w:cs="Arial Narrow"/>
          <w:b w:val="0"/>
          <w:lang w:val="en-GB"/>
        </w:rPr>
        <w:t>W</w:t>
      </w:r>
      <w:r w:rsidR="00F05CA1" w:rsidRPr="00FB59DD">
        <w:rPr>
          <w:rFonts w:ascii="Arial Narrow" w:hAnsi="Arial Narrow" w:cs="Arial Narrow"/>
          <w:b w:val="0"/>
          <w:lang w:val="en-GB"/>
        </w:rPr>
        <w:t>ales</w:t>
      </w:r>
      <w:r w:rsidRPr="00FB59DD">
        <w:rPr>
          <w:rFonts w:ascii="Arial Narrow" w:hAnsi="Arial Narrow" w:cs="Arial Narrow"/>
          <w:b w:val="0"/>
          <w:lang w:val="en-GB"/>
        </w:rPr>
        <w:t>, S</w:t>
      </w:r>
      <w:r w:rsidR="00F05CA1" w:rsidRPr="00FB59DD">
        <w:rPr>
          <w:rFonts w:ascii="Arial Narrow" w:hAnsi="Arial Narrow" w:cs="Arial Narrow"/>
          <w:b w:val="0"/>
          <w:lang w:val="en-GB"/>
        </w:rPr>
        <w:t xml:space="preserve">outh </w:t>
      </w:r>
      <w:r w:rsidRPr="00FB59DD">
        <w:rPr>
          <w:rFonts w:ascii="Arial Narrow" w:hAnsi="Arial Narrow" w:cs="Arial Narrow"/>
          <w:b w:val="0"/>
          <w:lang w:val="en-GB"/>
        </w:rPr>
        <w:t>A</w:t>
      </w:r>
      <w:r w:rsidR="00F05CA1" w:rsidRPr="00FB59DD">
        <w:rPr>
          <w:rFonts w:ascii="Arial Narrow" w:hAnsi="Arial Narrow" w:cs="Arial Narrow"/>
          <w:b w:val="0"/>
          <w:lang w:val="en-GB"/>
        </w:rPr>
        <w:t>ustralia</w:t>
      </w:r>
      <w:r w:rsidRPr="00FB59DD">
        <w:rPr>
          <w:rFonts w:ascii="Arial Narrow" w:hAnsi="Arial Narrow" w:cs="Arial Narrow"/>
          <w:b w:val="0"/>
          <w:lang w:val="en-GB"/>
        </w:rPr>
        <w:t>, W</w:t>
      </w:r>
      <w:r w:rsidR="00F05CA1" w:rsidRPr="00FB59DD">
        <w:rPr>
          <w:rFonts w:ascii="Arial Narrow" w:hAnsi="Arial Narrow" w:cs="Arial Narrow"/>
          <w:b w:val="0"/>
          <w:lang w:val="en-GB"/>
        </w:rPr>
        <w:t xml:space="preserve">estern </w:t>
      </w:r>
      <w:r w:rsidRPr="00FB59DD">
        <w:rPr>
          <w:rFonts w:ascii="Arial Narrow" w:hAnsi="Arial Narrow" w:cs="Arial Narrow"/>
          <w:b w:val="0"/>
          <w:lang w:val="en-GB"/>
        </w:rPr>
        <w:t>A</w:t>
      </w:r>
      <w:r w:rsidR="00F05CA1" w:rsidRPr="00FB59DD">
        <w:rPr>
          <w:rFonts w:ascii="Arial Narrow" w:hAnsi="Arial Narrow" w:cs="Arial Narrow"/>
          <w:b w:val="0"/>
          <w:lang w:val="en-GB"/>
        </w:rPr>
        <w:t>ustralia</w:t>
      </w:r>
      <w:r w:rsidRPr="00FB59DD">
        <w:rPr>
          <w:rFonts w:ascii="Arial Narrow" w:hAnsi="Arial Narrow" w:cs="Arial Narrow"/>
          <w:b w:val="0"/>
          <w:lang w:val="en-GB"/>
        </w:rPr>
        <w:t>, Queensland</w:t>
      </w:r>
      <w:r w:rsidR="00F05CA1" w:rsidRPr="00FB59DD">
        <w:rPr>
          <w:rFonts w:ascii="Arial Narrow" w:hAnsi="Arial Narrow" w:cs="Arial Narrow"/>
          <w:b w:val="0"/>
          <w:lang w:val="en-GB"/>
        </w:rPr>
        <w:t>,</w:t>
      </w:r>
      <w:r w:rsidRPr="00FB59DD">
        <w:rPr>
          <w:rFonts w:ascii="Arial Narrow" w:hAnsi="Arial Narrow" w:cs="Arial Narrow"/>
          <w:b w:val="0"/>
          <w:lang w:val="en-GB"/>
        </w:rPr>
        <w:t xml:space="preserve"> Tasmania</w:t>
      </w:r>
      <w:r w:rsidR="00F05CA1" w:rsidRPr="00FB59DD">
        <w:rPr>
          <w:rFonts w:ascii="Arial Narrow" w:hAnsi="Arial Narrow" w:cs="Arial Narrow"/>
          <w:b w:val="0"/>
          <w:lang w:val="en-GB"/>
        </w:rPr>
        <w:t xml:space="preserve"> and Victoria.</w:t>
      </w:r>
    </w:p>
    <w:p w:rsidR="003D6EE3" w:rsidRPr="00FB59DD" w:rsidRDefault="003D6EE3" w:rsidP="00D95CBE">
      <w:pPr>
        <w:autoSpaceDE w:val="0"/>
        <w:autoSpaceDN w:val="0"/>
        <w:adjustRightInd w:val="0"/>
        <w:rPr>
          <w:rFonts w:ascii="Arial Narrow" w:hAnsi="Arial Narrow" w:cs="Arial Narrow"/>
          <w:b w:val="0"/>
          <w:lang w:val="en-GB"/>
        </w:rPr>
      </w:pPr>
    </w:p>
    <w:p w:rsidR="004209E8" w:rsidRPr="00FB59DD" w:rsidRDefault="004209E8" w:rsidP="00D95CBE">
      <w:pPr>
        <w:autoSpaceDE w:val="0"/>
        <w:autoSpaceDN w:val="0"/>
        <w:adjustRightInd w:val="0"/>
        <w:rPr>
          <w:rFonts w:ascii="Arial Narrow" w:hAnsi="Arial Narrow" w:cs="Arial Narrow"/>
          <w:b w:val="0"/>
          <w:lang w:val="en-GB"/>
        </w:rPr>
      </w:pPr>
    </w:p>
    <w:p w:rsidR="00BA44DB" w:rsidRPr="00FB59DD" w:rsidRDefault="00BA44DB" w:rsidP="00D864AA">
      <w:pPr>
        <w:autoSpaceDE w:val="0"/>
        <w:autoSpaceDN w:val="0"/>
        <w:adjustRightInd w:val="0"/>
        <w:outlineLvl w:val="0"/>
        <w:rPr>
          <w:rFonts w:ascii="Arial Narrow" w:hAnsi="Arial Narrow" w:cs="Arial Narrow"/>
          <w:sz w:val="28"/>
          <w:szCs w:val="28"/>
          <w:lang w:val="en-GB"/>
        </w:rPr>
      </w:pPr>
      <w:r w:rsidRPr="00FB59DD">
        <w:rPr>
          <w:rFonts w:ascii="Arial Narrow" w:hAnsi="Arial Narrow" w:cs="Arial Narrow"/>
          <w:sz w:val="28"/>
          <w:szCs w:val="28"/>
          <w:lang w:val="en-GB"/>
        </w:rPr>
        <w:t>Clauses</w:t>
      </w:r>
    </w:p>
    <w:p w:rsidR="00BA44DB" w:rsidRPr="00FB59DD" w:rsidRDefault="00BA44DB" w:rsidP="00D864AA">
      <w:pPr>
        <w:autoSpaceDE w:val="0"/>
        <w:autoSpaceDN w:val="0"/>
        <w:adjustRightInd w:val="0"/>
        <w:outlineLvl w:val="0"/>
        <w:rPr>
          <w:rFonts w:ascii="Arial Narrow" w:hAnsi="Arial Narrow" w:cs="Arial Narrow"/>
          <w:b w:val="0"/>
          <w:lang w:val="en-GB"/>
        </w:rPr>
      </w:pPr>
    </w:p>
    <w:p w:rsidR="00BA44DB" w:rsidRPr="00FB59DD" w:rsidRDefault="00BA44DB" w:rsidP="00D864AA">
      <w:pPr>
        <w:autoSpaceDE w:val="0"/>
        <w:autoSpaceDN w:val="0"/>
        <w:adjustRightInd w:val="0"/>
        <w:spacing w:after="120"/>
        <w:outlineLvl w:val="0"/>
        <w:rPr>
          <w:rFonts w:ascii="Arial Narrow" w:hAnsi="Arial Narrow" w:cs="Arial Narrow"/>
          <w:lang w:val="en-GB"/>
        </w:rPr>
      </w:pPr>
      <w:r w:rsidRPr="00FB59DD">
        <w:rPr>
          <w:rFonts w:ascii="Arial Narrow" w:hAnsi="Arial Narrow" w:cs="Arial Narrow"/>
          <w:lang w:val="en-GB"/>
        </w:rPr>
        <w:t>Clause 1 – Name of regulation</w:t>
      </w:r>
    </w:p>
    <w:p w:rsidR="00BA44DB" w:rsidRPr="00FB59DD" w:rsidRDefault="00AA34FA" w:rsidP="00D864AA">
      <w:pPr>
        <w:autoSpaceDE w:val="0"/>
        <w:autoSpaceDN w:val="0"/>
        <w:adjustRightInd w:val="0"/>
        <w:rPr>
          <w:rFonts w:ascii="Arial Narrow" w:hAnsi="Arial Narrow" w:cs="Arial Narrow"/>
          <w:b w:val="0"/>
          <w:lang w:val="en-GB"/>
        </w:rPr>
      </w:pPr>
      <w:r w:rsidRPr="00FB59DD">
        <w:rPr>
          <w:rFonts w:ascii="Arial Narrow" w:hAnsi="Arial Narrow"/>
          <w:b w:val="0"/>
          <w:bCs w:val="0"/>
          <w:lang w:val="en-GB"/>
        </w:rPr>
        <w:t xml:space="preserve">The first clause of the Regulation declares the name of the Regulation to be </w:t>
      </w:r>
      <w:r w:rsidR="00BA44DB" w:rsidRPr="00FB59DD">
        <w:rPr>
          <w:rFonts w:ascii="Arial Narrow" w:hAnsi="Arial Narrow" w:cs="Arial Narrow"/>
          <w:b w:val="0"/>
          <w:lang w:val="en-GB"/>
        </w:rPr>
        <w:t xml:space="preserve">the </w:t>
      </w:r>
      <w:r w:rsidR="00BA44DB" w:rsidRPr="00FB59DD">
        <w:rPr>
          <w:rFonts w:ascii="Arial Narrow" w:hAnsi="Arial Narrow" w:cs="Arial Narrow"/>
          <w:b w:val="0"/>
          <w:i/>
          <w:lang w:val="en-GB"/>
        </w:rPr>
        <w:t>Medicines, Poisons and Therapeutic Goods Amendment Regulation 20</w:t>
      </w:r>
      <w:r w:rsidR="00F8707E" w:rsidRPr="00FB59DD">
        <w:rPr>
          <w:rFonts w:ascii="Arial Narrow" w:hAnsi="Arial Narrow" w:cs="Arial Narrow"/>
          <w:b w:val="0"/>
          <w:i/>
          <w:lang w:val="en-GB"/>
        </w:rPr>
        <w:t>2</w:t>
      </w:r>
      <w:r w:rsidR="00BA44DB" w:rsidRPr="00FB59DD">
        <w:rPr>
          <w:rFonts w:ascii="Arial Narrow" w:hAnsi="Arial Narrow" w:cs="Arial Narrow"/>
          <w:b w:val="0"/>
          <w:i/>
          <w:lang w:val="en-GB"/>
        </w:rPr>
        <w:t>0 (No </w:t>
      </w:r>
      <w:r w:rsidR="00301C6F">
        <w:rPr>
          <w:rFonts w:ascii="Arial Narrow" w:hAnsi="Arial Narrow" w:cs="Arial Narrow"/>
          <w:b w:val="0"/>
          <w:i/>
          <w:lang w:val="en-GB"/>
        </w:rPr>
        <w:t>1</w:t>
      </w:r>
      <w:r w:rsidR="00BA44DB" w:rsidRPr="00FB59DD">
        <w:rPr>
          <w:rFonts w:ascii="Arial Narrow" w:hAnsi="Arial Narrow" w:cs="Arial Narrow"/>
          <w:b w:val="0"/>
          <w:i/>
          <w:lang w:val="en-GB"/>
        </w:rPr>
        <w:t>).</w:t>
      </w:r>
    </w:p>
    <w:p w:rsidR="00BA44DB" w:rsidRPr="00FB59DD" w:rsidRDefault="00BA44DB" w:rsidP="00D864AA">
      <w:pPr>
        <w:autoSpaceDE w:val="0"/>
        <w:autoSpaceDN w:val="0"/>
        <w:adjustRightInd w:val="0"/>
        <w:rPr>
          <w:rFonts w:ascii="Arial Narrow" w:hAnsi="Arial Narrow" w:cs="Arial Narrow"/>
          <w:b w:val="0"/>
          <w:lang w:val="en-GB"/>
        </w:rPr>
      </w:pPr>
    </w:p>
    <w:p w:rsidR="00BA44DB" w:rsidRPr="00FB59DD" w:rsidRDefault="00BA44DB" w:rsidP="00D864AA">
      <w:pPr>
        <w:autoSpaceDE w:val="0"/>
        <w:autoSpaceDN w:val="0"/>
        <w:adjustRightInd w:val="0"/>
        <w:spacing w:after="120"/>
        <w:outlineLvl w:val="0"/>
        <w:rPr>
          <w:rFonts w:ascii="Arial Narrow" w:hAnsi="Arial Narrow" w:cs="Arial Narrow"/>
          <w:lang w:val="en-GB"/>
        </w:rPr>
      </w:pPr>
      <w:r w:rsidRPr="00FB59DD">
        <w:rPr>
          <w:rFonts w:ascii="Arial Narrow" w:hAnsi="Arial Narrow" w:cs="Arial Narrow"/>
          <w:lang w:val="en-GB"/>
        </w:rPr>
        <w:t>Clause 2 – Commencement</w:t>
      </w:r>
    </w:p>
    <w:p w:rsidR="00AA34FA" w:rsidRPr="00FB59DD" w:rsidRDefault="00AA34FA" w:rsidP="00AA34FA">
      <w:pPr>
        <w:ind w:right="-759"/>
        <w:rPr>
          <w:rFonts w:ascii="Arial Narrow" w:hAnsi="Arial Narrow"/>
          <w:b w:val="0"/>
          <w:lang w:val="en-GB"/>
        </w:rPr>
      </w:pPr>
      <w:r w:rsidRPr="00FB59DD">
        <w:rPr>
          <w:rFonts w:ascii="Arial Narrow" w:hAnsi="Arial Narrow"/>
          <w:b w:val="0"/>
          <w:lang w:val="en-GB"/>
        </w:rPr>
        <w:t xml:space="preserve">Pursuant to this provision, the Regulation is to commence on the day after it is notified on the </w:t>
      </w:r>
      <w:r w:rsidRPr="00FB59DD">
        <w:rPr>
          <w:rFonts w:ascii="Arial Narrow" w:hAnsi="Arial Narrow"/>
          <w:b w:val="0"/>
          <w:lang w:val="en-GB"/>
        </w:rPr>
        <w:br/>
        <w:t xml:space="preserve">ACT Legislation Register. </w:t>
      </w:r>
    </w:p>
    <w:p w:rsidR="00AA34FA" w:rsidRPr="00FB59DD" w:rsidRDefault="00AA34FA" w:rsidP="00AA34FA">
      <w:pPr>
        <w:autoSpaceDE w:val="0"/>
        <w:autoSpaceDN w:val="0"/>
        <w:adjustRightInd w:val="0"/>
        <w:rPr>
          <w:rFonts w:ascii="Arial Narrow" w:hAnsi="Arial Narrow" w:cs="Arial Narrow"/>
          <w:b w:val="0"/>
          <w:lang w:val="en-GB"/>
        </w:rPr>
      </w:pPr>
    </w:p>
    <w:p w:rsidR="00AA34FA" w:rsidRPr="00FB59DD" w:rsidRDefault="00AA34FA" w:rsidP="00AA34FA">
      <w:pPr>
        <w:autoSpaceDE w:val="0"/>
        <w:autoSpaceDN w:val="0"/>
        <w:adjustRightInd w:val="0"/>
        <w:rPr>
          <w:rFonts w:ascii="Arial Narrow" w:hAnsi="Arial Narrow" w:cs="Arial Narrow"/>
          <w:b w:val="0"/>
          <w:lang w:val="en-GB"/>
        </w:rPr>
      </w:pPr>
      <w:r w:rsidRPr="00FB59DD">
        <w:rPr>
          <w:rFonts w:ascii="Arial Narrow" w:hAnsi="Arial Narrow" w:cs="Arial Narrow"/>
          <w:b w:val="0"/>
          <w:lang w:val="en-GB"/>
        </w:rPr>
        <w:t xml:space="preserve">Due to the operation of section 75(1) of the </w:t>
      </w:r>
      <w:r w:rsidRPr="00FB59DD">
        <w:rPr>
          <w:rFonts w:ascii="Arial Narrow" w:hAnsi="Arial Narrow" w:cs="Arial Narrow"/>
          <w:b w:val="0"/>
          <w:i/>
          <w:lang w:val="en-GB"/>
        </w:rPr>
        <w:t>Legislation Act 2001</w:t>
      </w:r>
      <w:r w:rsidRPr="00FB59DD">
        <w:rPr>
          <w:rFonts w:ascii="Arial Narrow" w:hAnsi="Arial Narrow" w:cs="Arial Narrow"/>
          <w:b w:val="0"/>
          <w:lang w:val="en-GB"/>
        </w:rPr>
        <w:t xml:space="preserve"> (the Legislation Act), the naming and commencement provisions of this Regulation, clauses 1 and 2, commence automatically on the day the Regulation is notified.  A note to that effect is included in the provision.</w:t>
      </w:r>
    </w:p>
    <w:p w:rsidR="00BA44DB" w:rsidRPr="00FB59DD" w:rsidRDefault="00BA44DB" w:rsidP="00D864AA">
      <w:pPr>
        <w:autoSpaceDE w:val="0"/>
        <w:autoSpaceDN w:val="0"/>
        <w:adjustRightInd w:val="0"/>
        <w:rPr>
          <w:rFonts w:ascii="Arial Narrow" w:hAnsi="Arial Narrow" w:cs="Arial Narrow"/>
          <w:b w:val="0"/>
          <w:lang w:val="en-GB"/>
        </w:rPr>
      </w:pPr>
    </w:p>
    <w:p w:rsidR="00BA44DB" w:rsidRPr="00FB59DD" w:rsidRDefault="00BA44DB" w:rsidP="00D864AA">
      <w:pPr>
        <w:autoSpaceDE w:val="0"/>
        <w:autoSpaceDN w:val="0"/>
        <w:adjustRightInd w:val="0"/>
        <w:spacing w:after="120"/>
        <w:outlineLvl w:val="0"/>
        <w:rPr>
          <w:rFonts w:ascii="Arial Narrow" w:hAnsi="Arial Narrow" w:cs="Arial Narrow"/>
          <w:lang w:val="en-GB"/>
        </w:rPr>
      </w:pPr>
      <w:r w:rsidRPr="00FB59DD">
        <w:rPr>
          <w:rFonts w:ascii="Arial Narrow" w:hAnsi="Arial Narrow" w:cs="Arial Narrow"/>
          <w:lang w:val="en-GB"/>
        </w:rPr>
        <w:t>Clause 3 - Legislation amended</w:t>
      </w:r>
    </w:p>
    <w:p w:rsidR="00AA34FA" w:rsidRPr="00FB59DD" w:rsidRDefault="00AA34FA" w:rsidP="00AA34FA">
      <w:pPr>
        <w:rPr>
          <w:rFonts w:ascii="Arial Narrow" w:hAnsi="Arial Narrow" w:cs="Arial Narrow"/>
          <w:b w:val="0"/>
          <w:lang w:val="en-GB"/>
        </w:rPr>
      </w:pPr>
      <w:r w:rsidRPr="00FB59DD">
        <w:rPr>
          <w:rFonts w:ascii="Arial Narrow" w:hAnsi="Arial Narrow" w:cs="Arial Narrow"/>
          <w:b w:val="0"/>
          <w:lang w:val="en-GB"/>
        </w:rPr>
        <w:t xml:space="preserve">This provision alerts the reader that this Regulation amends the MPTG Regulation.  </w:t>
      </w:r>
    </w:p>
    <w:p w:rsidR="00AA34FA" w:rsidRPr="00FB59DD" w:rsidRDefault="00AA34FA" w:rsidP="00AA34FA">
      <w:pPr>
        <w:rPr>
          <w:rFonts w:ascii="Arial Narrow" w:hAnsi="Arial Narrow" w:cs="Arial Narrow"/>
          <w:b w:val="0"/>
          <w:lang w:val="en-GB"/>
        </w:rPr>
      </w:pPr>
    </w:p>
    <w:p w:rsidR="00AA34FA" w:rsidRPr="00FB59DD" w:rsidRDefault="00AA34FA" w:rsidP="00AA34FA">
      <w:pPr>
        <w:rPr>
          <w:rFonts w:ascii="Arial Narrow" w:hAnsi="Arial Narrow" w:cs="Arial Narrow"/>
          <w:b w:val="0"/>
          <w:lang w:val="en-GB"/>
        </w:rPr>
      </w:pPr>
      <w:r w:rsidRPr="00FB59DD">
        <w:rPr>
          <w:rFonts w:ascii="Arial Narrow" w:hAnsi="Arial Narrow" w:cs="Arial Narrow"/>
          <w:b w:val="0"/>
          <w:lang w:val="en-GB"/>
        </w:rPr>
        <w:t xml:space="preserve">Upon commencement this Regulation will alter the MPTG Regulation in accordance with the provisions that this Regulation contains.  This Regulation will then be immediately repealed.  </w:t>
      </w:r>
    </w:p>
    <w:p w:rsidR="00AA34FA" w:rsidRPr="00FB59DD" w:rsidRDefault="00AA34FA" w:rsidP="00AA34FA">
      <w:pPr>
        <w:rPr>
          <w:rFonts w:ascii="Arial Narrow" w:hAnsi="Arial Narrow" w:cs="Arial Narrow"/>
          <w:b w:val="0"/>
          <w:lang w:val="en-GB"/>
        </w:rPr>
      </w:pPr>
    </w:p>
    <w:p w:rsidR="00AA34FA" w:rsidRPr="00FB59DD" w:rsidRDefault="00AA34FA" w:rsidP="00AA34FA">
      <w:pPr>
        <w:rPr>
          <w:rFonts w:ascii="Arial Narrow" w:hAnsi="Arial Narrow" w:cs="Arial Narrow"/>
          <w:b w:val="0"/>
          <w:lang w:val="en-GB"/>
        </w:rPr>
      </w:pPr>
      <w:r w:rsidRPr="00FB59DD">
        <w:rPr>
          <w:rFonts w:ascii="Arial Narrow" w:hAnsi="Arial Narrow" w:cs="Arial Narrow"/>
          <w:b w:val="0"/>
          <w:lang w:val="en-GB"/>
        </w:rPr>
        <w:t xml:space="preserve">Consequentially, from the date that this Regulation commences a new republication of the </w:t>
      </w:r>
      <w:r w:rsidRPr="00FB59DD">
        <w:rPr>
          <w:rFonts w:ascii="Arial Narrow" w:hAnsi="Arial Narrow" w:cs="Arial Narrow"/>
          <w:b w:val="0"/>
          <w:lang w:val="en-GB"/>
        </w:rPr>
        <w:br/>
        <w:t>MPTG Regulation will be available.  That new republication will feature the alterations made by this Regulation.</w:t>
      </w:r>
    </w:p>
    <w:p w:rsidR="00BA44DB" w:rsidRPr="00FB59DD" w:rsidRDefault="00BA44DB" w:rsidP="00D864AA">
      <w:pPr>
        <w:autoSpaceDE w:val="0"/>
        <w:autoSpaceDN w:val="0"/>
        <w:adjustRightInd w:val="0"/>
        <w:rPr>
          <w:rFonts w:ascii="Arial Narrow" w:hAnsi="Arial Narrow"/>
          <w:b w:val="0"/>
          <w:lang w:val="en-GB"/>
        </w:rPr>
      </w:pPr>
    </w:p>
    <w:p w:rsidR="00BA44DB" w:rsidRPr="00FB59DD" w:rsidRDefault="00BA44DB" w:rsidP="001B3962">
      <w:pPr>
        <w:autoSpaceDE w:val="0"/>
        <w:autoSpaceDN w:val="0"/>
        <w:adjustRightInd w:val="0"/>
        <w:spacing w:after="120"/>
        <w:ind w:left="993" w:hanging="993"/>
        <w:rPr>
          <w:rFonts w:ascii="Arial Narrow" w:hAnsi="Arial Narrow"/>
          <w:bCs w:val="0"/>
          <w:lang w:val="en-GB"/>
        </w:rPr>
      </w:pPr>
      <w:r w:rsidRPr="00FB59DD">
        <w:rPr>
          <w:rFonts w:ascii="Arial Narrow" w:hAnsi="Arial Narrow" w:cs="Arial Narrow"/>
          <w:lang w:val="en-GB"/>
        </w:rPr>
        <w:t>Clause </w:t>
      </w:r>
      <w:r w:rsidRPr="00FB59DD">
        <w:rPr>
          <w:rFonts w:ascii="Arial Narrow" w:hAnsi="Arial Narrow"/>
          <w:bCs w:val="0"/>
          <w:lang w:val="en-GB"/>
        </w:rPr>
        <w:t xml:space="preserve">4 – </w:t>
      </w:r>
      <w:r w:rsidR="001B3962" w:rsidRPr="00FB59DD">
        <w:rPr>
          <w:rFonts w:ascii="Arial Narrow" w:hAnsi="Arial Narrow"/>
          <w:bCs w:val="0"/>
          <w:lang w:val="en-GB"/>
        </w:rPr>
        <w:t xml:space="preserve">Authorisation for pharmacist and intern pharmacist to administer vaccine </w:t>
      </w:r>
      <w:r w:rsidR="001B3962" w:rsidRPr="00FB59DD">
        <w:rPr>
          <w:rFonts w:ascii="Arial Narrow" w:hAnsi="Arial Narrow"/>
          <w:bCs w:val="0"/>
          <w:lang w:val="en-GB"/>
        </w:rPr>
        <w:br/>
        <w:t xml:space="preserve">without prescription – Act, s 37 (1) (b) </w:t>
      </w:r>
      <w:r w:rsidRPr="00FB59DD">
        <w:rPr>
          <w:rFonts w:ascii="Arial Narrow" w:hAnsi="Arial Narrow"/>
          <w:bCs w:val="0"/>
          <w:lang w:val="en-GB"/>
        </w:rPr>
        <w:t>Section </w:t>
      </w:r>
      <w:r w:rsidR="002F5F5F" w:rsidRPr="00FB59DD">
        <w:rPr>
          <w:rFonts w:ascii="Arial Narrow" w:hAnsi="Arial Narrow"/>
          <w:bCs w:val="0"/>
          <w:lang w:val="en-GB"/>
        </w:rPr>
        <w:t>3</w:t>
      </w:r>
      <w:r w:rsidRPr="00FB59DD">
        <w:rPr>
          <w:rFonts w:ascii="Arial Narrow" w:hAnsi="Arial Narrow"/>
          <w:bCs w:val="0"/>
          <w:lang w:val="en-GB"/>
        </w:rPr>
        <w:t>5</w:t>
      </w:r>
      <w:r w:rsidR="002F5F5F" w:rsidRPr="00FB59DD">
        <w:rPr>
          <w:rFonts w:ascii="Arial Narrow" w:hAnsi="Arial Narrow"/>
          <w:bCs w:val="0"/>
          <w:lang w:val="en-GB"/>
        </w:rPr>
        <w:t>2</w:t>
      </w:r>
    </w:p>
    <w:p w:rsidR="002F5F5F" w:rsidRPr="00FB59DD" w:rsidRDefault="00624C97" w:rsidP="00D864AA">
      <w:pPr>
        <w:autoSpaceDE w:val="0"/>
        <w:autoSpaceDN w:val="0"/>
        <w:adjustRightInd w:val="0"/>
        <w:rPr>
          <w:rFonts w:ascii="Arial Narrow" w:hAnsi="Arial Narrow"/>
          <w:b w:val="0"/>
          <w:bCs w:val="0"/>
          <w:lang w:val="en-GB"/>
        </w:rPr>
      </w:pPr>
      <w:r w:rsidRPr="00FB59DD">
        <w:rPr>
          <w:rFonts w:ascii="Arial Narrow" w:hAnsi="Arial Narrow"/>
          <w:b w:val="0"/>
          <w:bCs w:val="0"/>
          <w:lang w:val="en-GB"/>
        </w:rPr>
        <w:t>S</w:t>
      </w:r>
      <w:r w:rsidR="009902A2" w:rsidRPr="00FB59DD">
        <w:rPr>
          <w:rFonts w:ascii="Arial Narrow" w:hAnsi="Arial Narrow"/>
          <w:b w:val="0"/>
          <w:bCs w:val="0"/>
          <w:lang w:val="en-GB"/>
        </w:rPr>
        <w:t>ection </w:t>
      </w:r>
      <w:r w:rsidR="002F5F5F" w:rsidRPr="00FB59DD">
        <w:rPr>
          <w:rFonts w:ascii="Arial Narrow" w:hAnsi="Arial Narrow"/>
          <w:b w:val="0"/>
          <w:bCs w:val="0"/>
          <w:lang w:val="en-GB"/>
        </w:rPr>
        <w:t>3</w:t>
      </w:r>
      <w:r w:rsidR="009902A2" w:rsidRPr="00FB59DD">
        <w:rPr>
          <w:rFonts w:ascii="Arial Narrow" w:hAnsi="Arial Narrow"/>
          <w:b w:val="0"/>
          <w:bCs w:val="0"/>
          <w:lang w:val="en-GB"/>
        </w:rPr>
        <w:t>5</w:t>
      </w:r>
      <w:r w:rsidR="002F5F5F" w:rsidRPr="00FB59DD">
        <w:rPr>
          <w:rFonts w:ascii="Arial Narrow" w:hAnsi="Arial Narrow"/>
          <w:b w:val="0"/>
          <w:bCs w:val="0"/>
          <w:lang w:val="en-GB"/>
        </w:rPr>
        <w:t>2</w:t>
      </w:r>
      <w:r w:rsidR="009902A2" w:rsidRPr="00FB59DD">
        <w:rPr>
          <w:rFonts w:ascii="Arial Narrow" w:hAnsi="Arial Narrow"/>
          <w:b w:val="0"/>
          <w:bCs w:val="0"/>
          <w:lang w:val="en-GB"/>
        </w:rPr>
        <w:t xml:space="preserve"> </w:t>
      </w:r>
      <w:r w:rsidRPr="00FB59DD">
        <w:rPr>
          <w:rFonts w:ascii="Arial Narrow" w:hAnsi="Arial Narrow"/>
          <w:b w:val="0"/>
          <w:bCs w:val="0"/>
          <w:lang w:val="en-GB"/>
        </w:rPr>
        <w:t xml:space="preserve">is amended by this provision </w:t>
      </w:r>
      <w:r w:rsidR="009902A2" w:rsidRPr="00FB59DD">
        <w:rPr>
          <w:rFonts w:ascii="Arial Narrow" w:hAnsi="Arial Narrow"/>
          <w:b w:val="0"/>
          <w:bCs w:val="0"/>
          <w:lang w:val="en-GB"/>
        </w:rPr>
        <w:t xml:space="preserve">by </w:t>
      </w:r>
      <w:r w:rsidR="002F5F5F" w:rsidRPr="00FB59DD">
        <w:rPr>
          <w:rFonts w:ascii="Arial Narrow" w:hAnsi="Arial Narrow"/>
          <w:b w:val="0"/>
          <w:bCs w:val="0"/>
          <w:lang w:val="en-GB"/>
        </w:rPr>
        <w:t xml:space="preserve">replacing every reference to </w:t>
      </w:r>
      <w:r w:rsidR="009902A2" w:rsidRPr="00FB59DD">
        <w:rPr>
          <w:rFonts w:ascii="Arial Narrow" w:hAnsi="Arial Narrow"/>
          <w:b w:val="0"/>
          <w:bCs w:val="0"/>
          <w:lang w:val="en-GB"/>
        </w:rPr>
        <w:t>“</w:t>
      </w:r>
      <w:r w:rsidR="002F5F5F" w:rsidRPr="00FB59DD">
        <w:rPr>
          <w:rFonts w:ascii="Arial Narrow" w:hAnsi="Arial Narrow"/>
          <w:b w:val="0"/>
          <w:bCs w:val="0"/>
          <w:lang w:val="en-GB"/>
        </w:rPr>
        <w:t>an adult</w:t>
      </w:r>
      <w:r w:rsidR="009902A2" w:rsidRPr="00FB59DD">
        <w:rPr>
          <w:rFonts w:ascii="Arial Narrow" w:hAnsi="Arial Narrow"/>
          <w:b w:val="0"/>
          <w:bCs w:val="0"/>
          <w:lang w:val="en-GB"/>
        </w:rPr>
        <w:t xml:space="preserve">” </w:t>
      </w:r>
      <w:r w:rsidR="002F5F5F" w:rsidRPr="00FB59DD">
        <w:rPr>
          <w:rFonts w:ascii="Arial Narrow" w:hAnsi="Arial Narrow"/>
          <w:b w:val="0"/>
          <w:bCs w:val="0"/>
          <w:lang w:val="en-GB"/>
        </w:rPr>
        <w:t>in the section with the words “a person”.</w:t>
      </w:r>
    </w:p>
    <w:p w:rsidR="002F5F5F" w:rsidRPr="00FB59DD" w:rsidRDefault="002F5F5F" w:rsidP="00D864AA">
      <w:pPr>
        <w:autoSpaceDE w:val="0"/>
        <w:autoSpaceDN w:val="0"/>
        <w:adjustRightInd w:val="0"/>
        <w:rPr>
          <w:rFonts w:ascii="Arial Narrow" w:hAnsi="Arial Narrow"/>
          <w:b w:val="0"/>
          <w:bCs w:val="0"/>
          <w:lang w:val="en-GB"/>
        </w:rPr>
      </w:pPr>
    </w:p>
    <w:p w:rsidR="00B13FFF" w:rsidRPr="00FB59DD" w:rsidRDefault="009902A2" w:rsidP="00D864AA">
      <w:pPr>
        <w:autoSpaceDE w:val="0"/>
        <w:autoSpaceDN w:val="0"/>
        <w:adjustRightInd w:val="0"/>
        <w:rPr>
          <w:rFonts w:ascii="Arial Narrow" w:hAnsi="Arial Narrow"/>
          <w:b w:val="0"/>
          <w:bCs w:val="0"/>
          <w:lang w:val="en-GB"/>
        </w:rPr>
      </w:pPr>
      <w:r w:rsidRPr="00FB59DD">
        <w:rPr>
          <w:rFonts w:ascii="Arial Narrow" w:hAnsi="Arial Narrow"/>
          <w:b w:val="0"/>
          <w:bCs w:val="0"/>
          <w:lang w:val="en-GB"/>
        </w:rPr>
        <w:t xml:space="preserve">The effect of this simple change will be to </w:t>
      </w:r>
      <w:r w:rsidR="002F5F5F" w:rsidRPr="00FB59DD">
        <w:rPr>
          <w:rFonts w:ascii="Arial Narrow" w:hAnsi="Arial Narrow"/>
          <w:b w:val="0"/>
          <w:bCs w:val="0"/>
          <w:lang w:val="en-GB"/>
        </w:rPr>
        <w:t>remove from the Regulation what amounted to an age restriction (i.e. persons 18 years of age or older) with respect to whom pharmacists could lawfully administer vaccines. Whilst the effect of this amendment will notionally mean that pharmacists can administer vaccines to persons of any age, pharmacist vaccinations will be still be subject to directions issued b</w:t>
      </w:r>
      <w:r w:rsidR="00255EC9" w:rsidRPr="00FB59DD">
        <w:rPr>
          <w:rFonts w:ascii="Arial Narrow" w:hAnsi="Arial Narrow"/>
          <w:b w:val="0"/>
          <w:bCs w:val="0"/>
          <w:lang w:val="en-GB"/>
        </w:rPr>
        <w:t>y the Chief Health Officer by way of disallowable instrument. It is through such directions from the Chief Health Officer that restrictions on such things as the age of the person to whom the medicine is to be administered will be imposed, as well other restrictions such as required training of pharmacists, record keeping, and the handling of adverse events</w:t>
      </w:r>
      <w:r w:rsidR="00624C97" w:rsidRPr="00FB59DD">
        <w:rPr>
          <w:rFonts w:ascii="Arial Narrow" w:hAnsi="Arial Narrow"/>
          <w:b w:val="0"/>
          <w:bCs w:val="0"/>
          <w:lang w:val="en-GB"/>
        </w:rPr>
        <w:t>.</w:t>
      </w:r>
    </w:p>
    <w:p w:rsidR="002F5F5F" w:rsidRPr="00FB59DD" w:rsidRDefault="002F5F5F" w:rsidP="00D864AA">
      <w:pPr>
        <w:autoSpaceDE w:val="0"/>
        <w:autoSpaceDN w:val="0"/>
        <w:adjustRightInd w:val="0"/>
        <w:rPr>
          <w:rFonts w:ascii="Arial Narrow" w:hAnsi="Arial Narrow"/>
          <w:b w:val="0"/>
          <w:bCs w:val="0"/>
          <w:lang w:val="en-GB"/>
        </w:rPr>
      </w:pPr>
    </w:p>
    <w:p w:rsidR="002F5F5F" w:rsidRPr="00FB59DD" w:rsidRDefault="002F5F5F" w:rsidP="00D864AA">
      <w:pPr>
        <w:autoSpaceDE w:val="0"/>
        <w:autoSpaceDN w:val="0"/>
        <w:adjustRightInd w:val="0"/>
        <w:rPr>
          <w:rFonts w:ascii="Arial Narrow" w:hAnsi="Arial Narrow"/>
          <w:b w:val="0"/>
          <w:lang w:val="en-GB"/>
        </w:rPr>
      </w:pPr>
      <w:r w:rsidRPr="00FB59DD">
        <w:rPr>
          <w:rFonts w:ascii="Arial Narrow" w:hAnsi="Arial Narrow"/>
          <w:b w:val="0"/>
          <w:bCs w:val="0"/>
          <w:lang w:val="en-GB"/>
        </w:rPr>
        <w:t>It should be noted that the use of the term “persons” in the amendment will limit the administration of vaccines to human beings. This restriction is necessary as the Medicines, Poisons and Therapeutic Goods legislation does apply to veterinary practitioners and veterinary medicines.</w:t>
      </w:r>
    </w:p>
    <w:p w:rsidR="00B13FFF" w:rsidRPr="00FB59DD" w:rsidRDefault="00B13FFF" w:rsidP="00D864AA">
      <w:pPr>
        <w:autoSpaceDE w:val="0"/>
        <w:autoSpaceDN w:val="0"/>
        <w:adjustRightInd w:val="0"/>
        <w:rPr>
          <w:rFonts w:ascii="Arial Narrow" w:hAnsi="Arial Narrow"/>
          <w:b w:val="0"/>
          <w:lang w:val="en-GB"/>
        </w:rPr>
      </w:pPr>
    </w:p>
    <w:sectPr w:rsidR="00B13FFF" w:rsidRPr="00FB59DD">
      <w:footerReference w:type="default" r:id="rId7"/>
      <w:footerReference w:type="first" r:id="rId8"/>
      <w:pgSz w:w="11907" w:h="16840" w:code="9"/>
      <w:pgMar w:top="1134" w:right="1701" w:bottom="1134" w:left="1701" w:header="720" w:footer="5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466" w:rsidRDefault="00693466">
      <w:r>
        <w:separator/>
      </w:r>
    </w:p>
  </w:endnote>
  <w:endnote w:type="continuationSeparator" w:id="0">
    <w:p w:rsidR="00693466" w:rsidRDefault="00693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TimesNewRoman">
    <w:altName w:val="Arial Unicode MS"/>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2D2" w:rsidRDefault="00A402D2">
    <w:pPr>
      <w:pStyle w:val="Footer"/>
      <w:jc w:val="center"/>
    </w:pPr>
    <w:r>
      <w:fldChar w:fldCharType="begin"/>
    </w:r>
    <w:r>
      <w:instrText xml:space="preserve"> PAGE   \* MERGEFORMAT </w:instrText>
    </w:r>
    <w:r>
      <w:fldChar w:fldCharType="separate"/>
    </w:r>
    <w:r>
      <w:rPr>
        <w:noProof/>
      </w:rPr>
      <w:t>2</w:t>
    </w:r>
    <w:r>
      <w:fldChar w:fldCharType="end"/>
    </w:r>
  </w:p>
  <w:p w:rsidR="00BB27E4" w:rsidRPr="000F72FF" w:rsidRDefault="000F72FF" w:rsidP="000F72FF">
    <w:pPr>
      <w:pStyle w:val="Footer"/>
      <w:jc w:val="center"/>
      <w:rPr>
        <w:b w:val="0"/>
        <w:bCs w:val="0"/>
        <w:sz w:val="14"/>
        <w:szCs w:val="14"/>
      </w:rPr>
    </w:pPr>
    <w:r w:rsidRPr="000F72FF">
      <w:rPr>
        <w:b w:val="0"/>
        <w:bCs w:val="0"/>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7E4" w:rsidRPr="00732453" w:rsidRDefault="000F72FF" w:rsidP="000F72FF">
    <w:pPr>
      <w:pStyle w:val="Footer"/>
      <w:jc w:val="center"/>
      <w:rPr>
        <w:b w:val="0"/>
        <w:bCs w:val="0"/>
        <w:sz w:val="14"/>
      </w:rPr>
    </w:pPr>
    <w:r w:rsidRPr="00732453">
      <w:rPr>
        <w:b w:val="0"/>
        <w:bCs w:val="0"/>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466" w:rsidRDefault="00693466">
      <w:r>
        <w:separator/>
      </w:r>
    </w:p>
  </w:footnote>
  <w:footnote w:type="continuationSeparator" w:id="0">
    <w:p w:rsidR="00693466" w:rsidRDefault="00693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D56D6D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35872B8"/>
    <w:multiLevelType w:val="hybridMultilevel"/>
    <w:tmpl w:val="AC68AE28"/>
    <w:lvl w:ilvl="0" w:tplc="A0D44C22">
      <w:start w:val="1"/>
      <w:numFmt w:val="decimal"/>
      <w:pStyle w:val="CS-Paragraphnumbering"/>
      <w:lvlText w:val="%1."/>
      <w:lvlJc w:val="left"/>
      <w:pPr>
        <w:ind w:left="643" w:hanging="360"/>
      </w:pPr>
      <w:rPr>
        <w:rFonts w:asciiTheme="minorHAnsi" w:hAnsiTheme="minorHAnsi" w:cs="Calibri" w:hint="default"/>
        <w:sz w:val="24"/>
        <w:szCs w:val="24"/>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39442C62"/>
    <w:multiLevelType w:val="multilevel"/>
    <w:tmpl w:val="D51E9AC4"/>
    <w:lvl w:ilvl="0">
      <w:start w:val="1"/>
      <w:numFmt w:val="decimal"/>
      <w:pStyle w:val="Claus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D0F17FE"/>
    <w:multiLevelType w:val="hybridMultilevel"/>
    <w:tmpl w:val="360A6F60"/>
    <w:lvl w:ilvl="0" w:tplc="0C090017">
      <w:start w:val="1"/>
      <w:numFmt w:val="lowerLetter"/>
      <w:lvlText w:val="%1)"/>
      <w:lvlJc w:val="left"/>
      <w:pPr>
        <w:ind w:left="2160" w:hanging="360"/>
      </w:pPr>
      <w:rPr>
        <w:rFonts w:cs="Times New Roman"/>
      </w:rPr>
    </w:lvl>
    <w:lvl w:ilvl="1" w:tplc="0C090019" w:tentative="1">
      <w:start w:val="1"/>
      <w:numFmt w:val="lowerLetter"/>
      <w:lvlText w:val="%2."/>
      <w:lvlJc w:val="left"/>
      <w:pPr>
        <w:ind w:left="2880" w:hanging="360"/>
      </w:pPr>
      <w:rPr>
        <w:rFonts w:cs="Times New Roman"/>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4" w15:restartNumberingAfterBreak="0">
    <w:nsid w:val="5E83039E"/>
    <w:multiLevelType w:val="hybridMultilevel"/>
    <w:tmpl w:val="E59E6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9843E6"/>
    <w:multiLevelType w:val="hybridMultilevel"/>
    <w:tmpl w:val="5E0091BA"/>
    <w:lvl w:ilvl="0" w:tplc="1DCA173A">
      <w:start w:val="60"/>
      <w:numFmt w:val="bullet"/>
      <w:lvlText w:val="–"/>
      <w:lvlJc w:val="left"/>
      <w:pPr>
        <w:tabs>
          <w:tab w:val="num" w:pos="1800"/>
        </w:tabs>
        <w:ind w:left="1800" w:hanging="360"/>
      </w:pPr>
      <w:rPr>
        <w:rFonts w:ascii="Times New Roman" w:eastAsia="Times New Roman" w:hAnsi="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6B933E88"/>
    <w:multiLevelType w:val="hybridMultilevel"/>
    <w:tmpl w:val="58A409E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72225D36"/>
    <w:multiLevelType w:val="multilevel"/>
    <w:tmpl w:val="7B54DC4E"/>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1800"/>
        </w:tabs>
        <w:ind w:left="1800" w:hanging="360"/>
      </w:pPr>
      <w:rPr>
        <w:rFonts w:cs="Times New Roman"/>
        <w:b w:val="0"/>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lowerLetter"/>
      <w:lvlText w:val="%8."/>
      <w:lvlJc w:val="left"/>
      <w:pPr>
        <w:tabs>
          <w:tab w:val="num" w:pos="3600"/>
        </w:tabs>
        <w:ind w:left="3600" w:hanging="360"/>
      </w:pPr>
      <w:rPr>
        <w:rFonts w:cs="Times New Roman"/>
      </w:rPr>
    </w:lvl>
    <w:lvl w:ilvl="8">
      <w:start w:val="1"/>
      <w:numFmt w:val="lowerRoman"/>
      <w:lvlText w:val="%9."/>
      <w:lvlJc w:val="left"/>
      <w:pPr>
        <w:tabs>
          <w:tab w:val="num" w:pos="3960"/>
        </w:tabs>
        <w:ind w:left="3960" w:hanging="360"/>
      </w:pPr>
      <w:rPr>
        <w:rFonts w:cs="Times New Roman"/>
      </w:rPr>
    </w:lvl>
  </w:abstractNum>
  <w:abstractNum w:abstractNumId="8" w15:restartNumberingAfterBreak="0">
    <w:nsid w:val="772B70E6"/>
    <w:multiLevelType w:val="hybridMultilevel"/>
    <w:tmpl w:val="DA767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5"/>
  </w:num>
  <w:num w:numId="21">
    <w:abstractNumId w:val="7"/>
  </w:num>
  <w:num w:numId="22">
    <w:abstractNumId w:val="6"/>
  </w:num>
  <w:num w:numId="23">
    <w:abstractNumId w:val="4"/>
  </w:num>
  <w:num w:numId="24">
    <w:abstractNumId w:val="8"/>
  </w:num>
  <w:num w:numId="25">
    <w:abstractNumId w:val="3"/>
  </w:num>
  <w:num w:numId="26">
    <w:abstractNumId w:val="1"/>
  </w:num>
  <w:num w:numId="2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A79F7"/>
    <w:rsid w:val="00000B7E"/>
    <w:rsid w:val="00011056"/>
    <w:rsid w:val="0008187F"/>
    <w:rsid w:val="00092105"/>
    <w:rsid w:val="000A574C"/>
    <w:rsid w:val="000F72FF"/>
    <w:rsid w:val="00115AD6"/>
    <w:rsid w:val="001455AB"/>
    <w:rsid w:val="00160143"/>
    <w:rsid w:val="001913D3"/>
    <w:rsid w:val="00191E82"/>
    <w:rsid w:val="001B3962"/>
    <w:rsid w:val="001F0393"/>
    <w:rsid w:val="00223F2D"/>
    <w:rsid w:val="0023574D"/>
    <w:rsid w:val="00246ABC"/>
    <w:rsid w:val="00255624"/>
    <w:rsid w:val="00255EC9"/>
    <w:rsid w:val="002C1E27"/>
    <w:rsid w:val="002F5F5F"/>
    <w:rsid w:val="00301C6F"/>
    <w:rsid w:val="003136D4"/>
    <w:rsid w:val="00330F1E"/>
    <w:rsid w:val="003765D9"/>
    <w:rsid w:val="003A28BC"/>
    <w:rsid w:val="003C03CB"/>
    <w:rsid w:val="003D6EE3"/>
    <w:rsid w:val="003F757E"/>
    <w:rsid w:val="00403BA1"/>
    <w:rsid w:val="0041034F"/>
    <w:rsid w:val="004209E8"/>
    <w:rsid w:val="00427C56"/>
    <w:rsid w:val="00434000"/>
    <w:rsid w:val="00450B41"/>
    <w:rsid w:val="00457175"/>
    <w:rsid w:val="00491C5C"/>
    <w:rsid w:val="004A182B"/>
    <w:rsid w:val="004B1D99"/>
    <w:rsid w:val="004B7530"/>
    <w:rsid w:val="0053345E"/>
    <w:rsid w:val="005C5155"/>
    <w:rsid w:val="005F19A4"/>
    <w:rsid w:val="00624C97"/>
    <w:rsid w:val="0065620F"/>
    <w:rsid w:val="00672A7E"/>
    <w:rsid w:val="006848D5"/>
    <w:rsid w:val="00693466"/>
    <w:rsid w:val="006A4DDA"/>
    <w:rsid w:val="006A5325"/>
    <w:rsid w:val="006D539F"/>
    <w:rsid w:val="006E27DE"/>
    <w:rsid w:val="00712C1E"/>
    <w:rsid w:val="00732453"/>
    <w:rsid w:val="00743C3E"/>
    <w:rsid w:val="00784A5D"/>
    <w:rsid w:val="00797C68"/>
    <w:rsid w:val="007F12CC"/>
    <w:rsid w:val="008113F5"/>
    <w:rsid w:val="008A2B91"/>
    <w:rsid w:val="008D17E5"/>
    <w:rsid w:val="008F083A"/>
    <w:rsid w:val="00972570"/>
    <w:rsid w:val="009902A2"/>
    <w:rsid w:val="009904E1"/>
    <w:rsid w:val="00A402D2"/>
    <w:rsid w:val="00A8704C"/>
    <w:rsid w:val="00A92546"/>
    <w:rsid w:val="00A93494"/>
    <w:rsid w:val="00AA34FA"/>
    <w:rsid w:val="00AC4293"/>
    <w:rsid w:val="00B0093D"/>
    <w:rsid w:val="00B13FFF"/>
    <w:rsid w:val="00B201BF"/>
    <w:rsid w:val="00B20A01"/>
    <w:rsid w:val="00B4077A"/>
    <w:rsid w:val="00BA44DB"/>
    <w:rsid w:val="00BA5896"/>
    <w:rsid w:val="00BA79F7"/>
    <w:rsid w:val="00BB27E4"/>
    <w:rsid w:val="00BF1315"/>
    <w:rsid w:val="00C26B72"/>
    <w:rsid w:val="00C27753"/>
    <w:rsid w:val="00C87165"/>
    <w:rsid w:val="00C9749A"/>
    <w:rsid w:val="00CA55DE"/>
    <w:rsid w:val="00CB558E"/>
    <w:rsid w:val="00CF5A6F"/>
    <w:rsid w:val="00D34519"/>
    <w:rsid w:val="00D76F49"/>
    <w:rsid w:val="00D864AA"/>
    <w:rsid w:val="00D87BE6"/>
    <w:rsid w:val="00D91E43"/>
    <w:rsid w:val="00D95CBE"/>
    <w:rsid w:val="00DF52D7"/>
    <w:rsid w:val="00E058E8"/>
    <w:rsid w:val="00E0709D"/>
    <w:rsid w:val="00E07724"/>
    <w:rsid w:val="00E10949"/>
    <w:rsid w:val="00E23CF1"/>
    <w:rsid w:val="00E34644"/>
    <w:rsid w:val="00E56AE7"/>
    <w:rsid w:val="00E56C7C"/>
    <w:rsid w:val="00E75FB6"/>
    <w:rsid w:val="00E811F9"/>
    <w:rsid w:val="00EE766F"/>
    <w:rsid w:val="00F05CA1"/>
    <w:rsid w:val="00F14189"/>
    <w:rsid w:val="00F60ED0"/>
    <w:rsid w:val="00F8707E"/>
    <w:rsid w:val="00FA7F85"/>
    <w:rsid w:val="00FB59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7B5F34E-3FB1-456B-ADC5-59F4C261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b/>
      <w:bCs/>
      <w:color w:val="000000"/>
      <w:sz w:val="24"/>
      <w:szCs w:val="24"/>
      <w:lang w:eastAsia="en-US"/>
    </w:rPr>
  </w:style>
  <w:style w:type="paragraph" w:styleId="Heading1">
    <w:name w:val="heading 1"/>
    <w:basedOn w:val="Normal"/>
    <w:next w:val="Normal"/>
    <w:link w:val="Heading1Char"/>
    <w:uiPriority w:val="99"/>
    <w:qFormat/>
    <w:pPr>
      <w:keepNext/>
      <w:autoSpaceDE w:val="0"/>
      <w:autoSpaceDN w:val="0"/>
      <w:adjustRightInd w:val="0"/>
      <w:outlineLvl w:val="0"/>
    </w:pPr>
    <w:rPr>
      <w:rFonts w:ascii="TimesNewRoman" w:hAnsi="TimesNewRoman" w:cs="Times New Roman"/>
      <w:smallCaps/>
      <w:outline/>
      <w:color w:val="auto"/>
      <w:lang w:val="en-US"/>
    </w:rPr>
  </w:style>
  <w:style w:type="paragraph" w:styleId="Heading2">
    <w:name w:val="heading 2"/>
    <w:basedOn w:val="Normal"/>
    <w:next w:val="Normal"/>
    <w:link w:val="Heading2Char"/>
    <w:uiPriority w:val="99"/>
    <w:qFormat/>
    <w:pPr>
      <w:keepNext/>
      <w:autoSpaceDE w:val="0"/>
      <w:autoSpaceDN w:val="0"/>
      <w:adjustRightInd w:val="0"/>
      <w:outlineLvl w:val="1"/>
    </w:pPr>
    <w:rPr>
      <w:color w:val="auto"/>
      <w:sz w:val="23"/>
      <w:szCs w:val="23"/>
      <w:u w:val="single"/>
      <w:lang w:val="en-US"/>
    </w:rPr>
  </w:style>
  <w:style w:type="paragraph" w:styleId="Heading3">
    <w:name w:val="heading 3"/>
    <w:basedOn w:val="Normal"/>
    <w:next w:val="Normal"/>
    <w:link w:val="Heading3Char"/>
    <w:uiPriority w:val="99"/>
    <w:qFormat/>
    <w:pPr>
      <w:keepNext/>
      <w:outlineLvl w:val="2"/>
    </w:pPr>
  </w:style>
  <w:style w:type="paragraph" w:styleId="Heading4">
    <w:name w:val="heading 4"/>
    <w:basedOn w:val="Normal"/>
    <w:next w:val="Normal"/>
    <w:link w:val="Heading4Char"/>
    <w:uiPriority w:val="99"/>
    <w:qFormat/>
    <w:pPr>
      <w:keepNext/>
      <w:jc w:val="right"/>
      <w:outlineLvl w:val="3"/>
    </w:pPr>
  </w:style>
  <w:style w:type="paragraph" w:styleId="Heading5">
    <w:name w:val="heading 5"/>
    <w:basedOn w:val="Normal"/>
    <w:next w:val="Normal"/>
    <w:link w:val="Heading5Char"/>
    <w:uiPriority w:val="99"/>
    <w:qFormat/>
    <w:pPr>
      <w:keepNext/>
      <w:autoSpaceDE w:val="0"/>
      <w:autoSpaceDN w:val="0"/>
      <w:adjustRightInd w:val="0"/>
      <w:jc w:val="center"/>
      <w:outlineLvl w:val="4"/>
    </w:pPr>
  </w:style>
  <w:style w:type="paragraph" w:styleId="Heading6">
    <w:name w:val="heading 6"/>
    <w:basedOn w:val="Normal"/>
    <w:next w:val="Normal"/>
    <w:link w:val="Heading6Char"/>
    <w:uiPriority w:val="99"/>
    <w:qFormat/>
    <w:pPr>
      <w:keepNext/>
      <w:outlineLvl w:val="5"/>
    </w:pPr>
    <w:rPr>
      <w:sz w:val="28"/>
      <w:szCs w:val="28"/>
    </w:rPr>
  </w:style>
  <w:style w:type="paragraph" w:styleId="Heading7">
    <w:name w:val="heading 7"/>
    <w:basedOn w:val="Normal"/>
    <w:next w:val="Normal"/>
    <w:link w:val="Heading7Char"/>
    <w:uiPriority w:val="99"/>
    <w:qFormat/>
    <w:pPr>
      <w:keepNext/>
      <w:jc w:val="center"/>
      <w:outlineLvl w:val="6"/>
    </w:pPr>
    <w:rPr>
      <w:sz w:val="28"/>
      <w:szCs w:val="28"/>
    </w:rPr>
  </w:style>
  <w:style w:type="paragraph" w:styleId="Heading8">
    <w:name w:val="heading 8"/>
    <w:basedOn w:val="Normal"/>
    <w:next w:val="Normal"/>
    <w:link w:val="Heading8Char"/>
    <w:uiPriority w:val="99"/>
    <w:qFormat/>
    <w:pPr>
      <w:keepNext/>
      <w:outlineLvl w:val="7"/>
    </w:pPr>
    <w:rPr>
      <w:rFonts w:ascii="Arial Narrow" w:hAnsi="Arial Narrow" w:cs="Times New Roman"/>
      <w:b w:val="0"/>
      <w:bCs w:val="0"/>
      <w:i/>
      <w:iCs/>
    </w:rPr>
  </w:style>
  <w:style w:type="paragraph" w:styleId="Heading9">
    <w:name w:val="heading 9"/>
    <w:basedOn w:val="Normal"/>
    <w:next w:val="Normal"/>
    <w:link w:val="Heading9Char"/>
    <w:uiPriority w:val="99"/>
    <w:qFormat/>
    <w:pPr>
      <w:keepNext/>
      <w:autoSpaceDE w:val="0"/>
      <w:autoSpaceDN w:val="0"/>
      <w:adjustRightInd w:val="0"/>
      <w:outlineLvl w:val="8"/>
    </w:pPr>
    <w:rPr>
      <w:rFonts w:ascii="Arial Narrow" w:hAnsi="Arial Narrow" w:cs="Times New Roman"/>
      <w:b w:val="0"/>
      <w:bCs w:val="0"/>
      <w:i/>
      <w:iCs/>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color w:val="000000"/>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b/>
      <w:bCs/>
      <w:color w:val="000000"/>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b/>
      <w:bCs/>
      <w:i/>
      <w:iCs/>
      <w:color w:val="000000"/>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b/>
      <w:bCs/>
      <w:color w:val="000000"/>
      <w:lang w:val="x-none" w:eastAsia="en-US"/>
    </w:rPr>
  </w:style>
  <w:style w:type="paragraph" w:styleId="Header">
    <w:name w:val="header"/>
    <w:basedOn w:val="Normal"/>
    <w:link w:val="HeaderChar"/>
    <w:uiPriority w:val="99"/>
    <w:pPr>
      <w:tabs>
        <w:tab w:val="center" w:pos="4153"/>
        <w:tab w:val="right" w:pos="8306"/>
      </w:tabs>
      <w:overflowPunct w:val="0"/>
      <w:autoSpaceDE w:val="0"/>
      <w:autoSpaceDN w:val="0"/>
      <w:adjustRightInd w:val="0"/>
      <w:textAlignment w:val="baseline"/>
    </w:pPr>
    <w:rPr>
      <w:color w:val="auto"/>
    </w:rPr>
  </w:style>
  <w:style w:type="character" w:customStyle="1" w:styleId="HeaderChar">
    <w:name w:val="Header Char"/>
    <w:basedOn w:val="DefaultParagraphFont"/>
    <w:link w:val="Header"/>
    <w:uiPriority w:val="99"/>
    <w:semiHidden/>
    <w:locked/>
    <w:rPr>
      <w:rFonts w:ascii="Arial" w:hAnsi="Arial" w:cs="Arial"/>
      <w:b/>
      <w:bCs/>
      <w:color w:val="000000"/>
      <w:sz w:val="24"/>
      <w:szCs w:val="24"/>
      <w:lang w:val="x-none" w:eastAsia="en-US"/>
    </w:rPr>
  </w:style>
  <w:style w:type="paragraph" w:styleId="BodyText">
    <w:name w:val="Body Text"/>
    <w:basedOn w:val="Normal"/>
    <w:link w:val="BodyTextChar"/>
    <w:uiPriority w:val="99"/>
    <w:rPr>
      <w:sz w:val="28"/>
      <w:szCs w:val="28"/>
    </w:rPr>
  </w:style>
  <w:style w:type="character" w:customStyle="1" w:styleId="BodyTextChar">
    <w:name w:val="Body Text Char"/>
    <w:basedOn w:val="DefaultParagraphFont"/>
    <w:link w:val="BodyText"/>
    <w:uiPriority w:val="99"/>
    <w:semiHidden/>
    <w:locked/>
    <w:rPr>
      <w:rFonts w:ascii="Arial" w:hAnsi="Arial" w:cs="Arial"/>
      <w:b/>
      <w:bCs/>
      <w:color w:val="000000"/>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Arial"/>
      <w:b/>
      <w:bCs/>
      <w:color w:val="000000"/>
      <w:sz w:val="24"/>
      <w:szCs w:val="24"/>
      <w:lang w:val="x-none" w:eastAsia="en-US"/>
    </w:rPr>
  </w:style>
  <w:style w:type="character" w:styleId="PageNumber">
    <w:name w:val="page number"/>
    <w:basedOn w:val="DefaultParagraphFont"/>
    <w:uiPriority w:val="99"/>
    <w:rPr>
      <w:rFonts w:ascii="Times New Roman" w:hAnsi="Times New Roman" w:cs="Times New Roman"/>
    </w:rPr>
  </w:style>
  <w:style w:type="paragraph" w:styleId="BodyTextIndent">
    <w:name w:val="Body Text Indent"/>
    <w:basedOn w:val="Normal"/>
    <w:link w:val="BodyTextIndentChar"/>
    <w:uiPriority w:val="99"/>
    <w:rPr>
      <w:rFonts w:ascii="Arial Narrow" w:hAnsi="Arial Narrow" w:cs="Times New Roman"/>
      <w:b w:val="0"/>
      <w:bCs w:val="0"/>
    </w:rPr>
  </w:style>
  <w:style w:type="character" w:customStyle="1" w:styleId="BodyTextIndentChar">
    <w:name w:val="Body Text Indent Char"/>
    <w:basedOn w:val="DefaultParagraphFont"/>
    <w:link w:val="BodyTextIndent"/>
    <w:uiPriority w:val="99"/>
    <w:semiHidden/>
    <w:locked/>
    <w:rPr>
      <w:rFonts w:ascii="Arial" w:hAnsi="Arial" w:cs="Arial"/>
      <w:b/>
      <w:bCs/>
      <w:color w:val="000000"/>
      <w:sz w:val="24"/>
      <w:szCs w:val="24"/>
      <w:lang w:val="x-none" w:eastAsia="en-US"/>
    </w:rPr>
  </w:style>
  <w:style w:type="paragraph" w:styleId="ListBullet">
    <w:name w:val="List Bullet"/>
    <w:basedOn w:val="Normal"/>
    <w:autoRedefine/>
    <w:uiPriority w:val="99"/>
    <w:rPr>
      <w:rFonts w:ascii="Arial Narrow" w:hAnsi="Arial Narrow" w:cs="Times New Roman"/>
      <w:b w:val="0"/>
      <w:bCs w:val="0"/>
      <w:color w:val="auto"/>
      <w:lang w:val="en-GB"/>
    </w:rPr>
  </w:style>
  <w:style w:type="paragraph" w:customStyle="1" w:styleId="Clause">
    <w:name w:val="Clause"/>
    <w:basedOn w:val="Normal"/>
    <w:uiPriority w:val="99"/>
    <w:pPr>
      <w:numPr>
        <w:numId w:val="27"/>
      </w:numPr>
      <w:tabs>
        <w:tab w:val="num" w:pos="1080"/>
        <w:tab w:val="left" w:pos="1191"/>
      </w:tabs>
      <w:spacing w:before="240"/>
      <w:ind w:left="360" w:hanging="360"/>
    </w:pPr>
    <w:rPr>
      <w:color w:val="auto"/>
      <w:lang w:val="en-GB"/>
    </w:rPr>
  </w:style>
  <w:style w:type="paragraph" w:customStyle="1" w:styleId="Clause76">
    <w:name w:val="Clause 76"/>
    <w:basedOn w:val="Clause"/>
    <w:uiPriority w:val="99"/>
    <w:pPr>
      <w:numPr>
        <w:numId w:val="0"/>
      </w:numPr>
      <w:tabs>
        <w:tab w:val="left" w:pos="1276"/>
      </w:tabs>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b/>
      <w:bCs/>
      <w:color w:val="000000"/>
      <w:sz w:val="18"/>
      <w:szCs w:val="18"/>
      <w:lang w:val="x-none" w:eastAsia="en-US"/>
    </w:rPr>
  </w:style>
  <w:style w:type="paragraph" w:customStyle="1" w:styleId="GalHead">
    <w:name w:val="GalHead"/>
    <w:basedOn w:val="Heading1"/>
    <w:uiPriority w:val="99"/>
    <w:pPr>
      <w:autoSpaceDE/>
      <w:autoSpaceDN/>
      <w:adjustRightInd/>
      <w:spacing w:after="100"/>
    </w:pPr>
    <w:rPr>
      <w:rFonts w:ascii="Arial Narrow" w:hAnsi="Arial Narrow"/>
      <w:smallCaps w:val="0"/>
      <w:outline w:val="0"/>
      <w:lang w:val="en-AU"/>
    </w:rPr>
  </w:style>
  <w:style w:type="paragraph" w:styleId="BodyText3">
    <w:name w:val="Body Text 3"/>
    <w:basedOn w:val="Normal"/>
    <w:link w:val="BodyText3Char"/>
    <w:uiPriority w:val="99"/>
    <w:pPr>
      <w:autoSpaceDE w:val="0"/>
      <w:autoSpaceDN w:val="0"/>
      <w:adjustRightInd w:val="0"/>
    </w:pPr>
    <w:rPr>
      <w:rFonts w:ascii="TimesNewRoman,Bold" w:hAnsi="TimesNewRoman,Bold" w:cs="Times New Roman"/>
      <w:b w:val="0"/>
      <w:bCs w:val="0"/>
      <w:color w:val="auto"/>
      <w:lang w:val="en-US"/>
    </w:rPr>
  </w:style>
  <w:style w:type="character" w:customStyle="1" w:styleId="BodyText3Char">
    <w:name w:val="Body Text 3 Char"/>
    <w:basedOn w:val="DefaultParagraphFont"/>
    <w:link w:val="BodyText3"/>
    <w:uiPriority w:val="99"/>
    <w:semiHidden/>
    <w:locked/>
    <w:rPr>
      <w:rFonts w:ascii="Arial" w:hAnsi="Arial" w:cs="Arial"/>
      <w:b/>
      <w:bCs/>
      <w:color w:val="000000"/>
      <w:sz w:val="16"/>
      <w:szCs w:val="16"/>
      <w:lang w:val="x-none" w:eastAsia="en-US"/>
    </w:rPr>
  </w:style>
  <w:style w:type="paragraph" w:customStyle="1" w:styleId="Amain">
    <w:name w:val="A main"/>
    <w:basedOn w:val="Normal"/>
    <w:uiPriority w:val="99"/>
    <w:pPr>
      <w:tabs>
        <w:tab w:val="right" w:pos="900"/>
        <w:tab w:val="left" w:pos="1100"/>
      </w:tabs>
      <w:spacing w:before="80" w:after="60"/>
      <w:ind w:left="1100" w:hanging="1100"/>
      <w:jc w:val="both"/>
      <w:outlineLvl w:val="5"/>
    </w:pPr>
    <w:rPr>
      <w:b w:val="0"/>
      <w:bCs w:val="0"/>
      <w:color w:val="auto"/>
    </w:rPr>
  </w:style>
  <w:style w:type="paragraph" w:customStyle="1" w:styleId="Apara">
    <w:name w:val="A para"/>
    <w:basedOn w:val="Normal"/>
    <w:uiPriority w:val="99"/>
    <w:pPr>
      <w:tabs>
        <w:tab w:val="right" w:pos="1400"/>
        <w:tab w:val="left" w:pos="1600"/>
      </w:tabs>
      <w:spacing w:before="80" w:after="60"/>
      <w:ind w:left="1600" w:hanging="1600"/>
      <w:jc w:val="both"/>
      <w:outlineLvl w:val="6"/>
    </w:pPr>
    <w:rPr>
      <w:b w:val="0"/>
      <w:bCs w:val="0"/>
      <w:color w:val="auto"/>
    </w:rPr>
  </w:style>
  <w:style w:type="paragraph" w:customStyle="1" w:styleId="aDef">
    <w:name w:val="aDef"/>
    <w:basedOn w:val="Normal"/>
    <w:uiPriority w:val="99"/>
    <w:pPr>
      <w:spacing w:before="80" w:after="60"/>
      <w:ind w:left="1100"/>
      <w:jc w:val="both"/>
    </w:pPr>
    <w:rPr>
      <w:b w:val="0"/>
      <w:bCs w:val="0"/>
      <w:color w:val="auto"/>
    </w:rPr>
  </w:style>
  <w:style w:type="paragraph" w:customStyle="1" w:styleId="aDefpara">
    <w:name w:val="aDef para"/>
    <w:basedOn w:val="Apara"/>
    <w:uiPriority w:val="99"/>
  </w:style>
  <w:style w:type="paragraph" w:customStyle="1" w:styleId="aNotepar">
    <w:name w:val="aNotepar"/>
    <w:basedOn w:val="Normal"/>
    <w:next w:val="Normal"/>
    <w:uiPriority w:val="99"/>
    <w:pPr>
      <w:spacing w:before="80" w:after="60"/>
      <w:ind w:left="2400" w:hanging="800"/>
      <w:jc w:val="both"/>
    </w:pPr>
    <w:rPr>
      <w:rFonts w:ascii="Times New (W1)" w:hAnsi="Times New (W1)" w:cs="Times New (W1)"/>
      <w:b w:val="0"/>
      <w:bCs w:val="0"/>
      <w:color w:val="auto"/>
      <w:sz w:val="20"/>
      <w:szCs w:val="20"/>
    </w:rPr>
  </w:style>
  <w:style w:type="paragraph" w:styleId="BodyTextIndent2">
    <w:name w:val="Body Text Indent 2"/>
    <w:basedOn w:val="Normal"/>
    <w:link w:val="BodyTextIndent2Char"/>
    <w:uiPriority w:val="99"/>
    <w:pPr>
      <w:ind w:left="1440" w:hanging="1440"/>
    </w:pPr>
    <w:rPr>
      <w:rFonts w:ascii="Arial Narrow" w:hAnsi="Arial Narrow" w:cs="Times New Roman"/>
    </w:rPr>
  </w:style>
  <w:style w:type="character" w:customStyle="1" w:styleId="BodyTextIndent2Char">
    <w:name w:val="Body Text Indent 2 Char"/>
    <w:basedOn w:val="DefaultParagraphFont"/>
    <w:link w:val="BodyTextIndent2"/>
    <w:uiPriority w:val="99"/>
    <w:semiHidden/>
    <w:locked/>
    <w:rPr>
      <w:rFonts w:ascii="Arial" w:hAnsi="Arial" w:cs="Arial"/>
      <w:b/>
      <w:bCs/>
      <w:color w:val="000000"/>
      <w:sz w:val="24"/>
      <w:szCs w:val="24"/>
      <w:lang w:val="x-none" w:eastAsia="en-US"/>
    </w:rPr>
  </w:style>
  <w:style w:type="character" w:styleId="FollowedHyperlink">
    <w:name w:val="FollowedHyperlink"/>
    <w:basedOn w:val="DefaultParagraphFont"/>
    <w:uiPriority w:val="99"/>
    <w:rsid w:val="00BA44DB"/>
    <w:rPr>
      <w:rFonts w:cs="Times New Roman"/>
      <w:i/>
      <w:color w:val="0000FF"/>
    </w:rPr>
  </w:style>
  <w:style w:type="paragraph" w:styleId="ListParagraph">
    <w:name w:val="List Paragraph"/>
    <w:basedOn w:val="Normal"/>
    <w:uiPriority w:val="34"/>
    <w:qFormat/>
    <w:rsid w:val="00D95CBE"/>
    <w:pPr>
      <w:ind w:left="720"/>
      <w:contextualSpacing/>
    </w:pPr>
    <w:rPr>
      <w:rFonts w:ascii="Times New Roman" w:hAnsi="Times New Roman" w:cs="Times New Roman"/>
      <w:b w:val="0"/>
      <w:bCs w:val="0"/>
      <w:color w:val="auto"/>
      <w:szCs w:val="20"/>
    </w:rPr>
  </w:style>
  <w:style w:type="character" w:styleId="Hyperlink">
    <w:name w:val="Hyperlink"/>
    <w:basedOn w:val="DefaultParagraphFont"/>
    <w:uiPriority w:val="99"/>
    <w:unhideWhenUsed/>
    <w:rsid w:val="00A92546"/>
    <w:rPr>
      <w:rFonts w:cs="Times New Roman"/>
      <w:color w:val="0000FF"/>
      <w:u w:val="single"/>
    </w:rPr>
  </w:style>
  <w:style w:type="paragraph" w:customStyle="1" w:styleId="CS-Paragraphnumbering">
    <w:name w:val="CS - Paragraph numbering"/>
    <w:basedOn w:val="Normal"/>
    <w:rsid w:val="003D6EE3"/>
    <w:pPr>
      <w:numPr>
        <w:numId w:val="26"/>
      </w:numPr>
      <w:tabs>
        <w:tab w:val="num" w:pos="360"/>
      </w:tabs>
      <w:spacing w:after="120" w:line="276" w:lineRule="auto"/>
      <w:ind w:left="720" w:right="-45"/>
    </w:pPr>
    <w:rPr>
      <w:rFonts w:ascii="Calibri" w:hAnsi="Calibri" w:cs="Times New Roman"/>
      <w:b w:val="0"/>
      <w:bCs w:val="0"/>
      <w:color w:val="auto"/>
    </w:rPr>
  </w:style>
  <w:style w:type="character" w:customStyle="1" w:styleId="Calibri12">
    <w:name w:val="Calibri 12"/>
    <w:uiPriority w:val="1"/>
    <w:qFormat/>
    <w:rsid w:val="003D6EE3"/>
    <w:rPr>
      <w:rFonts w:ascii="Calibri" w:hAnsi="Calibri"/>
      <w:sz w:val="24"/>
    </w:rPr>
  </w:style>
  <w:style w:type="character" w:styleId="CommentReference">
    <w:name w:val="annotation reference"/>
    <w:basedOn w:val="DefaultParagraphFont"/>
    <w:uiPriority w:val="99"/>
    <w:semiHidden/>
    <w:unhideWhenUsed/>
    <w:rsid w:val="009904E1"/>
    <w:rPr>
      <w:rFonts w:cs="Times New Roman"/>
      <w:sz w:val="16"/>
      <w:szCs w:val="16"/>
    </w:rPr>
  </w:style>
  <w:style w:type="paragraph" w:styleId="CommentText">
    <w:name w:val="annotation text"/>
    <w:basedOn w:val="Normal"/>
    <w:link w:val="CommentTextChar"/>
    <w:uiPriority w:val="99"/>
    <w:semiHidden/>
    <w:unhideWhenUsed/>
    <w:rsid w:val="009904E1"/>
    <w:rPr>
      <w:sz w:val="20"/>
      <w:szCs w:val="20"/>
    </w:rPr>
  </w:style>
  <w:style w:type="character" w:customStyle="1" w:styleId="CommentTextChar">
    <w:name w:val="Comment Text Char"/>
    <w:basedOn w:val="DefaultParagraphFont"/>
    <w:link w:val="CommentText"/>
    <w:uiPriority w:val="99"/>
    <w:semiHidden/>
    <w:locked/>
    <w:rsid w:val="009904E1"/>
    <w:rPr>
      <w:rFonts w:ascii="Arial" w:hAnsi="Arial" w:cs="Arial"/>
      <w:b/>
      <w:bCs/>
      <w:color w:val="000000"/>
      <w:sz w:val="20"/>
      <w:szCs w:val="20"/>
      <w:lang w:val="x-none" w:eastAsia="en-US"/>
    </w:rPr>
  </w:style>
  <w:style w:type="paragraph" w:styleId="CommentSubject">
    <w:name w:val="annotation subject"/>
    <w:basedOn w:val="CommentText"/>
    <w:next w:val="CommentText"/>
    <w:link w:val="CommentSubjectChar"/>
    <w:uiPriority w:val="99"/>
    <w:semiHidden/>
    <w:unhideWhenUsed/>
    <w:rsid w:val="009904E1"/>
  </w:style>
  <w:style w:type="character" w:customStyle="1" w:styleId="CommentSubjectChar">
    <w:name w:val="Comment Subject Char"/>
    <w:basedOn w:val="CommentTextChar"/>
    <w:link w:val="CommentSubject"/>
    <w:uiPriority w:val="99"/>
    <w:semiHidden/>
    <w:locked/>
    <w:rsid w:val="009904E1"/>
    <w:rPr>
      <w:rFonts w:ascii="Arial" w:hAnsi="Arial" w:cs="Arial"/>
      <w:b/>
      <w:bCs/>
      <w:color w:val="000000"/>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5206</Characters>
  <Application>Microsoft Office Word</Application>
  <DocSecurity>0</DocSecurity>
  <Lines>144</Lines>
  <Paragraphs>36</Paragraphs>
  <ScaleCrop>false</ScaleCrop>
  <Company>ACT Government</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(Compliance Testing) Amendment Bill 2006</dc:title>
  <dc:subject>Explanatory Statement</dc:subject>
  <dc:creator>David Kallir Preece</dc:creator>
  <cp:keywords>2</cp:keywords>
  <dc:description/>
  <cp:lastModifiedBy>Moxon, KarenL</cp:lastModifiedBy>
  <cp:revision>3</cp:revision>
  <cp:lastPrinted>2010-02-01T05:01:00Z</cp:lastPrinted>
  <dcterms:created xsi:type="dcterms:W3CDTF">2020-04-03T04:50:00Z</dcterms:created>
  <dcterms:modified xsi:type="dcterms:W3CDTF">2020-04-03T04:50:00Z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1170587</vt:lpwstr>
  </property>
  <property fmtid="{D5CDD505-2E9C-101B-9397-08002B2CF9AE}" pid="4" name="JMSREQUIREDCHECKIN">
    <vt:lpwstr/>
  </property>
</Properties>
</file>