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F3DBF" w14:textId="77777777" w:rsidR="00315D6D" w:rsidRDefault="00315D6D" w:rsidP="00315D6D">
      <w:pPr>
        <w:spacing w:before="120"/>
        <w:rPr>
          <w:rFonts w:ascii="Arial" w:hAnsi="Arial" w:cs="Arial"/>
        </w:rPr>
      </w:pPr>
      <w:bookmarkStart w:id="0" w:name="_GoBack"/>
      <w:bookmarkEnd w:id="0"/>
      <w:r>
        <w:rPr>
          <w:rFonts w:ascii="Arial" w:hAnsi="Arial" w:cs="Arial"/>
        </w:rPr>
        <w:t>Australian Capital Territory</w:t>
      </w:r>
    </w:p>
    <w:p w14:paraId="5C80A466" w14:textId="7374C4D9" w:rsidR="00315D6D" w:rsidRDefault="00315D6D" w:rsidP="00315D6D">
      <w:pPr>
        <w:pStyle w:val="Billname"/>
        <w:spacing w:before="700"/>
      </w:pPr>
      <w:r>
        <w:t xml:space="preserve">Liquor Amendment Regulation 2020 (No </w:t>
      </w:r>
      <w:r w:rsidR="00F03070">
        <w:t>2</w:t>
      </w:r>
      <w:r>
        <w:t>)</w:t>
      </w:r>
    </w:p>
    <w:p w14:paraId="4E2FB8FE" w14:textId="5D1655A4" w:rsidR="00315D6D" w:rsidRDefault="00315D6D" w:rsidP="00315D6D">
      <w:pPr>
        <w:spacing w:before="340"/>
        <w:rPr>
          <w:rFonts w:ascii="Arial" w:hAnsi="Arial" w:cs="Arial"/>
          <w:b/>
          <w:bCs/>
        </w:rPr>
      </w:pPr>
      <w:r>
        <w:rPr>
          <w:rFonts w:ascii="Arial" w:hAnsi="Arial" w:cs="Arial"/>
          <w:b/>
          <w:bCs/>
        </w:rPr>
        <w:t>Subordinate law SL2020–</w:t>
      </w:r>
      <w:r w:rsidR="00364663">
        <w:rPr>
          <w:rFonts w:ascii="Arial" w:hAnsi="Arial" w:cs="Arial"/>
          <w:b/>
          <w:bCs/>
        </w:rPr>
        <w:t>19</w:t>
      </w:r>
    </w:p>
    <w:p w14:paraId="17D8BD3F" w14:textId="77777777" w:rsidR="00315D6D" w:rsidRDefault="00315D6D" w:rsidP="00315D6D">
      <w:pPr>
        <w:pStyle w:val="madeunder"/>
        <w:spacing w:before="300" w:after="0"/>
      </w:pPr>
      <w:r>
        <w:t xml:space="preserve">made under the  </w:t>
      </w:r>
    </w:p>
    <w:p w14:paraId="664E7633" w14:textId="77777777" w:rsidR="00F03070" w:rsidRDefault="00F03070" w:rsidP="00F03070">
      <w:pPr>
        <w:pStyle w:val="CoverActName"/>
        <w:spacing w:after="0"/>
        <w:rPr>
          <w:sz w:val="20"/>
        </w:rPr>
      </w:pPr>
      <w:r>
        <w:rPr>
          <w:iCs/>
          <w:sz w:val="20"/>
        </w:rPr>
        <w:t>Liquor Act 2010</w:t>
      </w:r>
      <w:bookmarkStart w:id="1" w:name="_Hlk36287000"/>
      <w:r>
        <w:rPr>
          <w:sz w:val="20"/>
        </w:rPr>
        <w:t>, s 229</w:t>
      </w:r>
      <w:bookmarkEnd w:id="1"/>
      <w:r>
        <w:rPr>
          <w:sz w:val="20"/>
        </w:rPr>
        <w:t xml:space="preserve"> (Regulation-making power)</w:t>
      </w:r>
    </w:p>
    <w:p w14:paraId="6B196DBF" w14:textId="77777777" w:rsidR="00F03070" w:rsidRDefault="00F03070" w:rsidP="00F03070">
      <w:pPr>
        <w:spacing w:before="360"/>
        <w:ind w:right="565"/>
        <w:rPr>
          <w:rFonts w:ascii="Arial" w:hAnsi="Arial" w:cs="Arial"/>
          <w:b/>
          <w:bCs/>
          <w:sz w:val="28"/>
          <w:szCs w:val="28"/>
        </w:rPr>
      </w:pPr>
      <w:r>
        <w:rPr>
          <w:rFonts w:ascii="Arial" w:hAnsi="Arial" w:cs="Arial"/>
          <w:b/>
          <w:bCs/>
          <w:sz w:val="28"/>
          <w:szCs w:val="28"/>
        </w:rPr>
        <w:t>EXPLANATORY STATEMENT</w:t>
      </w:r>
    </w:p>
    <w:p w14:paraId="289650FD" w14:textId="77777777" w:rsidR="00315D6D" w:rsidRDefault="00315D6D" w:rsidP="00315D6D">
      <w:pPr>
        <w:pStyle w:val="N-line3"/>
        <w:pBdr>
          <w:bottom w:val="none" w:sz="0" w:space="0" w:color="auto"/>
        </w:pBdr>
      </w:pPr>
    </w:p>
    <w:p w14:paraId="29ADC477" w14:textId="77777777" w:rsidR="00315D6D" w:rsidRDefault="00315D6D" w:rsidP="00315D6D">
      <w:pPr>
        <w:pStyle w:val="N-line3"/>
        <w:pBdr>
          <w:top w:val="single" w:sz="12" w:space="1" w:color="auto"/>
          <w:bottom w:val="none" w:sz="0" w:space="0" w:color="auto"/>
        </w:pBdr>
      </w:pPr>
    </w:p>
    <w:p w14:paraId="6396791C" w14:textId="77777777" w:rsidR="00F03070" w:rsidRPr="00F03070" w:rsidRDefault="00F03070" w:rsidP="007F66D9">
      <w:pPr>
        <w:jc w:val="both"/>
        <w:rPr>
          <w:szCs w:val="24"/>
          <w:lang w:eastAsia="en-AU"/>
        </w:rPr>
      </w:pPr>
      <w:r w:rsidRPr="00F03070">
        <w:rPr>
          <w:szCs w:val="24"/>
          <w:lang w:eastAsia="en-AU"/>
        </w:rPr>
        <w:t xml:space="preserve">The </w:t>
      </w:r>
      <w:r w:rsidRPr="00F03070">
        <w:rPr>
          <w:i/>
          <w:iCs/>
          <w:szCs w:val="24"/>
          <w:lang w:eastAsia="en-AU"/>
        </w:rPr>
        <w:t>Liquor Act 2010</w:t>
      </w:r>
      <w:r w:rsidRPr="00F03070">
        <w:rPr>
          <w:szCs w:val="24"/>
          <w:lang w:eastAsia="en-AU"/>
        </w:rPr>
        <w:t xml:space="preserve"> (the Act) regulates the supply of liquor in the ACT. </w:t>
      </w:r>
    </w:p>
    <w:p w14:paraId="1EB10044" w14:textId="77777777" w:rsidR="00F03070" w:rsidRPr="00F03070" w:rsidRDefault="00F03070" w:rsidP="007F66D9">
      <w:pPr>
        <w:jc w:val="both"/>
        <w:rPr>
          <w:szCs w:val="24"/>
          <w:lang w:eastAsia="en-AU"/>
        </w:rPr>
      </w:pPr>
    </w:p>
    <w:p w14:paraId="10EA76A2" w14:textId="3FFFBFD5" w:rsidR="00F03070" w:rsidRDefault="00F03070" w:rsidP="007F66D9">
      <w:pPr>
        <w:jc w:val="both"/>
        <w:rPr>
          <w:szCs w:val="24"/>
          <w:lang w:eastAsia="en-AU"/>
        </w:rPr>
      </w:pPr>
      <w:r w:rsidRPr="00F03070">
        <w:rPr>
          <w:szCs w:val="24"/>
          <w:lang w:eastAsia="en-AU"/>
        </w:rPr>
        <w:t>Section 229 of the Act provides that the Executive may make regulations for the Act. Section 229 (2) (d) of the Act provides that a regulation may make provision in relation to the circumstances in which the Commissioner for Fair Trading (the commissioner) may waive or reduce fees.</w:t>
      </w:r>
    </w:p>
    <w:p w14:paraId="516F1EDA" w14:textId="77777777" w:rsidR="00F03070" w:rsidRPr="00F03070" w:rsidRDefault="00F03070" w:rsidP="007F66D9">
      <w:pPr>
        <w:jc w:val="both"/>
        <w:rPr>
          <w:szCs w:val="24"/>
          <w:lang w:eastAsia="en-AU"/>
        </w:rPr>
      </w:pPr>
    </w:p>
    <w:p w14:paraId="0A56D8CF" w14:textId="1832C483" w:rsidR="00315D6D" w:rsidRDefault="00315D6D" w:rsidP="007F66D9">
      <w:pPr>
        <w:jc w:val="both"/>
      </w:pPr>
      <w:r>
        <w:t xml:space="preserve">This explanatory statement relates to the Liquor Amendment Regulation 2020 (No </w:t>
      </w:r>
      <w:r w:rsidR="00F03070">
        <w:t>2</w:t>
      </w:r>
      <w:r>
        <w:t>) (the amendment regulation). It has been prepared in order to assist the reader of the amendment regulation. It does not form part of the amendment regulation and has not been endorsed by the Legislative Assembly. The statement is to be read in conjunction with the amendment regulation. It is not, and is not meant to be, a comprehensive description of the amendment regulation.</w:t>
      </w:r>
    </w:p>
    <w:p w14:paraId="40C82CEE" w14:textId="77777777" w:rsidR="00315D6D" w:rsidRDefault="00315D6D" w:rsidP="007F66D9">
      <w:pPr>
        <w:jc w:val="both"/>
      </w:pPr>
    </w:p>
    <w:p w14:paraId="5A7074FC" w14:textId="77777777" w:rsidR="00315D6D" w:rsidRDefault="00315D6D" w:rsidP="00315D6D">
      <w:pPr>
        <w:rPr>
          <w:rFonts w:ascii="Arial" w:hAnsi="Arial" w:cs="Arial"/>
          <w:b/>
        </w:rPr>
      </w:pPr>
      <w:r w:rsidRPr="00F72BE0">
        <w:rPr>
          <w:rFonts w:ascii="Arial" w:hAnsi="Arial" w:cs="Arial"/>
          <w:b/>
        </w:rPr>
        <w:t xml:space="preserve">OUTLINE </w:t>
      </w:r>
    </w:p>
    <w:p w14:paraId="2744CF2D" w14:textId="77777777" w:rsidR="00315D6D" w:rsidRDefault="00315D6D" w:rsidP="00315D6D">
      <w:pPr>
        <w:rPr>
          <w:rFonts w:ascii="Arial" w:hAnsi="Arial" w:cs="Arial"/>
          <w:b/>
        </w:rPr>
      </w:pPr>
    </w:p>
    <w:p w14:paraId="15CCACD8" w14:textId="77777777" w:rsidR="00315D6D" w:rsidRDefault="00315D6D" w:rsidP="007F66D9">
      <w:pPr>
        <w:jc w:val="both"/>
      </w:pPr>
      <w:r>
        <w:t xml:space="preserve">The </w:t>
      </w:r>
      <w:r>
        <w:rPr>
          <w:i/>
        </w:rPr>
        <w:t>Liquor Act 2010</w:t>
      </w:r>
      <w:r>
        <w:t xml:space="preserve"> commenced on 6 September 2010.  </w:t>
      </w:r>
      <w:r>
        <w:rPr>
          <w:szCs w:val="24"/>
        </w:rPr>
        <w:t xml:space="preserve">The </w:t>
      </w:r>
      <w:r w:rsidRPr="00FD165E">
        <w:rPr>
          <w:i/>
          <w:szCs w:val="24"/>
        </w:rPr>
        <w:t>Liquor Act 2010</w:t>
      </w:r>
      <w:r>
        <w:rPr>
          <w:szCs w:val="24"/>
        </w:rPr>
        <w:t xml:space="preserve"> regulates the sale, supply, promotion and consumption of liquor in a way that minimises harm associated with the consumption of liquor, and in a way that takes into account the safety of the community.  The </w:t>
      </w:r>
      <w:r w:rsidRPr="00FD165E">
        <w:rPr>
          <w:i/>
          <w:szCs w:val="24"/>
        </w:rPr>
        <w:t>Liquor Act 2010</w:t>
      </w:r>
      <w:r>
        <w:rPr>
          <w:szCs w:val="24"/>
        </w:rPr>
        <w:t xml:space="preserve"> replaced the </w:t>
      </w:r>
      <w:r w:rsidRPr="0078462B">
        <w:rPr>
          <w:i/>
          <w:szCs w:val="24"/>
        </w:rPr>
        <w:t>Liquor Act 1975</w:t>
      </w:r>
      <w:r>
        <w:rPr>
          <w:szCs w:val="24"/>
        </w:rPr>
        <w:t>.</w:t>
      </w:r>
    </w:p>
    <w:p w14:paraId="680F967C" w14:textId="77777777" w:rsidR="00315D6D" w:rsidRDefault="00315D6D" w:rsidP="007F66D9">
      <w:pPr>
        <w:jc w:val="both"/>
      </w:pPr>
    </w:p>
    <w:p w14:paraId="390CFFD8" w14:textId="77777777" w:rsidR="00315D6D" w:rsidRDefault="00315D6D" w:rsidP="007F66D9">
      <w:pPr>
        <w:jc w:val="both"/>
        <w:rPr>
          <w:szCs w:val="24"/>
        </w:rPr>
      </w:pPr>
      <w:r>
        <w:rPr>
          <w:szCs w:val="24"/>
        </w:rPr>
        <w:t xml:space="preserve">The </w:t>
      </w:r>
      <w:r w:rsidRPr="00F76850">
        <w:rPr>
          <w:i/>
          <w:iCs/>
          <w:szCs w:val="24"/>
        </w:rPr>
        <w:t>Liquor Regulation 2010</w:t>
      </w:r>
      <w:r>
        <w:rPr>
          <w:i/>
          <w:iCs/>
          <w:szCs w:val="24"/>
        </w:rPr>
        <w:t xml:space="preserve">, </w:t>
      </w:r>
      <w:r>
        <w:rPr>
          <w:szCs w:val="24"/>
        </w:rPr>
        <w:t xml:space="preserve">made under the </w:t>
      </w:r>
      <w:r w:rsidRPr="00E23693">
        <w:rPr>
          <w:i/>
          <w:iCs/>
          <w:szCs w:val="24"/>
        </w:rPr>
        <w:t>Liquor Act 2010</w:t>
      </w:r>
      <w:r>
        <w:rPr>
          <w:szCs w:val="24"/>
        </w:rPr>
        <w:t xml:space="preserve">, Section 229 commenced on 20 October 2010. </w:t>
      </w:r>
    </w:p>
    <w:p w14:paraId="42BFD16B" w14:textId="77777777" w:rsidR="00315D6D" w:rsidRDefault="00315D6D" w:rsidP="007F66D9">
      <w:pPr>
        <w:jc w:val="both"/>
        <w:rPr>
          <w:szCs w:val="24"/>
        </w:rPr>
      </w:pPr>
    </w:p>
    <w:p w14:paraId="5D6014D8" w14:textId="31D679D3" w:rsidR="00907628" w:rsidRPr="00907628" w:rsidRDefault="007F66D9" w:rsidP="007F66D9">
      <w:pPr>
        <w:jc w:val="both"/>
        <w:rPr>
          <w:szCs w:val="24"/>
          <w:lang w:eastAsia="en-AU"/>
        </w:rPr>
      </w:pPr>
      <w:r>
        <w:rPr>
          <w:szCs w:val="24"/>
        </w:rPr>
        <w:t>This amendment regulation amends</w:t>
      </w:r>
      <w:r w:rsidR="00315D6D">
        <w:rPr>
          <w:szCs w:val="24"/>
        </w:rPr>
        <w:t xml:space="preserve"> the </w:t>
      </w:r>
      <w:r w:rsidR="00315D6D" w:rsidRPr="00BE48AC">
        <w:rPr>
          <w:i/>
          <w:iCs/>
          <w:szCs w:val="24"/>
        </w:rPr>
        <w:t>Liquor Regulation 2010</w:t>
      </w:r>
      <w:r w:rsidR="00315D6D">
        <w:rPr>
          <w:szCs w:val="24"/>
        </w:rPr>
        <w:t xml:space="preserve"> </w:t>
      </w:r>
      <w:r w:rsidR="00907628">
        <w:rPr>
          <w:szCs w:val="24"/>
        </w:rPr>
        <w:t xml:space="preserve">to </w:t>
      </w:r>
      <w:r w:rsidR="00907628" w:rsidRPr="00907628">
        <w:rPr>
          <w:szCs w:val="24"/>
          <w:lang w:eastAsia="en-AU"/>
        </w:rPr>
        <w:t>make provision in relation to the circumstances in which the Commissioner for Fair Trading (the commissioner) may waive or reduce fees.</w:t>
      </w:r>
    </w:p>
    <w:p w14:paraId="4A0C8958" w14:textId="77777777" w:rsidR="00907628" w:rsidRPr="00907628" w:rsidRDefault="00907628" w:rsidP="007F66D9">
      <w:pPr>
        <w:jc w:val="both"/>
        <w:rPr>
          <w:szCs w:val="24"/>
          <w:lang w:eastAsia="en-AU"/>
        </w:rPr>
      </w:pPr>
    </w:p>
    <w:p w14:paraId="5DFDDDDE" w14:textId="4F817E1B" w:rsidR="00907628" w:rsidRPr="00907628" w:rsidRDefault="00907628" w:rsidP="007F66D9">
      <w:pPr>
        <w:jc w:val="both"/>
        <w:rPr>
          <w:szCs w:val="24"/>
          <w:lang w:eastAsia="en-AU"/>
        </w:rPr>
      </w:pPr>
      <w:r w:rsidRPr="00907628">
        <w:rPr>
          <w:szCs w:val="24"/>
          <w:lang w:eastAsia="en-AU"/>
        </w:rPr>
        <w:t>Th</w:t>
      </w:r>
      <w:r w:rsidR="007F66D9">
        <w:rPr>
          <w:szCs w:val="24"/>
          <w:lang w:eastAsia="en-AU"/>
        </w:rPr>
        <w:t>e</w:t>
      </w:r>
      <w:r w:rsidRPr="00907628">
        <w:rPr>
          <w:szCs w:val="24"/>
          <w:lang w:eastAsia="en-AU"/>
        </w:rPr>
        <w:t xml:space="preserve"> amendment regulation provides that the commissioner may waive a fee payable in relation to a licence or permit </w:t>
      </w:r>
      <w:r>
        <w:rPr>
          <w:szCs w:val="24"/>
          <w:lang w:eastAsia="en-AU"/>
        </w:rPr>
        <w:t>during</w:t>
      </w:r>
      <w:r w:rsidRPr="00907628">
        <w:rPr>
          <w:szCs w:val="24"/>
          <w:lang w:eastAsia="en-AU"/>
        </w:rPr>
        <w:t>—</w:t>
      </w:r>
    </w:p>
    <w:p w14:paraId="7084E46C" w14:textId="27907B0A" w:rsidR="00907628" w:rsidRPr="00907628" w:rsidRDefault="00907628" w:rsidP="00907628">
      <w:pPr>
        <w:pStyle w:val="ListParagraph"/>
        <w:numPr>
          <w:ilvl w:val="0"/>
          <w:numId w:val="13"/>
        </w:numPr>
        <w:spacing w:before="120" w:line="259" w:lineRule="auto"/>
        <w:ind w:left="1417" w:hanging="425"/>
        <w:jc w:val="both"/>
        <w:rPr>
          <w:szCs w:val="24"/>
          <w:lang w:eastAsia="en-AU"/>
        </w:rPr>
      </w:pPr>
      <w:r>
        <w:rPr>
          <w:szCs w:val="24"/>
          <w:lang w:eastAsia="en-AU"/>
        </w:rPr>
        <w:t>a</w:t>
      </w:r>
      <w:r w:rsidRPr="00907628">
        <w:rPr>
          <w:szCs w:val="24"/>
          <w:lang w:eastAsia="en-AU"/>
        </w:rPr>
        <w:t xml:space="preserve"> COVID-19 emergency; or</w:t>
      </w:r>
    </w:p>
    <w:p w14:paraId="1DBC5C6F" w14:textId="77777777" w:rsidR="0089596D" w:rsidRDefault="00907628" w:rsidP="00907628">
      <w:pPr>
        <w:pStyle w:val="ListParagraph"/>
        <w:numPr>
          <w:ilvl w:val="0"/>
          <w:numId w:val="13"/>
        </w:numPr>
        <w:spacing w:line="259" w:lineRule="auto"/>
        <w:ind w:left="1418" w:hanging="425"/>
        <w:jc w:val="both"/>
        <w:rPr>
          <w:szCs w:val="24"/>
          <w:lang w:eastAsia="en-AU"/>
        </w:rPr>
      </w:pPr>
      <w:r>
        <w:rPr>
          <w:szCs w:val="24"/>
          <w:lang w:eastAsia="en-AU"/>
        </w:rPr>
        <w:t>in the 12 months following a COVID-19 emergency</w:t>
      </w:r>
      <w:r w:rsidRPr="00907628">
        <w:rPr>
          <w:szCs w:val="24"/>
          <w:lang w:eastAsia="en-AU"/>
        </w:rPr>
        <w:t xml:space="preserve">; </w:t>
      </w:r>
    </w:p>
    <w:p w14:paraId="353BF68D" w14:textId="4E3D335E" w:rsidR="00907628" w:rsidRPr="0089596D" w:rsidRDefault="00907628" w:rsidP="0089596D">
      <w:pPr>
        <w:spacing w:line="259" w:lineRule="auto"/>
        <w:jc w:val="both"/>
        <w:rPr>
          <w:szCs w:val="24"/>
          <w:lang w:eastAsia="en-AU"/>
        </w:rPr>
      </w:pPr>
      <w:r w:rsidRPr="0089596D">
        <w:rPr>
          <w:szCs w:val="24"/>
          <w:lang w:eastAsia="en-AU"/>
        </w:rPr>
        <w:t>and</w:t>
      </w:r>
      <w:r w:rsidR="0089596D">
        <w:rPr>
          <w:szCs w:val="24"/>
          <w:lang w:eastAsia="en-AU"/>
        </w:rPr>
        <w:t xml:space="preserve"> where—</w:t>
      </w:r>
    </w:p>
    <w:p w14:paraId="586E47AD" w14:textId="77777777" w:rsidR="00907628" w:rsidRPr="00907628" w:rsidRDefault="00907628" w:rsidP="00907628">
      <w:pPr>
        <w:pStyle w:val="ListParagraph"/>
        <w:ind w:left="1418"/>
        <w:jc w:val="both"/>
        <w:rPr>
          <w:szCs w:val="24"/>
          <w:lang w:eastAsia="en-AU"/>
        </w:rPr>
      </w:pPr>
    </w:p>
    <w:p w14:paraId="19C0AA7E" w14:textId="43F83941" w:rsidR="00907628" w:rsidRPr="00907628" w:rsidRDefault="00907628" w:rsidP="00907628">
      <w:pPr>
        <w:pStyle w:val="ListParagraph"/>
        <w:numPr>
          <w:ilvl w:val="0"/>
          <w:numId w:val="14"/>
        </w:numPr>
        <w:spacing w:line="259" w:lineRule="auto"/>
        <w:jc w:val="both"/>
        <w:rPr>
          <w:szCs w:val="24"/>
          <w:lang w:eastAsia="en-AU"/>
        </w:rPr>
      </w:pPr>
      <w:r w:rsidRPr="00907628">
        <w:rPr>
          <w:szCs w:val="24"/>
          <w:lang w:eastAsia="en-AU"/>
        </w:rPr>
        <w:t xml:space="preserve">the commissioner considers the waiver is appropriate because of the financial impact of the </w:t>
      </w:r>
      <w:r w:rsidR="0089596D">
        <w:rPr>
          <w:szCs w:val="24"/>
          <w:lang w:eastAsia="en-AU"/>
        </w:rPr>
        <w:t>COVID-19 emergency</w:t>
      </w:r>
      <w:r w:rsidRPr="00907628">
        <w:rPr>
          <w:szCs w:val="24"/>
          <w:lang w:eastAsia="en-AU"/>
        </w:rPr>
        <w:t xml:space="preserve"> on the business carried on under the licence or permit.</w:t>
      </w:r>
    </w:p>
    <w:p w14:paraId="0F5953CE" w14:textId="77777777" w:rsidR="00907628" w:rsidRPr="00907628" w:rsidRDefault="00907628" w:rsidP="00907628">
      <w:pPr>
        <w:jc w:val="both"/>
        <w:rPr>
          <w:szCs w:val="24"/>
          <w:lang w:eastAsia="en-AU"/>
        </w:rPr>
      </w:pPr>
    </w:p>
    <w:p w14:paraId="70F0C9DE" w14:textId="77777777" w:rsidR="00907628" w:rsidRPr="00907628" w:rsidRDefault="00907628" w:rsidP="007F66D9">
      <w:pPr>
        <w:jc w:val="both"/>
        <w:rPr>
          <w:szCs w:val="24"/>
          <w:lang w:eastAsia="en-AU"/>
        </w:rPr>
      </w:pPr>
      <w:r w:rsidRPr="00907628">
        <w:rPr>
          <w:szCs w:val="24"/>
          <w:lang w:eastAsia="en-AU"/>
        </w:rPr>
        <w:t xml:space="preserve">The </w:t>
      </w:r>
      <w:r w:rsidRPr="00907628">
        <w:rPr>
          <w:i/>
          <w:iCs/>
          <w:szCs w:val="24"/>
          <w:lang w:eastAsia="en-AU"/>
        </w:rPr>
        <w:t>Public Health (Closure of Non</w:t>
      </w:r>
      <w:r w:rsidRPr="00907628">
        <w:rPr>
          <w:i/>
          <w:iCs/>
          <w:szCs w:val="24"/>
          <w:lang w:eastAsia="en-AU"/>
        </w:rPr>
        <w:noBreakHyphen/>
        <w:t>Essential Business or Undertaking) Emergency Direction 2020</w:t>
      </w:r>
      <w:r w:rsidRPr="00907628">
        <w:rPr>
          <w:szCs w:val="24"/>
          <w:lang w:eastAsia="en-AU"/>
        </w:rPr>
        <w:t xml:space="preserve"> </w:t>
      </w:r>
      <w:bookmarkStart w:id="2" w:name="_Hlk36387423"/>
      <w:r w:rsidRPr="00907628">
        <w:rPr>
          <w:szCs w:val="24"/>
          <w:lang w:eastAsia="en-AU"/>
        </w:rPr>
        <w:t>[NI2020</w:t>
      </w:r>
      <w:r w:rsidRPr="00907628">
        <w:rPr>
          <w:szCs w:val="24"/>
          <w:lang w:eastAsia="en-AU"/>
        </w:rPr>
        <w:noBreakHyphen/>
        <w:t>181]</w:t>
      </w:r>
      <w:bookmarkEnd w:id="2"/>
      <w:r w:rsidRPr="00907628">
        <w:rPr>
          <w:szCs w:val="24"/>
          <w:lang w:eastAsia="en-AU"/>
        </w:rPr>
        <w:t xml:space="preserve"> (the closure direction) on 23 March 2020 directed the closure of:</w:t>
      </w:r>
    </w:p>
    <w:p w14:paraId="607D4727" w14:textId="77777777" w:rsidR="00907628" w:rsidRPr="00907628" w:rsidRDefault="00907628" w:rsidP="007F66D9">
      <w:pPr>
        <w:pStyle w:val="ListParagraph"/>
        <w:numPr>
          <w:ilvl w:val="0"/>
          <w:numId w:val="15"/>
        </w:numPr>
        <w:spacing w:line="259" w:lineRule="auto"/>
        <w:jc w:val="both"/>
        <w:rPr>
          <w:szCs w:val="24"/>
          <w:lang w:eastAsia="en-AU"/>
        </w:rPr>
      </w:pPr>
      <w:r w:rsidRPr="00907628">
        <w:rPr>
          <w:szCs w:val="24"/>
          <w:lang w:eastAsia="en-AU"/>
        </w:rPr>
        <w:t>Businesses that supply liquor for consumption ON the premises but not including any part of those businesses that sell liquor for consumption OFF the premises as defined by the Liquor Act;</w:t>
      </w:r>
    </w:p>
    <w:p w14:paraId="411F8699" w14:textId="77777777" w:rsidR="00907628" w:rsidRPr="00907628" w:rsidRDefault="00907628" w:rsidP="007F66D9">
      <w:pPr>
        <w:pStyle w:val="ListParagraph"/>
        <w:numPr>
          <w:ilvl w:val="0"/>
          <w:numId w:val="15"/>
        </w:numPr>
        <w:spacing w:line="259" w:lineRule="auto"/>
        <w:jc w:val="both"/>
        <w:rPr>
          <w:szCs w:val="24"/>
          <w:lang w:eastAsia="en-AU"/>
        </w:rPr>
      </w:pPr>
      <w:r w:rsidRPr="00907628">
        <w:rPr>
          <w:szCs w:val="24"/>
          <w:lang w:eastAsia="en-AU"/>
        </w:rPr>
        <w:t>hotels, whether licensed or unlicensed, but not to the extent that they provide accommodation, takeaway meals or a meal delivery service, or a bottleshop;</w:t>
      </w:r>
    </w:p>
    <w:p w14:paraId="717B76D8" w14:textId="77777777" w:rsidR="00907628" w:rsidRPr="00907628" w:rsidRDefault="00907628" w:rsidP="007F66D9">
      <w:pPr>
        <w:pStyle w:val="ListParagraph"/>
        <w:numPr>
          <w:ilvl w:val="0"/>
          <w:numId w:val="15"/>
        </w:numPr>
        <w:spacing w:line="259" w:lineRule="auto"/>
        <w:jc w:val="both"/>
        <w:rPr>
          <w:szCs w:val="24"/>
          <w:lang w:eastAsia="en-AU"/>
        </w:rPr>
      </w:pPr>
      <w:r w:rsidRPr="00907628">
        <w:rPr>
          <w:szCs w:val="24"/>
          <w:lang w:eastAsia="en-AU"/>
        </w:rPr>
        <w:t>a casino;</w:t>
      </w:r>
    </w:p>
    <w:p w14:paraId="288B1F73" w14:textId="77777777" w:rsidR="00907628" w:rsidRPr="00907628" w:rsidRDefault="00907628" w:rsidP="007F66D9">
      <w:pPr>
        <w:pStyle w:val="ListParagraph"/>
        <w:numPr>
          <w:ilvl w:val="0"/>
          <w:numId w:val="15"/>
        </w:numPr>
        <w:spacing w:line="259" w:lineRule="auto"/>
        <w:jc w:val="both"/>
        <w:rPr>
          <w:szCs w:val="24"/>
          <w:lang w:eastAsia="en-AU"/>
        </w:rPr>
      </w:pPr>
      <w:r w:rsidRPr="00907628">
        <w:rPr>
          <w:szCs w:val="24"/>
          <w:lang w:eastAsia="en-AU"/>
        </w:rPr>
        <w:t>cinemas, nightclubs or entertainment venues of any kind;</w:t>
      </w:r>
    </w:p>
    <w:p w14:paraId="7C4256AA" w14:textId="77777777" w:rsidR="00907628" w:rsidRPr="00907628" w:rsidRDefault="00907628" w:rsidP="007F66D9">
      <w:pPr>
        <w:pStyle w:val="ListParagraph"/>
        <w:numPr>
          <w:ilvl w:val="0"/>
          <w:numId w:val="15"/>
        </w:numPr>
        <w:spacing w:line="259" w:lineRule="auto"/>
        <w:jc w:val="both"/>
        <w:rPr>
          <w:szCs w:val="24"/>
          <w:lang w:eastAsia="en-AU"/>
        </w:rPr>
      </w:pPr>
      <w:r w:rsidRPr="00907628">
        <w:rPr>
          <w:szCs w:val="24"/>
          <w:lang w:eastAsia="en-AU"/>
        </w:rPr>
        <w:t>restaurants or cafes, other to than to the extent that they provide takeaway meals or a meal delivery services.</w:t>
      </w:r>
    </w:p>
    <w:p w14:paraId="1803BA6F" w14:textId="77777777" w:rsidR="00907628" w:rsidRPr="00907628" w:rsidRDefault="00907628" w:rsidP="007F66D9">
      <w:pPr>
        <w:jc w:val="both"/>
        <w:rPr>
          <w:szCs w:val="24"/>
          <w:lang w:eastAsia="en-AU"/>
        </w:rPr>
      </w:pPr>
    </w:p>
    <w:p w14:paraId="621405C5" w14:textId="35A0692E" w:rsidR="00907628" w:rsidRPr="00907628" w:rsidRDefault="00907628" w:rsidP="007F66D9">
      <w:pPr>
        <w:jc w:val="both"/>
        <w:rPr>
          <w:szCs w:val="24"/>
          <w:lang w:eastAsia="en-AU"/>
        </w:rPr>
      </w:pPr>
      <w:r w:rsidRPr="00907628">
        <w:rPr>
          <w:szCs w:val="24"/>
          <w:lang w:eastAsia="en-AU"/>
        </w:rPr>
        <w:t xml:space="preserve">The direction followed and was made in relation to the </w:t>
      </w:r>
      <w:r w:rsidRPr="00907628">
        <w:rPr>
          <w:i/>
          <w:iCs/>
          <w:szCs w:val="24"/>
          <w:lang w:eastAsia="en-AU"/>
        </w:rPr>
        <w:t>Public Health (Emergency) Declaration 2020</w:t>
      </w:r>
      <w:r w:rsidRPr="00907628">
        <w:rPr>
          <w:szCs w:val="24"/>
          <w:lang w:eastAsia="en-AU"/>
        </w:rPr>
        <w:t xml:space="preserve"> (No 1) [NI2020-153], to prohibit the operation of non-essential business and undertakings to limit the spread of Novel Coronavirus 2019 (</w:t>
      </w:r>
      <w:r w:rsidR="00386AD5">
        <w:rPr>
          <w:szCs w:val="24"/>
          <w:lang w:eastAsia="en-AU"/>
        </w:rPr>
        <w:t>COVID-19</w:t>
      </w:r>
      <w:r w:rsidRPr="00907628">
        <w:rPr>
          <w:szCs w:val="24"/>
          <w:lang w:eastAsia="en-AU"/>
        </w:rPr>
        <w:t>).</w:t>
      </w:r>
    </w:p>
    <w:p w14:paraId="352E416A" w14:textId="77777777" w:rsidR="00907628" w:rsidRPr="00907628" w:rsidRDefault="00907628" w:rsidP="007F66D9">
      <w:pPr>
        <w:jc w:val="both"/>
        <w:rPr>
          <w:szCs w:val="24"/>
        </w:rPr>
      </w:pPr>
    </w:p>
    <w:p w14:paraId="4A905A19" w14:textId="4A368EDE" w:rsidR="00907628" w:rsidRPr="00907628" w:rsidRDefault="00907628" w:rsidP="007F66D9">
      <w:pPr>
        <w:jc w:val="both"/>
        <w:rPr>
          <w:szCs w:val="24"/>
          <w:lang w:eastAsia="en-AU"/>
        </w:rPr>
      </w:pPr>
      <w:r w:rsidRPr="00907628">
        <w:rPr>
          <w:szCs w:val="24"/>
          <w:lang w:eastAsia="en-AU"/>
        </w:rPr>
        <w:t xml:space="preserve">In order to slow the spread of </w:t>
      </w:r>
      <w:r w:rsidR="00386AD5">
        <w:rPr>
          <w:szCs w:val="24"/>
          <w:lang w:eastAsia="en-AU"/>
        </w:rPr>
        <w:t>COVID-19</w:t>
      </w:r>
      <w:r w:rsidRPr="00907628">
        <w:rPr>
          <w:szCs w:val="24"/>
          <w:lang w:eastAsia="en-AU"/>
        </w:rPr>
        <w:t>, clubs and other licensed premises will not be able to open and provide their normal services to the community. While this is necessary from a public health perspective, it will have a financial impact on the club industry and other licensed businesses.</w:t>
      </w:r>
    </w:p>
    <w:p w14:paraId="1EDD3BB7" w14:textId="77777777" w:rsidR="00907628" w:rsidRPr="00907628" w:rsidRDefault="00907628" w:rsidP="007F66D9">
      <w:pPr>
        <w:jc w:val="both"/>
        <w:rPr>
          <w:szCs w:val="24"/>
          <w:lang w:eastAsia="en-AU"/>
        </w:rPr>
      </w:pPr>
    </w:p>
    <w:p w14:paraId="28488BA9" w14:textId="7C578132" w:rsidR="00907628" w:rsidRPr="00907628" w:rsidRDefault="00907628" w:rsidP="007F66D9">
      <w:pPr>
        <w:jc w:val="both"/>
        <w:rPr>
          <w:szCs w:val="24"/>
          <w:lang w:eastAsia="en-AU"/>
        </w:rPr>
      </w:pPr>
      <w:r w:rsidRPr="00907628">
        <w:rPr>
          <w:szCs w:val="24"/>
          <w:lang w:eastAsia="en-AU"/>
        </w:rPr>
        <w:t>This amendment regulation supports the ability of the Government to implement fee waiver</w:t>
      </w:r>
      <w:r w:rsidR="007F66D9">
        <w:rPr>
          <w:szCs w:val="24"/>
          <w:lang w:eastAsia="en-AU"/>
        </w:rPr>
        <w:t>s</w:t>
      </w:r>
      <w:r w:rsidRPr="00907628">
        <w:rPr>
          <w:szCs w:val="24"/>
          <w:lang w:eastAsia="en-AU"/>
        </w:rPr>
        <w:t xml:space="preserve"> to assist in mitigating those impacts.</w:t>
      </w:r>
    </w:p>
    <w:p w14:paraId="590F4E54" w14:textId="0222A45F" w:rsidR="00907628" w:rsidRDefault="00907628" w:rsidP="007F66D9">
      <w:pPr>
        <w:jc w:val="both"/>
        <w:rPr>
          <w:szCs w:val="24"/>
        </w:rPr>
      </w:pPr>
    </w:p>
    <w:p w14:paraId="5EA4167C" w14:textId="7DCB7004" w:rsidR="00315D6D" w:rsidRDefault="0089596D" w:rsidP="007F66D9">
      <w:pPr>
        <w:jc w:val="both"/>
        <w:rPr>
          <w:szCs w:val="24"/>
        </w:rPr>
      </w:pPr>
      <w:r>
        <w:rPr>
          <w:szCs w:val="24"/>
        </w:rPr>
        <w:t>This amendment regulation also introduces</w:t>
      </w:r>
      <w:r w:rsidR="00315D6D">
        <w:rPr>
          <w:szCs w:val="24"/>
        </w:rPr>
        <w:t xml:space="preserve"> statutory rules with respect to</w:t>
      </w:r>
      <w:r>
        <w:rPr>
          <w:szCs w:val="24"/>
        </w:rPr>
        <w:t xml:space="preserve"> </w:t>
      </w:r>
      <w:r w:rsidR="00092045" w:rsidRPr="00F03070">
        <w:rPr>
          <w:szCs w:val="24"/>
        </w:rPr>
        <w:t>first year</w:t>
      </w:r>
      <w:r w:rsidR="00315D6D">
        <w:rPr>
          <w:szCs w:val="24"/>
        </w:rPr>
        <w:t xml:space="preserve"> micro-producer off licensees</w:t>
      </w:r>
      <w:r w:rsidR="007F66D9">
        <w:rPr>
          <w:szCs w:val="24"/>
        </w:rPr>
        <w:t xml:space="preserve"> to remove barriers to entry for eligible applicants.</w:t>
      </w:r>
    </w:p>
    <w:p w14:paraId="57FF817D" w14:textId="77777777" w:rsidR="00315D6D" w:rsidRDefault="00315D6D" w:rsidP="00315D6D"/>
    <w:p w14:paraId="6FF04A5E" w14:textId="77777777" w:rsidR="00E73D8D" w:rsidRPr="00E73D8D" w:rsidRDefault="00E73D8D" w:rsidP="00E73D8D">
      <w:pPr>
        <w:jc w:val="both"/>
        <w:rPr>
          <w:b/>
          <w:szCs w:val="24"/>
        </w:rPr>
      </w:pPr>
      <w:r w:rsidRPr="00E73D8D">
        <w:rPr>
          <w:b/>
          <w:szCs w:val="24"/>
        </w:rPr>
        <w:t>HUMAN RIGHTS IMPLICATIONS</w:t>
      </w:r>
    </w:p>
    <w:p w14:paraId="7061FBCB" w14:textId="77777777" w:rsidR="00E73D8D" w:rsidRPr="00E73D8D" w:rsidRDefault="00E73D8D" w:rsidP="00E73D8D">
      <w:pPr>
        <w:jc w:val="both"/>
        <w:rPr>
          <w:szCs w:val="24"/>
          <w:lang w:eastAsia="en-AU"/>
        </w:rPr>
      </w:pPr>
      <w:r w:rsidRPr="00E73D8D">
        <w:rPr>
          <w:szCs w:val="24"/>
          <w:lang w:eastAsia="en-AU"/>
        </w:rPr>
        <w:t xml:space="preserve">The Regulation does not engage any human rights set out in the </w:t>
      </w:r>
      <w:r w:rsidRPr="00E73D8D">
        <w:rPr>
          <w:i/>
          <w:szCs w:val="24"/>
          <w:lang w:eastAsia="en-AU"/>
        </w:rPr>
        <w:t>Human Rights Act 2004</w:t>
      </w:r>
      <w:r w:rsidRPr="00E73D8D">
        <w:rPr>
          <w:szCs w:val="24"/>
          <w:lang w:eastAsia="en-AU"/>
        </w:rPr>
        <w:t>.</w:t>
      </w:r>
    </w:p>
    <w:p w14:paraId="7A05A07D" w14:textId="77777777" w:rsidR="00E73D8D" w:rsidRPr="00E73D8D" w:rsidRDefault="00E73D8D" w:rsidP="00E73D8D">
      <w:pPr>
        <w:jc w:val="both"/>
        <w:rPr>
          <w:szCs w:val="24"/>
          <w:lang w:eastAsia="en-AU"/>
        </w:rPr>
      </w:pPr>
    </w:p>
    <w:p w14:paraId="44EAE474" w14:textId="77777777" w:rsidR="00E73D8D" w:rsidRPr="00E73D8D" w:rsidRDefault="00E73D8D" w:rsidP="00E73D8D">
      <w:pPr>
        <w:keepNext/>
        <w:jc w:val="both"/>
        <w:rPr>
          <w:b/>
          <w:szCs w:val="24"/>
        </w:rPr>
      </w:pPr>
      <w:r w:rsidRPr="00E73D8D">
        <w:rPr>
          <w:b/>
          <w:szCs w:val="24"/>
        </w:rPr>
        <w:t>REGULATORY IMPACT STATEMENT</w:t>
      </w:r>
    </w:p>
    <w:p w14:paraId="024B1887" w14:textId="77777777" w:rsidR="00E73D8D" w:rsidRPr="00E73D8D" w:rsidRDefault="00E73D8D" w:rsidP="00E73D8D">
      <w:pPr>
        <w:jc w:val="both"/>
        <w:rPr>
          <w:szCs w:val="24"/>
          <w:lang w:eastAsia="en-AU"/>
        </w:rPr>
      </w:pPr>
      <w:r w:rsidRPr="00E73D8D">
        <w:rPr>
          <w:szCs w:val="24"/>
          <w:lang w:eastAsia="en-AU"/>
        </w:rPr>
        <w:t xml:space="preserve">Section 34 of the </w:t>
      </w:r>
      <w:r w:rsidRPr="00E73D8D">
        <w:rPr>
          <w:i/>
          <w:szCs w:val="24"/>
          <w:lang w:eastAsia="en-AU"/>
        </w:rPr>
        <w:t>Legislation Act 2001</w:t>
      </w:r>
      <w:r w:rsidRPr="00E73D8D">
        <w:rPr>
          <w:szCs w:val="24"/>
          <w:lang w:eastAsia="en-AU"/>
        </w:rPr>
        <w:t xml:space="preserve"> requires the preparation of a Regulatory Impact Statement where a subordinate law is likely to impose appreciable costs on the community, or a part of the community.</w:t>
      </w:r>
    </w:p>
    <w:p w14:paraId="15F8931D" w14:textId="77777777" w:rsidR="00E73D8D" w:rsidRPr="00E73D8D" w:rsidRDefault="00E73D8D" w:rsidP="00E73D8D">
      <w:pPr>
        <w:jc w:val="both"/>
        <w:rPr>
          <w:szCs w:val="24"/>
          <w:lang w:eastAsia="en-AU"/>
        </w:rPr>
      </w:pPr>
    </w:p>
    <w:p w14:paraId="7C308F7C" w14:textId="2AE3C0B5" w:rsidR="00E73D8D" w:rsidRPr="00E73D8D" w:rsidRDefault="00E73D8D" w:rsidP="00E73D8D">
      <w:pPr>
        <w:jc w:val="both"/>
        <w:rPr>
          <w:szCs w:val="24"/>
          <w:lang w:eastAsia="en-AU"/>
        </w:rPr>
      </w:pPr>
      <w:r w:rsidRPr="00E73D8D">
        <w:rPr>
          <w:szCs w:val="24"/>
          <w:lang w:eastAsia="en-AU"/>
        </w:rPr>
        <w:t xml:space="preserve">Since this Regulation provides a mechanism for the commissioner to waive </w:t>
      </w:r>
      <w:r>
        <w:rPr>
          <w:szCs w:val="24"/>
          <w:lang w:eastAsia="en-AU"/>
        </w:rPr>
        <w:t xml:space="preserve">or reduce </w:t>
      </w:r>
      <w:r w:rsidRPr="00E73D8D">
        <w:rPr>
          <w:szCs w:val="24"/>
          <w:lang w:eastAsia="en-AU"/>
        </w:rPr>
        <w:t>licence and permit fees, a regulatory impact statement has not been prepared.</w:t>
      </w:r>
    </w:p>
    <w:p w14:paraId="6DFD719E" w14:textId="77777777" w:rsidR="00E73D8D" w:rsidRDefault="00E73D8D" w:rsidP="00E73D8D">
      <w:pPr>
        <w:jc w:val="both"/>
        <w:rPr>
          <w:rFonts w:ascii="Arial" w:hAnsi="Arial" w:cs="Arial"/>
          <w:szCs w:val="24"/>
        </w:rPr>
      </w:pPr>
    </w:p>
    <w:p w14:paraId="22C5620A" w14:textId="77777777" w:rsidR="00315D6D" w:rsidRDefault="00315D6D" w:rsidP="00315D6D"/>
    <w:p w14:paraId="7767C273" w14:textId="77777777" w:rsidR="00E73D8D" w:rsidRDefault="00E73D8D">
      <w:pPr>
        <w:rPr>
          <w:b/>
          <w:bCs/>
        </w:rPr>
      </w:pPr>
      <w:r>
        <w:rPr>
          <w:b/>
          <w:bCs/>
        </w:rPr>
        <w:br w:type="page"/>
      </w:r>
    </w:p>
    <w:p w14:paraId="1FD3EF18" w14:textId="35A92CA7" w:rsidR="00E73D8D" w:rsidRDefault="00E73D8D" w:rsidP="00315D6D">
      <w:pPr>
        <w:rPr>
          <w:b/>
          <w:bCs/>
        </w:rPr>
      </w:pPr>
      <w:r>
        <w:rPr>
          <w:b/>
          <w:bCs/>
        </w:rPr>
        <w:lastRenderedPageBreak/>
        <w:t>NOTES ON CLAUSES</w:t>
      </w:r>
    </w:p>
    <w:p w14:paraId="22FEBD5F" w14:textId="77777777" w:rsidR="00E73D8D" w:rsidRDefault="00E73D8D" w:rsidP="00315D6D">
      <w:pPr>
        <w:rPr>
          <w:b/>
          <w:bCs/>
        </w:rPr>
      </w:pPr>
    </w:p>
    <w:p w14:paraId="55F97EE4" w14:textId="77777777" w:rsidR="00315D6D" w:rsidRPr="00167D14" w:rsidRDefault="00315D6D" w:rsidP="00315D6D">
      <w:pPr>
        <w:keepNext/>
        <w:tabs>
          <w:tab w:val="left" w:pos="8364"/>
        </w:tabs>
        <w:outlineLvl w:val="5"/>
        <w:rPr>
          <w:b/>
        </w:rPr>
      </w:pPr>
      <w:r w:rsidRPr="00167D14">
        <w:rPr>
          <w:b/>
        </w:rPr>
        <w:t>Section 1         Name of regulation</w:t>
      </w:r>
    </w:p>
    <w:p w14:paraId="5F85CCFD" w14:textId="77777777" w:rsidR="00315D6D" w:rsidRPr="00167D14" w:rsidRDefault="00315D6D" w:rsidP="00315D6D">
      <w:pPr>
        <w:tabs>
          <w:tab w:val="left" w:pos="8364"/>
        </w:tabs>
        <w:rPr>
          <w:b/>
        </w:rPr>
      </w:pPr>
    </w:p>
    <w:p w14:paraId="2B15EFC9" w14:textId="629BB8AD" w:rsidR="00315D6D" w:rsidRPr="00167D14" w:rsidRDefault="00315D6D" w:rsidP="00315D6D">
      <w:pPr>
        <w:tabs>
          <w:tab w:val="left" w:pos="8364"/>
        </w:tabs>
      </w:pPr>
      <w:r w:rsidRPr="00167D14">
        <w:rPr>
          <w:bCs/>
        </w:rPr>
        <w:t>This section</w:t>
      </w:r>
      <w:r w:rsidRPr="00167D14">
        <w:rPr>
          <w:b/>
        </w:rPr>
        <w:t xml:space="preserve"> </w:t>
      </w:r>
      <w:r w:rsidRPr="00167D14">
        <w:t xml:space="preserve">names the regulation as the </w:t>
      </w:r>
      <w:r w:rsidRPr="00167D14">
        <w:rPr>
          <w:i/>
          <w:iCs/>
        </w:rPr>
        <w:t xml:space="preserve">Liquor </w:t>
      </w:r>
      <w:r>
        <w:rPr>
          <w:i/>
          <w:iCs/>
        </w:rPr>
        <w:t xml:space="preserve">Amendment </w:t>
      </w:r>
      <w:r w:rsidRPr="00167D14">
        <w:rPr>
          <w:i/>
          <w:iCs/>
        </w:rPr>
        <w:t>Regulation 20</w:t>
      </w:r>
      <w:r>
        <w:rPr>
          <w:i/>
          <w:iCs/>
        </w:rPr>
        <w:t xml:space="preserve">20 (No </w:t>
      </w:r>
      <w:r w:rsidR="00E73D8D">
        <w:rPr>
          <w:i/>
          <w:iCs/>
        </w:rPr>
        <w:t>2</w:t>
      </w:r>
      <w:r>
        <w:rPr>
          <w:i/>
          <w:iCs/>
        </w:rPr>
        <w:t>)</w:t>
      </w:r>
      <w:r w:rsidRPr="00167D14">
        <w:t>.</w:t>
      </w:r>
    </w:p>
    <w:p w14:paraId="039CBEC0" w14:textId="77777777" w:rsidR="00315D6D" w:rsidRPr="00167D14" w:rsidRDefault="00315D6D" w:rsidP="00315D6D">
      <w:pPr>
        <w:tabs>
          <w:tab w:val="left" w:pos="8364"/>
        </w:tabs>
      </w:pPr>
    </w:p>
    <w:p w14:paraId="2F4E7F3A" w14:textId="77777777" w:rsidR="00315D6D" w:rsidRPr="00167D14" w:rsidRDefault="00315D6D" w:rsidP="00315D6D">
      <w:pPr>
        <w:rPr>
          <w:b/>
        </w:rPr>
      </w:pPr>
      <w:r w:rsidRPr="00167D14">
        <w:rPr>
          <w:b/>
        </w:rPr>
        <w:t xml:space="preserve">Section 2 </w:t>
      </w:r>
      <w:r w:rsidRPr="00167D14">
        <w:rPr>
          <w:b/>
        </w:rPr>
        <w:tab/>
        <w:t>Commencement</w:t>
      </w:r>
    </w:p>
    <w:p w14:paraId="7173A5BD" w14:textId="77777777" w:rsidR="00315D6D" w:rsidRPr="00167D14" w:rsidRDefault="00315D6D" w:rsidP="00315D6D">
      <w:pPr>
        <w:rPr>
          <w:b/>
        </w:rPr>
      </w:pPr>
    </w:p>
    <w:p w14:paraId="7CAA4369" w14:textId="164A654A" w:rsidR="00315D6D" w:rsidRPr="00167D14" w:rsidRDefault="00315D6D" w:rsidP="00315D6D">
      <w:r w:rsidRPr="00167D14">
        <w:rPr>
          <w:bCs/>
        </w:rPr>
        <w:t xml:space="preserve">This section explains that the regulation will commence on </w:t>
      </w:r>
      <w:r w:rsidR="001266C3">
        <w:rPr>
          <w:bCs/>
        </w:rPr>
        <w:t>22</w:t>
      </w:r>
      <w:r>
        <w:rPr>
          <w:bCs/>
        </w:rPr>
        <w:t xml:space="preserve"> </w:t>
      </w:r>
      <w:r w:rsidR="001266C3">
        <w:rPr>
          <w:bCs/>
        </w:rPr>
        <w:t>May</w:t>
      </w:r>
      <w:r>
        <w:rPr>
          <w:bCs/>
        </w:rPr>
        <w:t xml:space="preserve"> 2020. </w:t>
      </w:r>
    </w:p>
    <w:p w14:paraId="2AE907CF" w14:textId="77777777" w:rsidR="00315D6D" w:rsidRPr="00167D14" w:rsidRDefault="00315D6D" w:rsidP="00315D6D"/>
    <w:p w14:paraId="48DD62FF" w14:textId="77777777" w:rsidR="00315D6D" w:rsidRPr="00167D14" w:rsidRDefault="00315D6D" w:rsidP="00315D6D">
      <w:pPr>
        <w:rPr>
          <w:b/>
        </w:rPr>
      </w:pPr>
      <w:r w:rsidRPr="00167D14">
        <w:rPr>
          <w:b/>
        </w:rPr>
        <w:t xml:space="preserve">Section 3 </w:t>
      </w:r>
      <w:r w:rsidRPr="00167D14">
        <w:rPr>
          <w:b/>
        </w:rPr>
        <w:tab/>
      </w:r>
      <w:r>
        <w:rPr>
          <w:b/>
        </w:rPr>
        <w:t xml:space="preserve">Legislation amended </w:t>
      </w:r>
    </w:p>
    <w:p w14:paraId="702B9F75" w14:textId="77777777" w:rsidR="00315D6D" w:rsidRPr="00167D14" w:rsidRDefault="00315D6D" w:rsidP="00315D6D">
      <w:pPr>
        <w:rPr>
          <w:b/>
        </w:rPr>
      </w:pPr>
    </w:p>
    <w:p w14:paraId="54914F01" w14:textId="37AA8141" w:rsidR="00315D6D" w:rsidRDefault="00315D6D" w:rsidP="00315D6D">
      <w:pPr>
        <w:rPr>
          <w:bCs/>
        </w:rPr>
      </w:pPr>
      <w:r>
        <w:rPr>
          <w:bCs/>
        </w:rPr>
        <w:t xml:space="preserve">This section explains that the </w:t>
      </w:r>
      <w:r w:rsidRPr="00170028">
        <w:rPr>
          <w:bCs/>
          <w:i/>
          <w:iCs/>
        </w:rPr>
        <w:t>Liquor Amendment Regulation 2020</w:t>
      </w:r>
      <w:r>
        <w:rPr>
          <w:bCs/>
        </w:rPr>
        <w:t xml:space="preserve"> </w:t>
      </w:r>
      <w:r w:rsidR="00E73D8D">
        <w:rPr>
          <w:bCs/>
        </w:rPr>
        <w:t xml:space="preserve">(No 2) </w:t>
      </w:r>
      <w:r>
        <w:rPr>
          <w:bCs/>
        </w:rPr>
        <w:t xml:space="preserve">amends the </w:t>
      </w:r>
      <w:r w:rsidRPr="00365140">
        <w:rPr>
          <w:bCs/>
          <w:i/>
          <w:iCs/>
        </w:rPr>
        <w:t>Liquor Regulation 2010</w:t>
      </w:r>
      <w:r>
        <w:rPr>
          <w:bCs/>
        </w:rPr>
        <w:t>.</w:t>
      </w:r>
    </w:p>
    <w:p w14:paraId="6590AACF" w14:textId="77777777" w:rsidR="00315D6D" w:rsidRPr="00167D14" w:rsidRDefault="00315D6D" w:rsidP="00315D6D">
      <w:pPr>
        <w:rPr>
          <w:bCs/>
        </w:rPr>
      </w:pPr>
    </w:p>
    <w:p w14:paraId="73455AF3" w14:textId="32331711" w:rsidR="00E73D8D" w:rsidRDefault="00315D6D" w:rsidP="00315D6D">
      <w:pPr>
        <w:keepNext/>
        <w:outlineLvl w:val="5"/>
        <w:rPr>
          <w:b/>
        </w:rPr>
      </w:pPr>
      <w:r w:rsidRPr="00167D14">
        <w:rPr>
          <w:b/>
        </w:rPr>
        <w:t xml:space="preserve">Section 4 </w:t>
      </w:r>
      <w:r w:rsidRPr="00167D14">
        <w:rPr>
          <w:b/>
        </w:rPr>
        <w:tab/>
      </w:r>
      <w:r w:rsidR="00E73D8D">
        <w:rPr>
          <w:b/>
        </w:rPr>
        <w:t>Section 35 heading</w:t>
      </w:r>
    </w:p>
    <w:p w14:paraId="6D08B819" w14:textId="77777777" w:rsidR="007F66D9" w:rsidRDefault="007F66D9" w:rsidP="007F66D9">
      <w:pPr>
        <w:rPr>
          <w:b/>
        </w:rPr>
      </w:pPr>
    </w:p>
    <w:p w14:paraId="3F6A8DEB" w14:textId="5E0E61C9" w:rsidR="00F31419" w:rsidRDefault="00F31419" w:rsidP="00FE3D07">
      <w:pPr>
        <w:widowControl w:val="0"/>
        <w:outlineLvl w:val="5"/>
        <w:rPr>
          <w:bCs/>
        </w:rPr>
      </w:pPr>
      <w:r w:rsidRPr="00F31419">
        <w:rPr>
          <w:bCs/>
        </w:rPr>
        <w:t xml:space="preserve">The new heading to section 35 </w:t>
      </w:r>
      <w:r>
        <w:rPr>
          <w:bCs/>
        </w:rPr>
        <w:t>substitutes</w:t>
      </w:r>
      <w:r w:rsidRPr="00F31419">
        <w:rPr>
          <w:bCs/>
        </w:rPr>
        <w:t xml:space="preserve"> </w:t>
      </w:r>
      <w:r w:rsidRPr="007F66D9">
        <w:rPr>
          <w:bCs/>
          <w:i/>
          <w:iCs/>
        </w:rPr>
        <w:t>COVID-19 emergency response</w:t>
      </w:r>
      <w:r>
        <w:rPr>
          <w:bCs/>
        </w:rPr>
        <w:t xml:space="preserve"> for the previous reference to a public health emergency</w:t>
      </w:r>
      <w:r w:rsidRPr="00F31419">
        <w:rPr>
          <w:bCs/>
        </w:rPr>
        <w:t>.</w:t>
      </w:r>
      <w:r>
        <w:rPr>
          <w:bCs/>
        </w:rPr>
        <w:t xml:space="preserve"> This is a minor technical amendment to maintain consistency in references to the public health emergency declaration </w:t>
      </w:r>
      <w:r w:rsidR="007F66D9">
        <w:rPr>
          <w:bCs/>
        </w:rPr>
        <w:t>issued</w:t>
      </w:r>
      <w:r>
        <w:rPr>
          <w:bCs/>
        </w:rPr>
        <w:t xml:space="preserve"> in response to COVID-19.</w:t>
      </w:r>
    </w:p>
    <w:p w14:paraId="45B8EC74" w14:textId="77777777" w:rsidR="00F31419" w:rsidRDefault="00F31419" w:rsidP="00FE3D07">
      <w:pPr>
        <w:widowControl w:val="0"/>
        <w:outlineLvl w:val="5"/>
        <w:rPr>
          <w:bCs/>
        </w:rPr>
      </w:pPr>
    </w:p>
    <w:p w14:paraId="29927070" w14:textId="2C50EDD4" w:rsidR="00E73D8D" w:rsidRPr="00F31419" w:rsidRDefault="00F31419" w:rsidP="00FE3D07">
      <w:pPr>
        <w:widowControl w:val="0"/>
        <w:outlineLvl w:val="5"/>
        <w:rPr>
          <w:b/>
        </w:rPr>
      </w:pPr>
      <w:r w:rsidRPr="00F31419">
        <w:rPr>
          <w:b/>
        </w:rPr>
        <w:t>Section 5</w:t>
      </w:r>
      <w:r>
        <w:rPr>
          <w:b/>
        </w:rPr>
        <w:tab/>
        <w:t>Section 35 (1) (a)</w:t>
      </w:r>
    </w:p>
    <w:p w14:paraId="2B5E796F" w14:textId="77777777" w:rsidR="00E73D8D" w:rsidRDefault="00E73D8D" w:rsidP="00FE3D07">
      <w:pPr>
        <w:widowControl w:val="0"/>
        <w:outlineLvl w:val="5"/>
        <w:rPr>
          <w:b/>
        </w:rPr>
      </w:pPr>
    </w:p>
    <w:p w14:paraId="7397298D" w14:textId="31AA21C7" w:rsidR="00F31419" w:rsidRPr="00F31419" w:rsidRDefault="00F31419" w:rsidP="00FE3D07">
      <w:pPr>
        <w:widowControl w:val="0"/>
        <w:outlineLvl w:val="5"/>
        <w:rPr>
          <w:bCs/>
        </w:rPr>
      </w:pPr>
      <w:r w:rsidRPr="00F31419">
        <w:rPr>
          <w:bCs/>
        </w:rPr>
        <w:t xml:space="preserve">Section 35 (1) (a) substitutes </w:t>
      </w:r>
      <w:r w:rsidRPr="00E4625F">
        <w:rPr>
          <w:bCs/>
          <w:i/>
          <w:iCs/>
        </w:rPr>
        <w:t>COVID-19 emergency</w:t>
      </w:r>
      <w:r w:rsidRPr="00F31419">
        <w:rPr>
          <w:bCs/>
        </w:rPr>
        <w:t xml:space="preserve"> for the previous, broader description of </w:t>
      </w:r>
      <w:r w:rsidRPr="00E4625F">
        <w:rPr>
          <w:bCs/>
          <w:i/>
          <w:iCs/>
        </w:rPr>
        <w:t>emergency</w:t>
      </w:r>
      <w:r w:rsidR="00E4625F">
        <w:rPr>
          <w:bCs/>
          <w:i/>
          <w:iCs/>
        </w:rPr>
        <w:t xml:space="preserve"> declaration</w:t>
      </w:r>
      <w:r w:rsidRPr="00F31419">
        <w:rPr>
          <w:bCs/>
        </w:rPr>
        <w:t>.</w:t>
      </w:r>
    </w:p>
    <w:p w14:paraId="7937F719" w14:textId="77777777" w:rsidR="00F31419" w:rsidRDefault="00F31419" w:rsidP="00FE3D07">
      <w:pPr>
        <w:widowControl w:val="0"/>
        <w:outlineLvl w:val="5"/>
        <w:rPr>
          <w:b/>
        </w:rPr>
      </w:pPr>
    </w:p>
    <w:p w14:paraId="7E2519FB" w14:textId="77777777" w:rsidR="00E4625F" w:rsidRDefault="00E4625F" w:rsidP="00FE3D07">
      <w:pPr>
        <w:widowControl w:val="0"/>
        <w:outlineLvl w:val="5"/>
        <w:rPr>
          <w:b/>
        </w:rPr>
      </w:pPr>
      <w:r>
        <w:rPr>
          <w:b/>
        </w:rPr>
        <w:t>Section 6</w:t>
      </w:r>
      <w:r>
        <w:rPr>
          <w:b/>
        </w:rPr>
        <w:tab/>
        <w:t xml:space="preserve"> Section 35 (1) (b) </w:t>
      </w:r>
    </w:p>
    <w:p w14:paraId="1514B522" w14:textId="77777777" w:rsidR="00E4625F" w:rsidRDefault="00E4625F" w:rsidP="00FE3D07">
      <w:pPr>
        <w:widowControl w:val="0"/>
        <w:outlineLvl w:val="5"/>
        <w:rPr>
          <w:b/>
        </w:rPr>
      </w:pPr>
    </w:p>
    <w:p w14:paraId="760779ED" w14:textId="23C2D41D" w:rsidR="00E4625F" w:rsidRPr="00E4625F" w:rsidRDefault="00E4625F" w:rsidP="00FE3D07">
      <w:pPr>
        <w:widowControl w:val="0"/>
        <w:outlineLvl w:val="5"/>
        <w:rPr>
          <w:bCs/>
        </w:rPr>
      </w:pPr>
      <w:r w:rsidRPr="00E4625F">
        <w:rPr>
          <w:bCs/>
        </w:rPr>
        <w:t xml:space="preserve">This section substitutes </w:t>
      </w:r>
      <w:r>
        <w:rPr>
          <w:bCs/>
        </w:rPr>
        <w:t xml:space="preserve">the reference to a </w:t>
      </w:r>
      <w:r w:rsidRPr="00E4625F">
        <w:rPr>
          <w:bCs/>
          <w:i/>
          <w:iCs/>
        </w:rPr>
        <w:t>COVID-19 emergency</w:t>
      </w:r>
      <w:r w:rsidRPr="00E4625F">
        <w:rPr>
          <w:bCs/>
        </w:rPr>
        <w:t xml:space="preserve"> for the previous reference to </w:t>
      </w:r>
      <w:r>
        <w:rPr>
          <w:bCs/>
        </w:rPr>
        <w:t xml:space="preserve">an </w:t>
      </w:r>
      <w:r w:rsidRPr="00E4625F">
        <w:rPr>
          <w:bCs/>
          <w:i/>
          <w:iCs/>
        </w:rPr>
        <w:t>emergency declaration</w:t>
      </w:r>
      <w:r w:rsidRPr="00E4625F">
        <w:rPr>
          <w:bCs/>
        </w:rPr>
        <w:t>.</w:t>
      </w:r>
    </w:p>
    <w:p w14:paraId="3AB09384" w14:textId="231810D0" w:rsidR="00E4625F" w:rsidRDefault="00E4625F" w:rsidP="00FE3D07">
      <w:pPr>
        <w:widowControl w:val="0"/>
        <w:outlineLvl w:val="5"/>
        <w:rPr>
          <w:b/>
        </w:rPr>
      </w:pPr>
    </w:p>
    <w:p w14:paraId="6D49B794" w14:textId="3E4BC1B5" w:rsidR="00E4625F" w:rsidRDefault="00E4625F" w:rsidP="00FE3D07">
      <w:pPr>
        <w:widowControl w:val="0"/>
        <w:outlineLvl w:val="5"/>
        <w:rPr>
          <w:b/>
        </w:rPr>
      </w:pPr>
      <w:r>
        <w:rPr>
          <w:b/>
        </w:rPr>
        <w:t>Section 7</w:t>
      </w:r>
      <w:r>
        <w:rPr>
          <w:b/>
        </w:rPr>
        <w:tab/>
        <w:t>New section 35 (6) and (7)</w:t>
      </w:r>
    </w:p>
    <w:p w14:paraId="7B5305E1" w14:textId="3B1593BB" w:rsidR="00E4625F" w:rsidRDefault="00E4625F" w:rsidP="00FE3D07">
      <w:pPr>
        <w:widowControl w:val="0"/>
        <w:outlineLvl w:val="5"/>
        <w:rPr>
          <w:b/>
        </w:rPr>
      </w:pPr>
    </w:p>
    <w:p w14:paraId="45D144AD" w14:textId="29EBD751" w:rsidR="00E4625F" w:rsidRDefault="00E4625F" w:rsidP="00FE3D07">
      <w:pPr>
        <w:widowControl w:val="0"/>
        <w:outlineLvl w:val="5"/>
        <w:rPr>
          <w:bCs/>
        </w:rPr>
      </w:pPr>
      <w:r w:rsidRPr="00E4625F">
        <w:rPr>
          <w:bCs/>
        </w:rPr>
        <w:t>This section provides a definition of COVID-19 emergency.</w:t>
      </w:r>
      <w:r>
        <w:rPr>
          <w:bCs/>
        </w:rPr>
        <w:t xml:space="preserve"> </w:t>
      </w:r>
      <w:r w:rsidRPr="00204AC7">
        <w:rPr>
          <w:b/>
          <w:i/>
          <w:iCs/>
        </w:rPr>
        <w:t>COVID-19 emergency</w:t>
      </w:r>
      <w:r>
        <w:rPr>
          <w:bCs/>
        </w:rPr>
        <w:t xml:space="preserve"> means—</w:t>
      </w:r>
    </w:p>
    <w:p w14:paraId="57B012A5" w14:textId="4AA828EB" w:rsidR="00E4625F" w:rsidRDefault="00E4625F" w:rsidP="00FE3D07">
      <w:pPr>
        <w:pStyle w:val="ListParagraph"/>
        <w:widowControl w:val="0"/>
        <w:numPr>
          <w:ilvl w:val="0"/>
          <w:numId w:val="16"/>
        </w:numPr>
        <w:contextualSpacing w:val="0"/>
        <w:outlineLvl w:val="5"/>
        <w:rPr>
          <w:bCs/>
        </w:rPr>
      </w:pPr>
      <w:r>
        <w:rPr>
          <w:bCs/>
        </w:rPr>
        <w:t xml:space="preserve">a state of emergency declared under the </w:t>
      </w:r>
      <w:r w:rsidRPr="00E4625F">
        <w:rPr>
          <w:bCs/>
          <w:i/>
          <w:iCs/>
        </w:rPr>
        <w:t>Emergencies Act 2004</w:t>
      </w:r>
      <w:r>
        <w:rPr>
          <w:bCs/>
        </w:rPr>
        <w:t>, section 156 because of the coronavirus disease 2019 (COVID-19); or</w:t>
      </w:r>
    </w:p>
    <w:p w14:paraId="3036A7AC" w14:textId="548DE91C" w:rsidR="00E4625F" w:rsidRDefault="00E4625F" w:rsidP="00FE3D07">
      <w:pPr>
        <w:pStyle w:val="ListParagraph"/>
        <w:widowControl w:val="0"/>
        <w:numPr>
          <w:ilvl w:val="0"/>
          <w:numId w:val="16"/>
        </w:numPr>
        <w:contextualSpacing w:val="0"/>
        <w:outlineLvl w:val="5"/>
        <w:rPr>
          <w:bCs/>
        </w:rPr>
      </w:pPr>
      <w:r>
        <w:rPr>
          <w:bCs/>
        </w:rPr>
        <w:t xml:space="preserve">an emergency declared under the </w:t>
      </w:r>
      <w:r w:rsidRPr="00204AC7">
        <w:rPr>
          <w:bCs/>
          <w:i/>
          <w:iCs/>
        </w:rPr>
        <w:t>Public Health Act 1997</w:t>
      </w:r>
      <w:r>
        <w:rPr>
          <w:bCs/>
        </w:rPr>
        <w:t>, section 119 (including any extension or further extension) because of the coronavirus disease 2019 (COVID-19</w:t>
      </w:r>
      <w:r w:rsidR="00FE3D07">
        <w:rPr>
          <w:bCs/>
        </w:rPr>
        <w:t>).</w:t>
      </w:r>
    </w:p>
    <w:p w14:paraId="5166C51B" w14:textId="77777777" w:rsidR="00FE3D07" w:rsidRDefault="00FE3D07" w:rsidP="00FE3D07">
      <w:pPr>
        <w:widowControl w:val="0"/>
        <w:outlineLvl w:val="5"/>
        <w:rPr>
          <w:bCs/>
        </w:rPr>
      </w:pPr>
    </w:p>
    <w:p w14:paraId="6334BF65" w14:textId="7EC26E5E" w:rsidR="00FE3D07" w:rsidRPr="00FE3D07" w:rsidRDefault="00FE3D07" w:rsidP="00FE3D07">
      <w:pPr>
        <w:widowControl w:val="0"/>
        <w:outlineLvl w:val="5"/>
        <w:rPr>
          <w:bCs/>
        </w:rPr>
      </w:pPr>
      <w:r>
        <w:rPr>
          <w:bCs/>
        </w:rPr>
        <w:t>New subsection (7) provides an expiration clause. Section 35 expires at the end of a 12-month period during which no COVID-19 emergency has been in force.</w:t>
      </w:r>
    </w:p>
    <w:p w14:paraId="446BB765" w14:textId="736787C9" w:rsidR="00E4625F" w:rsidRDefault="00E4625F" w:rsidP="00FE3D07">
      <w:pPr>
        <w:widowControl w:val="0"/>
        <w:outlineLvl w:val="5"/>
        <w:rPr>
          <w:b/>
        </w:rPr>
      </w:pPr>
    </w:p>
    <w:p w14:paraId="08C5BE3C" w14:textId="77777777" w:rsidR="00FE3D07" w:rsidRDefault="00FE3D07">
      <w:pPr>
        <w:rPr>
          <w:b/>
        </w:rPr>
      </w:pPr>
      <w:r>
        <w:rPr>
          <w:b/>
        </w:rPr>
        <w:br w:type="page"/>
      </w:r>
    </w:p>
    <w:p w14:paraId="65D13203" w14:textId="12D8230F" w:rsidR="00E4625F" w:rsidRDefault="00FE3D07" w:rsidP="00FE3D07">
      <w:pPr>
        <w:widowControl w:val="0"/>
        <w:outlineLvl w:val="5"/>
        <w:rPr>
          <w:b/>
        </w:rPr>
      </w:pPr>
      <w:r>
        <w:rPr>
          <w:b/>
        </w:rPr>
        <w:lastRenderedPageBreak/>
        <w:t>Section 8</w:t>
      </w:r>
      <w:r>
        <w:rPr>
          <w:b/>
        </w:rPr>
        <w:tab/>
        <w:t>Schedule 1, section 1.19 (3)</w:t>
      </w:r>
    </w:p>
    <w:p w14:paraId="1D5FAD21" w14:textId="7A8195B0" w:rsidR="00E4625F" w:rsidRDefault="00E4625F" w:rsidP="00FE3D07">
      <w:pPr>
        <w:widowControl w:val="0"/>
        <w:outlineLvl w:val="5"/>
        <w:rPr>
          <w:b/>
        </w:rPr>
      </w:pPr>
    </w:p>
    <w:p w14:paraId="107A44FC" w14:textId="6AF23708" w:rsidR="00315D6D" w:rsidRPr="00167D14" w:rsidRDefault="00204AC7" w:rsidP="00315D6D">
      <w:pPr>
        <w:rPr>
          <w:bCs/>
        </w:rPr>
      </w:pPr>
      <w:r>
        <w:rPr>
          <w:bCs/>
        </w:rPr>
        <w:t xml:space="preserve">Section 8 removes the </w:t>
      </w:r>
      <w:r w:rsidR="00315D6D">
        <w:rPr>
          <w:bCs/>
        </w:rPr>
        <w:t>definition of gross price</w:t>
      </w:r>
      <w:r>
        <w:rPr>
          <w:bCs/>
        </w:rPr>
        <w:t>. The amendment regulation inserts this definition into</w:t>
      </w:r>
      <w:r w:rsidR="00315D6D">
        <w:rPr>
          <w:bCs/>
        </w:rPr>
        <w:t xml:space="preserve"> the Dictionary. </w:t>
      </w:r>
    </w:p>
    <w:p w14:paraId="3DB52EB2" w14:textId="77777777" w:rsidR="00315D6D" w:rsidRPr="00167D14" w:rsidRDefault="00315D6D" w:rsidP="00315D6D"/>
    <w:p w14:paraId="6ACD3083" w14:textId="4CD80953" w:rsidR="00315D6D" w:rsidRPr="00167D14" w:rsidRDefault="00315D6D" w:rsidP="00315D6D">
      <w:pPr>
        <w:keepNext/>
        <w:widowControl w:val="0"/>
        <w:outlineLvl w:val="5"/>
        <w:rPr>
          <w:b/>
          <w:bCs/>
          <w:lang w:val="en-US"/>
        </w:rPr>
      </w:pPr>
      <w:r w:rsidRPr="00167D14">
        <w:rPr>
          <w:b/>
          <w:bCs/>
          <w:lang w:val="en-US"/>
        </w:rPr>
        <w:t xml:space="preserve">Section </w:t>
      </w:r>
      <w:r w:rsidR="00FE3D07">
        <w:rPr>
          <w:b/>
          <w:bCs/>
          <w:lang w:val="en-US"/>
        </w:rPr>
        <w:t>9</w:t>
      </w:r>
      <w:r w:rsidRPr="00167D14">
        <w:rPr>
          <w:b/>
          <w:bCs/>
          <w:lang w:val="en-US"/>
        </w:rPr>
        <w:t xml:space="preserve"> </w:t>
      </w:r>
      <w:r w:rsidRPr="00167D14">
        <w:rPr>
          <w:b/>
          <w:bCs/>
          <w:lang w:val="en-US"/>
        </w:rPr>
        <w:tab/>
      </w:r>
      <w:r>
        <w:rPr>
          <w:b/>
          <w:bCs/>
          <w:lang w:val="en-US"/>
        </w:rPr>
        <w:t>Schedule 1, new section 1.19A</w:t>
      </w:r>
    </w:p>
    <w:p w14:paraId="5CCB073A" w14:textId="77777777" w:rsidR="00315D6D" w:rsidRPr="00167D14" w:rsidRDefault="00315D6D" w:rsidP="00315D6D">
      <w:pPr>
        <w:rPr>
          <w:lang w:val="en-US"/>
        </w:rPr>
      </w:pPr>
    </w:p>
    <w:p w14:paraId="73E11CCD" w14:textId="772C7C09" w:rsidR="00315D6D" w:rsidRDefault="00204AC7" w:rsidP="00315D6D">
      <w:pPr>
        <w:rPr>
          <w:lang w:val="en-US"/>
        </w:rPr>
      </w:pPr>
      <w:r>
        <w:rPr>
          <w:lang w:val="en-US"/>
        </w:rPr>
        <w:t>Section 9 inserts</w:t>
      </w:r>
      <w:r w:rsidR="00315D6D">
        <w:rPr>
          <w:lang w:val="en-US"/>
        </w:rPr>
        <w:t xml:space="preserve"> a definition of three new terms </w:t>
      </w:r>
      <w:r w:rsidR="00D94F41">
        <w:rPr>
          <w:lang w:val="en-US"/>
        </w:rPr>
        <w:t>in</w:t>
      </w:r>
      <w:r w:rsidR="00315D6D">
        <w:rPr>
          <w:lang w:val="en-US"/>
        </w:rPr>
        <w:t xml:space="preserve"> the </w:t>
      </w:r>
      <w:r w:rsidR="00315D6D" w:rsidRPr="0013525C">
        <w:rPr>
          <w:i/>
          <w:iCs/>
          <w:lang w:val="en-US"/>
        </w:rPr>
        <w:t>Liquor Regulation 2010</w:t>
      </w:r>
      <w:r w:rsidR="00D94F41">
        <w:rPr>
          <w:i/>
          <w:iCs/>
          <w:lang w:val="en-US"/>
        </w:rPr>
        <w:t>—</w:t>
      </w:r>
      <w:r w:rsidR="00092045" w:rsidRPr="00204AC7">
        <w:rPr>
          <w:b/>
          <w:bCs/>
          <w:i/>
          <w:iCs/>
          <w:lang w:val="en-US"/>
        </w:rPr>
        <w:t>first</w:t>
      </w:r>
      <w:r>
        <w:rPr>
          <w:b/>
          <w:bCs/>
          <w:i/>
          <w:iCs/>
          <w:lang w:val="en-US"/>
        </w:rPr>
        <w:t> </w:t>
      </w:r>
      <w:r w:rsidR="00092045" w:rsidRPr="00204AC7">
        <w:rPr>
          <w:b/>
          <w:bCs/>
          <w:i/>
          <w:iCs/>
          <w:lang w:val="en-US"/>
        </w:rPr>
        <w:t>year</w:t>
      </w:r>
      <w:r w:rsidR="00092045" w:rsidRPr="00204AC7">
        <w:rPr>
          <w:b/>
          <w:bCs/>
          <w:lang w:val="en-US"/>
        </w:rPr>
        <w:t xml:space="preserve"> </w:t>
      </w:r>
      <w:r w:rsidR="00315D6D" w:rsidRPr="00204AC7">
        <w:rPr>
          <w:b/>
          <w:bCs/>
          <w:i/>
          <w:iCs/>
          <w:lang w:val="en-US"/>
        </w:rPr>
        <w:t>micro-producer off licence</w:t>
      </w:r>
      <w:r w:rsidR="00315D6D">
        <w:rPr>
          <w:lang w:val="en-US"/>
        </w:rPr>
        <w:t xml:space="preserve">, </w:t>
      </w:r>
      <w:r w:rsidR="00092045" w:rsidRPr="00204AC7">
        <w:rPr>
          <w:b/>
          <w:bCs/>
          <w:i/>
          <w:iCs/>
          <w:lang w:val="en-US"/>
        </w:rPr>
        <w:t>first year</w:t>
      </w:r>
      <w:r w:rsidR="00092045" w:rsidRPr="00204AC7">
        <w:rPr>
          <w:b/>
          <w:bCs/>
          <w:lang w:val="en-US"/>
        </w:rPr>
        <w:t xml:space="preserve"> </w:t>
      </w:r>
      <w:r w:rsidR="00315D6D" w:rsidRPr="00204AC7">
        <w:rPr>
          <w:b/>
          <w:bCs/>
          <w:i/>
          <w:iCs/>
          <w:lang w:val="en-US"/>
        </w:rPr>
        <w:t>micro-producer off licensee</w:t>
      </w:r>
      <w:r w:rsidR="00315D6D">
        <w:rPr>
          <w:lang w:val="en-US"/>
        </w:rPr>
        <w:t xml:space="preserve"> and </w:t>
      </w:r>
      <w:r w:rsidR="00315D6D" w:rsidRPr="00204AC7">
        <w:rPr>
          <w:b/>
          <w:bCs/>
          <w:i/>
          <w:iCs/>
          <w:lang w:val="en-US"/>
        </w:rPr>
        <w:t>reporting period</w:t>
      </w:r>
      <w:r w:rsidR="00315D6D">
        <w:rPr>
          <w:lang w:val="en-US"/>
        </w:rPr>
        <w:t xml:space="preserve">. </w:t>
      </w:r>
    </w:p>
    <w:p w14:paraId="1E1AD16C" w14:textId="77777777" w:rsidR="00315D6D" w:rsidRDefault="00315D6D" w:rsidP="00315D6D">
      <w:pPr>
        <w:rPr>
          <w:lang w:val="en-US"/>
        </w:rPr>
      </w:pPr>
    </w:p>
    <w:p w14:paraId="05E0D3E9" w14:textId="54529B8F" w:rsidR="00315D6D" w:rsidRDefault="00315D6D" w:rsidP="00315D6D">
      <w:pPr>
        <w:rPr>
          <w:lang w:val="en-US"/>
        </w:rPr>
      </w:pPr>
      <w:r>
        <w:rPr>
          <w:lang w:val="en-US"/>
        </w:rPr>
        <w:t xml:space="preserve">The meaning of </w:t>
      </w:r>
      <w:r w:rsidR="00092045" w:rsidRPr="00D94F41">
        <w:rPr>
          <w:i/>
          <w:iCs/>
          <w:lang w:val="en-US"/>
        </w:rPr>
        <w:t>first year</w:t>
      </w:r>
      <w:r w:rsidR="00092045">
        <w:rPr>
          <w:lang w:val="en-US"/>
        </w:rPr>
        <w:t xml:space="preserve"> </w:t>
      </w:r>
      <w:r>
        <w:rPr>
          <w:i/>
          <w:iCs/>
          <w:lang w:val="en-US"/>
        </w:rPr>
        <w:t>micro-producer off licence</w:t>
      </w:r>
      <w:r>
        <w:rPr>
          <w:lang w:val="en-US"/>
        </w:rPr>
        <w:t xml:space="preserve"> is set out in 1.19(2), with the term </w:t>
      </w:r>
      <w:r w:rsidR="00092045" w:rsidRPr="00D94F41">
        <w:rPr>
          <w:i/>
          <w:iCs/>
          <w:lang w:val="en-US"/>
        </w:rPr>
        <w:t>first year</w:t>
      </w:r>
      <w:r w:rsidR="00092045">
        <w:rPr>
          <w:lang w:val="en-US"/>
        </w:rPr>
        <w:t xml:space="preserve"> </w:t>
      </w:r>
      <w:r w:rsidRPr="007C03FA">
        <w:rPr>
          <w:i/>
          <w:iCs/>
          <w:lang w:val="en-US"/>
        </w:rPr>
        <w:t>micro-producer off licensee</w:t>
      </w:r>
      <w:r>
        <w:rPr>
          <w:lang w:val="en-US"/>
        </w:rPr>
        <w:t xml:space="preserve"> having a corresponding meaning.</w:t>
      </w:r>
    </w:p>
    <w:p w14:paraId="1D2E438D" w14:textId="77777777" w:rsidR="00315D6D" w:rsidRDefault="00315D6D" w:rsidP="00315D6D">
      <w:pPr>
        <w:rPr>
          <w:lang w:val="en-US"/>
        </w:rPr>
      </w:pPr>
    </w:p>
    <w:p w14:paraId="12E22AA7" w14:textId="2AF05FCF" w:rsidR="00315D6D" w:rsidRDefault="00315D6D" w:rsidP="00315D6D">
      <w:pPr>
        <w:rPr>
          <w:lang w:val="en-US"/>
        </w:rPr>
      </w:pPr>
      <w:r>
        <w:rPr>
          <w:lang w:val="en-US"/>
        </w:rPr>
        <w:t xml:space="preserve">Section 1.19A creates an obligation on a </w:t>
      </w:r>
      <w:r w:rsidR="00092045" w:rsidRPr="00412860">
        <w:rPr>
          <w:lang w:val="en-US"/>
        </w:rPr>
        <w:t>first</w:t>
      </w:r>
      <w:r w:rsidR="00412860">
        <w:rPr>
          <w:lang w:val="en-US"/>
        </w:rPr>
        <w:t>-</w:t>
      </w:r>
      <w:r w:rsidR="00092045" w:rsidRPr="00412860">
        <w:rPr>
          <w:lang w:val="en-US"/>
        </w:rPr>
        <w:t xml:space="preserve">year </w:t>
      </w:r>
      <w:r w:rsidRPr="00412860">
        <w:rPr>
          <w:lang w:val="en-US"/>
        </w:rPr>
        <w:t>micro-producer off licensee</w:t>
      </w:r>
      <w:r>
        <w:rPr>
          <w:lang w:val="en-US"/>
        </w:rPr>
        <w:t>, being a person who has been issued an off licence and who:</w:t>
      </w:r>
    </w:p>
    <w:p w14:paraId="098B0583" w14:textId="77777777" w:rsidR="00315D6D" w:rsidRPr="00407239" w:rsidRDefault="00315D6D" w:rsidP="00315D6D">
      <w:pPr>
        <w:pStyle w:val="ListParagraph"/>
        <w:numPr>
          <w:ilvl w:val="0"/>
          <w:numId w:val="12"/>
        </w:numPr>
        <w:rPr>
          <w:lang w:val="en-US"/>
        </w:rPr>
      </w:pPr>
      <w:r w:rsidRPr="00407239">
        <w:rPr>
          <w:lang w:val="en-US"/>
        </w:rPr>
        <w:t xml:space="preserve">has not previously held an off licence; and  </w:t>
      </w:r>
    </w:p>
    <w:p w14:paraId="355F38F3" w14:textId="77777777" w:rsidR="00315D6D" w:rsidRDefault="00315D6D" w:rsidP="00315D6D">
      <w:pPr>
        <w:pStyle w:val="ListParagraph"/>
        <w:numPr>
          <w:ilvl w:val="0"/>
          <w:numId w:val="12"/>
        </w:numPr>
        <w:rPr>
          <w:lang w:val="en-US"/>
        </w:rPr>
      </w:pPr>
      <w:r w:rsidRPr="00407239">
        <w:rPr>
          <w:lang w:val="en-US"/>
        </w:rPr>
        <w:t>conducts a business on the licensed premises in which the only liquor sold is liquor produced on the premises; and</w:t>
      </w:r>
    </w:p>
    <w:p w14:paraId="21188B42" w14:textId="77777777" w:rsidR="00315D6D" w:rsidRPr="00407239" w:rsidRDefault="00315D6D" w:rsidP="00315D6D">
      <w:pPr>
        <w:pStyle w:val="ListParagraph"/>
        <w:numPr>
          <w:ilvl w:val="0"/>
          <w:numId w:val="12"/>
        </w:numPr>
        <w:rPr>
          <w:lang w:val="en-US"/>
        </w:rPr>
      </w:pPr>
      <w:r w:rsidRPr="00407239">
        <w:rPr>
          <w:lang w:val="en-US"/>
        </w:rPr>
        <w:t xml:space="preserve">has given the </w:t>
      </w:r>
      <w:r>
        <w:rPr>
          <w:lang w:val="en-US"/>
        </w:rPr>
        <w:t>C</w:t>
      </w:r>
      <w:r w:rsidRPr="00407239">
        <w:rPr>
          <w:lang w:val="en-US"/>
        </w:rPr>
        <w:t xml:space="preserve">ommissioner </w:t>
      </w:r>
      <w:r>
        <w:rPr>
          <w:lang w:val="en-US"/>
        </w:rPr>
        <w:t xml:space="preserve">of Fair Trading </w:t>
      </w:r>
      <w:r w:rsidRPr="00407239">
        <w:rPr>
          <w:lang w:val="en-US"/>
        </w:rPr>
        <w:t>a statement in writing that the estimated gross price paid or payable for sales of liquor to be produced by the business for the reporting period does not exceed $100 000</w:t>
      </w:r>
      <w:r>
        <w:rPr>
          <w:lang w:val="en-US"/>
        </w:rPr>
        <w:t>,</w:t>
      </w:r>
    </w:p>
    <w:p w14:paraId="45A339AB" w14:textId="77777777" w:rsidR="00315D6D" w:rsidRDefault="00315D6D" w:rsidP="00315D6D">
      <w:pPr>
        <w:rPr>
          <w:lang w:val="en-US"/>
        </w:rPr>
      </w:pPr>
    </w:p>
    <w:p w14:paraId="21E83508" w14:textId="77777777" w:rsidR="00315D6D" w:rsidRDefault="00315D6D" w:rsidP="00315D6D">
      <w:pPr>
        <w:rPr>
          <w:lang w:val="en-US"/>
        </w:rPr>
      </w:pPr>
      <w:r>
        <w:rPr>
          <w:lang w:val="en-US"/>
        </w:rPr>
        <w:t xml:space="preserve">to provide a written sales </w:t>
      </w:r>
      <w:r w:rsidRPr="00AD6237">
        <w:rPr>
          <w:lang w:val="en-US"/>
        </w:rPr>
        <w:t xml:space="preserve">report </w:t>
      </w:r>
      <w:r>
        <w:rPr>
          <w:lang w:val="en-US"/>
        </w:rPr>
        <w:t xml:space="preserve">to the Commissioner at the end of the </w:t>
      </w:r>
      <w:r w:rsidRPr="00412860">
        <w:rPr>
          <w:lang w:val="en-US"/>
        </w:rPr>
        <w:t>reporting period</w:t>
      </w:r>
      <w:r>
        <w:rPr>
          <w:lang w:val="en-US"/>
        </w:rPr>
        <w:t xml:space="preserve">, that is </w:t>
      </w:r>
      <w:r w:rsidRPr="00AD6237">
        <w:rPr>
          <w:lang w:val="en-US"/>
        </w:rPr>
        <w:t>12 months</w:t>
      </w:r>
      <w:r>
        <w:rPr>
          <w:lang w:val="en-US"/>
        </w:rPr>
        <w:t xml:space="preserve"> from when the licence was issued. The report will tell the Commissioner the gross price paid, or payable for sales in the reporting period of liquor produced on the licensed premises.</w:t>
      </w:r>
    </w:p>
    <w:p w14:paraId="2C4DB6D5" w14:textId="77777777" w:rsidR="00315D6D" w:rsidRDefault="00315D6D" w:rsidP="00315D6D">
      <w:pPr>
        <w:rPr>
          <w:lang w:val="en-US"/>
        </w:rPr>
      </w:pPr>
    </w:p>
    <w:p w14:paraId="3C6BC46C" w14:textId="637D6048" w:rsidR="00315D6D" w:rsidRPr="00284EDA" w:rsidRDefault="00315D6D" w:rsidP="00315D6D">
      <w:pPr>
        <w:rPr>
          <w:lang w:val="en-US"/>
        </w:rPr>
      </w:pPr>
      <w:r>
        <w:rPr>
          <w:lang w:val="en-US"/>
        </w:rPr>
        <w:t xml:space="preserve">This amendment regulation </w:t>
      </w:r>
      <w:r w:rsidR="00D94F41">
        <w:rPr>
          <w:lang w:val="en-US"/>
        </w:rPr>
        <w:t xml:space="preserve">inserts a requirement for </w:t>
      </w:r>
      <w:r w:rsidR="00D94F41" w:rsidRPr="00412860">
        <w:rPr>
          <w:lang w:val="en-US"/>
        </w:rPr>
        <w:t>first year micro-producer off licensees</w:t>
      </w:r>
      <w:r>
        <w:rPr>
          <w:lang w:val="en-US"/>
        </w:rPr>
        <w:t xml:space="preserve"> </w:t>
      </w:r>
      <w:r w:rsidR="00D94F41">
        <w:rPr>
          <w:lang w:val="en-US"/>
        </w:rPr>
        <w:t xml:space="preserve">to provide </w:t>
      </w:r>
      <w:r>
        <w:rPr>
          <w:lang w:val="en-US"/>
        </w:rPr>
        <w:t>information on the</w:t>
      </w:r>
      <w:r w:rsidR="00D94F41">
        <w:rPr>
          <w:lang w:val="en-US"/>
        </w:rPr>
        <w:t>ir</w:t>
      </w:r>
      <w:r>
        <w:rPr>
          <w:lang w:val="en-US"/>
        </w:rPr>
        <w:t xml:space="preserve"> sales. </w:t>
      </w:r>
    </w:p>
    <w:p w14:paraId="0D5B422C" w14:textId="77777777" w:rsidR="00315D6D" w:rsidRPr="00284EDA" w:rsidRDefault="00315D6D" w:rsidP="00315D6D">
      <w:pPr>
        <w:rPr>
          <w:lang w:val="en-US"/>
        </w:rPr>
      </w:pPr>
    </w:p>
    <w:p w14:paraId="696FA85B" w14:textId="6E514E92" w:rsidR="00315D6D" w:rsidRDefault="00315D6D" w:rsidP="00315D6D">
      <w:pPr>
        <w:keepNext/>
        <w:widowControl w:val="0"/>
        <w:outlineLvl w:val="5"/>
        <w:rPr>
          <w:b/>
          <w:bCs/>
          <w:lang w:val="en-US"/>
        </w:rPr>
      </w:pPr>
      <w:r w:rsidRPr="00167D14">
        <w:rPr>
          <w:b/>
          <w:bCs/>
          <w:lang w:val="en-US"/>
        </w:rPr>
        <w:t xml:space="preserve">Section </w:t>
      </w:r>
      <w:r w:rsidR="00D94F41">
        <w:rPr>
          <w:b/>
          <w:bCs/>
          <w:lang w:val="en-US"/>
        </w:rPr>
        <w:t>10</w:t>
      </w:r>
      <w:r w:rsidRPr="00167D14">
        <w:rPr>
          <w:b/>
          <w:bCs/>
          <w:lang w:val="en-US"/>
        </w:rPr>
        <w:t xml:space="preserve"> </w:t>
      </w:r>
      <w:r w:rsidRPr="00167D14">
        <w:rPr>
          <w:b/>
          <w:bCs/>
          <w:lang w:val="en-US"/>
        </w:rPr>
        <w:tab/>
      </w:r>
      <w:r>
        <w:rPr>
          <w:b/>
          <w:bCs/>
          <w:lang w:val="en-US"/>
        </w:rPr>
        <w:t>Dictionary, new definition of gross price</w:t>
      </w:r>
    </w:p>
    <w:p w14:paraId="7B9A92C2" w14:textId="77777777" w:rsidR="00315D6D" w:rsidRDefault="00315D6D" w:rsidP="00315D6D">
      <w:pPr>
        <w:keepNext/>
        <w:widowControl w:val="0"/>
        <w:outlineLvl w:val="5"/>
        <w:rPr>
          <w:b/>
          <w:bCs/>
          <w:lang w:val="en-US"/>
        </w:rPr>
      </w:pPr>
    </w:p>
    <w:p w14:paraId="73FD10C3" w14:textId="0A933121" w:rsidR="00315D6D" w:rsidRDefault="00D94F41" w:rsidP="00315D6D">
      <w:pPr>
        <w:rPr>
          <w:bCs/>
        </w:rPr>
      </w:pPr>
      <w:r>
        <w:rPr>
          <w:bCs/>
        </w:rPr>
        <w:t xml:space="preserve">This clause moves the </w:t>
      </w:r>
      <w:r w:rsidR="00315D6D">
        <w:rPr>
          <w:bCs/>
        </w:rPr>
        <w:t xml:space="preserve">definition of gross price, formerly contained in section 1.19(3), </w:t>
      </w:r>
      <w:r>
        <w:rPr>
          <w:bCs/>
        </w:rPr>
        <w:t>into</w:t>
      </w:r>
      <w:r w:rsidR="00315D6D">
        <w:rPr>
          <w:bCs/>
        </w:rPr>
        <w:t xml:space="preserve"> the Dictionary.</w:t>
      </w:r>
    </w:p>
    <w:p w14:paraId="4E790572" w14:textId="77777777" w:rsidR="00315D6D" w:rsidRPr="00B05205" w:rsidRDefault="00315D6D" w:rsidP="00315D6D"/>
    <w:p w14:paraId="13D2C2F4" w14:textId="77777777" w:rsidR="00315D6D" w:rsidRPr="00B05205" w:rsidRDefault="00315D6D" w:rsidP="00315D6D"/>
    <w:p w14:paraId="56E63BB1" w14:textId="671CA82F" w:rsidR="00FC2AC6" w:rsidRPr="00B05205" w:rsidRDefault="00FC2AC6" w:rsidP="00FC2AC6"/>
    <w:p w14:paraId="63CAF387" w14:textId="7A2085F8" w:rsidR="00B05205" w:rsidRPr="00B05205" w:rsidRDefault="00B05205"/>
    <w:sectPr w:rsidR="00B05205" w:rsidRPr="00B05205"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49BBB" w14:textId="77777777" w:rsidR="00083F44" w:rsidRDefault="00083F44" w:rsidP="006815C9">
      <w:r>
        <w:separator/>
      </w:r>
    </w:p>
  </w:endnote>
  <w:endnote w:type="continuationSeparator" w:id="0">
    <w:p w14:paraId="66C9AAFE" w14:textId="77777777" w:rsidR="00083F44" w:rsidRDefault="00083F44"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59CB" w14:textId="77777777" w:rsidR="00213C19" w:rsidRDefault="00213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C7A8" w14:textId="42586EBF" w:rsidR="0061142E" w:rsidRDefault="0061142E">
    <w:pPr>
      <w:pStyle w:val="Footer"/>
    </w:pPr>
    <w:r>
      <w:t xml:space="preserve">Liquor </w:t>
    </w:r>
    <w:r w:rsidR="002F71CE">
      <w:t xml:space="preserve">Amendment Regulation </w:t>
    </w:r>
    <w:r>
      <w:t>2020</w:t>
    </w:r>
    <w:r w:rsidR="00F22595">
      <w:t xml:space="preserve"> (No </w:t>
    </w:r>
    <w:r w:rsidR="00D94F41">
      <w:t>2</w:t>
    </w:r>
    <w:r w:rsidR="00F22595">
      <w:t>)</w:t>
    </w:r>
    <w:r>
      <w:t xml:space="preserve"> – Explanatory Statement</w:t>
    </w:r>
    <w:r w:rsidR="004450E0">
      <w:t xml:space="preserve">  </w:t>
    </w:r>
  </w:p>
  <w:p w14:paraId="3194545B" w14:textId="4676FAA3" w:rsidR="00091D34" w:rsidRPr="00213C19" w:rsidRDefault="00213C19" w:rsidP="00213C19">
    <w:pPr>
      <w:pStyle w:val="Footer"/>
      <w:jc w:val="center"/>
      <w:rPr>
        <w:rFonts w:cs="Arial"/>
        <w:sz w:val="14"/>
      </w:rPr>
    </w:pPr>
    <w:r w:rsidRPr="00213C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3236" w14:textId="77777777" w:rsidR="00213C19" w:rsidRDefault="00213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9D7D" w14:textId="77777777" w:rsidR="00083F44" w:rsidRDefault="00083F44" w:rsidP="006815C9">
      <w:r>
        <w:separator/>
      </w:r>
    </w:p>
  </w:footnote>
  <w:footnote w:type="continuationSeparator" w:id="0">
    <w:p w14:paraId="42CA1DAA" w14:textId="77777777" w:rsidR="00083F44" w:rsidRDefault="00083F44"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80C8" w14:textId="77777777" w:rsidR="00213C19" w:rsidRDefault="00213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87D2" w14:textId="77777777" w:rsidR="00213C19" w:rsidRDefault="00213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7E7C" w14:textId="77777777" w:rsidR="00213C19" w:rsidRDefault="0021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2E0DF5"/>
    <w:multiLevelType w:val="hybridMultilevel"/>
    <w:tmpl w:val="579423EA"/>
    <w:lvl w:ilvl="0" w:tplc="EFF645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BFC6B46"/>
    <w:multiLevelType w:val="hybridMultilevel"/>
    <w:tmpl w:val="95124F10"/>
    <w:lvl w:ilvl="0" w:tplc="0674FD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3B04DC"/>
    <w:multiLevelType w:val="hybridMultilevel"/>
    <w:tmpl w:val="2EF2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C30A0"/>
    <w:multiLevelType w:val="hybridMultilevel"/>
    <w:tmpl w:val="396AE476"/>
    <w:lvl w:ilvl="0" w:tplc="4DEE092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C5C489E"/>
    <w:multiLevelType w:val="hybridMultilevel"/>
    <w:tmpl w:val="069A9BD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A0D33"/>
    <w:multiLevelType w:val="hybridMultilevel"/>
    <w:tmpl w:val="7E040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DD93297"/>
    <w:multiLevelType w:val="hybridMultilevel"/>
    <w:tmpl w:val="0CD83F64"/>
    <w:lvl w:ilvl="0" w:tplc="45867F64">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0"/>
  </w:num>
  <w:num w:numId="5">
    <w:abstractNumId w:val="14"/>
  </w:num>
  <w:num w:numId="6">
    <w:abstractNumId w:val="1"/>
  </w:num>
  <w:num w:numId="7">
    <w:abstractNumId w:val="8"/>
  </w:num>
  <w:num w:numId="8">
    <w:abstractNumId w:val="9"/>
  </w:num>
  <w:num w:numId="9">
    <w:abstractNumId w:val="13"/>
  </w:num>
  <w:num w:numId="10">
    <w:abstractNumId w:val="12"/>
  </w:num>
  <w:num w:numId="11">
    <w:abstractNumId w:val="11"/>
  </w:num>
  <w:num w:numId="12">
    <w:abstractNumId w:val="15"/>
  </w:num>
  <w:num w:numId="13">
    <w:abstractNumId w:val="7"/>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53FF"/>
    <w:rsid w:val="00010404"/>
    <w:rsid w:val="00011895"/>
    <w:rsid w:val="00034C80"/>
    <w:rsid w:val="00040E22"/>
    <w:rsid w:val="00073397"/>
    <w:rsid w:val="00083F44"/>
    <w:rsid w:val="00091D34"/>
    <w:rsid w:val="00092045"/>
    <w:rsid w:val="00096A62"/>
    <w:rsid w:val="000C3F8C"/>
    <w:rsid w:val="000F36DC"/>
    <w:rsid w:val="00102D27"/>
    <w:rsid w:val="001266C3"/>
    <w:rsid w:val="0013525C"/>
    <w:rsid w:val="00161723"/>
    <w:rsid w:val="00167D14"/>
    <w:rsid w:val="00170028"/>
    <w:rsid w:val="00174B0C"/>
    <w:rsid w:val="001A3055"/>
    <w:rsid w:val="001C003F"/>
    <w:rsid w:val="001C7F49"/>
    <w:rsid w:val="001E0024"/>
    <w:rsid w:val="00200900"/>
    <w:rsid w:val="00204AC7"/>
    <w:rsid w:val="00213C19"/>
    <w:rsid w:val="00222838"/>
    <w:rsid w:val="00224E0C"/>
    <w:rsid w:val="0022798D"/>
    <w:rsid w:val="0024571E"/>
    <w:rsid w:val="00284EDA"/>
    <w:rsid w:val="00296EE7"/>
    <w:rsid w:val="002C3910"/>
    <w:rsid w:val="002D1DFC"/>
    <w:rsid w:val="002E2CA2"/>
    <w:rsid w:val="002F71CE"/>
    <w:rsid w:val="00315D6D"/>
    <w:rsid w:val="0033206A"/>
    <w:rsid w:val="00333A21"/>
    <w:rsid w:val="0033709E"/>
    <w:rsid w:val="00364663"/>
    <w:rsid w:val="00365140"/>
    <w:rsid w:val="003665EE"/>
    <w:rsid w:val="00382A43"/>
    <w:rsid w:val="00382F32"/>
    <w:rsid w:val="00386AD5"/>
    <w:rsid w:val="003A0A31"/>
    <w:rsid w:val="003A5039"/>
    <w:rsid w:val="003A7D8F"/>
    <w:rsid w:val="003C44B9"/>
    <w:rsid w:val="003D3271"/>
    <w:rsid w:val="00401DE7"/>
    <w:rsid w:val="00404801"/>
    <w:rsid w:val="00412860"/>
    <w:rsid w:val="00416DB7"/>
    <w:rsid w:val="004331CC"/>
    <w:rsid w:val="00443104"/>
    <w:rsid w:val="004450E0"/>
    <w:rsid w:val="004453FC"/>
    <w:rsid w:val="004732E2"/>
    <w:rsid w:val="00485D5A"/>
    <w:rsid w:val="0048699E"/>
    <w:rsid w:val="00494418"/>
    <w:rsid w:val="004F4254"/>
    <w:rsid w:val="004F4B03"/>
    <w:rsid w:val="00531F76"/>
    <w:rsid w:val="00534530"/>
    <w:rsid w:val="005821DC"/>
    <w:rsid w:val="00595CC2"/>
    <w:rsid w:val="005A4263"/>
    <w:rsid w:val="005A56D5"/>
    <w:rsid w:val="005C1542"/>
    <w:rsid w:val="005D02FC"/>
    <w:rsid w:val="005E411B"/>
    <w:rsid w:val="0061142E"/>
    <w:rsid w:val="00612F43"/>
    <w:rsid w:val="00627DC5"/>
    <w:rsid w:val="006372D7"/>
    <w:rsid w:val="006815C9"/>
    <w:rsid w:val="0069328A"/>
    <w:rsid w:val="00697F27"/>
    <w:rsid w:val="006A0D07"/>
    <w:rsid w:val="006A1578"/>
    <w:rsid w:val="006A38D6"/>
    <w:rsid w:val="006B31B0"/>
    <w:rsid w:val="006D69E8"/>
    <w:rsid w:val="006E7046"/>
    <w:rsid w:val="006F07BB"/>
    <w:rsid w:val="007311E3"/>
    <w:rsid w:val="00740B0C"/>
    <w:rsid w:val="0074221F"/>
    <w:rsid w:val="007637D9"/>
    <w:rsid w:val="00763DD3"/>
    <w:rsid w:val="007F66D9"/>
    <w:rsid w:val="008005D3"/>
    <w:rsid w:val="00807119"/>
    <w:rsid w:val="00834A86"/>
    <w:rsid w:val="008511EC"/>
    <w:rsid w:val="0086253E"/>
    <w:rsid w:val="008759E5"/>
    <w:rsid w:val="0087675A"/>
    <w:rsid w:val="008834F8"/>
    <w:rsid w:val="0089596D"/>
    <w:rsid w:val="008A178C"/>
    <w:rsid w:val="008B7F89"/>
    <w:rsid w:val="008C2CE8"/>
    <w:rsid w:val="008D5DFC"/>
    <w:rsid w:val="008F6563"/>
    <w:rsid w:val="009028B4"/>
    <w:rsid w:val="00907628"/>
    <w:rsid w:val="00921FC2"/>
    <w:rsid w:val="00922AA0"/>
    <w:rsid w:val="0093530B"/>
    <w:rsid w:val="00935753"/>
    <w:rsid w:val="00941F11"/>
    <w:rsid w:val="0097405B"/>
    <w:rsid w:val="00992BC5"/>
    <w:rsid w:val="0099322F"/>
    <w:rsid w:val="009936F7"/>
    <w:rsid w:val="009A758B"/>
    <w:rsid w:val="009B423A"/>
    <w:rsid w:val="009C658A"/>
    <w:rsid w:val="00A0481D"/>
    <w:rsid w:val="00A10238"/>
    <w:rsid w:val="00A23555"/>
    <w:rsid w:val="00A50C62"/>
    <w:rsid w:val="00A7055D"/>
    <w:rsid w:val="00A706AA"/>
    <w:rsid w:val="00AA1D59"/>
    <w:rsid w:val="00AB137A"/>
    <w:rsid w:val="00AD306F"/>
    <w:rsid w:val="00AD6237"/>
    <w:rsid w:val="00AE71A2"/>
    <w:rsid w:val="00B007ED"/>
    <w:rsid w:val="00B04EB4"/>
    <w:rsid w:val="00B05205"/>
    <w:rsid w:val="00B06EC3"/>
    <w:rsid w:val="00B248AB"/>
    <w:rsid w:val="00B60537"/>
    <w:rsid w:val="00B6351F"/>
    <w:rsid w:val="00B70A02"/>
    <w:rsid w:val="00BA0735"/>
    <w:rsid w:val="00BC0C37"/>
    <w:rsid w:val="00BC114D"/>
    <w:rsid w:val="00BC209C"/>
    <w:rsid w:val="00BD183A"/>
    <w:rsid w:val="00BE48AC"/>
    <w:rsid w:val="00C13BBA"/>
    <w:rsid w:val="00C1618B"/>
    <w:rsid w:val="00C543AA"/>
    <w:rsid w:val="00CB3B71"/>
    <w:rsid w:val="00CB4563"/>
    <w:rsid w:val="00CC09C6"/>
    <w:rsid w:val="00CC7395"/>
    <w:rsid w:val="00CE09C3"/>
    <w:rsid w:val="00D40FBA"/>
    <w:rsid w:val="00D94F41"/>
    <w:rsid w:val="00D967A1"/>
    <w:rsid w:val="00DA079E"/>
    <w:rsid w:val="00DC2668"/>
    <w:rsid w:val="00DE2C06"/>
    <w:rsid w:val="00E00689"/>
    <w:rsid w:val="00E01473"/>
    <w:rsid w:val="00E10ADD"/>
    <w:rsid w:val="00E23693"/>
    <w:rsid w:val="00E4625F"/>
    <w:rsid w:val="00E73D8D"/>
    <w:rsid w:val="00E75C0B"/>
    <w:rsid w:val="00E9145C"/>
    <w:rsid w:val="00E979CE"/>
    <w:rsid w:val="00F03070"/>
    <w:rsid w:val="00F11D93"/>
    <w:rsid w:val="00F21E41"/>
    <w:rsid w:val="00F22595"/>
    <w:rsid w:val="00F240FD"/>
    <w:rsid w:val="00F31419"/>
    <w:rsid w:val="00F5259D"/>
    <w:rsid w:val="00F5371D"/>
    <w:rsid w:val="00F63843"/>
    <w:rsid w:val="00F76850"/>
    <w:rsid w:val="00F86DED"/>
    <w:rsid w:val="00FA6067"/>
    <w:rsid w:val="00FC2AC6"/>
    <w:rsid w:val="00FD2F2D"/>
    <w:rsid w:val="00FE3D07"/>
    <w:rsid w:val="00FF1161"/>
    <w:rsid w:val="00FF7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1B7CD"/>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paragraph" w:styleId="Heading6">
    <w:name w:val="heading 6"/>
    <w:basedOn w:val="Normal"/>
    <w:next w:val="Normal"/>
    <w:link w:val="Heading6Char"/>
    <w:uiPriority w:val="9"/>
    <w:semiHidden/>
    <w:unhideWhenUsed/>
    <w:qFormat/>
    <w:rsid w:val="0016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BalloonText">
    <w:name w:val="Balloon Text"/>
    <w:basedOn w:val="Normal"/>
    <w:link w:val="BalloonTextChar"/>
    <w:uiPriority w:val="99"/>
    <w:semiHidden/>
    <w:unhideWhenUsed/>
    <w:rsid w:val="00B00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7ED"/>
    <w:rPr>
      <w:rFonts w:ascii="Segoe UI" w:hAnsi="Segoe UI" w:cs="Segoe UI"/>
      <w:sz w:val="18"/>
      <w:szCs w:val="18"/>
      <w:lang w:eastAsia="en-US"/>
    </w:rPr>
  </w:style>
  <w:style w:type="character" w:customStyle="1" w:styleId="FooterChar">
    <w:name w:val="Footer Char"/>
    <w:basedOn w:val="DefaultParagraphFont"/>
    <w:link w:val="Footer"/>
    <w:uiPriority w:val="99"/>
    <w:rsid w:val="0061142E"/>
    <w:rPr>
      <w:rFonts w:ascii="Arial" w:hAnsi="Arial"/>
      <w:sz w:val="18"/>
      <w:lang w:eastAsia="en-US"/>
    </w:rPr>
  </w:style>
  <w:style w:type="character" w:customStyle="1" w:styleId="Heading6Char">
    <w:name w:val="Heading 6 Char"/>
    <w:basedOn w:val="DefaultParagraphFont"/>
    <w:link w:val="Heading6"/>
    <w:uiPriority w:val="9"/>
    <w:semiHidden/>
    <w:rsid w:val="00167D14"/>
    <w:rPr>
      <w:rFonts w:asciiTheme="majorHAnsi" w:eastAsiaTheme="majorEastAsia" w:hAnsiTheme="majorHAnsi" w:cstheme="majorBidi"/>
      <w:color w:val="243F60" w:themeColor="accent1" w:themeShade="7F"/>
      <w:sz w:val="24"/>
      <w:lang w:eastAsia="en-US"/>
    </w:rPr>
  </w:style>
  <w:style w:type="paragraph" w:styleId="ListParagraph">
    <w:name w:val="List Paragraph"/>
    <w:aliases w:val="List Paragraph1,List Paragraph11,Recommendation,Bullet point,L"/>
    <w:basedOn w:val="Normal"/>
    <w:link w:val="ListParagraphChar"/>
    <w:uiPriority w:val="34"/>
    <w:qFormat/>
    <w:rsid w:val="00161723"/>
    <w:pPr>
      <w:ind w:left="720"/>
      <w:contextualSpacing/>
    </w:pPr>
  </w:style>
  <w:style w:type="character" w:customStyle="1" w:styleId="ListParagraphChar">
    <w:name w:val="List Paragraph Char"/>
    <w:aliases w:val="List Paragraph1 Char,List Paragraph11 Char,Recommendation Char,Bullet point Char,L Char"/>
    <w:basedOn w:val="DefaultParagraphFont"/>
    <w:link w:val="ListParagraph"/>
    <w:uiPriority w:val="34"/>
    <w:locked/>
    <w:rsid w:val="00907628"/>
    <w:rPr>
      <w:sz w:val="24"/>
      <w:lang w:eastAsia="en-US"/>
    </w:rPr>
  </w:style>
  <w:style w:type="character" w:styleId="CommentReference">
    <w:name w:val="annotation reference"/>
    <w:basedOn w:val="DefaultParagraphFont"/>
    <w:uiPriority w:val="99"/>
    <w:semiHidden/>
    <w:unhideWhenUsed/>
    <w:rsid w:val="00E9145C"/>
    <w:rPr>
      <w:sz w:val="16"/>
      <w:szCs w:val="16"/>
    </w:rPr>
  </w:style>
  <w:style w:type="paragraph" w:styleId="CommentText">
    <w:name w:val="annotation text"/>
    <w:basedOn w:val="Normal"/>
    <w:link w:val="CommentTextChar"/>
    <w:uiPriority w:val="99"/>
    <w:semiHidden/>
    <w:unhideWhenUsed/>
    <w:rsid w:val="00E9145C"/>
    <w:rPr>
      <w:sz w:val="20"/>
    </w:rPr>
  </w:style>
  <w:style w:type="character" w:customStyle="1" w:styleId="CommentTextChar">
    <w:name w:val="Comment Text Char"/>
    <w:basedOn w:val="DefaultParagraphFont"/>
    <w:link w:val="CommentText"/>
    <w:uiPriority w:val="99"/>
    <w:semiHidden/>
    <w:rsid w:val="00E9145C"/>
    <w:rPr>
      <w:lang w:eastAsia="en-US"/>
    </w:rPr>
  </w:style>
  <w:style w:type="paragraph" w:styleId="CommentSubject">
    <w:name w:val="annotation subject"/>
    <w:basedOn w:val="CommentText"/>
    <w:next w:val="CommentText"/>
    <w:link w:val="CommentSubjectChar"/>
    <w:uiPriority w:val="99"/>
    <w:semiHidden/>
    <w:unhideWhenUsed/>
    <w:rsid w:val="00E9145C"/>
    <w:rPr>
      <w:b/>
      <w:bCs/>
    </w:rPr>
  </w:style>
  <w:style w:type="character" w:customStyle="1" w:styleId="CommentSubjectChar">
    <w:name w:val="Comment Subject Char"/>
    <w:basedOn w:val="CommentTextChar"/>
    <w:link w:val="CommentSubject"/>
    <w:uiPriority w:val="99"/>
    <w:semiHidden/>
    <w:rsid w:val="00E914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13D2-251C-4393-A7C9-066F693A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6097</Characters>
  <Application>Microsoft Office Word</Application>
  <DocSecurity>0</DocSecurity>
  <Lines>172</Lines>
  <Paragraphs>64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2020-05-21T07:48:00Z</dcterms:created>
  <dcterms:modified xsi:type="dcterms:W3CDTF">2020-05-21T07:48:00Z</dcterms:modified>
</cp:coreProperties>
</file>