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50D77D4F"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09543B" w:rsidRPr="0009543B">
        <w:rPr>
          <w:rFonts w:ascii="Arial" w:hAnsi="Arial" w:cs="Arial"/>
          <w:b/>
          <w:bCs/>
          <w:sz w:val="24"/>
          <w:szCs w:val="24"/>
        </w:rPr>
        <w:t>Electricity Feed-in (Large-scale Renewable Energy Generation) Amendment Bill 2020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3BD7EEAF"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6611FA">
        <w:rPr>
          <w:rFonts w:ascii="Arial" w:hAnsi="Arial" w:cs="Arial"/>
          <w:b/>
          <w:bCs/>
          <w:sz w:val="24"/>
          <w:szCs w:val="24"/>
        </w:rPr>
        <w:br/>
      </w:r>
      <w:r w:rsidR="006611FA" w:rsidRPr="006611FA">
        <w:rPr>
          <w:rFonts w:ascii="Arial" w:hAnsi="Arial" w:cs="Arial"/>
          <w:b/>
          <w:bCs/>
          <w:sz w:val="24"/>
          <w:szCs w:val="24"/>
        </w:rPr>
        <w:t xml:space="preserve">and HUMAN RIGHTS COMPATIBILITY STATEMENT </w:t>
      </w:r>
      <w:r w:rsidR="006611FA">
        <w:rPr>
          <w:rFonts w:ascii="Arial" w:hAnsi="Arial" w:cs="Arial"/>
          <w:b/>
          <w:bCs/>
          <w:sz w:val="24"/>
          <w:szCs w:val="24"/>
        </w:rPr>
        <w:br/>
      </w:r>
      <w:r w:rsidR="006611FA" w:rsidRPr="006611FA">
        <w:rPr>
          <w:rFonts w:ascii="Arial" w:hAnsi="Arial" w:cs="Arial"/>
          <w:b/>
          <w:bCs/>
          <w:sz w:val="24"/>
          <w:szCs w:val="24"/>
        </w:rPr>
        <w:t>(Human Rights Act 2004, s 37)</w:t>
      </w:r>
      <w:r w:rsidR="00BC3EF0">
        <w:rPr>
          <w:rFonts w:ascii="Arial" w:hAnsi="Arial" w:cs="Arial"/>
          <w:b/>
          <w:bCs/>
          <w:sz w:val="24"/>
          <w:szCs w:val="24"/>
        </w:rPr>
        <w:t xml:space="preserve"> </w:t>
      </w:r>
    </w:p>
    <w:p w14:paraId="4E561EC7" w14:textId="5D01BABE" w:rsidR="00BB387E" w:rsidRDefault="00BB387E" w:rsidP="00BB387E">
      <w:pPr>
        <w:spacing w:after="0"/>
        <w:jc w:val="center"/>
        <w:rPr>
          <w:rFonts w:ascii="Arial" w:hAnsi="Arial" w:cs="Arial"/>
          <w:b/>
          <w:bCs/>
          <w:sz w:val="24"/>
          <w:szCs w:val="24"/>
        </w:rPr>
      </w:pPr>
    </w:p>
    <w:p w14:paraId="2665F3B3" w14:textId="3042EA5A" w:rsidR="00351925" w:rsidRDefault="00351925" w:rsidP="00BB387E">
      <w:pPr>
        <w:spacing w:after="0"/>
        <w:jc w:val="center"/>
        <w:rPr>
          <w:rFonts w:ascii="Arial" w:hAnsi="Arial" w:cs="Arial"/>
          <w:b/>
          <w:bCs/>
          <w:sz w:val="24"/>
          <w:szCs w:val="24"/>
        </w:rPr>
      </w:pPr>
    </w:p>
    <w:p w14:paraId="12254DBF" w14:textId="3C246411" w:rsidR="00351925" w:rsidRDefault="00351925" w:rsidP="00BB387E">
      <w:pPr>
        <w:spacing w:after="0"/>
        <w:jc w:val="center"/>
        <w:rPr>
          <w:rFonts w:ascii="Arial" w:hAnsi="Arial" w:cs="Arial"/>
          <w:b/>
          <w:bCs/>
          <w:sz w:val="24"/>
          <w:szCs w:val="24"/>
        </w:rPr>
      </w:pPr>
    </w:p>
    <w:p w14:paraId="5B1FA52F" w14:textId="77777777" w:rsidR="00351925" w:rsidRPr="00BB387E" w:rsidRDefault="00351925"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33785D91" w:rsidR="00BB387E" w:rsidRPr="00BB387E" w:rsidRDefault="0009543B" w:rsidP="00BB387E">
      <w:pPr>
        <w:spacing w:after="0"/>
        <w:ind w:right="686"/>
        <w:jc w:val="right"/>
        <w:rPr>
          <w:rFonts w:ascii="Arial" w:hAnsi="Arial" w:cs="Arial"/>
          <w:b/>
          <w:bCs/>
          <w:sz w:val="24"/>
          <w:szCs w:val="24"/>
        </w:rPr>
      </w:pPr>
      <w:r>
        <w:rPr>
          <w:rFonts w:ascii="Arial" w:hAnsi="Arial" w:cs="Arial"/>
          <w:b/>
          <w:bCs/>
          <w:sz w:val="24"/>
          <w:szCs w:val="24"/>
        </w:rPr>
        <w:t xml:space="preserve">Shane Rattenbury </w:t>
      </w:r>
      <w:r w:rsidR="00E954A1">
        <w:rPr>
          <w:rFonts w:ascii="Arial" w:hAnsi="Arial" w:cs="Arial"/>
          <w:b/>
          <w:bCs/>
          <w:sz w:val="24"/>
          <w:szCs w:val="24"/>
        </w:rPr>
        <w:t>MLA</w:t>
      </w:r>
      <w:r w:rsidR="006611FA">
        <w:rPr>
          <w:rFonts w:ascii="Arial" w:hAnsi="Arial" w:cs="Arial"/>
          <w:b/>
          <w:bCs/>
          <w:sz w:val="24"/>
          <w:szCs w:val="24"/>
        </w:rPr>
        <w:br/>
        <w:t>Minister for Climate Change and Sustainability</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040F73BA" w:rsidR="00ED3B77" w:rsidRPr="00BB387E" w:rsidRDefault="0009543B" w:rsidP="008C225D">
      <w:pPr>
        <w:pStyle w:val="Heading1"/>
        <w:jc w:val="center"/>
      </w:pPr>
      <w:r w:rsidRPr="0009543B">
        <w:lastRenderedPageBreak/>
        <w:t>Electricity Feed-in (Large-scale Renewable Energy Generation) Amendment Bill 2020</w:t>
      </w:r>
    </w:p>
    <w:p w14:paraId="2612AE1F" w14:textId="77777777" w:rsidR="00834FC9" w:rsidRDefault="00834FC9" w:rsidP="007F3D56">
      <w:pPr>
        <w:spacing w:after="0"/>
        <w:contextualSpacing/>
        <w:rPr>
          <w:rFonts w:ascii="Arial" w:hAnsi="Arial" w:cs="Arial"/>
          <w:bCs/>
          <w:sz w:val="24"/>
          <w:szCs w:val="24"/>
        </w:rPr>
      </w:pPr>
    </w:p>
    <w:p w14:paraId="1C55190C" w14:textId="6D665D67"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The Bill</w:t>
      </w:r>
      <w:r w:rsidRPr="0009543B">
        <w:rPr>
          <w:rFonts w:ascii="Arial" w:hAnsi="Arial" w:cs="Arial"/>
          <w:bCs/>
          <w:sz w:val="24"/>
          <w:szCs w:val="24"/>
        </w:rPr>
        <w:t xml:space="preserve"> is</w:t>
      </w:r>
      <w:r w:rsidR="0009543B">
        <w:rPr>
          <w:rFonts w:ascii="Arial" w:hAnsi="Arial" w:cs="Arial"/>
          <w:b/>
          <w:sz w:val="24"/>
          <w:szCs w:val="24"/>
        </w:rPr>
        <w:t xml:space="preserve"> </w:t>
      </w:r>
      <w:r w:rsidRPr="00834FC9">
        <w:rPr>
          <w:rFonts w:ascii="Arial" w:hAnsi="Arial" w:cs="Arial"/>
          <w:bCs/>
          <w:sz w:val="24"/>
          <w:szCs w:val="24"/>
        </w:rPr>
        <w:t xml:space="preserve">not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59279090" w14:textId="51B59C09" w:rsidR="007B6A78" w:rsidRDefault="003062BB" w:rsidP="004D0E75">
      <w:pPr>
        <w:spacing w:after="120"/>
        <w:ind w:right="-45"/>
        <w:rPr>
          <w:rFonts w:ascii="Arial" w:hAnsi="Arial" w:cs="Arial"/>
          <w:bCs/>
          <w:sz w:val="24"/>
          <w:szCs w:val="24"/>
        </w:rPr>
      </w:pPr>
      <w:r w:rsidRPr="003062BB">
        <w:rPr>
          <w:rFonts w:ascii="Arial" w:hAnsi="Arial" w:cs="Arial"/>
          <w:bCs/>
          <w:sz w:val="24"/>
          <w:szCs w:val="24"/>
        </w:rPr>
        <w:t xml:space="preserve">The Bill </w:t>
      </w:r>
      <w:r>
        <w:rPr>
          <w:rFonts w:ascii="Arial" w:hAnsi="Arial" w:cs="Arial"/>
          <w:bCs/>
          <w:sz w:val="24"/>
          <w:szCs w:val="24"/>
        </w:rPr>
        <w:t xml:space="preserve">disapplies certain provisions in the </w:t>
      </w:r>
      <w:r w:rsidRPr="003062BB">
        <w:rPr>
          <w:rFonts w:ascii="Arial" w:hAnsi="Arial" w:cs="Arial"/>
          <w:bCs/>
          <w:i/>
          <w:iCs/>
          <w:sz w:val="24"/>
          <w:szCs w:val="24"/>
        </w:rPr>
        <w:t xml:space="preserve">Electricity Feed-in (Large-scale Renewable Energy Generation) Act 2011 </w:t>
      </w:r>
      <w:r>
        <w:rPr>
          <w:rFonts w:ascii="Arial" w:hAnsi="Arial" w:cs="Arial"/>
          <w:bCs/>
          <w:sz w:val="24"/>
          <w:szCs w:val="24"/>
        </w:rPr>
        <w:t xml:space="preserve">that would otherwise </w:t>
      </w:r>
      <w:r w:rsidR="00351925">
        <w:rPr>
          <w:rFonts w:ascii="Arial" w:hAnsi="Arial" w:cs="Arial"/>
          <w:bCs/>
          <w:sz w:val="24"/>
          <w:szCs w:val="24"/>
        </w:rPr>
        <w:t>delay the granting of feed-in tariff (FiT) entitlements to give effect to the outcomes of the renewables Auction 5.</w:t>
      </w:r>
    </w:p>
    <w:p w14:paraId="28C9CC19" w14:textId="0DA72CE7" w:rsidR="00351925" w:rsidRDefault="00351925" w:rsidP="004D0E75">
      <w:pPr>
        <w:spacing w:after="120"/>
        <w:ind w:right="-45"/>
        <w:rPr>
          <w:rFonts w:ascii="Arial" w:hAnsi="Arial" w:cs="Arial"/>
          <w:bCs/>
          <w:sz w:val="24"/>
          <w:szCs w:val="24"/>
        </w:rPr>
      </w:pPr>
      <w:r>
        <w:rPr>
          <w:rFonts w:ascii="Arial" w:hAnsi="Arial" w:cs="Arial"/>
          <w:bCs/>
          <w:sz w:val="24"/>
          <w:szCs w:val="24"/>
        </w:rPr>
        <w:t>By disapplying these sections, the Minister for Climate Change &amp; Sustainability will be able to grant FiT entitlements to the auction winners immediately, rather than waiting for the day after the sixth sitting day after the relevant capacity release is Tabled in the Assembly.</w:t>
      </w:r>
    </w:p>
    <w:p w14:paraId="61724E24" w14:textId="07D1719E" w:rsidR="00351925" w:rsidRPr="003062BB" w:rsidRDefault="00351925" w:rsidP="004D0E75">
      <w:pPr>
        <w:spacing w:after="120"/>
        <w:ind w:right="-45"/>
        <w:rPr>
          <w:rFonts w:ascii="Arial" w:hAnsi="Arial" w:cs="Arial"/>
          <w:bCs/>
          <w:sz w:val="24"/>
          <w:szCs w:val="24"/>
        </w:rPr>
      </w:pPr>
      <w:r>
        <w:rPr>
          <w:rFonts w:ascii="Arial" w:hAnsi="Arial" w:cs="Arial"/>
          <w:bCs/>
          <w:sz w:val="24"/>
          <w:szCs w:val="24"/>
        </w:rPr>
        <w:t>This Bill continues to provide for scrutiny by the Assembly of the capacity release, through the scrutiny that is applied to this Bill.</w:t>
      </w: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7FA5013C" w14:textId="6F6EDF11" w:rsidR="000C49E3" w:rsidRPr="00351925" w:rsidRDefault="00351925" w:rsidP="00351925">
      <w:pPr>
        <w:spacing w:after="120"/>
        <w:ind w:right="-45"/>
        <w:rPr>
          <w:rFonts w:ascii="Arial" w:hAnsi="Arial" w:cs="Arial"/>
          <w:bCs/>
          <w:sz w:val="24"/>
          <w:szCs w:val="24"/>
        </w:rPr>
      </w:pPr>
      <w:r w:rsidRPr="00351925">
        <w:rPr>
          <w:rFonts w:ascii="Arial" w:hAnsi="Arial" w:cs="Arial"/>
          <w:bCs/>
          <w:sz w:val="24"/>
          <w:szCs w:val="24"/>
        </w:rPr>
        <w:t>Due to the tim</w:t>
      </w:r>
      <w:r>
        <w:rPr>
          <w:rFonts w:ascii="Arial" w:hAnsi="Arial" w:cs="Arial"/>
          <w:bCs/>
          <w:sz w:val="24"/>
          <w:szCs w:val="24"/>
        </w:rPr>
        <w:t>e</w:t>
      </w:r>
      <w:r w:rsidRPr="00351925">
        <w:rPr>
          <w:rFonts w:ascii="Arial" w:hAnsi="Arial" w:cs="Arial"/>
          <w:bCs/>
          <w:sz w:val="24"/>
          <w:szCs w:val="24"/>
        </w:rPr>
        <w:t xml:space="preserve"> constraints involved, </w:t>
      </w:r>
      <w:r>
        <w:rPr>
          <w:rFonts w:ascii="Arial" w:hAnsi="Arial" w:cs="Arial"/>
          <w:bCs/>
          <w:sz w:val="24"/>
          <w:szCs w:val="24"/>
        </w:rPr>
        <w:t xml:space="preserve">no </w:t>
      </w:r>
      <w:r w:rsidR="007922B6">
        <w:rPr>
          <w:rFonts w:ascii="Arial" w:hAnsi="Arial" w:cs="Arial"/>
          <w:bCs/>
          <w:sz w:val="24"/>
          <w:szCs w:val="24"/>
        </w:rPr>
        <w:t xml:space="preserve">external </w:t>
      </w:r>
      <w:r>
        <w:rPr>
          <w:rFonts w:ascii="Arial" w:hAnsi="Arial" w:cs="Arial"/>
          <w:bCs/>
          <w:sz w:val="24"/>
          <w:szCs w:val="24"/>
        </w:rPr>
        <w:t xml:space="preserve">consultation has </w:t>
      </w:r>
      <w:r w:rsidR="007922B6">
        <w:rPr>
          <w:rFonts w:ascii="Arial" w:hAnsi="Arial" w:cs="Arial"/>
          <w:bCs/>
          <w:sz w:val="24"/>
          <w:szCs w:val="24"/>
        </w:rPr>
        <w:t>occurred for this Bill. However, this Bill is to enable the ACT Government to meet stakeholders’ existing expectations.</w:t>
      </w:r>
    </w:p>
    <w:p w14:paraId="1A2BA5E1" w14:textId="6E3769AB" w:rsidR="00790FE4" w:rsidRDefault="00503AAB" w:rsidP="008C225D">
      <w:pPr>
        <w:pStyle w:val="Heading2"/>
      </w:pPr>
      <w:r>
        <w:t xml:space="preserve">CONSISTENCY WITH </w:t>
      </w:r>
      <w:r w:rsidR="00790FE4" w:rsidRPr="008C225D">
        <w:t>HUMAN RIGHTS</w:t>
      </w:r>
    </w:p>
    <w:p w14:paraId="2B4477B9" w14:textId="5065447D" w:rsidR="00023B23" w:rsidRPr="0009543B" w:rsidRDefault="0009543B" w:rsidP="007A33E6">
      <w:pPr>
        <w:shd w:val="clear" w:color="auto" w:fill="FFFFFF"/>
        <w:rPr>
          <w:rFonts w:ascii="Arial" w:hAnsi="Arial" w:cs="Arial"/>
          <w:bCs/>
          <w:sz w:val="24"/>
          <w:szCs w:val="24"/>
        </w:rPr>
      </w:pPr>
      <w:r w:rsidRPr="0009543B">
        <w:rPr>
          <w:rFonts w:ascii="Arial" w:hAnsi="Arial" w:cs="Arial"/>
          <w:bCs/>
          <w:sz w:val="24"/>
          <w:szCs w:val="24"/>
        </w:rPr>
        <w:t>This Bill does not engage with any human rights</w:t>
      </w:r>
      <w:r>
        <w:rPr>
          <w:rFonts w:ascii="Arial" w:hAnsi="Arial" w:cs="Arial"/>
          <w:bCs/>
          <w:sz w:val="24"/>
          <w:szCs w:val="24"/>
        </w:rPr>
        <w:t>.</w:t>
      </w: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61224D2B" w14:textId="77777777" w:rsidR="006F69F2" w:rsidRPr="006F69F2" w:rsidRDefault="006F69F2" w:rsidP="006F69F2">
      <w:pPr>
        <w:rPr>
          <w:rFonts w:ascii="Arial" w:hAnsi="Arial" w:cs="Arial"/>
          <w:b/>
          <w:bCs/>
          <w:iCs/>
          <w:sz w:val="24"/>
          <w:szCs w:val="24"/>
        </w:rPr>
      </w:pPr>
      <w:r w:rsidRPr="006F69F2">
        <w:rPr>
          <w:rFonts w:ascii="Arial" w:hAnsi="Arial" w:cs="Arial"/>
          <w:iCs/>
          <w:sz w:val="24"/>
          <w:szCs w:val="24"/>
        </w:rPr>
        <w:t>Nil</w:t>
      </w:r>
    </w:p>
    <w:p w14:paraId="56D5AAAF" w14:textId="0EB6475E"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43424A1F" w14:textId="77777777" w:rsidR="006F69F2" w:rsidRPr="006F69F2" w:rsidRDefault="006F69F2" w:rsidP="006F69F2">
      <w:pPr>
        <w:rPr>
          <w:rFonts w:ascii="Arial" w:hAnsi="Arial" w:cs="Arial"/>
          <w:b/>
          <w:bCs/>
          <w:iCs/>
          <w:sz w:val="24"/>
          <w:szCs w:val="24"/>
        </w:rPr>
      </w:pPr>
      <w:r w:rsidRPr="006F69F2">
        <w:rPr>
          <w:rFonts w:ascii="Arial" w:hAnsi="Arial" w:cs="Arial"/>
          <w:iCs/>
          <w:sz w:val="24"/>
          <w:szCs w:val="24"/>
        </w:rPr>
        <w:t>Nil</w:t>
      </w:r>
    </w:p>
    <w:p w14:paraId="265D5486" w14:textId="77777777"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7C3B0F88" w14:textId="0E2481F5" w:rsidR="00BC3EF0" w:rsidRPr="006F69F2" w:rsidRDefault="006F69F2" w:rsidP="00414921">
      <w:pPr>
        <w:rPr>
          <w:rFonts w:ascii="Arial" w:hAnsi="Arial" w:cs="Arial"/>
          <w:b/>
          <w:bCs/>
          <w:iCs/>
          <w:sz w:val="24"/>
          <w:szCs w:val="24"/>
        </w:rPr>
      </w:pPr>
      <w:r w:rsidRPr="006F69F2">
        <w:rPr>
          <w:rFonts w:ascii="Arial" w:hAnsi="Arial" w:cs="Arial"/>
          <w:iCs/>
          <w:sz w:val="24"/>
          <w:szCs w:val="24"/>
        </w:rPr>
        <w:t>Nil</w:t>
      </w:r>
    </w:p>
    <w:p w14:paraId="05BFF737" w14:textId="6856C85F" w:rsidR="00376166" w:rsidRPr="00414921" w:rsidRDefault="007C565D" w:rsidP="003B3A43">
      <w:pPr>
        <w:pStyle w:val="ListParagraph"/>
        <w:numPr>
          <w:ilvl w:val="0"/>
          <w:numId w:val="47"/>
        </w:numPr>
        <w:rPr>
          <w:rFonts w:ascii="Arial" w:hAnsi="Arial" w:cs="Arial"/>
          <w:b/>
          <w:bCs/>
          <w:i/>
          <w:sz w:val="24"/>
          <w:szCs w:val="24"/>
        </w:rPr>
      </w:pPr>
      <w:r w:rsidRPr="00414921">
        <w:rPr>
          <w:rFonts w:ascii="Arial" w:hAnsi="Arial" w:cs="Arial"/>
          <w:b/>
          <w:bCs/>
          <w:i/>
          <w:sz w:val="24"/>
          <w:szCs w:val="24"/>
        </w:rPr>
        <w:t>Nature of the right and the limitation (s28(a) and</w:t>
      </w:r>
      <w:r w:rsidR="00414921">
        <w:rPr>
          <w:rFonts w:ascii="Arial" w:hAnsi="Arial" w:cs="Arial"/>
          <w:b/>
          <w:bCs/>
          <w:i/>
          <w:sz w:val="24"/>
          <w:szCs w:val="24"/>
        </w:rPr>
        <w:t xml:space="preserve"> </w:t>
      </w:r>
      <w:r w:rsidRPr="00414921">
        <w:rPr>
          <w:rFonts w:ascii="Arial" w:hAnsi="Arial" w:cs="Arial"/>
          <w:b/>
          <w:bCs/>
          <w:i/>
          <w:sz w:val="24"/>
          <w:szCs w:val="24"/>
        </w:rPr>
        <w:t>(c))</w:t>
      </w:r>
    </w:p>
    <w:p w14:paraId="4E59EDBA" w14:textId="77777777" w:rsidR="007C565D" w:rsidRDefault="007C565D" w:rsidP="00414921">
      <w:pPr>
        <w:pStyle w:val="ListParagraph"/>
        <w:ind w:left="360"/>
        <w:rPr>
          <w:rFonts w:ascii="Arial" w:hAnsi="Arial" w:cs="Arial"/>
          <w:i/>
          <w:color w:val="FF0000"/>
          <w:sz w:val="24"/>
          <w:szCs w:val="24"/>
        </w:rPr>
      </w:pPr>
    </w:p>
    <w:p w14:paraId="23A4CE47" w14:textId="05AC1040" w:rsidR="00023B23" w:rsidRPr="006F69F2" w:rsidRDefault="006F69F2" w:rsidP="00376166">
      <w:pPr>
        <w:pStyle w:val="ListParagraph"/>
        <w:ind w:left="360"/>
        <w:rPr>
          <w:rFonts w:ascii="Arial" w:hAnsi="Arial" w:cs="Arial"/>
          <w:iCs/>
          <w:sz w:val="24"/>
          <w:szCs w:val="24"/>
        </w:rPr>
      </w:pPr>
      <w:r w:rsidRPr="006F69F2">
        <w:rPr>
          <w:rFonts w:ascii="Arial" w:hAnsi="Arial" w:cs="Arial"/>
          <w:iCs/>
          <w:sz w:val="24"/>
          <w:szCs w:val="24"/>
        </w:rPr>
        <w:t>N/A</w:t>
      </w:r>
    </w:p>
    <w:p w14:paraId="667B79F7" w14:textId="6E9E39A2" w:rsidR="006555E3" w:rsidRDefault="006555E3" w:rsidP="00376166">
      <w:pPr>
        <w:pStyle w:val="ListParagraph"/>
        <w:ind w:left="360"/>
        <w:rPr>
          <w:rFonts w:ascii="Arial" w:hAnsi="Arial" w:cs="Arial"/>
          <w:i/>
          <w:color w:val="FF0000"/>
          <w:sz w:val="24"/>
          <w:szCs w:val="24"/>
        </w:rPr>
      </w:pPr>
    </w:p>
    <w:p w14:paraId="4C31D8E5" w14:textId="7ED1D899" w:rsidR="007C565D" w:rsidRPr="00414921" w:rsidRDefault="007C565D" w:rsidP="007C565D">
      <w:pPr>
        <w:pStyle w:val="ListParagraph"/>
        <w:numPr>
          <w:ilvl w:val="0"/>
          <w:numId w:val="47"/>
        </w:numPr>
        <w:rPr>
          <w:rFonts w:ascii="Arial" w:hAnsi="Arial" w:cs="Arial"/>
          <w:b/>
          <w:bCs/>
          <w:i/>
          <w:sz w:val="24"/>
          <w:szCs w:val="24"/>
        </w:rPr>
      </w:pPr>
      <w:r w:rsidRPr="00414921">
        <w:rPr>
          <w:rFonts w:ascii="Arial" w:hAnsi="Arial" w:cs="Arial"/>
          <w:b/>
          <w:bCs/>
          <w:i/>
          <w:sz w:val="24"/>
          <w:szCs w:val="24"/>
        </w:rPr>
        <w:t>Legitimate purpose (s28(b))</w:t>
      </w:r>
    </w:p>
    <w:p w14:paraId="66D48279" w14:textId="77777777" w:rsidR="007C565D" w:rsidRDefault="007C565D" w:rsidP="007C565D">
      <w:pPr>
        <w:pStyle w:val="ListParagraph"/>
        <w:ind w:left="360"/>
        <w:rPr>
          <w:rFonts w:ascii="Arial" w:hAnsi="Arial" w:cs="Arial"/>
          <w:i/>
          <w:color w:val="FF0000"/>
          <w:sz w:val="24"/>
          <w:szCs w:val="24"/>
        </w:rPr>
      </w:pPr>
    </w:p>
    <w:p w14:paraId="2239E25C" w14:textId="705153A0" w:rsidR="007C565D" w:rsidRDefault="006F69F2" w:rsidP="006F69F2">
      <w:pPr>
        <w:pStyle w:val="ListParagraph"/>
        <w:ind w:left="360"/>
        <w:rPr>
          <w:rFonts w:ascii="Arial" w:hAnsi="Arial" w:cs="Arial"/>
          <w:iCs/>
          <w:sz w:val="24"/>
          <w:szCs w:val="24"/>
        </w:rPr>
      </w:pPr>
      <w:r w:rsidRPr="006F69F2">
        <w:rPr>
          <w:rFonts w:ascii="Arial" w:hAnsi="Arial" w:cs="Arial"/>
          <w:iCs/>
          <w:sz w:val="24"/>
          <w:szCs w:val="24"/>
        </w:rPr>
        <w:t>N/A</w:t>
      </w:r>
    </w:p>
    <w:p w14:paraId="7B021B54" w14:textId="77777777" w:rsidR="006F69F2" w:rsidRPr="006F69F2" w:rsidRDefault="006F69F2" w:rsidP="006F69F2">
      <w:pPr>
        <w:pStyle w:val="ListParagraph"/>
        <w:ind w:left="360"/>
        <w:rPr>
          <w:rFonts w:ascii="Arial" w:hAnsi="Arial" w:cs="Arial"/>
          <w:iCs/>
          <w:sz w:val="24"/>
          <w:szCs w:val="24"/>
        </w:rPr>
      </w:pPr>
    </w:p>
    <w:p w14:paraId="28129201" w14:textId="5B5F740C" w:rsidR="007C565D" w:rsidRPr="00414921" w:rsidRDefault="00376166" w:rsidP="00376166">
      <w:pPr>
        <w:pStyle w:val="ListParagraph"/>
        <w:numPr>
          <w:ilvl w:val="0"/>
          <w:numId w:val="47"/>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(s28(d))</w:t>
      </w:r>
    </w:p>
    <w:p w14:paraId="4C51CABB" w14:textId="77777777" w:rsidR="007C565D" w:rsidRDefault="007C565D" w:rsidP="007C565D">
      <w:pPr>
        <w:pStyle w:val="ListParagraph"/>
        <w:ind w:left="360"/>
        <w:rPr>
          <w:rFonts w:ascii="Arial" w:hAnsi="Arial" w:cs="Arial"/>
          <w:i/>
          <w:color w:val="FF0000"/>
          <w:sz w:val="24"/>
          <w:szCs w:val="24"/>
        </w:rPr>
      </w:pPr>
    </w:p>
    <w:p w14:paraId="680FA2CD" w14:textId="77777777" w:rsidR="006F69F2" w:rsidRDefault="006F69F2" w:rsidP="006F69F2">
      <w:pPr>
        <w:pStyle w:val="ListParagraph"/>
        <w:ind w:left="360"/>
        <w:rPr>
          <w:rFonts w:ascii="Arial" w:hAnsi="Arial" w:cs="Arial"/>
          <w:iCs/>
          <w:sz w:val="24"/>
          <w:szCs w:val="24"/>
        </w:rPr>
      </w:pPr>
      <w:r w:rsidRPr="006F69F2">
        <w:rPr>
          <w:rFonts w:ascii="Arial" w:hAnsi="Arial" w:cs="Arial"/>
          <w:iCs/>
          <w:sz w:val="24"/>
          <w:szCs w:val="24"/>
        </w:rPr>
        <w:t>N/A</w:t>
      </w:r>
    </w:p>
    <w:p w14:paraId="2F822F2C" w14:textId="77777777" w:rsidR="00376166" w:rsidRPr="00414921" w:rsidRDefault="00376166" w:rsidP="00414921">
      <w:pPr>
        <w:pStyle w:val="ListParagraph"/>
        <w:rPr>
          <w:rFonts w:ascii="Arial" w:hAnsi="Arial" w:cs="Arial"/>
          <w:i/>
          <w:color w:val="FF0000"/>
          <w:sz w:val="24"/>
          <w:szCs w:val="24"/>
        </w:rPr>
      </w:pPr>
    </w:p>
    <w:p w14:paraId="29C39D87" w14:textId="6C1E3077" w:rsidR="007D660F" w:rsidRDefault="007C565D" w:rsidP="00F47D63">
      <w:pPr>
        <w:pStyle w:val="ListParagraph"/>
        <w:numPr>
          <w:ilvl w:val="0"/>
          <w:numId w:val="47"/>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(s28</w:t>
      </w:r>
      <w:r w:rsidR="007D6581" w:rsidRPr="00414921">
        <w:rPr>
          <w:rFonts w:ascii="Arial" w:hAnsi="Arial" w:cs="Arial"/>
          <w:b/>
          <w:bCs/>
          <w:i/>
          <w:sz w:val="24"/>
          <w:szCs w:val="24"/>
        </w:rPr>
        <w:t xml:space="preserve"> </w:t>
      </w:r>
      <w:r w:rsidR="003F68EE" w:rsidRPr="00414921">
        <w:rPr>
          <w:rFonts w:ascii="Arial" w:hAnsi="Arial" w:cs="Arial"/>
          <w:b/>
          <w:bCs/>
          <w:i/>
          <w:sz w:val="24"/>
          <w:szCs w:val="24"/>
        </w:rPr>
        <w:t>(e))</w:t>
      </w:r>
    </w:p>
    <w:p w14:paraId="5D362703" w14:textId="77777777" w:rsidR="006555E3" w:rsidRPr="00414921" w:rsidRDefault="006555E3" w:rsidP="006555E3">
      <w:pPr>
        <w:pStyle w:val="ListParagraph"/>
        <w:ind w:left="360"/>
        <w:rPr>
          <w:rFonts w:ascii="Arial" w:hAnsi="Arial" w:cs="Arial"/>
          <w:b/>
          <w:bCs/>
          <w:i/>
          <w:sz w:val="24"/>
          <w:szCs w:val="24"/>
        </w:rPr>
      </w:pPr>
    </w:p>
    <w:p w14:paraId="04F50CE4" w14:textId="7DC8581E" w:rsidR="00774277" w:rsidRDefault="006F69F2" w:rsidP="00F734BC">
      <w:pPr>
        <w:pStyle w:val="ListParagraph"/>
        <w:ind w:left="360"/>
        <w:rPr>
          <w:rFonts w:asciiTheme="minorHAnsi" w:eastAsiaTheme="majorEastAsia" w:hAnsiTheme="minorHAnsi" w:cs="Arial"/>
          <w:sz w:val="28"/>
          <w:szCs w:val="28"/>
        </w:rPr>
      </w:pPr>
      <w:bookmarkStart w:id="1" w:name="OLE_LINK1"/>
      <w:r w:rsidRPr="006F69F2">
        <w:rPr>
          <w:rFonts w:ascii="Arial" w:hAnsi="Arial" w:cs="Arial"/>
          <w:iCs/>
          <w:sz w:val="24"/>
          <w:szCs w:val="24"/>
        </w:rPr>
        <w:t>N/A</w:t>
      </w:r>
    </w:p>
    <w:bookmarkEnd w:id="1"/>
    <w:p w14:paraId="655E5366" w14:textId="77777777" w:rsidR="00F734BC" w:rsidRDefault="00F734BC" w:rsidP="00F734BC">
      <w:pPr>
        <w:pStyle w:val="Heading2"/>
        <w:ind w:left="-108"/>
        <w:jc w:val="center"/>
        <w:rPr>
          <w:rFonts w:asciiTheme="minorHAnsi" w:hAnsiTheme="minorHAnsi" w:cs="Arial"/>
          <w:b w:val="0"/>
          <w:sz w:val="28"/>
          <w:szCs w:val="28"/>
          <w:lang w:eastAsia="en-AU"/>
        </w:rPr>
      </w:pPr>
      <w:r>
        <w:br w:type="page"/>
      </w:r>
    </w:p>
    <w:p w14:paraId="3097DC51" w14:textId="77777777" w:rsidR="00702E65" w:rsidRPr="00702E65" w:rsidRDefault="00702E65" w:rsidP="00702E65">
      <w:pPr>
        <w:pStyle w:val="Heading1"/>
        <w:jc w:val="center"/>
        <w:rPr>
          <w:rFonts w:asciiTheme="minorHAnsi" w:hAnsiTheme="minorHAnsi" w:cstheme="minorHAnsi"/>
        </w:rPr>
      </w:pPr>
      <w:r w:rsidRPr="00702E65">
        <w:rPr>
          <w:rFonts w:asciiTheme="minorHAnsi" w:hAnsiTheme="minorHAnsi" w:cstheme="minorHAnsi"/>
        </w:rPr>
        <w:lastRenderedPageBreak/>
        <w:t>Electricity Feed-in (Large-scale Renewable Energy Generation) Amendment Bill 2020</w:t>
      </w:r>
    </w:p>
    <w:p w14:paraId="4BFCE301" w14:textId="77777777" w:rsidR="00F734BC" w:rsidRPr="003E5EE6" w:rsidRDefault="00F734BC" w:rsidP="00F734BC">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3F9D8597" w14:textId="77777777" w:rsidR="00F734BC" w:rsidRDefault="00F734BC" w:rsidP="00F734BC"/>
    <w:p w14:paraId="191ABEBC" w14:textId="77777777" w:rsidR="00F734BC" w:rsidRPr="00D77995" w:rsidRDefault="00F734BC" w:rsidP="00F734BC"/>
    <w:p w14:paraId="3213F3B6" w14:textId="1FBE500D" w:rsidR="00F734BC" w:rsidRPr="00702E65" w:rsidRDefault="00F734BC" w:rsidP="00702E65">
      <w:pPr>
        <w:pStyle w:val="Heading1"/>
        <w:rPr>
          <w:rFonts w:asciiTheme="minorHAnsi" w:hAnsiTheme="minorHAnsi" w:cstheme="minorHAnsi"/>
          <w:b w:val="0"/>
          <w:bCs w:val="0"/>
          <w:sz w:val="22"/>
          <w:szCs w:val="22"/>
        </w:rPr>
      </w:pPr>
      <w:r w:rsidRPr="00702E65">
        <w:rPr>
          <w:rFonts w:asciiTheme="minorHAnsi" w:hAnsiTheme="minorHAnsi" w:cstheme="minorHAnsi"/>
          <w:b w:val="0"/>
          <w:bCs w:val="0"/>
          <w:sz w:val="22"/>
          <w:szCs w:val="22"/>
        </w:rPr>
        <w:t xml:space="preserve">In accordance with section 37 of the </w:t>
      </w:r>
      <w:r w:rsidRPr="00702E65">
        <w:rPr>
          <w:rFonts w:asciiTheme="minorHAnsi" w:hAnsiTheme="minorHAnsi" w:cstheme="minorHAnsi"/>
          <w:b w:val="0"/>
          <w:bCs w:val="0"/>
          <w:i/>
          <w:iCs/>
          <w:sz w:val="22"/>
          <w:szCs w:val="22"/>
        </w:rPr>
        <w:t>Human Rights Act 2004</w:t>
      </w:r>
      <w:r w:rsidRPr="00702E65">
        <w:rPr>
          <w:rFonts w:asciiTheme="minorHAnsi" w:hAnsiTheme="minorHAnsi" w:cstheme="minorHAnsi"/>
          <w:b w:val="0"/>
          <w:bCs w:val="0"/>
          <w:sz w:val="22"/>
          <w:szCs w:val="22"/>
        </w:rPr>
        <w:t xml:space="preserve"> I have examined the </w:t>
      </w:r>
      <w:r w:rsidR="00702E65" w:rsidRPr="00702E65">
        <w:rPr>
          <w:rFonts w:asciiTheme="minorHAnsi" w:hAnsiTheme="minorHAnsi" w:cstheme="minorHAnsi"/>
          <w:sz w:val="22"/>
          <w:szCs w:val="22"/>
        </w:rPr>
        <w:t>Electricity Feed-in (Large-scale Renewable Energy Generation) Amendment Bill 2020</w:t>
      </w:r>
      <w:r w:rsidRPr="00702E65">
        <w:rPr>
          <w:rFonts w:asciiTheme="minorHAnsi" w:hAnsiTheme="minorHAnsi" w:cstheme="minorHAnsi"/>
          <w:b w:val="0"/>
          <w:bCs w:val="0"/>
          <w:sz w:val="22"/>
          <w:szCs w:val="22"/>
        </w:rPr>
        <w:t>.  In my opinion, having regard to the Bill and the outline of the policy considerations and justification of any limitations on rights outlined in this explanatory statement, the Bill as presented to the Legislative Assembly</w:t>
      </w:r>
      <w:r w:rsidR="00A7641B">
        <w:rPr>
          <w:rFonts w:asciiTheme="minorHAnsi" w:hAnsiTheme="minorHAnsi" w:cstheme="minorHAnsi"/>
          <w:b w:val="0"/>
          <w:bCs w:val="0"/>
          <w:sz w:val="22"/>
          <w:szCs w:val="22"/>
        </w:rPr>
        <w:t xml:space="preserve"> </w:t>
      </w:r>
      <w:r w:rsidR="00A7641B" w:rsidRPr="00A7641B">
        <w:rPr>
          <w:rFonts w:asciiTheme="minorHAnsi" w:hAnsiTheme="minorHAnsi" w:cstheme="minorHAnsi"/>
          <w:sz w:val="22"/>
          <w:szCs w:val="22"/>
        </w:rPr>
        <w:t>is</w:t>
      </w:r>
      <w:r w:rsidR="00A7641B">
        <w:rPr>
          <w:rFonts w:asciiTheme="minorHAnsi" w:hAnsiTheme="minorHAnsi" w:cstheme="minorHAnsi"/>
          <w:b w:val="0"/>
          <w:bCs w:val="0"/>
          <w:sz w:val="22"/>
          <w:szCs w:val="22"/>
        </w:rPr>
        <w:t xml:space="preserve"> </w:t>
      </w:r>
      <w:r w:rsidRPr="00702E65">
        <w:rPr>
          <w:rFonts w:asciiTheme="minorHAnsi" w:hAnsiTheme="minorHAnsi" w:cstheme="minorHAnsi"/>
          <w:b w:val="0"/>
          <w:bCs w:val="0"/>
          <w:sz w:val="22"/>
          <w:szCs w:val="22"/>
        </w:rPr>
        <w:t xml:space="preserve">consistent with the </w:t>
      </w:r>
      <w:r w:rsidRPr="00702E65">
        <w:rPr>
          <w:rFonts w:asciiTheme="minorHAnsi" w:hAnsiTheme="minorHAnsi" w:cstheme="minorHAnsi"/>
          <w:b w:val="0"/>
          <w:bCs w:val="0"/>
          <w:i/>
          <w:iCs/>
          <w:sz w:val="22"/>
          <w:szCs w:val="22"/>
        </w:rPr>
        <w:t>Human Rights Act 2004.</w:t>
      </w:r>
    </w:p>
    <w:p w14:paraId="4279568C" w14:textId="77777777" w:rsidR="00F734BC" w:rsidRDefault="00F734BC" w:rsidP="00F734BC">
      <w:pPr>
        <w:rPr>
          <w:rFonts w:asciiTheme="minorHAnsi" w:hAnsiTheme="minorHAnsi" w:cstheme="minorHAnsi"/>
        </w:rPr>
      </w:pPr>
    </w:p>
    <w:p w14:paraId="43FA1300" w14:textId="77777777" w:rsidR="00F734BC" w:rsidRDefault="00F734BC" w:rsidP="00F734BC">
      <w:pPr>
        <w:rPr>
          <w:rFonts w:asciiTheme="minorHAnsi" w:hAnsiTheme="minorHAnsi" w:cstheme="minorHAnsi"/>
        </w:rPr>
      </w:pPr>
    </w:p>
    <w:p w14:paraId="6BB7AE2E" w14:textId="77777777" w:rsidR="00F734BC" w:rsidRDefault="00F734BC" w:rsidP="00F734BC">
      <w:pPr>
        <w:rPr>
          <w:rFonts w:asciiTheme="minorHAnsi" w:hAnsiTheme="minorHAnsi" w:cstheme="minorHAnsi"/>
        </w:rPr>
      </w:pPr>
      <w:r>
        <w:rPr>
          <w:rFonts w:asciiTheme="minorHAnsi" w:hAnsiTheme="minorHAnsi" w:cstheme="minorHAnsi"/>
        </w:rPr>
        <w:t>………………………………………………….</w:t>
      </w:r>
    </w:p>
    <w:p w14:paraId="00A209FC" w14:textId="77777777" w:rsidR="00F734BC" w:rsidRDefault="00F734BC" w:rsidP="00F734BC">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6365B1FB" w14:textId="77777777" w:rsidR="00F734BC" w:rsidRPr="006D52AC" w:rsidRDefault="00F734BC" w:rsidP="00F734BC">
      <w:pPr>
        <w:spacing w:before="200"/>
        <w:rPr>
          <w:rFonts w:ascii="Arial" w:hAnsi="Arial" w:cs="Arial"/>
          <w:sz w:val="24"/>
          <w:szCs w:val="24"/>
        </w:rPr>
      </w:pPr>
    </w:p>
    <w:p w14:paraId="482598A8" w14:textId="4F69D52F" w:rsidR="00F734BC" w:rsidRDefault="00F734BC">
      <w:pPr>
        <w:spacing w:after="0" w:line="240" w:lineRule="auto"/>
        <w:rPr>
          <w:rFonts w:ascii="Arial" w:eastAsiaTheme="majorEastAsia" w:hAnsi="Arial" w:cstheme="majorBidi"/>
          <w:b/>
          <w:sz w:val="24"/>
          <w:szCs w:val="26"/>
        </w:rPr>
      </w:pPr>
    </w:p>
    <w:p w14:paraId="6173867E" w14:textId="19D9808E" w:rsidR="008C76C4" w:rsidRDefault="008C76C4">
      <w:pPr>
        <w:pStyle w:val="Heading2"/>
        <w:pageBreakBefore/>
        <w:spacing w:before="240" w:after="240"/>
      </w:pPr>
      <w:r w:rsidRPr="008C225D">
        <w:lastRenderedPageBreak/>
        <w:t>CLAUSE NOTES</w:t>
      </w:r>
    </w:p>
    <w:p w14:paraId="27FB735B" w14:textId="3075A4F3" w:rsidR="00C61B07" w:rsidRDefault="00C61B07" w:rsidP="00C65E0C">
      <w:pPr>
        <w:pStyle w:val="Heading3"/>
      </w:pPr>
      <w:r w:rsidRPr="00ED3B77">
        <w:t>Clause 1</w:t>
      </w:r>
      <w:r w:rsidRPr="00ED3B77">
        <w:tab/>
        <w:t>Name of Act</w:t>
      </w:r>
    </w:p>
    <w:p w14:paraId="2C45DAAA" w14:textId="1585D37E" w:rsidR="00BD10C3" w:rsidRPr="00BD10C3" w:rsidRDefault="00BD10C3" w:rsidP="00BD10C3">
      <w:pPr>
        <w:spacing w:line="240" w:lineRule="auto"/>
        <w:rPr>
          <w:rFonts w:ascii="Times New Roman" w:hAnsi="Times New Roman"/>
          <w:i/>
          <w:sz w:val="24"/>
          <w:szCs w:val="24"/>
        </w:rPr>
      </w:pPr>
      <w:r w:rsidRPr="00E01175">
        <w:rPr>
          <w:rFonts w:ascii="Times New Roman" w:hAnsi="Times New Roman"/>
          <w:sz w:val="24"/>
          <w:szCs w:val="24"/>
        </w:rPr>
        <w:t xml:space="preserve">This clause names the </w:t>
      </w:r>
      <w:r>
        <w:rPr>
          <w:rFonts w:ascii="Times New Roman" w:hAnsi="Times New Roman"/>
          <w:sz w:val="24"/>
          <w:szCs w:val="24"/>
        </w:rPr>
        <w:t>Act.</w:t>
      </w:r>
    </w:p>
    <w:p w14:paraId="341827EE" w14:textId="4564B679" w:rsidR="00C61B07" w:rsidRDefault="00C61B07" w:rsidP="008C225D">
      <w:pPr>
        <w:pStyle w:val="Heading3"/>
      </w:pPr>
      <w:r w:rsidRPr="00ED3B77">
        <w:t>Clause 2</w:t>
      </w:r>
      <w:r w:rsidRPr="00ED3B77">
        <w:tab/>
        <w:t>Commencement</w:t>
      </w:r>
    </w:p>
    <w:p w14:paraId="30B7A66B" w14:textId="77777777" w:rsidR="00BD10C3" w:rsidRPr="00272A0B" w:rsidRDefault="00BD10C3" w:rsidP="00BD10C3">
      <w:pPr>
        <w:spacing w:line="240" w:lineRule="auto"/>
        <w:rPr>
          <w:rFonts w:ascii="Times New Roman" w:hAnsi="Times New Roman"/>
          <w:bCs/>
          <w:sz w:val="24"/>
          <w:szCs w:val="24"/>
        </w:rPr>
      </w:pPr>
      <w:r w:rsidRPr="00272A0B">
        <w:rPr>
          <w:rFonts w:ascii="Times New Roman" w:hAnsi="Times New Roman"/>
          <w:bCs/>
          <w:sz w:val="24"/>
          <w:szCs w:val="24"/>
        </w:rPr>
        <w:t xml:space="preserve">This clause provides that the instrument will commence on the day after its notification day. </w:t>
      </w:r>
    </w:p>
    <w:p w14:paraId="03E3F0B8" w14:textId="77777777" w:rsidR="00C61B07" w:rsidRPr="00ED3B77" w:rsidRDefault="00C61B07" w:rsidP="008C225D">
      <w:pPr>
        <w:pStyle w:val="Heading3"/>
        <w:rPr>
          <w:b w:val="0"/>
        </w:rPr>
      </w:pPr>
      <w:r w:rsidRPr="00ED3B77">
        <w:t>Clause 3</w:t>
      </w:r>
      <w:r w:rsidRPr="00ED3B77">
        <w:tab/>
        <w:t>Legislation amended</w:t>
      </w:r>
    </w:p>
    <w:p w14:paraId="6C3CA2DF" w14:textId="3D37394A" w:rsidR="00D3034B" w:rsidRDefault="00BD10C3" w:rsidP="00D3034B">
      <w:pPr>
        <w:rPr>
          <w:rFonts w:ascii="Times New Roman" w:hAnsi="Times New Roman"/>
          <w:bCs/>
          <w:sz w:val="24"/>
          <w:szCs w:val="24"/>
        </w:rPr>
      </w:pPr>
      <w:r>
        <w:rPr>
          <w:rFonts w:ascii="Times New Roman" w:hAnsi="Times New Roman"/>
          <w:bCs/>
          <w:sz w:val="24"/>
          <w:szCs w:val="24"/>
        </w:rPr>
        <w:t xml:space="preserve">This Act amends the </w:t>
      </w:r>
      <w:r w:rsidRPr="00BD10C3">
        <w:rPr>
          <w:rFonts w:ascii="Times New Roman" w:hAnsi="Times New Roman"/>
          <w:bCs/>
          <w:i/>
          <w:iCs/>
          <w:sz w:val="24"/>
          <w:szCs w:val="24"/>
        </w:rPr>
        <w:t>Electricity Feed-in (Large-scale Renewable Energy Generation) Act 2011</w:t>
      </w:r>
      <w:r w:rsidRPr="00BD10C3">
        <w:rPr>
          <w:rFonts w:ascii="Times New Roman" w:hAnsi="Times New Roman"/>
          <w:bCs/>
          <w:sz w:val="24"/>
          <w:szCs w:val="24"/>
        </w:rPr>
        <w:t>.</w:t>
      </w:r>
    </w:p>
    <w:p w14:paraId="595F24BF" w14:textId="523023DD" w:rsidR="00BD10C3" w:rsidRPr="00ED3B77" w:rsidRDefault="00BD10C3" w:rsidP="00BD10C3">
      <w:pPr>
        <w:pStyle w:val="Heading3"/>
        <w:rPr>
          <w:b w:val="0"/>
        </w:rPr>
      </w:pPr>
      <w:r w:rsidRPr="00ED3B77">
        <w:t xml:space="preserve">Clause </w:t>
      </w:r>
      <w:r>
        <w:t>4</w:t>
      </w:r>
      <w:r w:rsidRPr="00ED3B77">
        <w:tab/>
      </w:r>
      <w:r>
        <w:t>New Section 22A</w:t>
      </w:r>
    </w:p>
    <w:p w14:paraId="0A9D8E0C" w14:textId="6211EEFC" w:rsidR="00BD10C3" w:rsidRDefault="00BD10C3" w:rsidP="00D3034B">
      <w:pPr>
        <w:rPr>
          <w:rFonts w:ascii="Times New Roman" w:hAnsi="Times New Roman"/>
          <w:bCs/>
          <w:sz w:val="24"/>
          <w:szCs w:val="24"/>
        </w:rPr>
      </w:pPr>
      <w:r>
        <w:rPr>
          <w:rFonts w:ascii="Times New Roman" w:hAnsi="Times New Roman"/>
          <w:bCs/>
          <w:sz w:val="24"/>
          <w:szCs w:val="24"/>
        </w:rPr>
        <w:t>This clause</w:t>
      </w:r>
      <w:r w:rsidR="003062BB">
        <w:rPr>
          <w:rFonts w:ascii="Times New Roman" w:hAnsi="Times New Roman"/>
          <w:bCs/>
          <w:sz w:val="24"/>
          <w:szCs w:val="24"/>
        </w:rPr>
        <w:t xml:space="preserve"> provides that:</w:t>
      </w:r>
    </w:p>
    <w:p w14:paraId="039AF70D" w14:textId="2CBF8DA0" w:rsidR="00BD10C3" w:rsidRDefault="005C09DA" w:rsidP="003062BB">
      <w:pPr>
        <w:pStyle w:val="ListParagraph"/>
        <w:numPr>
          <w:ilvl w:val="0"/>
          <w:numId w:val="50"/>
        </w:numPr>
        <w:rPr>
          <w:rFonts w:ascii="Times New Roman" w:hAnsi="Times New Roman"/>
          <w:bCs/>
          <w:sz w:val="24"/>
          <w:szCs w:val="24"/>
        </w:rPr>
      </w:pPr>
      <w:r>
        <w:rPr>
          <w:rFonts w:ascii="Times New Roman" w:hAnsi="Times New Roman"/>
          <w:bCs/>
          <w:sz w:val="24"/>
          <w:szCs w:val="24"/>
        </w:rPr>
        <w:t>D</w:t>
      </w:r>
      <w:r w:rsidR="003062BB">
        <w:rPr>
          <w:rFonts w:ascii="Times New Roman" w:hAnsi="Times New Roman"/>
          <w:bCs/>
          <w:sz w:val="24"/>
          <w:szCs w:val="24"/>
        </w:rPr>
        <w:t>isallowance by resolution of Assembly does not apply to a relevant determination;</w:t>
      </w:r>
    </w:p>
    <w:p w14:paraId="5E21EB85" w14:textId="0F771C2E" w:rsidR="003062BB" w:rsidRDefault="003062BB" w:rsidP="003062BB">
      <w:pPr>
        <w:pStyle w:val="ListParagraph"/>
        <w:numPr>
          <w:ilvl w:val="0"/>
          <w:numId w:val="50"/>
        </w:numPr>
        <w:rPr>
          <w:rFonts w:ascii="Times New Roman" w:hAnsi="Times New Roman"/>
          <w:bCs/>
          <w:sz w:val="24"/>
          <w:szCs w:val="24"/>
        </w:rPr>
      </w:pPr>
      <w:r>
        <w:rPr>
          <w:rFonts w:ascii="Times New Roman" w:hAnsi="Times New Roman"/>
          <w:bCs/>
          <w:sz w:val="24"/>
          <w:szCs w:val="24"/>
        </w:rPr>
        <w:t xml:space="preserve">Section 11 (3) and (4) of the </w:t>
      </w:r>
      <w:r w:rsidRPr="003062BB">
        <w:rPr>
          <w:rFonts w:ascii="Times New Roman" w:hAnsi="Times New Roman"/>
          <w:bCs/>
          <w:i/>
          <w:iCs/>
          <w:sz w:val="24"/>
          <w:szCs w:val="24"/>
        </w:rPr>
        <w:t xml:space="preserve">Electricity Feed-in (Large-scale Renewable Energy Generation) Act 2011 </w:t>
      </w:r>
      <w:r>
        <w:rPr>
          <w:rFonts w:ascii="Times New Roman" w:hAnsi="Times New Roman"/>
          <w:bCs/>
          <w:sz w:val="24"/>
          <w:szCs w:val="24"/>
        </w:rPr>
        <w:t>do not apply to a FiT entitlement granted under a FIT capacity release made under a relevant determination.</w:t>
      </w:r>
    </w:p>
    <w:p w14:paraId="7FB5E393" w14:textId="6B7308AE" w:rsidR="003062BB" w:rsidRDefault="003062BB" w:rsidP="003062BB">
      <w:pPr>
        <w:pStyle w:val="ListParagraph"/>
        <w:numPr>
          <w:ilvl w:val="0"/>
          <w:numId w:val="50"/>
        </w:numPr>
        <w:rPr>
          <w:rFonts w:ascii="Times New Roman" w:hAnsi="Times New Roman"/>
          <w:bCs/>
          <w:sz w:val="24"/>
          <w:szCs w:val="24"/>
        </w:rPr>
      </w:pPr>
      <w:r>
        <w:rPr>
          <w:rFonts w:ascii="Times New Roman" w:hAnsi="Times New Roman"/>
          <w:bCs/>
          <w:sz w:val="24"/>
          <w:szCs w:val="24"/>
        </w:rPr>
        <w:t xml:space="preserve">A relevant determination means a determination under section 10 presented to the Legislative Assembly under the Legislation Act, chapter 7 on 27 August 2020. This will be the date in which a </w:t>
      </w:r>
      <w:r w:rsidR="005C09DA">
        <w:rPr>
          <w:rFonts w:ascii="Times New Roman" w:hAnsi="Times New Roman"/>
          <w:bCs/>
          <w:sz w:val="24"/>
          <w:szCs w:val="24"/>
        </w:rPr>
        <w:t>C</w:t>
      </w:r>
      <w:r>
        <w:rPr>
          <w:rFonts w:ascii="Times New Roman" w:hAnsi="Times New Roman"/>
          <w:bCs/>
          <w:sz w:val="24"/>
          <w:szCs w:val="24"/>
        </w:rPr>
        <w:t xml:space="preserve">apacity </w:t>
      </w:r>
      <w:r w:rsidR="005C09DA">
        <w:rPr>
          <w:rFonts w:ascii="Times New Roman" w:hAnsi="Times New Roman"/>
          <w:bCs/>
          <w:sz w:val="24"/>
          <w:szCs w:val="24"/>
        </w:rPr>
        <w:t>R</w:t>
      </w:r>
      <w:r>
        <w:rPr>
          <w:rFonts w:ascii="Times New Roman" w:hAnsi="Times New Roman"/>
          <w:bCs/>
          <w:sz w:val="24"/>
          <w:szCs w:val="24"/>
        </w:rPr>
        <w:t>elease is presented to the Legislative Assembly for the ‘Renewables Auction 5’, held by the ACT Government over 2019 and 2020.</w:t>
      </w:r>
    </w:p>
    <w:p w14:paraId="7EB81D70" w14:textId="624B05DD" w:rsidR="003062BB" w:rsidRPr="003062BB" w:rsidRDefault="003062BB" w:rsidP="003062BB">
      <w:pPr>
        <w:pStyle w:val="ListParagraph"/>
        <w:numPr>
          <w:ilvl w:val="0"/>
          <w:numId w:val="50"/>
        </w:numPr>
        <w:rPr>
          <w:rFonts w:ascii="Times New Roman" w:hAnsi="Times New Roman"/>
          <w:bCs/>
          <w:sz w:val="24"/>
          <w:szCs w:val="24"/>
        </w:rPr>
      </w:pPr>
      <w:r>
        <w:rPr>
          <w:rFonts w:ascii="Times New Roman" w:hAnsi="Times New Roman"/>
          <w:bCs/>
          <w:sz w:val="24"/>
          <w:szCs w:val="24"/>
        </w:rPr>
        <w:t>Section 22A will expire after it is no longer required.</w:t>
      </w:r>
    </w:p>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5CF81" w14:textId="77777777" w:rsidR="009C34EC" w:rsidRDefault="009C34EC">
      <w:pPr>
        <w:spacing w:after="0" w:line="240" w:lineRule="auto"/>
      </w:pPr>
      <w:r>
        <w:separator/>
      </w:r>
    </w:p>
  </w:endnote>
  <w:endnote w:type="continuationSeparator" w:id="0">
    <w:p w14:paraId="442DD524" w14:textId="77777777" w:rsidR="009C34EC" w:rsidRDefault="009C34EC">
      <w:pPr>
        <w:spacing w:after="0" w:line="240" w:lineRule="auto"/>
      </w:pPr>
      <w:r>
        <w:continuationSeparator/>
      </w:r>
    </w:p>
  </w:endnote>
  <w:endnote w:type="continuationNotice" w:id="1">
    <w:p w14:paraId="717AF26F" w14:textId="77777777" w:rsidR="009C34EC" w:rsidRDefault="009C3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BD92" w14:textId="77777777" w:rsidR="006543CF" w:rsidRDefault="00654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0D83" w14:textId="3C7C0DF5" w:rsidR="006543CF" w:rsidRPr="006543CF" w:rsidRDefault="006543CF" w:rsidP="006543CF">
    <w:pPr>
      <w:pStyle w:val="Footer"/>
      <w:jc w:val="center"/>
      <w:rPr>
        <w:rFonts w:cs="Arial"/>
        <w:sz w:val="14"/>
      </w:rPr>
    </w:pPr>
    <w:r w:rsidRPr="006543C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32D2201A"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42264AE7" w14:textId="5214685E" w:rsidR="006543CF" w:rsidRPr="006543CF" w:rsidRDefault="006543CF" w:rsidP="006543CF">
    <w:pPr>
      <w:pStyle w:val="Footer"/>
      <w:spacing w:before="60" w:line="240" w:lineRule="auto"/>
      <w:jc w:val="center"/>
      <w:rPr>
        <w:rFonts w:cs="Arial"/>
        <w:sz w:val="14"/>
      </w:rPr>
    </w:pPr>
    <w:r w:rsidRPr="006543CF">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7E303F46"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1BF86761" w14:textId="23A2ACF6" w:rsidR="006543CF" w:rsidRPr="006543CF" w:rsidRDefault="006543CF" w:rsidP="006543CF">
    <w:pPr>
      <w:pStyle w:val="Footer"/>
      <w:jc w:val="center"/>
      <w:rPr>
        <w:rFonts w:cs="Arial"/>
        <w:sz w:val="14"/>
      </w:rPr>
    </w:pPr>
    <w:r w:rsidRPr="006543CF">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B595" w14:textId="77777777" w:rsidR="009C34EC" w:rsidRDefault="009C34EC">
      <w:pPr>
        <w:spacing w:after="0" w:line="240" w:lineRule="auto"/>
      </w:pPr>
      <w:r>
        <w:separator/>
      </w:r>
    </w:p>
  </w:footnote>
  <w:footnote w:type="continuationSeparator" w:id="0">
    <w:p w14:paraId="0BA42A19" w14:textId="77777777" w:rsidR="009C34EC" w:rsidRDefault="009C34EC">
      <w:pPr>
        <w:spacing w:after="0" w:line="240" w:lineRule="auto"/>
      </w:pPr>
      <w:r>
        <w:continuationSeparator/>
      </w:r>
    </w:p>
  </w:footnote>
  <w:footnote w:type="continuationNotice" w:id="1">
    <w:p w14:paraId="0FFCABF5" w14:textId="77777777" w:rsidR="009C34EC" w:rsidRDefault="009C3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21AB" w14:textId="77777777" w:rsidR="006543CF" w:rsidRDefault="00654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F7C6" w14:textId="77777777" w:rsidR="006543CF" w:rsidRDefault="00654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A8D7" w14:textId="77777777" w:rsidR="006543CF" w:rsidRDefault="00654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31F4AD8"/>
    <w:multiLevelType w:val="hybridMultilevel"/>
    <w:tmpl w:val="74D46A96"/>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44"/>
  </w:num>
  <w:num w:numId="3">
    <w:abstractNumId w:val="17"/>
  </w:num>
  <w:num w:numId="4">
    <w:abstractNumId w:val="0"/>
  </w:num>
  <w:num w:numId="5">
    <w:abstractNumId w:val="6"/>
  </w:num>
  <w:num w:numId="6">
    <w:abstractNumId w:val="9"/>
  </w:num>
  <w:num w:numId="7">
    <w:abstractNumId w:val="37"/>
  </w:num>
  <w:num w:numId="8">
    <w:abstractNumId w:val="4"/>
  </w:num>
  <w:num w:numId="9">
    <w:abstractNumId w:val="20"/>
  </w:num>
  <w:num w:numId="10">
    <w:abstractNumId w:val="36"/>
  </w:num>
  <w:num w:numId="11">
    <w:abstractNumId w:val="16"/>
  </w:num>
  <w:num w:numId="12">
    <w:abstractNumId w:val="12"/>
  </w:num>
  <w:num w:numId="13">
    <w:abstractNumId w:val="11"/>
  </w:num>
  <w:num w:numId="14">
    <w:abstractNumId w:val="26"/>
  </w:num>
  <w:num w:numId="15">
    <w:abstractNumId w:val="25"/>
  </w:num>
  <w:num w:numId="16">
    <w:abstractNumId w:val="38"/>
  </w:num>
  <w:num w:numId="17">
    <w:abstractNumId w:val="32"/>
  </w:num>
  <w:num w:numId="18">
    <w:abstractNumId w:val="45"/>
  </w:num>
  <w:num w:numId="19">
    <w:abstractNumId w:val="2"/>
  </w:num>
  <w:num w:numId="20">
    <w:abstractNumId w:val="13"/>
  </w:num>
  <w:num w:numId="21">
    <w:abstractNumId w:val="21"/>
  </w:num>
  <w:num w:numId="22">
    <w:abstractNumId w:val="22"/>
  </w:num>
  <w:num w:numId="23">
    <w:abstractNumId w:val="39"/>
  </w:num>
  <w:num w:numId="24">
    <w:abstractNumId w:val="46"/>
  </w:num>
  <w:num w:numId="25">
    <w:abstractNumId w:val="31"/>
  </w:num>
  <w:num w:numId="26">
    <w:abstractNumId w:val="18"/>
  </w:num>
  <w:num w:numId="27">
    <w:abstractNumId w:val="43"/>
  </w:num>
  <w:num w:numId="28">
    <w:abstractNumId w:val="33"/>
  </w:num>
  <w:num w:numId="29">
    <w:abstractNumId w:val="34"/>
  </w:num>
  <w:num w:numId="30">
    <w:abstractNumId w:val="40"/>
  </w:num>
  <w:num w:numId="31">
    <w:abstractNumId w:val="48"/>
  </w:num>
  <w:num w:numId="32">
    <w:abstractNumId w:val="29"/>
  </w:num>
  <w:num w:numId="33">
    <w:abstractNumId w:val="10"/>
  </w:num>
  <w:num w:numId="34">
    <w:abstractNumId w:val="15"/>
  </w:num>
  <w:num w:numId="35">
    <w:abstractNumId w:val="14"/>
  </w:num>
  <w:num w:numId="36">
    <w:abstractNumId w:val="14"/>
  </w:num>
  <w:num w:numId="37">
    <w:abstractNumId w:val="35"/>
  </w:num>
  <w:num w:numId="38">
    <w:abstractNumId w:val="2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8"/>
  </w:num>
  <w:num w:numId="42">
    <w:abstractNumId w:val="5"/>
  </w:num>
  <w:num w:numId="43">
    <w:abstractNumId w:val="3"/>
  </w:num>
  <w:num w:numId="44">
    <w:abstractNumId w:val="19"/>
  </w:num>
  <w:num w:numId="45">
    <w:abstractNumId w:val="7"/>
  </w:num>
  <w:num w:numId="46">
    <w:abstractNumId w:val="41"/>
  </w:num>
  <w:num w:numId="47">
    <w:abstractNumId w:val="1"/>
  </w:num>
  <w:num w:numId="48">
    <w:abstractNumId w:val="27"/>
  </w:num>
  <w:num w:numId="49">
    <w:abstractNumId w:val="24"/>
  </w:num>
  <w:num w:numId="50">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43B"/>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0F2"/>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4FD"/>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D7338"/>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2BB"/>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25"/>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09DA"/>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43CF"/>
    <w:rsid w:val="00655279"/>
    <w:rsid w:val="006555E3"/>
    <w:rsid w:val="00655874"/>
    <w:rsid w:val="006560A9"/>
    <w:rsid w:val="006566FF"/>
    <w:rsid w:val="00657271"/>
    <w:rsid w:val="00660596"/>
    <w:rsid w:val="00660EB1"/>
    <w:rsid w:val="00661098"/>
    <w:rsid w:val="006611FA"/>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69F2"/>
    <w:rsid w:val="006F70EB"/>
    <w:rsid w:val="006F72B5"/>
    <w:rsid w:val="006F735D"/>
    <w:rsid w:val="006F751C"/>
    <w:rsid w:val="006F7C95"/>
    <w:rsid w:val="006F7E52"/>
    <w:rsid w:val="007001DD"/>
    <w:rsid w:val="00700338"/>
    <w:rsid w:val="00700704"/>
    <w:rsid w:val="00702000"/>
    <w:rsid w:val="00702519"/>
    <w:rsid w:val="00702DBB"/>
    <w:rsid w:val="00702E65"/>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2B6"/>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C45"/>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4EC"/>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41B"/>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284"/>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0C3"/>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3740"/>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DD7"/>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4BC"/>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9CDAA-136F-4340-8913-B5C047EBA2AB}">
  <ds:schemaRefs>
    <ds:schemaRef ds:uri="http://schemas.openxmlformats.org/officeDocument/2006/bibliography"/>
  </ds:schemaRefs>
</ds:datastoreItem>
</file>

<file path=customXml/itemProps2.xml><?xml version="1.0" encoding="utf-8"?>
<ds:datastoreItem xmlns:ds="http://schemas.openxmlformats.org/officeDocument/2006/customXml" ds:itemID="{521F297F-2B83-4877-BCF9-73F5B6DB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3013</Characters>
  <Application>Microsoft Office Word</Application>
  <DocSecurity>0</DocSecurity>
  <Lines>125</Lines>
  <Paragraphs>49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2020-08-26T05:43:00Z</dcterms:created>
  <dcterms:modified xsi:type="dcterms:W3CDTF">2020-08-26T05:43:00Z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A26406465</vt:lpwstr>
  </property>
  <property fmtid="{D5CDD505-2E9C-101B-9397-08002B2CF9AE}" pid="4" name="Objective-Title">
    <vt:lpwstr>Attachment D - Explanatory statement with compatibility statement</vt:lpwstr>
  </property>
  <property fmtid="{D5CDD505-2E9C-101B-9397-08002B2CF9AE}" pid="5" name="Objective-Comment">
    <vt:lpwstr/>
  </property>
  <property fmtid="{D5CDD505-2E9C-101B-9397-08002B2CF9AE}" pid="6" name="Objective-CreationStamp">
    <vt:filetime>2020-08-22T22:53:49Z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2020-08-26T05:41:21Z</vt:filetime>
  </property>
  <property fmtid="{D5CDD505-2E9C-101B-9397-08002B2CF9AE}" pid="10" name="Objective-ModificationStamp">
    <vt:filetime>2020-08-26T05:41:21Z</vt:filetime>
  </property>
  <property fmtid="{D5CDD505-2E9C-101B-9397-08002B2CF9AE}" pid="11" name="Objective-Owner">
    <vt:lpwstr>Lisa Sampson</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Submissions:20/513 - Cabinet - Amendments to Electricity F</vt:lpwstr>
  </property>
  <property fmtid="{D5CDD505-2E9C-101B-9397-08002B2CF9AE}" pid="13" name="Objective-Parent">
    <vt:lpwstr>02. Final Lodged Documentation</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1-2020/60537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