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E65C"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9893887" w14:textId="3D0E9A7A" w:rsidR="006815C9" w:rsidRDefault="00D16779">
      <w:pPr>
        <w:pStyle w:val="Billname"/>
        <w:spacing w:before="700"/>
      </w:pPr>
      <w:r>
        <w:t xml:space="preserve">Births, Deaths and </w:t>
      </w:r>
      <w:r w:rsidRPr="0000189A">
        <w:t xml:space="preserve">Marriages Registration Amendment Regulation 2021 (No </w:t>
      </w:r>
      <w:r w:rsidRPr="007F34BB">
        <w:t>1</w:t>
      </w:r>
      <w:r w:rsidR="006815C9" w:rsidRPr="0000189A">
        <w:t>)</w:t>
      </w:r>
    </w:p>
    <w:p w14:paraId="504A7C77" w14:textId="7E908C62" w:rsidR="006815C9" w:rsidRDefault="00F5371D" w:rsidP="00091D34">
      <w:pPr>
        <w:spacing w:before="340"/>
        <w:rPr>
          <w:rFonts w:ascii="Arial" w:hAnsi="Arial" w:cs="Arial"/>
          <w:b/>
          <w:bCs/>
        </w:rPr>
      </w:pPr>
      <w:r>
        <w:rPr>
          <w:rFonts w:ascii="Arial" w:hAnsi="Arial" w:cs="Arial"/>
          <w:b/>
          <w:bCs/>
        </w:rPr>
        <w:t xml:space="preserve">Subordinate law </w:t>
      </w:r>
      <w:r w:rsidRPr="007F34BB">
        <w:rPr>
          <w:rFonts w:ascii="Arial" w:hAnsi="Arial" w:cs="Arial"/>
          <w:b/>
          <w:bCs/>
        </w:rPr>
        <w:t>SL</w:t>
      </w:r>
      <w:r w:rsidR="007F34BB" w:rsidRPr="007F34BB">
        <w:rPr>
          <w:rFonts w:ascii="Arial" w:hAnsi="Arial" w:cs="Arial"/>
          <w:b/>
          <w:bCs/>
        </w:rPr>
        <w:t>2021</w:t>
      </w:r>
      <w:r w:rsidR="006815C9" w:rsidRPr="007F34BB">
        <w:rPr>
          <w:rFonts w:ascii="Arial" w:hAnsi="Arial" w:cs="Arial"/>
          <w:b/>
          <w:bCs/>
        </w:rPr>
        <w:t>–</w:t>
      </w:r>
      <w:r w:rsidR="00045AD5">
        <w:rPr>
          <w:rFonts w:ascii="Arial" w:hAnsi="Arial" w:cs="Arial"/>
          <w:b/>
          <w:bCs/>
        </w:rPr>
        <w:t>20</w:t>
      </w:r>
    </w:p>
    <w:p w14:paraId="5495D0DF" w14:textId="77777777" w:rsidR="006815C9" w:rsidRDefault="006815C9" w:rsidP="00091D34">
      <w:pPr>
        <w:pStyle w:val="madeunder"/>
        <w:spacing w:before="300" w:after="0"/>
      </w:pPr>
      <w:r>
        <w:t xml:space="preserve">made under the  </w:t>
      </w:r>
    </w:p>
    <w:p w14:paraId="127AED95" w14:textId="5B050C25" w:rsidR="006815C9" w:rsidRPr="00D16779" w:rsidRDefault="00D16779" w:rsidP="00091D34">
      <w:pPr>
        <w:pStyle w:val="CoverActName"/>
        <w:spacing w:before="320" w:after="0"/>
        <w:rPr>
          <w:rFonts w:cs="Arial"/>
          <w:sz w:val="20"/>
        </w:rPr>
      </w:pPr>
      <w:r>
        <w:rPr>
          <w:rFonts w:cs="Arial"/>
          <w:i/>
          <w:iCs/>
          <w:sz w:val="20"/>
        </w:rPr>
        <w:t>Births, Deaths and Marriages Registration Act 1997</w:t>
      </w:r>
    </w:p>
    <w:p w14:paraId="10F91631"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3ED51DF5" w14:textId="77777777" w:rsidR="006815C9" w:rsidRDefault="006815C9">
      <w:pPr>
        <w:pStyle w:val="N-line3"/>
        <w:pBdr>
          <w:bottom w:val="none" w:sz="0" w:space="0" w:color="auto"/>
        </w:pBdr>
      </w:pPr>
    </w:p>
    <w:p w14:paraId="10EB16C6" w14:textId="77777777" w:rsidR="006815C9" w:rsidRDefault="006815C9">
      <w:pPr>
        <w:pStyle w:val="N-line3"/>
        <w:pBdr>
          <w:top w:val="single" w:sz="12" w:space="1" w:color="auto"/>
          <w:bottom w:val="none" w:sz="0" w:space="0" w:color="auto"/>
        </w:pBdr>
      </w:pPr>
    </w:p>
    <w:bookmarkEnd w:id="0"/>
    <w:p w14:paraId="4AC78A9A" w14:textId="091215B0" w:rsidR="00D16779" w:rsidRDefault="00D16779" w:rsidP="00D16779">
      <w:pPr>
        <w:ind w:right="565"/>
        <w:rPr>
          <w:rFonts w:ascii="Arial" w:hAnsi="Arial" w:cs="Arial"/>
          <w:b/>
          <w:bCs/>
          <w:sz w:val="28"/>
          <w:szCs w:val="28"/>
        </w:rPr>
      </w:pPr>
      <w:r w:rsidRPr="00D16779">
        <w:rPr>
          <w:rFonts w:ascii="Arial" w:hAnsi="Arial" w:cs="Arial"/>
          <w:b/>
          <w:bCs/>
          <w:sz w:val="28"/>
          <w:szCs w:val="28"/>
        </w:rPr>
        <w:t>O</w:t>
      </w:r>
      <w:r>
        <w:rPr>
          <w:rFonts w:ascii="Arial" w:hAnsi="Arial" w:cs="Arial"/>
          <w:b/>
          <w:bCs/>
          <w:sz w:val="28"/>
          <w:szCs w:val="28"/>
        </w:rPr>
        <w:t>verview</w:t>
      </w:r>
    </w:p>
    <w:p w14:paraId="15D6A8E1" w14:textId="77777777" w:rsidR="00D16779" w:rsidRPr="00D16779" w:rsidRDefault="00D16779" w:rsidP="00D16779">
      <w:pPr>
        <w:ind w:right="565"/>
        <w:rPr>
          <w:rFonts w:ascii="Arial" w:hAnsi="Arial" w:cs="Arial"/>
          <w:b/>
          <w:bCs/>
          <w:sz w:val="28"/>
          <w:szCs w:val="28"/>
        </w:rPr>
      </w:pPr>
    </w:p>
    <w:p w14:paraId="4608A021" w14:textId="60D587F0" w:rsidR="00D16779" w:rsidRDefault="00D16779" w:rsidP="00452C6D">
      <w:pPr>
        <w:spacing w:after="240"/>
        <w:rPr>
          <w:rFonts w:ascii="Arial" w:hAnsi="Arial" w:cs="Arial"/>
          <w:szCs w:val="24"/>
        </w:rPr>
      </w:pPr>
      <w:r w:rsidRPr="00D16779">
        <w:rPr>
          <w:rFonts w:ascii="Arial" w:hAnsi="Arial" w:cs="Arial"/>
          <w:szCs w:val="24"/>
        </w:rPr>
        <w:t xml:space="preserve">The </w:t>
      </w:r>
      <w:r w:rsidRPr="00D16779">
        <w:rPr>
          <w:rFonts w:ascii="Arial" w:hAnsi="Arial" w:cs="Arial"/>
          <w:i/>
          <w:iCs/>
          <w:szCs w:val="24"/>
        </w:rPr>
        <w:t xml:space="preserve">Births, Deaths and Marriages Registration Act 1997 </w:t>
      </w:r>
      <w:r w:rsidRPr="00D16779">
        <w:rPr>
          <w:rFonts w:ascii="Arial" w:hAnsi="Arial" w:cs="Arial"/>
          <w:szCs w:val="24"/>
        </w:rPr>
        <w:t>(the BDMR Act)</w:t>
      </w:r>
      <w:r w:rsidRPr="00D16779">
        <w:rPr>
          <w:rFonts w:ascii="Arial" w:hAnsi="Arial" w:cs="Arial"/>
          <w:i/>
          <w:iCs/>
          <w:szCs w:val="24"/>
        </w:rPr>
        <w:t xml:space="preserve"> </w:t>
      </w:r>
      <w:r w:rsidRPr="00D16779">
        <w:rPr>
          <w:rFonts w:ascii="Arial" w:hAnsi="Arial" w:cs="Arial"/>
          <w:szCs w:val="24"/>
        </w:rPr>
        <w:t xml:space="preserve">provides the overarching legislative </w:t>
      </w:r>
      <w:r w:rsidRPr="00D16779">
        <w:rPr>
          <w:rFonts w:ascii="Arial" w:hAnsi="Arial" w:cs="Arial"/>
        </w:rPr>
        <w:t>framework</w:t>
      </w:r>
      <w:r w:rsidRPr="00D16779">
        <w:rPr>
          <w:rFonts w:ascii="Arial" w:hAnsi="Arial" w:cs="Arial"/>
          <w:szCs w:val="24"/>
        </w:rPr>
        <w:t xml:space="preserve"> for the registration of births, deaths and marriages in the ACT. The </w:t>
      </w:r>
      <w:r w:rsidRPr="00D16779">
        <w:rPr>
          <w:rFonts w:ascii="Arial" w:hAnsi="Arial" w:cs="Arial"/>
          <w:i/>
          <w:iCs/>
          <w:szCs w:val="24"/>
        </w:rPr>
        <w:t>Births, Deaths and Marriages Registration Regulation 1998</w:t>
      </w:r>
      <w:r w:rsidRPr="00D16779">
        <w:rPr>
          <w:rFonts w:ascii="Arial" w:hAnsi="Arial" w:cs="Arial"/>
          <w:szCs w:val="24"/>
        </w:rPr>
        <w:t xml:space="preserve"> (the BDMR Regulation) </w:t>
      </w:r>
      <w:r>
        <w:rPr>
          <w:rFonts w:ascii="Arial" w:hAnsi="Arial" w:cs="Arial"/>
          <w:szCs w:val="24"/>
        </w:rPr>
        <w:t>has been</w:t>
      </w:r>
      <w:r w:rsidRPr="00D16779">
        <w:rPr>
          <w:rFonts w:ascii="Arial" w:hAnsi="Arial" w:cs="Arial"/>
          <w:szCs w:val="24"/>
        </w:rPr>
        <w:t xml:space="preserve"> made under section 70 of the BDMR Act and supports the operation of the BDMR Act.</w:t>
      </w:r>
    </w:p>
    <w:p w14:paraId="4140DA91" w14:textId="52117193" w:rsidR="0000189A" w:rsidRPr="0000189A" w:rsidRDefault="00D16779" w:rsidP="00D16779">
      <w:pPr>
        <w:rPr>
          <w:rFonts w:ascii="Arial" w:hAnsi="Arial" w:cs="Arial"/>
          <w:szCs w:val="24"/>
        </w:rPr>
      </w:pPr>
      <w:r>
        <w:rPr>
          <w:rFonts w:ascii="Arial" w:hAnsi="Arial" w:cs="Arial"/>
          <w:szCs w:val="24"/>
        </w:rPr>
        <w:t>T</w:t>
      </w:r>
      <w:r w:rsidRPr="00115A8D">
        <w:rPr>
          <w:rFonts w:ascii="Arial" w:hAnsi="Arial" w:cs="Arial"/>
          <w:szCs w:val="24"/>
        </w:rPr>
        <w:t xml:space="preserve">he </w:t>
      </w:r>
      <w:r w:rsidRPr="00115A8D">
        <w:rPr>
          <w:rFonts w:ascii="Arial" w:hAnsi="Arial" w:cs="Arial"/>
          <w:i/>
          <w:iCs/>
          <w:szCs w:val="24"/>
        </w:rPr>
        <w:t>Births, Deaths and Marriages Registration</w:t>
      </w:r>
      <w:r w:rsidR="000E3234">
        <w:rPr>
          <w:rFonts w:ascii="Arial" w:hAnsi="Arial" w:cs="Arial"/>
          <w:i/>
          <w:iCs/>
          <w:szCs w:val="24"/>
        </w:rPr>
        <w:t xml:space="preserve"> Amendment </w:t>
      </w:r>
      <w:r w:rsidRPr="00115A8D">
        <w:rPr>
          <w:rFonts w:ascii="Arial" w:hAnsi="Arial" w:cs="Arial"/>
          <w:i/>
          <w:iCs/>
          <w:szCs w:val="24"/>
        </w:rPr>
        <w:t>Regulation 2021</w:t>
      </w:r>
      <w:r w:rsidR="000E3234">
        <w:rPr>
          <w:rFonts w:ascii="Arial" w:hAnsi="Arial" w:cs="Arial"/>
          <w:i/>
          <w:iCs/>
          <w:szCs w:val="24"/>
        </w:rPr>
        <w:t xml:space="preserve"> (No 1)</w:t>
      </w:r>
      <w:r w:rsidRPr="00115A8D">
        <w:rPr>
          <w:rFonts w:ascii="Arial" w:hAnsi="Arial" w:cs="Arial"/>
          <w:i/>
          <w:iCs/>
          <w:szCs w:val="24"/>
        </w:rPr>
        <w:t xml:space="preserve"> </w:t>
      </w:r>
      <w:r w:rsidRPr="00115A8D">
        <w:rPr>
          <w:rFonts w:ascii="Arial" w:hAnsi="Arial" w:cs="Arial"/>
          <w:szCs w:val="24"/>
        </w:rPr>
        <w:t xml:space="preserve">(the BDMR </w:t>
      </w:r>
      <w:r>
        <w:rPr>
          <w:rFonts w:ascii="Arial" w:hAnsi="Arial" w:cs="Arial"/>
          <w:szCs w:val="24"/>
        </w:rPr>
        <w:t>Amendment</w:t>
      </w:r>
      <w:r w:rsidRPr="00115A8D">
        <w:rPr>
          <w:rFonts w:ascii="Arial" w:hAnsi="Arial" w:cs="Arial"/>
          <w:szCs w:val="24"/>
        </w:rPr>
        <w:t xml:space="preserve"> Regulation) amends the</w:t>
      </w:r>
      <w:r>
        <w:rPr>
          <w:rFonts w:ascii="Arial" w:hAnsi="Arial" w:cs="Arial"/>
          <w:szCs w:val="24"/>
        </w:rPr>
        <w:t xml:space="preserve"> BDMR</w:t>
      </w:r>
      <w:r w:rsidRPr="00115A8D">
        <w:rPr>
          <w:rFonts w:ascii="Arial" w:hAnsi="Arial" w:cs="Arial"/>
          <w:szCs w:val="24"/>
        </w:rPr>
        <w:t xml:space="preserve"> Regulation </w:t>
      </w:r>
      <w:r>
        <w:rPr>
          <w:rFonts w:ascii="Arial" w:hAnsi="Arial" w:cs="Arial"/>
          <w:szCs w:val="24"/>
        </w:rPr>
        <w:t xml:space="preserve">to </w:t>
      </w:r>
      <w:r w:rsidRPr="00115A8D">
        <w:rPr>
          <w:rFonts w:ascii="Arial" w:hAnsi="Arial" w:cs="Arial"/>
          <w:szCs w:val="24"/>
        </w:rPr>
        <w:t xml:space="preserve">prescribe circumstances </w:t>
      </w:r>
      <w:r>
        <w:rPr>
          <w:rFonts w:ascii="Arial" w:hAnsi="Arial" w:cs="Arial"/>
          <w:szCs w:val="24"/>
        </w:rPr>
        <w:t>where</w:t>
      </w:r>
      <w:r w:rsidRPr="00115A8D">
        <w:rPr>
          <w:rFonts w:ascii="Arial" w:hAnsi="Arial" w:cs="Arial"/>
          <w:szCs w:val="24"/>
        </w:rPr>
        <w:t xml:space="preserve"> stated persons with parental responsibility</w:t>
      </w:r>
      <w:r>
        <w:rPr>
          <w:rFonts w:ascii="Arial" w:hAnsi="Arial" w:cs="Arial"/>
          <w:szCs w:val="24"/>
        </w:rPr>
        <w:t xml:space="preserve"> may provide consent to an application made by transgender, in</w:t>
      </w:r>
      <w:r w:rsidRPr="00115A8D">
        <w:rPr>
          <w:rFonts w:ascii="Arial" w:hAnsi="Arial" w:cs="Arial"/>
          <w:szCs w:val="24"/>
        </w:rPr>
        <w:t xml:space="preserve">tersex or gender </w:t>
      </w:r>
      <w:r w:rsidRPr="0000189A">
        <w:rPr>
          <w:rFonts w:ascii="Arial" w:hAnsi="Arial" w:cs="Arial"/>
          <w:szCs w:val="24"/>
        </w:rPr>
        <w:t>diverse young people</w:t>
      </w:r>
      <w:r w:rsidR="0000189A">
        <w:rPr>
          <w:rFonts w:ascii="Arial" w:hAnsi="Arial" w:cs="Arial"/>
          <w:szCs w:val="24"/>
        </w:rPr>
        <w:t xml:space="preserve"> under the BDMR Act:</w:t>
      </w:r>
    </w:p>
    <w:p w14:paraId="5B27EBDC" w14:textId="22FBFF17" w:rsidR="0000189A" w:rsidRPr="0000189A" w:rsidRDefault="0000189A" w:rsidP="0000189A">
      <w:pPr>
        <w:pStyle w:val="ListParagraph"/>
        <w:numPr>
          <w:ilvl w:val="0"/>
          <w:numId w:val="13"/>
        </w:numPr>
        <w:rPr>
          <w:rFonts w:ascii="Arial" w:hAnsi="Arial" w:cs="Arial"/>
          <w:sz w:val="24"/>
          <w:szCs w:val="24"/>
        </w:rPr>
      </w:pPr>
      <w:r>
        <w:rPr>
          <w:rFonts w:ascii="Arial" w:hAnsi="Arial" w:cs="Arial"/>
          <w:sz w:val="24"/>
          <w:szCs w:val="24"/>
        </w:rPr>
        <w:t xml:space="preserve">to </w:t>
      </w:r>
      <w:r w:rsidRPr="0000189A">
        <w:rPr>
          <w:rFonts w:ascii="Arial" w:hAnsi="Arial" w:cs="Arial"/>
          <w:sz w:val="24"/>
          <w:szCs w:val="24"/>
        </w:rPr>
        <w:t xml:space="preserve">change </w:t>
      </w:r>
      <w:r w:rsidR="00D16779" w:rsidRPr="0000189A">
        <w:rPr>
          <w:rFonts w:ascii="Arial" w:hAnsi="Arial" w:cs="Arial"/>
          <w:sz w:val="24"/>
          <w:szCs w:val="24"/>
        </w:rPr>
        <w:t>their given names</w:t>
      </w:r>
      <w:r>
        <w:rPr>
          <w:rFonts w:ascii="Arial" w:hAnsi="Arial" w:cs="Arial"/>
          <w:sz w:val="24"/>
          <w:szCs w:val="24"/>
        </w:rPr>
        <w:t xml:space="preserve"> under section 19A(b)(ii)(C)</w:t>
      </w:r>
      <w:r w:rsidRPr="0000189A">
        <w:rPr>
          <w:rFonts w:ascii="Arial" w:hAnsi="Arial" w:cs="Arial"/>
          <w:sz w:val="24"/>
          <w:szCs w:val="24"/>
        </w:rPr>
        <w:t>;</w:t>
      </w:r>
      <w:r w:rsidR="00D16779" w:rsidRPr="0000189A">
        <w:rPr>
          <w:rFonts w:ascii="Arial" w:hAnsi="Arial" w:cs="Arial"/>
          <w:sz w:val="24"/>
          <w:szCs w:val="24"/>
        </w:rPr>
        <w:t xml:space="preserve"> and/or </w:t>
      </w:r>
    </w:p>
    <w:p w14:paraId="42D4FA78" w14:textId="7B70BF5B" w:rsidR="0000189A" w:rsidRPr="0000189A" w:rsidRDefault="0000189A" w:rsidP="0000189A">
      <w:pPr>
        <w:pStyle w:val="ListParagraph"/>
        <w:numPr>
          <w:ilvl w:val="0"/>
          <w:numId w:val="13"/>
        </w:numPr>
        <w:rPr>
          <w:rFonts w:ascii="Arial" w:hAnsi="Arial" w:cs="Arial"/>
          <w:sz w:val="24"/>
          <w:szCs w:val="24"/>
        </w:rPr>
      </w:pPr>
      <w:r>
        <w:rPr>
          <w:rFonts w:ascii="Arial" w:hAnsi="Arial" w:cs="Arial"/>
          <w:sz w:val="24"/>
          <w:szCs w:val="24"/>
        </w:rPr>
        <w:t xml:space="preserve">to </w:t>
      </w:r>
      <w:r w:rsidRPr="0000189A">
        <w:rPr>
          <w:rFonts w:ascii="Arial" w:hAnsi="Arial" w:cs="Arial"/>
          <w:sz w:val="24"/>
          <w:szCs w:val="24"/>
        </w:rPr>
        <w:t xml:space="preserve">change </w:t>
      </w:r>
      <w:r w:rsidR="00D16779" w:rsidRPr="0000189A">
        <w:rPr>
          <w:rFonts w:ascii="Arial" w:hAnsi="Arial" w:cs="Arial"/>
          <w:sz w:val="24"/>
          <w:szCs w:val="24"/>
        </w:rPr>
        <w:t>registered sex</w:t>
      </w:r>
      <w:r>
        <w:rPr>
          <w:rFonts w:ascii="Arial" w:hAnsi="Arial" w:cs="Arial"/>
          <w:sz w:val="24"/>
          <w:szCs w:val="24"/>
        </w:rPr>
        <w:t xml:space="preserve"> under section 24(1)(a)(ii)(C)</w:t>
      </w:r>
      <w:r w:rsidRPr="0000189A">
        <w:rPr>
          <w:rFonts w:ascii="Arial" w:hAnsi="Arial" w:cs="Arial"/>
          <w:sz w:val="24"/>
          <w:szCs w:val="24"/>
        </w:rPr>
        <w:t>;</w:t>
      </w:r>
      <w:r w:rsidR="00D16779" w:rsidRPr="0000189A">
        <w:rPr>
          <w:rFonts w:ascii="Arial" w:hAnsi="Arial" w:cs="Arial"/>
          <w:sz w:val="24"/>
          <w:szCs w:val="24"/>
        </w:rPr>
        <w:t xml:space="preserve"> or </w:t>
      </w:r>
    </w:p>
    <w:p w14:paraId="5554C2F0" w14:textId="303FA1B9" w:rsidR="00D16779" w:rsidRPr="00452C6D" w:rsidRDefault="00D16779" w:rsidP="00452C6D">
      <w:pPr>
        <w:pStyle w:val="ListParagraph"/>
        <w:numPr>
          <w:ilvl w:val="0"/>
          <w:numId w:val="13"/>
        </w:numPr>
        <w:spacing w:after="240"/>
        <w:rPr>
          <w:rFonts w:ascii="Arial" w:hAnsi="Arial" w:cs="Arial"/>
          <w:sz w:val="24"/>
          <w:szCs w:val="24"/>
        </w:rPr>
      </w:pPr>
      <w:r w:rsidRPr="0000189A">
        <w:rPr>
          <w:rFonts w:ascii="Arial" w:hAnsi="Arial" w:cs="Arial"/>
          <w:sz w:val="24"/>
          <w:szCs w:val="24"/>
        </w:rPr>
        <w:t>for a recognised details certificate under section</w:t>
      </w:r>
      <w:r w:rsidR="0000189A">
        <w:rPr>
          <w:rFonts w:ascii="Arial" w:hAnsi="Arial" w:cs="Arial"/>
          <w:sz w:val="24"/>
          <w:szCs w:val="24"/>
        </w:rPr>
        <w:t xml:space="preserve"> </w:t>
      </w:r>
      <w:r w:rsidRPr="0000189A">
        <w:rPr>
          <w:rFonts w:ascii="Arial" w:hAnsi="Arial" w:cs="Arial"/>
          <w:sz w:val="24"/>
          <w:szCs w:val="24"/>
        </w:rPr>
        <w:t>29A(1)(a)(ii)(C).</w:t>
      </w:r>
    </w:p>
    <w:p w14:paraId="6F033D3C" w14:textId="00ACB3EC" w:rsidR="00D16779" w:rsidRPr="00D16779" w:rsidRDefault="00D16779" w:rsidP="00452C6D">
      <w:pPr>
        <w:spacing w:after="240"/>
        <w:rPr>
          <w:rFonts w:ascii="Arial" w:hAnsi="Arial" w:cs="Arial"/>
          <w:szCs w:val="24"/>
        </w:rPr>
      </w:pPr>
      <w:r>
        <w:rPr>
          <w:rFonts w:ascii="Arial" w:hAnsi="Arial" w:cs="Arial"/>
          <w:szCs w:val="24"/>
          <w:u w:val="single"/>
        </w:rPr>
        <w:t>Background</w:t>
      </w:r>
    </w:p>
    <w:p w14:paraId="0CB2B06A" w14:textId="4D0EA951" w:rsidR="00D16779" w:rsidRDefault="00D16779" w:rsidP="00452C6D">
      <w:pPr>
        <w:spacing w:after="240"/>
        <w:rPr>
          <w:rFonts w:ascii="Arial" w:hAnsi="Arial" w:cs="Arial"/>
          <w:szCs w:val="24"/>
        </w:rPr>
      </w:pPr>
      <w:r w:rsidRPr="00115A8D">
        <w:rPr>
          <w:rFonts w:ascii="Arial" w:hAnsi="Arial" w:cs="Arial"/>
          <w:szCs w:val="24"/>
        </w:rPr>
        <w:t xml:space="preserve">The ACT Government’s </w:t>
      </w:r>
      <w:r w:rsidRPr="00115A8D">
        <w:rPr>
          <w:rFonts w:ascii="Arial" w:hAnsi="Arial" w:cs="Arial"/>
          <w:i/>
          <w:iCs/>
          <w:szCs w:val="24"/>
        </w:rPr>
        <w:t xml:space="preserve">Capital of Equality </w:t>
      </w:r>
      <w:r>
        <w:rPr>
          <w:rFonts w:ascii="Arial" w:hAnsi="Arial" w:cs="Arial"/>
          <w:i/>
          <w:iCs/>
          <w:szCs w:val="24"/>
        </w:rPr>
        <w:t xml:space="preserve">Strategy – </w:t>
      </w:r>
      <w:r w:rsidRPr="00115A8D">
        <w:rPr>
          <w:rFonts w:ascii="Arial" w:hAnsi="Arial" w:cs="Arial"/>
          <w:i/>
          <w:iCs/>
          <w:szCs w:val="24"/>
        </w:rPr>
        <w:t>First Action Plan 2019 &amp; 2020</w:t>
      </w:r>
      <w:r w:rsidRPr="00115A8D">
        <w:rPr>
          <w:rFonts w:ascii="Arial" w:hAnsi="Arial" w:cs="Arial"/>
          <w:szCs w:val="24"/>
        </w:rPr>
        <w:t xml:space="preserve"> made a commitment to ‘improve processes for changing birth registration and birth certificates for trans and gender diverse people, particularly young people’</w:t>
      </w:r>
      <w:r w:rsidR="002B0E09">
        <w:rPr>
          <w:rFonts w:ascii="Arial" w:hAnsi="Arial" w:cs="Arial"/>
          <w:szCs w:val="24"/>
        </w:rPr>
        <w:t>.</w:t>
      </w:r>
    </w:p>
    <w:p w14:paraId="38918AC1" w14:textId="681D5023" w:rsidR="00D16779" w:rsidRDefault="002B0E09" w:rsidP="00D16779">
      <w:pPr>
        <w:rPr>
          <w:rFonts w:ascii="Arial" w:hAnsi="Arial" w:cs="Arial"/>
          <w:szCs w:val="24"/>
        </w:rPr>
      </w:pPr>
      <w:r>
        <w:rPr>
          <w:rFonts w:ascii="Arial" w:hAnsi="Arial" w:cs="Arial"/>
          <w:szCs w:val="24"/>
        </w:rPr>
        <w:t xml:space="preserve">To deliver on </w:t>
      </w:r>
      <w:r w:rsidR="00D16779">
        <w:rPr>
          <w:rFonts w:ascii="Arial" w:hAnsi="Arial" w:cs="Arial"/>
          <w:szCs w:val="24"/>
        </w:rPr>
        <w:t>this commitment, the</w:t>
      </w:r>
      <w:r w:rsidR="00D16779" w:rsidRPr="00115A8D">
        <w:rPr>
          <w:rFonts w:ascii="Arial" w:hAnsi="Arial" w:cs="Arial"/>
          <w:szCs w:val="24"/>
        </w:rPr>
        <w:t xml:space="preserve"> ACT Legislative Assembly passed the </w:t>
      </w:r>
      <w:r w:rsidR="00D16779" w:rsidRPr="00115A8D">
        <w:rPr>
          <w:rFonts w:ascii="Arial" w:hAnsi="Arial" w:cs="Arial"/>
          <w:i/>
          <w:iCs/>
          <w:szCs w:val="24"/>
        </w:rPr>
        <w:t xml:space="preserve">Births, Deaths and Marriages Registration Amendment Act 2020 </w:t>
      </w:r>
      <w:r w:rsidR="00D16779" w:rsidRPr="00115A8D">
        <w:rPr>
          <w:rFonts w:ascii="Arial" w:hAnsi="Arial" w:cs="Arial"/>
          <w:szCs w:val="24"/>
        </w:rPr>
        <w:t>(the BDMR</w:t>
      </w:r>
      <w:r w:rsidR="00D16779">
        <w:rPr>
          <w:rFonts w:ascii="Arial" w:hAnsi="Arial" w:cs="Arial"/>
          <w:szCs w:val="24"/>
        </w:rPr>
        <w:t xml:space="preserve"> </w:t>
      </w:r>
      <w:r w:rsidR="00D16779" w:rsidRPr="00115A8D">
        <w:rPr>
          <w:rFonts w:ascii="Arial" w:hAnsi="Arial" w:cs="Arial"/>
          <w:szCs w:val="24"/>
        </w:rPr>
        <w:t>A</w:t>
      </w:r>
      <w:r w:rsidR="00D16779">
        <w:rPr>
          <w:rFonts w:ascii="Arial" w:hAnsi="Arial" w:cs="Arial"/>
          <w:szCs w:val="24"/>
        </w:rPr>
        <w:t>mendment</w:t>
      </w:r>
      <w:r w:rsidR="00D16779" w:rsidRPr="00115A8D">
        <w:rPr>
          <w:rFonts w:ascii="Arial" w:hAnsi="Arial" w:cs="Arial"/>
          <w:szCs w:val="24"/>
        </w:rPr>
        <w:t xml:space="preserve"> Act) on 13 August 2020</w:t>
      </w:r>
      <w:r w:rsidR="00D16779">
        <w:rPr>
          <w:rFonts w:ascii="Arial" w:hAnsi="Arial" w:cs="Arial"/>
          <w:szCs w:val="24"/>
        </w:rPr>
        <w:t xml:space="preserve">. The BDMR Amendment Act </w:t>
      </w:r>
      <w:r w:rsidR="0065513C">
        <w:rPr>
          <w:rFonts w:ascii="Arial" w:hAnsi="Arial" w:cs="Arial"/>
          <w:szCs w:val="24"/>
        </w:rPr>
        <w:t>created</w:t>
      </w:r>
      <w:r w:rsidR="00D16779" w:rsidRPr="00115A8D">
        <w:rPr>
          <w:rFonts w:ascii="Arial" w:hAnsi="Arial" w:cs="Arial"/>
          <w:szCs w:val="24"/>
        </w:rPr>
        <w:t xml:space="preserve"> independent pathways for transgender, intersex and gender diverse young people to change their given names and/or sex recorded in the ACT Register of births</w:t>
      </w:r>
      <w:r w:rsidR="00064A28">
        <w:rPr>
          <w:rFonts w:ascii="Arial" w:hAnsi="Arial" w:cs="Arial"/>
          <w:szCs w:val="24"/>
        </w:rPr>
        <w:t>.</w:t>
      </w:r>
    </w:p>
    <w:p w14:paraId="47983D29" w14:textId="77777777" w:rsidR="00064A28" w:rsidRDefault="00064A28" w:rsidP="00D16779">
      <w:pPr>
        <w:rPr>
          <w:rFonts w:ascii="Arial" w:hAnsi="Arial" w:cs="Arial"/>
          <w:szCs w:val="24"/>
        </w:rPr>
      </w:pPr>
    </w:p>
    <w:p w14:paraId="0830004B" w14:textId="77777777" w:rsidR="0065513C" w:rsidRDefault="00D16779" w:rsidP="00452C6D">
      <w:pPr>
        <w:spacing w:after="240"/>
        <w:rPr>
          <w:rFonts w:ascii="Arial" w:hAnsi="Arial" w:cs="Arial"/>
          <w:szCs w:val="24"/>
        </w:rPr>
      </w:pPr>
      <w:r w:rsidRPr="00115A8D">
        <w:rPr>
          <w:rFonts w:ascii="Arial" w:hAnsi="Arial" w:cs="Arial"/>
          <w:szCs w:val="24"/>
        </w:rPr>
        <w:lastRenderedPageBreak/>
        <w:t xml:space="preserve">As part of the reforms, sections </w:t>
      </w:r>
      <w:bookmarkStart w:id="1" w:name="_Hlk69133993"/>
      <w:r w:rsidRPr="00115A8D">
        <w:rPr>
          <w:rFonts w:ascii="Arial" w:hAnsi="Arial" w:cs="Arial"/>
          <w:szCs w:val="24"/>
        </w:rPr>
        <w:t>19A(b)(ii)(C), 24(1)(a)(ii)(C) and 29A(1)(a)(ii)(C)</w:t>
      </w:r>
      <w:bookmarkEnd w:id="1"/>
      <w:r w:rsidRPr="00115A8D">
        <w:rPr>
          <w:rFonts w:ascii="Arial" w:hAnsi="Arial" w:cs="Arial"/>
          <w:szCs w:val="24"/>
        </w:rPr>
        <w:t xml:space="preserve"> of the</w:t>
      </w:r>
      <w:r>
        <w:rPr>
          <w:rFonts w:ascii="Arial" w:hAnsi="Arial" w:cs="Arial"/>
          <w:i/>
          <w:iCs/>
          <w:szCs w:val="24"/>
        </w:rPr>
        <w:t xml:space="preserve"> </w:t>
      </w:r>
      <w:r>
        <w:rPr>
          <w:rFonts w:ascii="Arial" w:hAnsi="Arial" w:cs="Arial"/>
          <w:szCs w:val="24"/>
        </w:rPr>
        <w:t>BDMR Act</w:t>
      </w:r>
      <w:r w:rsidR="0065513C">
        <w:rPr>
          <w:rFonts w:ascii="Arial" w:hAnsi="Arial" w:cs="Arial"/>
          <w:szCs w:val="24"/>
        </w:rPr>
        <w:t xml:space="preserve"> now</w:t>
      </w:r>
      <w:r>
        <w:rPr>
          <w:rFonts w:ascii="Arial" w:hAnsi="Arial" w:cs="Arial"/>
          <w:szCs w:val="24"/>
        </w:rPr>
        <w:t xml:space="preserve"> provide</w:t>
      </w:r>
      <w:r w:rsidR="0065513C">
        <w:rPr>
          <w:rFonts w:ascii="Arial" w:hAnsi="Arial" w:cs="Arial"/>
          <w:szCs w:val="24"/>
        </w:rPr>
        <w:t>s</w:t>
      </w:r>
      <w:r>
        <w:rPr>
          <w:rFonts w:ascii="Arial" w:hAnsi="Arial" w:cs="Arial"/>
          <w:szCs w:val="24"/>
        </w:rPr>
        <w:t xml:space="preserve"> that</w:t>
      </w:r>
      <w:r w:rsidR="002B0E09">
        <w:rPr>
          <w:rFonts w:ascii="Arial" w:hAnsi="Arial" w:cs="Arial"/>
          <w:szCs w:val="24"/>
        </w:rPr>
        <w:t xml:space="preserve">, if a </w:t>
      </w:r>
      <w:r w:rsidRPr="00115A8D">
        <w:rPr>
          <w:rFonts w:ascii="Arial" w:hAnsi="Arial" w:cs="Arial"/>
          <w:szCs w:val="24"/>
        </w:rPr>
        <w:t>circumstance prescribed by regulation</w:t>
      </w:r>
      <w:r w:rsidR="002B0E09">
        <w:rPr>
          <w:rFonts w:ascii="Arial" w:hAnsi="Arial" w:cs="Arial"/>
          <w:szCs w:val="24"/>
        </w:rPr>
        <w:t xml:space="preserve"> applie</w:t>
      </w:r>
      <w:r w:rsidR="0065513C">
        <w:rPr>
          <w:rFonts w:ascii="Arial" w:hAnsi="Arial" w:cs="Arial"/>
          <w:szCs w:val="24"/>
        </w:rPr>
        <w:t>s</w:t>
      </w:r>
      <w:r w:rsidR="002B0E09">
        <w:rPr>
          <w:rFonts w:ascii="Arial" w:hAnsi="Arial" w:cs="Arial"/>
          <w:szCs w:val="24"/>
        </w:rPr>
        <w:t>,</w:t>
      </w:r>
      <w:r w:rsidRPr="00115A8D">
        <w:rPr>
          <w:rFonts w:ascii="Arial" w:hAnsi="Arial" w:cs="Arial"/>
          <w:szCs w:val="24"/>
        </w:rPr>
        <w:t xml:space="preserve"> </w:t>
      </w:r>
      <w:r w:rsidR="002B0E09">
        <w:rPr>
          <w:rFonts w:ascii="Arial" w:hAnsi="Arial" w:cs="Arial"/>
          <w:szCs w:val="24"/>
        </w:rPr>
        <w:t>a</w:t>
      </w:r>
      <w:r w:rsidRPr="00115A8D">
        <w:rPr>
          <w:rFonts w:ascii="Arial" w:hAnsi="Arial" w:cs="Arial"/>
          <w:szCs w:val="24"/>
        </w:rPr>
        <w:t xml:space="preserve"> stated person </w:t>
      </w:r>
      <w:r>
        <w:rPr>
          <w:rFonts w:ascii="Arial" w:hAnsi="Arial" w:cs="Arial"/>
          <w:szCs w:val="24"/>
        </w:rPr>
        <w:t xml:space="preserve">with parental responsibility </w:t>
      </w:r>
      <w:r w:rsidR="002B0E09">
        <w:rPr>
          <w:rFonts w:ascii="Arial" w:hAnsi="Arial" w:cs="Arial"/>
          <w:szCs w:val="24"/>
        </w:rPr>
        <w:t>may</w:t>
      </w:r>
      <w:r w:rsidRPr="00115A8D">
        <w:rPr>
          <w:rFonts w:ascii="Arial" w:hAnsi="Arial" w:cs="Arial"/>
          <w:szCs w:val="24"/>
        </w:rPr>
        <w:t xml:space="preserve"> consent to </w:t>
      </w:r>
      <w:r w:rsidR="002B0E09">
        <w:rPr>
          <w:rFonts w:ascii="Arial" w:hAnsi="Arial" w:cs="Arial"/>
          <w:szCs w:val="24"/>
        </w:rPr>
        <w:t xml:space="preserve">the </w:t>
      </w:r>
      <w:r w:rsidRPr="00115A8D">
        <w:rPr>
          <w:rFonts w:ascii="Arial" w:hAnsi="Arial" w:cs="Arial"/>
          <w:szCs w:val="24"/>
        </w:rPr>
        <w:t>application</w:t>
      </w:r>
      <w:r w:rsidR="002B0E09">
        <w:rPr>
          <w:rFonts w:ascii="Arial" w:hAnsi="Arial" w:cs="Arial"/>
          <w:szCs w:val="24"/>
        </w:rPr>
        <w:t>s made by a young person</w:t>
      </w:r>
      <w:r w:rsidR="00FD60DB">
        <w:rPr>
          <w:rFonts w:ascii="Arial" w:hAnsi="Arial" w:cs="Arial"/>
          <w:szCs w:val="24"/>
        </w:rPr>
        <w:t>.</w:t>
      </w:r>
      <w:r w:rsidR="0076061F">
        <w:rPr>
          <w:rFonts w:ascii="Arial" w:hAnsi="Arial" w:cs="Arial"/>
          <w:szCs w:val="24"/>
        </w:rPr>
        <w:t xml:space="preserve"> </w:t>
      </w:r>
    </w:p>
    <w:p w14:paraId="69C43406" w14:textId="1821110E" w:rsidR="006A255C" w:rsidRDefault="0065513C" w:rsidP="00452C6D">
      <w:pPr>
        <w:spacing w:after="240"/>
        <w:rPr>
          <w:rFonts w:ascii="Arial" w:hAnsi="Arial" w:cs="Arial"/>
          <w:szCs w:val="24"/>
        </w:rPr>
      </w:pPr>
      <w:r>
        <w:rPr>
          <w:rFonts w:ascii="Arial" w:hAnsi="Arial" w:cs="Arial"/>
          <w:szCs w:val="24"/>
        </w:rPr>
        <w:t>T</w:t>
      </w:r>
      <w:r w:rsidR="0076061F" w:rsidRPr="00115A8D">
        <w:rPr>
          <w:rFonts w:ascii="Arial" w:hAnsi="Arial" w:cs="Arial"/>
          <w:szCs w:val="24"/>
        </w:rPr>
        <w:t xml:space="preserve">he BDMR </w:t>
      </w:r>
      <w:r w:rsidR="0076061F">
        <w:rPr>
          <w:rFonts w:ascii="Arial" w:hAnsi="Arial" w:cs="Arial"/>
          <w:szCs w:val="24"/>
        </w:rPr>
        <w:t>Amendment</w:t>
      </w:r>
      <w:r w:rsidR="0076061F" w:rsidRPr="00115A8D">
        <w:rPr>
          <w:rFonts w:ascii="Arial" w:hAnsi="Arial" w:cs="Arial"/>
          <w:szCs w:val="24"/>
        </w:rPr>
        <w:t xml:space="preserve"> Regulation</w:t>
      </w:r>
      <w:r w:rsidR="00FD60DB">
        <w:rPr>
          <w:rFonts w:ascii="Arial" w:hAnsi="Arial" w:cs="Arial"/>
          <w:szCs w:val="24"/>
        </w:rPr>
        <w:t xml:space="preserve"> </w:t>
      </w:r>
      <w:r w:rsidR="000120DA">
        <w:rPr>
          <w:rFonts w:ascii="Arial" w:hAnsi="Arial" w:cs="Arial"/>
          <w:szCs w:val="24"/>
        </w:rPr>
        <w:t>prescribes these circumstances.</w:t>
      </w:r>
    </w:p>
    <w:p w14:paraId="61FC46EE" w14:textId="556078C5" w:rsidR="006A255C" w:rsidRDefault="00A537C7" w:rsidP="006A255C">
      <w:pPr>
        <w:spacing w:after="240"/>
        <w:rPr>
          <w:rFonts w:ascii="Arial" w:hAnsi="Arial" w:cs="Arial"/>
          <w:szCs w:val="24"/>
        </w:rPr>
      </w:pPr>
      <w:r>
        <w:rPr>
          <w:rFonts w:ascii="Arial" w:hAnsi="Arial" w:cs="Arial"/>
          <w:szCs w:val="24"/>
        </w:rPr>
        <w:t>Under t</w:t>
      </w:r>
      <w:r w:rsidR="002B0E09">
        <w:rPr>
          <w:rFonts w:ascii="Arial" w:hAnsi="Arial" w:cs="Arial"/>
          <w:szCs w:val="24"/>
        </w:rPr>
        <w:t>he BDMR Amendment Regulation</w:t>
      </w:r>
      <w:r>
        <w:rPr>
          <w:rFonts w:ascii="Arial" w:hAnsi="Arial" w:cs="Arial"/>
          <w:szCs w:val="24"/>
        </w:rPr>
        <w:t xml:space="preserve">, </w:t>
      </w:r>
      <w:r w:rsidR="002B0E09">
        <w:rPr>
          <w:rFonts w:ascii="Arial" w:hAnsi="Arial" w:cs="Arial"/>
          <w:szCs w:val="24"/>
        </w:rPr>
        <w:t xml:space="preserve">consent </w:t>
      </w:r>
      <w:r>
        <w:rPr>
          <w:rFonts w:ascii="Arial" w:hAnsi="Arial" w:cs="Arial"/>
          <w:szCs w:val="24"/>
        </w:rPr>
        <w:t xml:space="preserve">may only be provided </w:t>
      </w:r>
      <w:r w:rsidR="002B0E09">
        <w:rPr>
          <w:rFonts w:ascii="Arial" w:hAnsi="Arial" w:cs="Arial"/>
          <w:szCs w:val="24"/>
        </w:rPr>
        <w:t xml:space="preserve">to </w:t>
      </w:r>
      <w:r w:rsidR="0076061F">
        <w:rPr>
          <w:rFonts w:ascii="Arial" w:hAnsi="Arial" w:cs="Arial"/>
          <w:szCs w:val="24"/>
        </w:rPr>
        <w:t xml:space="preserve">the applications </w:t>
      </w:r>
      <w:r>
        <w:rPr>
          <w:rFonts w:ascii="Arial" w:hAnsi="Arial" w:cs="Arial"/>
          <w:szCs w:val="24"/>
        </w:rPr>
        <w:t xml:space="preserve">by persons who </w:t>
      </w:r>
      <w:r w:rsidR="002B0E09">
        <w:rPr>
          <w:rFonts w:ascii="Arial" w:hAnsi="Arial" w:cs="Arial"/>
          <w:szCs w:val="24"/>
        </w:rPr>
        <w:t>have responsibility for the long-term welfare</w:t>
      </w:r>
      <w:r w:rsidR="0076061F">
        <w:rPr>
          <w:rFonts w:ascii="Arial" w:hAnsi="Arial" w:cs="Arial"/>
          <w:szCs w:val="24"/>
        </w:rPr>
        <w:t xml:space="preserve"> of a young person</w:t>
      </w:r>
      <w:r w:rsidR="002B0E09">
        <w:rPr>
          <w:rFonts w:ascii="Arial" w:hAnsi="Arial" w:cs="Arial"/>
          <w:szCs w:val="24"/>
        </w:rPr>
        <w:t>,</w:t>
      </w:r>
      <w:r w:rsidR="0076061F">
        <w:rPr>
          <w:rFonts w:ascii="Arial" w:hAnsi="Arial" w:cs="Arial"/>
          <w:szCs w:val="24"/>
        </w:rPr>
        <w:t xml:space="preserve"> or who have</w:t>
      </w:r>
      <w:r w:rsidR="002B0E09">
        <w:rPr>
          <w:rFonts w:ascii="Arial" w:hAnsi="Arial" w:cs="Arial"/>
          <w:szCs w:val="24"/>
        </w:rPr>
        <w:t xml:space="preserve"> </w:t>
      </w:r>
      <w:r w:rsidR="006A255C">
        <w:rPr>
          <w:rFonts w:ascii="Arial" w:hAnsi="Arial" w:cs="Arial"/>
          <w:szCs w:val="24"/>
        </w:rPr>
        <w:t xml:space="preserve">long-term care </w:t>
      </w:r>
      <w:r w:rsidR="006A255C" w:rsidRPr="00AF3476">
        <w:rPr>
          <w:rFonts w:ascii="Arial" w:hAnsi="Arial" w:cs="Arial"/>
          <w:szCs w:val="24"/>
        </w:rPr>
        <w:t xml:space="preserve">responsibility </w:t>
      </w:r>
      <w:r w:rsidR="0076061F">
        <w:rPr>
          <w:rFonts w:ascii="Arial" w:hAnsi="Arial" w:cs="Arial"/>
          <w:szCs w:val="24"/>
        </w:rPr>
        <w:t>or</w:t>
      </w:r>
      <w:r w:rsidR="006A255C">
        <w:rPr>
          <w:rFonts w:ascii="Arial" w:hAnsi="Arial" w:cs="Arial"/>
          <w:szCs w:val="24"/>
        </w:rPr>
        <w:t xml:space="preserve"> parental responsibility for major long-term issues for a young person</w:t>
      </w:r>
      <w:r w:rsidR="002B0E09">
        <w:rPr>
          <w:rFonts w:ascii="Arial" w:hAnsi="Arial" w:cs="Arial"/>
          <w:szCs w:val="24"/>
        </w:rPr>
        <w:t xml:space="preserve">. This </w:t>
      </w:r>
      <w:r w:rsidR="0076061F">
        <w:rPr>
          <w:rFonts w:ascii="Arial" w:hAnsi="Arial" w:cs="Arial"/>
          <w:szCs w:val="24"/>
        </w:rPr>
        <w:t xml:space="preserve">approach has been </w:t>
      </w:r>
      <w:r w:rsidR="0065513C">
        <w:rPr>
          <w:rFonts w:ascii="Arial" w:hAnsi="Arial" w:cs="Arial"/>
          <w:szCs w:val="24"/>
        </w:rPr>
        <w:t>adopted</w:t>
      </w:r>
      <w:r w:rsidR="0076061F">
        <w:rPr>
          <w:rFonts w:ascii="Arial" w:hAnsi="Arial" w:cs="Arial"/>
          <w:szCs w:val="24"/>
        </w:rPr>
        <w:t xml:space="preserve"> </w:t>
      </w:r>
      <w:r w:rsidR="006A255C">
        <w:rPr>
          <w:rFonts w:ascii="Arial" w:hAnsi="Arial" w:cs="Arial"/>
          <w:szCs w:val="24"/>
        </w:rPr>
        <w:t>given that the</w:t>
      </w:r>
      <w:r w:rsidR="002B0E09">
        <w:rPr>
          <w:rFonts w:ascii="Arial" w:hAnsi="Arial" w:cs="Arial"/>
          <w:szCs w:val="24"/>
        </w:rPr>
        <w:t xml:space="preserve"> applications involve </w:t>
      </w:r>
      <w:r w:rsidR="006A255C">
        <w:rPr>
          <w:rFonts w:ascii="Arial" w:hAnsi="Arial" w:cs="Arial"/>
          <w:szCs w:val="24"/>
        </w:rPr>
        <w:t xml:space="preserve">significant </w:t>
      </w:r>
      <w:r w:rsidR="000120DA">
        <w:rPr>
          <w:rFonts w:ascii="Arial" w:hAnsi="Arial" w:cs="Arial"/>
          <w:szCs w:val="24"/>
        </w:rPr>
        <w:t>decisions that are not part of the day to day</w:t>
      </w:r>
      <w:r w:rsidR="00064A28">
        <w:rPr>
          <w:rFonts w:ascii="Arial" w:hAnsi="Arial" w:cs="Arial"/>
          <w:szCs w:val="24"/>
        </w:rPr>
        <w:t xml:space="preserve"> care</w:t>
      </w:r>
      <w:r w:rsidR="000120DA">
        <w:rPr>
          <w:rFonts w:ascii="Arial" w:hAnsi="Arial" w:cs="Arial"/>
          <w:szCs w:val="24"/>
        </w:rPr>
        <w:t xml:space="preserve"> responsibility for a child or young person</w:t>
      </w:r>
      <w:r w:rsidR="006A255C">
        <w:rPr>
          <w:rFonts w:ascii="Arial" w:hAnsi="Arial" w:cs="Arial"/>
          <w:szCs w:val="24"/>
        </w:rPr>
        <w:t xml:space="preserve">. </w:t>
      </w:r>
      <w:r w:rsidR="0076061F">
        <w:rPr>
          <w:rFonts w:ascii="Arial" w:hAnsi="Arial" w:cs="Arial"/>
          <w:szCs w:val="24"/>
        </w:rPr>
        <w:t>The</w:t>
      </w:r>
      <w:r w:rsidR="006A255C">
        <w:rPr>
          <w:rFonts w:ascii="Arial" w:hAnsi="Arial" w:cs="Arial"/>
          <w:szCs w:val="24"/>
        </w:rPr>
        <w:t xml:space="preserve"> approach is also consistent with</w:t>
      </w:r>
      <w:r w:rsidR="0076061F">
        <w:rPr>
          <w:rFonts w:ascii="Arial" w:hAnsi="Arial" w:cs="Arial"/>
          <w:szCs w:val="24"/>
        </w:rPr>
        <w:t xml:space="preserve"> the position on parental responsibility in</w:t>
      </w:r>
      <w:r w:rsidR="006A255C">
        <w:rPr>
          <w:rFonts w:ascii="Arial" w:hAnsi="Arial" w:cs="Arial"/>
          <w:szCs w:val="24"/>
        </w:rPr>
        <w:t xml:space="preserve"> existing laws, </w:t>
      </w:r>
      <w:r w:rsidR="0076061F">
        <w:rPr>
          <w:rFonts w:ascii="Arial" w:hAnsi="Arial" w:cs="Arial"/>
          <w:szCs w:val="24"/>
        </w:rPr>
        <w:t xml:space="preserve">such as the </w:t>
      </w:r>
      <w:r w:rsidR="0076061F">
        <w:rPr>
          <w:rFonts w:ascii="Arial" w:hAnsi="Arial" w:cs="Arial"/>
          <w:i/>
          <w:iCs/>
          <w:szCs w:val="24"/>
        </w:rPr>
        <w:t>Testamentary Guardianship Act 1984</w:t>
      </w:r>
      <w:r w:rsidR="0076061F">
        <w:rPr>
          <w:rFonts w:ascii="Arial" w:hAnsi="Arial" w:cs="Arial"/>
          <w:szCs w:val="24"/>
        </w:rPr>
        <w:t xml:space="preserve">, </w:t>
      </w:r>
      <w:r w:rsidR="002B0E09">
        <w:rPr>
          <w:rFonts w:ascii="Arial" w:hAnsi="Arial" w:cs="Arial"/>
          <w:i/>
          <w:iCs/>
          <w:szCs w:val="24"/>
        </w:rPr>
        <w:t>Children and Young People Act 2008</w:t>
      </w:r>
      <w:r w:rsidR="002B0E09">
        <w:rPr>
          <w:rFonts w:ascii="Arial" w:hAnsi="Arial" w:cs="Arial"/>
          <w:szCs w:val="24"/>
        </w:rPr>
        <w:t xml:space="preserve"> and </w:t>
      </w:r>
      <w:r w:rsidR="002B0E09">
        <w:rPr>
          <w:rFonts w:ascii="Arial" w:hAnsi="Arial" w:cs="Arial"/>
          <w:i/>
          <w:iCs/>
          <w:szCs w:val="24"/>
        </w:rPr>
        <w:t>Family Law Act 1975</w:t>
      </w:r>
      <w:r w:rsidR="002B0E09">
        <w:rPr>
          <w:rFonts w:ascii="Arial" w:hAnsi="Arial" w:cs="Arial"/>
          <w:szCs w:val="24"/>
        </w:rPr>
        <w:t>.</w:t>
      </w:r>
    </w:p>
    <w:p w14:paraId="7105FDEC" w14:textId="675A3E64" w:rsidR="00E0513E" w:rsidRDefault="00E0513E" w:rsidP="006A255C">
      <w:pPr>
        <w:spacing w:after="240"/>
        <w:rPr>
          <w:rFonts w:ascii="Arial" w:hAnsi="Arial" w:cs="Arial"/>
          <w:szCs w:val="24"/>
        </w:rPr>
      </w:pPr>
      <w:r w:rsidRPr="002C22C8">
        <w:rPr>
          <w:rFonts w:ascii="Arial" w:hAnsi="Arial" w:cs="Arial"/>
          <w:szCs w:val="24"/>
        </w:rPr>
        <w:t>Where more than one person has responsibility for the long term care of the young person, each of those persons are required to consent, unless it is not reasonable or practicable to obtain that consent. This ensures that all persons with long term care responsibility are aware of, and involved in this significant decision and able to support the young person. Where a relevant person does not consent to the application, the Act provides new pathways for the ACT Civil and Administrative Tribunal to determine whether the young person is able to make this decision independently.</w:t>
      </w:r>
    </w:p>
    <w:p w14:paraId="49BD7F36" w14:textId="08C7F28F" w:rsidR="00D16779" w:rsidRPr="00D16779" w:rsidRDefault="00D16779" w:rsidP="00D16779">
      <w:pPr>
        <w:spacing w:after="240"/>
        <w:ind w:right="565"/>
        <w:rPr>
          <w:rFonts w:ascii="Arial" w:hAnsi="Arial" w:cs="Arial"/>
          <w:b/>
          <w:bCs/>
          <w:sz w:val="28"/>
          <w:szCs w:val="28"/>
        </w:rPr>
      </w:pPr>
      <w:r>
        <w:rPr>
          <w:rFonts w:ascii="Arial" w:hAnsi="Arial" w:cs="Arial"/>
          <w:b/>
          <w:bCs/>
          <w:sz w:val="28"/>
          <w:szCs w:val="28"/>
        </w:rPr>
        <w:t>C</w:t>
      </w:r>
      <w:r w:rsidRPr="00D16779">
        <w:rPr>
          <w:rFonts w:ascii="Arial" w:hAnsi="Arial" w:cs="Arial"/>
          <w:b/>
          <w:bCs/>
          <w:sz w:val="28"/>
          <w:szCs w:val="28"/>
        </w:rPr>
        <w:t xml:space="preserve">onsultation on the </w:t>
      </w:r>
      <w:r>
        <w:rPr>
          <w:rFonts w:ascii="Arial" w:hAnsi="Arial" w:cs="Arial"/>
          <w:b/>
          <w:bCs/>
          <w:sz w:val="28"/>
          <w:szCs w:val="28"/>
        </w:rPr>
        <w:t>Amendment Regulation</w:t>
      </w:r>
    </w:p>
    <w:p w14:paraId="05C60B2B" w14:textId="00F82F57" w:rsidR="00D16779" w:rsidRDefault="00D16779" w:rsidP="00D16779">
      <w:pPr>
        <w:spacing w:after="240"/>
        <w:rPr>
          <w:rFonts w:ascii="Arial" w:hAnsi="Arial" w:cs="Arial"/>
          <w:iCs/>
          <w:szCs w:val="24"/>
        </w:rPr>
      </w:pPr>
      <w:r w:rsidRPr="00115A8D">
        <w:rPr>
          <w:rFonts w:ascii="Arial" w:hAnsi="Arial" w:cs="Arial"/>
          <w:iCs/>
          <w:szCs w:val="24"/>
        </w:rPr>
        <w:t xml:space="preserve">The BDMR </w:t>
      </w:r>
      <w:r>
        <w:rPr>
          <w:rFonts w:ascii="Arial" w:hAnsi="Arial" w:cs="Arial"/>
          <w:iCs/>
          <w:szCs w:val="24"/>
        </w:rPr>
        <w:t>Amendment Regulation</w:t>
      </w:r>
      <w:r w:rsidRPr="00115A8D">
        <w:rPr>
          <w:rFonts w:ascii="Arial" w:hAnsi="Arial" w:cs="Arial"/>
          <w:iCs/>
          <w:szCs w:val="24"/>
        </w:rPr>
        <w:t xml:space="preserve"> </w:t>
      </w:r>
      <w:r w:rsidR="00885FB0">
        <w:rPr>
          <w:rFonts w:ascii="Arial" w:hAnsi="Arial" w:cs="Arial"/>
          <w:iCs/>
          <w:szCs w:val="24"/>
        </w:rPr>
        <w:t>was developed in</w:t>
      </w:r>
      <w:r w:rsidRPr="00115A8D">
        <w:rPr>
          <w:rFonts w:ascii="Arial" w:hAnsi="Arial" w:cs="Arial"/>
          <w:iCs/>
          <w:szCs w:val="24"/>
        </w:rPr>
        <w:t xml:space="preserve"> consultation with</w:t>
      </w:r>
      <w:r>
        <w:rPr>
          <w:rFonts w:ascii="Arial" w:hAnsi="Arial" w:cs="Arial"/>
          <w:iCs/>
          <w:szCs w:val="24"/>
        </w:rPr>
        <w:t>:</w:t>
      </w:r>
    </w:p>
    <w:p w14:paraId="19A72E37" w14:textId="77777777" w:rsidR="00D16779" w:rsidRDefault="00D16779" w:rsidP="00D16779">
      <w:pPr>
        <w:pStyle w:val="ListParagraph"/>
        <w:numPr>
          <w:ilvl w:val="0"/>
          <w:numId w:val="10"/>
        </w:numPr>
        <w:spacing w:after="160" w:line="259" w:lineRule="auto"/>
        <w:ind w:left="714" w:hanging="357"/>
        <w:rPr>
          <w:rFonts w:ascii="Arial" w:hAnsi="Arial" w:cs="Arial"/>
          <w:iCs/>
          <w:sz w:val="24"/>
          <w:szCs w:val="24"/>
        </w:rPr>
      </w:pPr>
      <w:r>
        <w:rPr>
          <w:rFonts w:ascii="Arial" w:hAnsi="Arial" w:cs="Arial"/>
          <w:iCs/>
          <w:sz w:val="24"/>
          <w:szCs w:val="24"/>
        </w:rPr>
        <w:t xml:space="preserve">Access </w:t>
      </w:r>
      <w:r w:rsidRPr="002237D2">
        <w:rPr>
          <w:rFonts w:ascii="Arial" w:hAnsi="Arial" w:cs="Arial"/>
          <w:sz w:val="24"/>
          <w:szCs w:val="24"/>
        </w:rPr>
        <w:t>Canberra</w:t>
      </w:r>
      <w:r>
        <w:rPr>
          <w:rFonts w:ascii="Arial" w:hAnsi="Arial" w:cs="Arial"/>
          <w:iCs/>
          <w:sz w:val="24"/>
          <w:szCs w:val="24"/>
        </w:rPr>
        <w:t>;</w:t>
      </w:r>
    </w:p>
    <w:p w14:paraId="3DA4B34C" w14:textId="77777777" w:rsidR="00D16779" w:rsidRPr="002237D2" w:rsidRDefault="00D16779" w:rsidP="00D16779">
      <w:pPr>
        <w:pStyle w:val="ListParagraph"/>
        <w:numPr>
          <w:ilvl w:val="0"/>
          <w:numId w:val="10"/>
        </w:numPr>
        <w:spacing w:after="160" w:line="259" w:lineRule="auto"/>
        <w:ind w:left="714" w:hanging="357"/>
        <w:rPr>
          <w:rFonts w:ascii="Arial" w:hAnsi="Arial" w:cs="Arial"/>
          <w:sz w:val="24"/>
          <w:szCs w:val="24"/>
        </w:rPr>
      </w:pPr>
      <w:r w:rsidRPr="002237D2">
        <w:rPr>
          <w:rFonts w:ascii="Arial" w:hAnsi="Arial" w:cs="Arial"/>
          <w:sz w:val="24"/>
          <w:szCs w:val="24"/>
        </w:rPr>
        <w:t>ACT Civil and Administrative Tribunal;</w:t>
      </w:r>
    </w:p>
    <w:p w14:paraId="727F30BD" w14:textId="77777777" w:rsidR="00D16779" w:rsidRPr="002237D2" w:rsidRDefault="00D16779" w:rsidP="00D16779">
      <w:pPr>
        <w:pStyle w:val="ListParagraph"/>
        <w:numPr>
          <w:ilvl w:val="0"/>
          <w:numId w:val="10"/>
        </w:numPr>
        <w:spacing w:after="160" w:line="259" w:lineRule="auto"/>
        <w:ind w:left="714" w:hanging="357"/>
        <w:rPr>
          <w:rFonts w:ascii="Arial" w:hAnsi="Arial" w:cs="Arial"/>
          <w:sz w:val="24"/>
          <w:szCs w:val="24"/>
        </w:rPr>
      </w:pPr>
      <w:r w:rsidRPr="002237D2">
        <w:rPr>
          <w:rFonts w:ascii="Arial" w:hAnsi="Arial" w:cs="Arial"/>
          <w:sz w:val="24"/>
          <w:szCs w:val="24"/>
        </w:rPr>
        <w:t>ACT Human Rights Commission;</w:t>
      </w:r>
    </w:p>
    <w:p w14:paraId="147DC377" w14:textId="77777777" w:rsidR="00D16779" w:rsidRPr="002237D2" w:rsidRDefault="00D16779" w:rsidP="00D16779">
      <w:pPr>
        <w:pStyle w:val="ListParagraph"/>
        <w:numPr>
          <w:ilvl w:val="0"/>
          <w:numId w:val="10"/>
        </w:numPr>
        <w:spacing w:after="160" w:line="259" w:lineRule="auto"/>
        <w:ind w:left="714" w:hanging="357"/>
        <w:rPr>
          <w:rFonts w:ascii="Arial" w:hAnsi="Arial" w:cs="Arial"/>
          <w:sz w:val="24"/>
          <w:szCs w:val="24"/>
        </w:rPr>
      </w:pPr>
      <w:r w:rsidRPr="002237D2">
        <w:rPr>
          <w:rFonts w:ascii="Arial" w:hAnsi="Arial" w:cs="Arial"/>
          <w:sz w:val="24"/>
          <w:szCs w:val="24"/>
        </w:rPr>
        <w:t>A Gender Agenda Inc;</w:t>
      </w:r>
    </w:p>
    <w:p w14:paraId="37C06900" w14:textId="77777777" w:rsidR="00D16779" w:rsidRPr="002237D2" w:rsidRDefault="00D16779" w:rsidP="00D16779">
      <w:pPr>
        <w:pStyle w:val="ListParagraph"/>
        <w:numPr>
          <w:ilvl w:val="0"/>
          <w:numId w:val="10"/>
        </w:numPr>
        <w:spacing w:after="160" w:line="259" w:lineRule="auto"/>
        <w:ind w:left="714" w:hanging="357"/>
        <w:rPr>
          <w:rFonts w:ascii="Arial" w:hAnsi="Arial" w:cs="Arial"/>
          <w:sz w:val="24"/>
          <w:szCs w:val="24"/>
        </w:rPr>
      </w:pPr>
      <w:r w:rsidRPr="002237D2">
        <w:rPr>
          <w:rFonts w:ascii="Arial" w:hAnsi="Arial" w:cs="Arial"/>
          <w:sz w:val="24"/>
          <w:szCs w:val="24"/>
        </w:rPr>
        <w:t>Community Services Directorate;</w:t>
      </w:r>
    </w:p>
    <w:p w14:paraId="6B88E463" w14:textId="77777777" w:rsidR="00D16779" w:rsidRPr="002237D2" w:rsidRDefault="00D16779" w:rsidP="00D16779">
      <w:pPr>
        <w:pStyle w:val="ListParagraph"/>
        <w:numPr>
          <w:ilvl w:val="0"/>
          <w:numId w:val="10"/>
        </w:numPr>
        <w:spacing w:after="160" w:line="259" w:lineRule="auto"/>
        <w:ind w:left="714" w:hanging="357"/>
        <w:rPr>
          <w:rFonts w:ascii="Arial" w:hAnsi="Arial" w:cs="Arial"/>
          <w:sz w:val="24"/>
          <w:szCs w:val="24"/>
        </w:rPr>
      </w:pPr>
      <w:r w:rsidRPr="002237D2">
        <w:rPr>
          <w:rFonts w:ascii="Arial" w:hAnsi="Arial" w:cs="Arial"/>
          <w:sz w:val="24"/>
          <w:szCs w:val="24"/>
        </w:rPr>
        <w:t>Legal Aid ACT – Youth Law Centre;</w:t>
      </w:r>
    </w:p>
    <w:p w14:paraId="7DAE9D6D" w14:textId="77777777" w:rsidR="00D16779" w:rsidRPr="002237D2" w:rsidRDefault="00D16779" w:rsidP="00D16779">
      <w:pPr>
        <w:pStyle w:val="ListParagraph"/>
        <w:numPr>
          <w:ilvl w:val="0"/>
          <w:numId w:val="10"/>
        </w:numPr>
        <w:spacing w:after="160" w:line="259" w:lineRule="auto"/>
        <w:ind w:left="714" w:hanging="357"/>
        <w:rPr>
          <w:rFonts w:ascii="Arial" w:hAnsi="Arial" w:cs="Arial"/>
          <w:sz w:val="24"/>
          <w:szCs w:val="24"/>
        </w:rPr>
      </w:pPr>
      <w:r w:rsidRPr="002237D2">
        <w:rPr>
          <w:rFonts w:ascii="Arial" w:hAnsi="Arial" w:cs="Arial"/>
          <w:sz w:val="24"/>
          <w:szCs w:val="24"/>
        </w:rPr>
        <w:t>Office of LGBTIQ+ Affairs, Chief Minister, Treasury and Economic Development Directorate; and</w:t>
      </w:r>
    </w:p>
    <w:p w14:paraId="2EDA5B5B" w14:textId="77777777" w:rsidR="00D16779" w:rsidRDefault="00D16779" w:rsidP="00D16779">
      <w:pPr>
        <w:pStyle w:val="ListParagraph"/>
        <w:numPr>
          <w:ilvl w:val="0"/>
          <w:numId w:val="12"/>
        </w:numPr>
        <w:spacing w:after="240"/>
        <w:ind w:left="714" w:hanging="357"/>
        <w:rPr>
          <w:rFonts w:ascii="Arial" w:hAnsi="Arial" w:cs="Arial"/>
          <w:iCs/>
          <w:sz w:val="24"/>
          <w:szCs w:val="24"/>
        </w:rPr>
      </w:pPr>
      <w:r>
        <w:rPr>
          <w:rFonts w:ascii="Arial" w:hAnsi="Arial" w:cs="Arial"/>
          <w:iCs/>
          <w:sz w:val="24"/>
          <w:szCs w:val="24"/>
        </w:rPr>
        <w:t>the Public Advocate.</w:t>
      </w:r>
    </w:p>
    <w:p w14:paraId="309777F2" w14:textId="64875D36" w:rsidR="00D16779" w:rsidRPr="00D16779" w:rsidRDefault="00D16779" w:rsidP="00D16779">
      <w:pPr>
        <w:spacing w:after="240"/>
        <w:ind w:right="565"/>
        <w:rPr>
          <w:rFonts w:ascii="Arial" w:hAnsi="Arial" w:cs="Arial"/>
          <w:b/>
          <w:bCs/>
          <w:sz w:val="28"/>
          <w:szCs w:val="28"/>
        </w:rPr>
      </w:pPr>
      <w:r>
        <w:rPr>
          <w:rFonts w:ascii="Arial" w:hAnsi="Arial" w:cs="Arial"/>
          <w:b/>
          <w:bCs/>
          <w:sz w:val="28"/>
          <w:szCs w:val="28"/>
        </w:rPr>
        <w:t>C</w:t>
      </w:r>
      <w:r w:rsidRPr="00D16779">
        <w:rPr>
          <w:rFonts w:ascii="Arial" w:hAnsi="Arial" w:cs="Arial"/>
          <w:b/>
          <w:bCs/>
          <w:sz w:val="28"/>
          <w:szCs w:val="28"/>
        </w:rPr>
        <w:t>onsistency with human rights</w:t>
      </w:r>
    </w:p>
    <w:p w14:paraId="42952DBB" w14:textId="77777777" w:rsidR="00D16779" w:rsidRPr="00115A8D" w:rsidRDefault="00D16779" w:rsidP="00D16779">
      <w:pPr>
        <w:spacing w:after="240"/>
        <w:rPr>
          <w:rFonts w:ascii="Arial" w:hAnsi="Arial" w:cs="Arial"/>
          <w:iCs/>
          <w:szCs w:val="24"/>
        </w:rPr>
      </w:pPr>
      <w:r w:rsidRPr="00115A8D">
        <w:rPr>
          <w:rFonts w:ascii="Arial" w:hAnsi="Arial" w:cs="Arial"/>
          <w:iCs/>
          <w:szCs w:val="24"/>
        </w:rPr>
        <w:t xml:space="preserve">During the development of the BDMR </w:t>
      </w:r>
      <w:r>
        <w:rPr>
          <w:rFonts w:ascii="Arial" w:hAnsi="Arial" w:cs="Arial"/>
          <w:iCs/>
          <w:szCs w:val="24"/>
        </w:rPr>
        <w:t>Amendment Regulation</w:t>
      </w:r>
      <w:r w:rsidRPr="00115A8D">
        <w:rPr>
          <w:rFonts w:ascii="Arial" w:hAnsi="Arial" w:cs="Arial"/>
          <w:iCs/>
          <w:szCs w:val="24"/>
        </w:rPr>
        <w:t xml:space="preserve">, due regard was given to its compatibility with the </w:t>
      </w:r>
      <w:r w:rsidRPr="00FF4897">
        <w:rPr>
          <w:rFonts w:ascii="Arial" w:hAnsi="Arial" w:cs="Arial"/>
          <w:i/>
          <w:szCs w:val="24"/>
        </w:rPr>
        <w:t>Human Rights Act 2004</w:t>
      </w:r>
      <w:r w:rsidRPr="00115A8D">
        <w:rPr>
          <w:rFonts w:ascii="Arial" w:hAnsi="Arial" w:cs="Arial"/>
          <w:iCs/>
          <w:szCs w:val="24"/>
        </w:rPr>
        <w:t xml:space="preserve"> (HR Act).</w:t>
      </w:r>
    </w:p>
    <w:p w14:paraId="70083E2A" w14:textId="479806C0" w:rsidR="00D16779" w:rsidRPr="00AD6D31" w:rsidRDefault="00D16779" w:rsidP="000E3234">
      <w:pPr>
        <w:keepNext/>
        <w:spacing w:after="240"/>
        <w:rPr>
          <w:rFonts w:ascii="Arial" w:hAnsi="Arial" w:cs="Arial"/>
          <w:b/>
          <w:bCs/>
          <w:iCs/>
          <w:szCs w:val="24"/>
        </w:rPr>
      </w:pPr>
      <w:r w:rsidRPr="00AD6D31">
        <w:rPr>
          <w:rFonts w:ascii="Arial" w:hAnsi="Arial" w:cs="Arial"/>
          <w:b/>
          <w:bCs/>
          <w:iCs/>
          <w:szCs w:val="24"/>
        </w:rPr>
        <w:lastRenderedPageBreak/>
        <w:t xml:space="preserve">Rights Engaged </w:t>
      </w:r>
    </w:p>
    <w:p w14:paraId="3DD4DF61" w14:textId="4273B280" w:rsidR="000120DA" w:rsidRDefault="000120DA" w:rsidP="00430806">
      <w:pPr>
        <w:spacing w:after="160" w:line="259" w:lineRule="auto"/>
        <w:rPr>
          <w:rFonts w:ascii="Arial" w:hAnsi="Arial" w:cs="Arial"/>
          <w:szCs w:val="24"/>
        </w:rPr>
      </w:pPr>
      <w:r>
        <w:rPr>
          <w:rFonts w:ascii="Arial" w:hAnsi="Arial" w:cs="Arial"/>
          <w:szCs w:val="24"/>
        </w:rPr>
        <w:t>T</w:t>
      </w:r>
      <w:r w:rsidR="00430806">
        <w:rPr>
          <w:rFonts w:ascii="Arial" w:hAnsi="Arial" w:cs="Arial"/>
          <w:szCs w:val="24"/>
        </w:rPr>
        <w:t>he BDMR Amendment Regulation</w:t>
      </w:r>
      <w:r>
        <w:rPr>
          <w:rFonts w:ascii="Arial" w:hAnsi="Arial" w:cs="Arial"/>
          <w:szCs w:val="24"/>
        </w:rPr>
        <w:t xml:space="preserve"> will ensure that young people who are in out of home care or other circumstances where parental responsibility has been re-allocated, will be able to access pathways for change of given name and registered sex with the consent of the people with long term parental responsibility</w:t>
      </w:r>
      <w:r w:rsidR="00064A28">
        <w:rPr>
          <w:rFonts w:ascii="Arial" w:hAnsi="Arial" w:cs="Arial"/>
          <w:szCs w:val="24"/>
        </w:rPr>
        <w:t xml:space="preserve"> in the same way as young people in the care of their birth parents</w:t>
      </w:r>
      <w:r>
        <w:rPr>
          <w:rFonts w:ascii="Arial" w:hAnsi="Arial" w:cs="Arial"/>
          <w:szCs w:val="24"/>
        </w:rPr>
        <w:t>.</w:t>
      </w:r>
    </w:p>
    <w:p w14:paraId="2B9CA28A" w14:textId="6C5F1613" w:rsidR="00885FB0" w:rsidRPr="003441DC" w:rsidRDefault="00430806" w:rsidP="008940B0">
      <w:pPr>
        <w:spacing w:after="160" w:line="259" w:lineRule="auto"/>
        <w:rPr>
          <w:rFonts w:ascii="Arial" w:hAnsi="Arial" w:cs="Arial"/>
          <w:szCs w:val="24"/>
        </w:rPr>
      </w:pPr>
      <w:r>
        <w:rPr>
          <w:rFonts w:ascii="Arial" w:hAnsi="Arial" w:cs="Arial"/>
          <w:szCs w:val="24"/>
        </w:rPr>
        <w:t xml:space="preserve">The inability for transgender, intersex and gender diverse </w:t>
      </w:r>
      <w:r w:rsidRPr="00A537C7">
        <w:rPr>
          <w:rFonts w:ascii="Arial" w:hAnsi="Arial" w:cs="Arial"/>
          <w:szCs w:val="24"/>
        </w:rPr>
        <w:t xml:space="preserve">young people </w:t>
      </w:r>
      <w:r>
        <w:rPr>
          <w:rFonts w:ascii="Arial" w:hAnsi="Arial" w:cs="Arial"/>
          <w:szCs w:val="24"/>
        </w:rPr>
        <w:t xml:space="preserve">to </w:t>
      </w:r>
      <w:r w:rsidRPr="00A537C7">
        <w:rPr>
          <w:rFonts w:ascii="Arial" w:hAnsi="Arial" w:cs="Arial"/>
          <w:szCs w:val="24"/>
        </w:rPr>
        <w:t>obtain identification documents that accurately reflect their gender identity</w:t>
      </w:r>
      <w:r>
        <w:rPr>
          <w:rFonts w:ascii="Arial" w:hAnsi="Arial" w:cs="Arial"/>
          <w:szCs w:val="24"/>
        </w:rPr>
        <w:t xml:space="preserve"> </w:t>
      </w:r>
      <w:r w:rsidRPr="00A537C7">
        <w:rPr>
          <w:rFonts w:ascii="Arial" w:hAnsi="Arial" w:cs="Arial"/>
          <w:szCs w:val="24"/>
        </w:rPr>
        <w:t>can</w:t>
      </w:r>
      <w:r>
        <w:rPr>
          <w:rFonts w:ascii="Arial" w:hAnsi="Arial" w:cs="Arial"/>
          <w:szCs w:val="24"/>
        </w:rPr>
        <w:t xml:space="preserve"> </w:t>
      </w:r>
      <w:r w:rsidRPr="00A537C7">
        <w:rPr>
          <w:rFonts w:ascii="Arial" w:hAnsi="Arial" w:cs="Arial"/>
          <w:szCs w:val="24"/>
        </w:rPr>
        <w:t>create a range of difficulties and</w:t>
      </w:r>
      <w:r>
        <w:rPr>
          <w:rFonts w:ascii="Arial" w:hAnsi="Arial" w:cs="Arial"/>
          <w:szCs w:val="24"/>
        </w:rPr>
        <w:t xml:space="preserve"> </w:t>
      </w:r>
      <w:r w:rsidRPr="00A537C7">
        <w:rPr>
          <w:rFonts w:ascii="Arial" w:hAnsi="Arial" w:cs="Arial"/>
          <w:szCs w:val="24"/>
        </w:rPr>
        <w:t xml:space="preserve">increases the chance of the </w:t>
      </w:r>
      <w:r>
        <w:rPr>
          <w:rFonts w:ascii="Arial" w:hAnsi="Arial" w:cs="Arial"/>
          <w:szCs w:val="24"/>
        </w:rPr>
        <w:t xml:space="preserve">transgender, intersex and gender diverse </w:t>
      </w:r>
      <w:r w:rsidRPr="00A537C7">
        <w:rPr>
          <w:rFonts w:ascii="Arial" w:hAnsi="Arial" w:cs="Arial"/>
          <w:szCs w:val="24"/>
        </w:rPr>
        <w:t>young people being subjected to discrimination, prejudice or bullying.</w:t>
      </w:r>
      <w:r w:rsidR="00885FB0">
        <w:rPr>
          <w:rFonts w:ascii="Arial" w:hAnsi="Arial" w:cs="Arial"/>
          <w:szCs w:val="24"/>
        </w:rPr>
        <w:t xml:space="preserve"> </w:t>
      </w:r>
      <w:r w:rsidR="00885FB0" w:rsidRPr="00C30674">
        <w:rPr>
          <w:rFonts w:ascii="Arial" w:hAnsi="Arial" w:cs="Arial"/>
          <w:szCs w:val="24"/>
        </w:rPr>
        <w:t>Accordingly,</w:t>
      </w:r>
      <w:r w:rsidR="00885FB0" w:rsidRPr="00885FB0">
        <w:rPr>
          <w:rFonts w:ascii="Arial" w:hAnsi="Arial" w:cs="Arial"/>
          <w:szCs w:val="24"/>
        </w:rPr>
        <w:t xml:space="preserve"> the </w:t>
      </w:r>
      <w:r w:rsidR="00885FB0" w:rsidRPr="00885FB0">
        <w:rPr>
          <w:rFonts w:ascii="Arial" w:hAnsi="Arial" w:cs="Arial"/>
          <w:iCs/>
          <w:szCs w:val="24"/>
        </w:rPr>
        <w:t>BDMR Amendment Regulation engages and promotes a number of human rights including:</w:t>
      </w:r>
    </w:p>
    <w:p w14:paraId="5EA4500F" w14:textId="397E7143" w:rsidR="00885FB0" w:rsidRPr="00885FB0" w:rsidRDefault="00885FB0" w:rsidP="00885FB0">
      <w:pPr>
        <w:pStyle w:val="ListParagraph"/>
        <w:numPr>
          <w:ilvl w:val="0"/>
          <w:numId w:val="17"/>
        </w:numPr>
        <w:spacing w:after="160" w:line="259" w:lineRule="auto"/>
        <w:rPr>
          <w:rFonts w:ascii="Arial" w:hAnsi="Arial" w:cs="Arial"/>
          <w:sz w:val="24"/>
          <w:szCs w:val="24"/>
        </w:rPr>
      </w:pPr>
      <w:r w:rsidRPr="00885FB0">
        <w:rPr>
          <w:rFonts w:ascii="Arial" w:hAnsi="Arial" w:cs="Arial"/>
          <w:sz w:val="24"/>
          <w:szCs w:val="24"/>
        </w:rPr>
        <w:t xml:space="preserve">right to equality and non-discrimination; </w:t>
      </w:r>
    </w:p>
    <w:p w14:paraId="2B0431C0" w14:textId="3BF2B691" w:rsidR="00885FB0" w:rsidRPr="003441DC" w:rsidRDefault="00885FB0" w:rsidP="00885FB0">
      <w:pPr>
        <w:pStyle w:val="ListParagraph"/>
        <w:numPr>
          <w:ilvl w:val="0"/>
          <w:numId w:val="17"/>
        </w:numPr>
        <w:spacing w:after="160" w:line="259" w:lineRule="auto"/>
        <w:rPr>
          <w:rFonts w:ascii="Arial" w:hAnsi="Arial" w:cs="Arial"/>
          <w:sz w:val="24"/>
          <w:szCs w:val="24"/>
        </w:rPr>
      </w:pPr>
      <w:r w:rsidRPr="003441DC">
        <w:rPr>
          <w:rFonts w:ascii="Arial" w:hAnsi="Arial" w:cs="Arial"/>
          <w:sz w:val="24"/>
          <w:szCs w:val="24"/>
        </w:rPr>
        <w:t xml:space="preserve">rights of children; </w:t>
      </w:r>
    </w:p>
    <w:p w14:paraId="15450DAD" w14:textId="10EC5B76" w:rsidR="00885FB0" w:rsidRPr="003441DC" w:rsidRDefault="00885FB0" w:rsidP="00885FB0">
      <w:pPr>
        <w:pStyle w:val="ListParagraph"/>
        <w:numPr>
          <w:ilvl w:val="0"/>
          <w:numId w:val="17"/>
        </w:numPr>
        <w:spacing w:after="160" w:line="259" w:lineRule="auto"/>
        <w:rPr>
          <w:rFonts w:ascii="Arial" w:hAnsi="Arial" w:cs="Arial"/>
          <w:sz w:val="24"/>
          <w:szCs w:val="24"/>
        </w:rPr>
      </w:pPr>
      <w:r w:rsidRPr="003441DC">
        <w:rPr>
          <w:rFonts w:ascii="Arial" w:hAnsi="Arial" w:cs="Arial"/>
          <w:sz w:val="24"/>
          <w:szCs w:val="24"/>
        </w:rPr>
        <w:t>right to privacy;</w:t>
      </w:r>
    </w:p>
    <w:p w14:paraId="152A6098" w14:textId="25F27E88" w:rsidR="00885FB0" w:rsidRPr="003441DC" w:rsidRDefault="00885FB0" w:rsidP="00885FB0">
      <w:pPr>
        <w:pStyle w:val="ListParagraph"/>
        <w:numPr>
          <w:ilvl w:val="0"/>
          <w:numId w:val="17"/>
        </w:numPr>
        <w:spacing w:after="160" w:line="259" w:lineRule="auto"/>
        <w:rPr>
          <w:rFonts w:ascii="Arial" w:hAnsi="Arial" w:cs="Arial"/>
          <w:sz w:val="24"/>
          <w:szCs w:val="24"/>
        </w:rPr>
      </w:pPr>
      <w:r w:rsidRPr="003441DC">
        <w:rPr>
          <w:rFonts w:ascii="Arial" w:hAnsi="Arial" w:cs="Arial"/>
          <w:sz w:val="24"/>
          <w:szCs w:val="24"/>
        </w:rPr>
        <w:t xml:space="preserve"> right to life; and</w:t>
      </w:r>
    </w:p>
    <w:p w14:paraId="5E995E0D" w14:textId="1A2EA4DC" w:rsidR="00D16779" w:rsidRPr="00037D74" w:rsidRDefault="00885FB0" w:rsidP="003441DC">
      <w:pPr>
        <w:pStyle w:val="ListParagraph"/>
        <w:numPr>
          <w:ilvl w:val="0"/>
          <w:numId w:val="17"/>
        </w:numPr>
        <w:spacing w:after="160" w:line="259" w:lineRule="auto"/>
        <w:rPr>
          <w:b/>
          <w:bCs/>
          <w:iCs/>
          <w:szCs w:val="24"/>
        </w:rPr>
      </w:pPr>
      <w:r w:rsidRPr="003441DC">
        <w:rPr>
          <w:rFonts w:ascii="Arial" w:hAnsi="Arial" w:cs="Arial"/>
          <w:szCs w:val="24"/>
        </w:rPr>
        <w:t>right to protection of family.</w:t>
      </w:r>
    </w:p>
    <w:p w14:paraId="73501AD3" w14:textId="4428C83E" w:rsidR="007D02C2" w:rsidRDefault="007D02C2" w:rsidP="007D02C2">
      <w:pPr>
        <w:spacing w:after="240"/>
        <w:rPr>
          <w:rFonts w:ascii="Arial" w:hAnsi="Arial" w:cs="Arial"/>
          <w:bCs/>
          <w:szCs w:val="24"/>
        </w:rPr>
      </w:pPr>
      <w:r>
        <w:rPr>
          <w:rFonts w:ascii="Arial" w:hAnsi="Arial" w:cs="Arial"/>
          <w:bCs/>
          <w:szCs w:val="24"/>
        </w:rPr>
        <w:t xml:space="preserve">The </w:t>
      </w:r>
      <w:r w:rsidR="00885FB0" w:rsidRPr="00885FB0">
        <w:rPr>
          <w:rFonts w:ascii="Arial" w:hAnsi="Arial" w:cs="Arial"/>
          <w:bCs/>
          <w:iCs/>
          <w:szCs w:val="24"/>
        </w:rPr>
        <w:t xml:space="preserve">BDMR Amendment Regulation </w:t>
      </w:r>
      <w:r w:rsidR="00885FB0">
        <w:rPr>
          <w:rFonts w:ascii="Arial" w:hAnsi="Arial" w:cs="Arial"/>
          <w:bCs/>
          <w:iCs/>
          <w:szCs w:val="24"/>
        </w:rPr>
        <w:t xml:space="preserve">does not </w:t>
      </w:r>
      <w:r w:rsidR="005E42C7">
        <w:rPr>
          <w:rFonts w:ascii="Arial" w:hAnsi="Arial" w:cs="Arial"/>
          <w:bCs/>
          <w:szCs w:val="24"/>
        </w:rPr>
        <w:t>limit</w:t>
      </w:r>
      <w:r w:rsidR="00885FB0">
        <w:rPr>
          <w:rFonts w:ascii="Arial" w:hAnsi="Arial" w:cs="Arial"/>
          <w:bCs/>
          <w:szCs w:val="24"/>
        </w:rPr>
        <w:t xml:space="preserve"> any </w:t>
      </w:r>
      <w:r>
        <w:rPr>
          <w:rFonts w:ascii="Arial" w:hAnsi="Arial" w:cs="Arial"/>
          <w:bCs/>
          <w:szCs w:val="24"/>
        </w:rPr>
        <w:t xml:space="preserve">rights under the HR Act. </w:t>
      </w:r>
    </w:p>
    <w:p w14:paraId="7B230068" w14:textId="6598B287" w:rsidR="004A7F0C" w:rsidRPr="00037D74" w:rsidRDefault="00037D74" w:rsidP="00037D74">
      <w:pPr>
        <w:spacing w:after="240"/>
        <w:ind w:right="565"/>
        <w:rPr>
          <w:rFonts w:ascii="Arial" w:hAnsi="Arial" w:cs="Arial"/>
          <w:b/>
          <w:bCs/>
          <w:sz w:val="28"/>
          <w:szCs w:val="28"/>
        </w:rPr>
      </w:pPr>
      <w:r>
        <w:rPr>
          <w:rFonts w:ascii="Arial" w:hAnsi="Arial" w:cs="Arial"/>
          <w:b/>
          <w:bCs/>
          <w:sz w:val="28"/>
          <w:szCs w:val="28"/>
        </w:rPr>
        <w:t>Clause notes</w:t>
      </w:r>
    </w:p>
    <w:p w14:paraId="042C3660" w14:textId="50CC0EB4" w:rsidR="00D16779" w:rsidRPr="00AF3476" w:rsidRDefault="00D16779" w:rsidP="004A7F0C">
      <w:pPr>
        <w:spacing w:after="240"/>
        <w:ind w:left="1440" w:hanging="1440"/>
        <w:rPr>
          <w:rFonts w:ascii="Arial" w:hAnsi="Arial" w:cs="Arial"/>
          <w:szCs w:val="24"/>
        </w:rPr>
      </w:pPr>
      <w:r w:rsidRPr="00AF3476">
        <w:rPr>
          <w:rFonts w:ascii="Arial" w:hAnsi="Arial" w:cs="Arial"/>
          <w:b/>
          <w:bCs/>
          <w:szCs w:val="24"/>
        </w:rPr>
        <w:t>Clause 1</w:t>
      </w:r>
      <w:r w:rsidRPr="00AF3476">
        <w:rPr>
          <w:rFonts w:ascii="Arial" w:hAnsi="Arial" w:cs="Arial"/>
          <w:b/>
          <w:bCs/>
          <w:szCs w:val="24"/>
        </w:rPr>
        <w:tab/>
      </w:r>
      <w:r>
        <w:rPr>
          <w:rFonts w:ascii="Arial" w:hAnsi="Arial" w:cs="Arial"/>
          <w:b/>
          <w:bCs/>
          <w:szCs w:val="24"/>
        </w:rPr>
        <w:t>Births, Deaths and Marriages</w:t>
      </w:r>
      <w:r w:rsidR="004A7F0C">
        <w:rPr>
          <w:rFonts w:ascii="Arial" w:hAnsi="Arial" w:cs="Arial"/>
          <w:b/>
          <w:bCs/>
          <w:szCs w:val="24"/>
        </w:rPr>
        <w:t xml:space="preserve"> Registration </w:t>
      </w:r>
      <w:r>
        <w:rPr>
          <w:rFonts w:ascii="Arial" w:hAnsi="Arial" w:cs="Arial"/>
          <w:b/>
          <w:bCs/>
          <w:szCs w:val="24"/>
        </w:rPr>
        <w:t>Amendment Regulation 2021</w:t>
      </w:r>
      <w:r w:rsidR="004A7F0C">
        <w:rPr>
          <w:rFonts w:ascii="Arial" w:hAnsi="Arial" w:cs="Arial"/>
          <w:b/>
          <w:bCs/>
          <w:szCs w:val="24"/>
        </w:rPr>
        <w:t xml:space="preserve"> (No 1)</w:t>
      </w:r>
    </w:p>
    <w:p w14:paraId="2F2EB088" w14:textId="4C76B9C0" w:rsidR="00D16779" w:rsidRPr="00AF3476" w:rsidRDefault="00D16779" w:rsidP="00037D74">
      <w:pPr>
        <w:spacing w:after="240"/>
        <w:rPr>
          <w:rFonts w:ascii="Arial" w:hAnsi="Arial" w:cs="Arial"/>
          <w:szCs w:val="24"/>
        </w:rPr>
      </w:pPr>
      <w:r w:rsidRPr="00AF3476">
        <w:rPr>
          <w:rFonts w:ascii="Arial" w:hAnsi="Arial" w:cs="Arial"/>
          <w:szCs w:val="24"/>
        </w:rPr>
        <w:t xml:space="preserve">This clause specifies the name of the BDMR </w:t>
      </w:r>
      <w:r>
        <w:rPr>
          <w:rFonts w:ascii="Arial" w:hAnsi="Arial" w:cs="Arial"/>
          <w:szCs w:val="24"/>
        </w:rPr>
        <w:t>Amendment Regulation</w:t>
      </w:r>
      <w:r w:rsidRPr="00AF3476">
        <w:rPr>
          <w:rFonts w:ascii="Arial" w:hAnsi="Arial" w:cs="Arial"/>
          <w:szCs w:val="24"/>
        </w:rPr>
        <w:t xml:space="preserve">. This clause provides that the BDMR </w:t>
      </w:r>
      <w:r>
        <w:rPr>
          <w:rFonts w:ascii="Arial" w:hAnsi="Arial" w:cs="Arial"/>
          <w:szCs w:val="24"/>
        </w:rPr>
        <w:t>Amendment Regulation</w:t>
      </w:r>
      <w:r w:rsidRPr="00AF3476">
        <w:rPr>
          <w:rFonts w:ascii="Arial" w:hAnsi="Arial" w:cs="Arial"/>
          <w:szCs w:val="24"/>
        </w:rPr>
        <w:t xml:space="preserve"> may be cited as the </w:t>
      </w:r>
      <w:r w:rsidRPr="00AF3476">
        <w:rPr>
          <w:rFonts w:ascii="Arial" w:hAnsi="Arial" w:cs="Arial"/>
          <w:i/>
          <w:iCs/>
          <w:szCs w:val="24"/>
        </w:rPr>
        <w:t>Births, Deaths and Marriages</w:t>
      </w:r>
      <w:r w:rsidR="000E3234">
        <w:rPr>
          <w:rFonts w:ascii="Arial" w:hAnsi="Arial" w:cs="Arial"/>
          <w:i/>
          <w:iCs/>
          <w:szCs w:val="24"/>
        </w:rPr>
        <w:t xml:space="preserve"> Registration</w:t>
      </w:r>
      <w:r w:rsidRPr="00AF3476">
        <w:rPr>
          <w:rFonts w:ascii="Arial" w:hAnsi="Arial" w:cs="Arial"/>
          <w:i/>
          <w:iCs/>
          <w:szCs w:val="24"/>
        </w:rPr>
        <w:t xml:space="preserve"> </w:t>
      </w:r>
      <w:r>
        <w:rPr>
          <w:rFonts w:ascii="Arial" w:hAnsi="Arial" w:cs="Arial"/>
          <w:i/>
          <w:iCs/>
          <w:szCs w:val="24"/>
        </w:rPr>
        <w:t>Amendment Regulation</w:t>
      </w:r>
      <w:r w:rsidRPr="00AF3476">
        <w:rPr>
          <w:rFonts w:ascii="Arial" w:hAnsi="Arial" w:cs="Arial"/>
          <w:i/>
          <w:iCs/>
          <w:szCs w:val="24"/>
        </w:rPr>
        <w:t xml:space="preserve"> 2021</w:t>
      </w:r>
      <w:r w:rsidR="000E3234">
        <w:rPr>
          <w:rFonts w:ascii="Arial" w:hAnsi="Arial" w:cs="Arial"/>
          <w:i/>
          <w:iCs/>
          <w:szCs w:val="24"/>
        </w:rPr>
        <w:t xml:space="preserve"> (No 1)</w:t>
      </w:r>
      <w:r w:rsidRPr="00AF3476">
        <w:rPr>
          <w:rFonts w:ascii="Arial" w:hAnsi="Arial" w:cs="Arial"/>
          <w:szCs w:val="24"/>
        </w:rPr>
        <w:t>.</w:t>
      </w:r>
    </w:p>
    <w:p w14:paraId="2D3718F7" w14:textId="77777777" w:rsidR="00D16779" w:rsidRPr="00AF3476" w:rsidRDefault="00D16779" w:rsidP="00037D74">
      <w:pPr>
        <w:spacing w:after="240"/>
        <w:rPr>
          <w:rFonts w:ascii="Arial" w:hAnsi="Arial" w:cs="Arial"/>
          <w:b/>
          <w:bCs/>
          <w:szCs w:val="24"/>
        </w:rPr>
      </w:pPr>
      <w:r w:rsidRPr="00AF3476">
        <w:rPr>
          <w:rFonts w:ascii="Arial" w:hAnsi="Arial" w:cs="Arial"/>
          <w:b/>
          <w:bCs/>
          <w:szCs w:val="24"/>
        </w:rPr>
        <w:t>Clause 2</w:t>
      </w:r>
      <w:r w:rsidRPr="00AF3476">
        <w:rPr>
          <w:rFonts w:ascii="Arial" w:hAnsi="Arial" w:cs="Arial"/>
          <w:szCs w:val="24"/>
        </w:rPr>
        <w:tab/>
      </w:r>
      <w:r w:rsidRPr="00AF3476">
        <w:rPr>
          <w:rFonts w:ascii="Arial" w:hAnsi="Arial" w:cs="Arial"/>
          <w:b/>
          <w:bCs/>
          <w:szCs w:val="24"/>
        </w:rPr>
        <w:t>Commencement</w:t>
      </w:r>
    </w:p>
    <w:p w14:paraId="35C5811D" w14:textId="77777777" w:rsidR="00D16779" w:rsidRPr="00AF3476" w:rsidRDefault="00D16779" w:rsidP="00037D74">
      <w:pPr>
        <w:spacing w:after="240"/>
        <w:rPr>
          <w:rFonts w:ascii="Arial" w:hAnsi="Arial" w:cs="Arial"/>
          <w:szCs w:val="24"/>
        </w:rPr>
      </w:pPr>
      <w:r w:rsidRPr="00AF3476">
        <w:rPr>
          <w:rFonts w:ascii="Arial" w:hAnsi="Arial" w:cs="Arial"/>
          <w:szCs w:val="24"/>
        </w:rPr>
        <w:t xml:space="preserve">This clause provides for the commencement of the BDMR </w:t>
      </w:r>
      <w:r>
        <w:rPr>
          <w:rFonts w:ascii="Arial" w:hAnsi="Arial" w:cs="Arial"/>
          <w:szCs w:val="24"/>
        </w:rPr>
        <w:t>Amendment Regulation</w:t>
      </w:r>
      <w:r w:rsidRPr="00AF3476">
        <w:rPr>
          <w:rFonts w:ascii="Arial" w:hAnsi="Arial" w:cs="Arial"/>
          <w:szCs w:val="24"/>
        </w:rPr>
        <w:t xml:space="preserve">. The BDMR </w:t>
      </w:r>
      <w:r>
        <w:rPr>
          <w:rFonts w:ascii="Arial" w:hAnsi="Arial" w:cs="Arial"/>
          <w:szCs w:val="24"/>
        </w:rPr>
        <w:t>Amendment Regulation</w:t>
      </w:r>
      <w:r w:rsidRPr="00AF3476">
        <w:rPr>
          <w:rFonts w:ascii="Arial" w:hAnsi="Arial" w:cs="Arial"/>
          <w:szCs w:val="24"/>
        </w:rPr>
        <w:t xml:space="preserve"> will commence on 20 August 2021.</w:t>
      </w:r>
    </w:p>
    <w:p w14:paraId="74F71704" w14:textId="77777777" w:rsidR="00D16779" w:rsidRPr="00AF3476" w:rsidRDefault="00D16779" w:rsidP="00037D74">
      <w:pPr>
        <w:spacing w:after="240"/>
        <w:rPr>
          <w:rFonts w:ascii="Arial" w:hAnsi="Arial" w:cs="Arial"/>
          <w:b/>
          <w:bCs/>
          <w:szCs w:val="24"/>
        </w:rPr>
      </w:pPr>
      <w:r w:rsidRPr="00AF3476">
        <w:rPr>
          <w:rFonts w:ascii="Arial" w:hAnsi="Arial" w:cs="Arial"/>
          <w:b/>
          <w:bCs/>
          <w:szCs w:val="24"/>
        </w:rPr>
        <w:t>Clause 3</w:t>
      </w:r>
      <w:r w:rsidRPr="00AF3476">
        <w:rPr>
          <w:rFonts w:ascii="Arial" w:hAnsi="Arial" w:cs="Arial"/>
          <w:b/>
          <w:bCs/>
          <w:szCs w:val="24"/>
        </w:rPr>
        <w:tab/>
        <w:t>Legislation amended</w:t>
      </w:r>
    </w:p>
    <w:p w14:paraId="463ADA5B" w14:textId="77777777" w:rsidR="00D16779" w:rsidRPr="00FF4897" w:rsidRDefault="00D16779" w:rsidP="00037D74">
      <w:pPr>
        <w:spacing w:after="240"/>
        <w:rPr>
          <w:rFonts w:ascii="Arial" w:hAnsi="Arial" w:cs="Arial"/>
          <w:szCs w:val="24"/>
        </w:rPr>
      </w:pPr>
      <w:r w:rsidRPr="00AF3476">
        <w:rPr>
          <w:rFonts w:ascii="Arial" w:hAnsi="Arial" w:cs="Arial"/>
          <w:szCs w:val="24"/>
        </w:rPr>
        <w:t xml:space="preserve">This clause </w:t>
      </w:r>
      <w:r>
        <w:rPr>
          <w:rFonts w:ascii="Arial" w:hAnsi="Arial" w:cs="Arial"/>
          <w:szCs w:val="24"/>
        </w:rPr>
        <w:t>identifies that the</w:t>
      </w:r>
      <w:r w:rsidRPr="00AF3476">
        <w:rPr>
          <w:rFonts w:ascii="Arial" w:hAnsi="Arial" w:cs="Arial"/>
          <w:szCs w:val="24"/>
        </w:rPr>
        <w:t xml:space="preserve"> BDMR </w:t>
      </w:r>
      <w:r>
        <w:rPr>
          <w:rFonts w:ascii="Arial" w:hAnsi="Arial" w:cs="Arial"/>
          <w:szCs w:val="24"/>
        </w:rPr>
        <w:t xml:space="preserve">Amendment Regulation </w:t>
      </w:r>
      <w:r w:rsidRPr="00AF3476">
        <w:rPr>
          <w:rFonts w:ascii="Arial" w:hAnsi="Arial" w:cs="Arial"/>
          <w:szCs w:val="24"/>
        </w:rPr>
        <w:t xml:space="preserve">amends the </w:t>
      </w:r>
      <w:r w:rsidRPr="00AF3476">
        <w:rPr>
          <w:rFonts w:ascii="Arial" w:hAnsi="Arial" w:cs="Arial"/>
          <w:i/>
          <w:iCs/>
          <w:szCs w:val="24"/>
        </w:rPr>
        <w:t xml:space="preserve">Births, </w:t>
      </w:r>
      <w:r w:rsidRPr="00FF4897">
        <w:rPr>
          <w:rFonts w:ascii="Arial" w:hAnsi="Arial" w:cs="Arial"/>
          <w:i/>
          <w:iCs/>
          <w:szCs w:val="24"/>
        </w:rPr>
        <w:t>Deaths and Marriages Registration Regulation 1998</w:t>
      </w:r>
      <w:r w:rsidRPr="00FF4897">
        <w:rPr>
          <w:rFonts w:ascii="Arial" w:hAnsi="Arial" w:cs="Arial"/>
          <w:szCs w:val="24"/>
        </w:rPr>
        <w:t>.</w:t>
      </w:r>
    </w:p>
    <w:p w14:paraId="5AD7B018" w14:textId="77777777" w:rsidR="00D16779" w:rsidRDefault="00D16779" w:rsidP="000E3234">
      <w:pPr>
        <w:keepNext/>
        <w:spacing w:after="240"/>
        <w:rPr>
          <w:rFonts w:ascii="Arial" w:hAnsi="Arial" w:cs="Arial"/>
          <w:szCs w:val="24"/>
        </w:rPr>
      </w:pPr>
      <w:r w:rsidRPr="00FF4897">
        <w:rPr>
          <w:rFonts w:ascii="Arial" w:hAnsi="Arial" w:cs="Arial"/>
          <w:b/>
          <w:bCs/>
          <w:szCs w:val="24"/>
        </w:rPr>
        <w:lastRenderedPageBreak/>
        <w:t>Clause 4</w:t>
      </w:r>
      <w:r w:rsidRPr="00FF4897">
        <w:rPr>
          <w:rFonts w:ascii="Arial" w:hAnsi="Arial" w:cs="Arial"/>
          <w:b/>
          <w:bCs/>
          <w:szCs w:val="24"/>
        </w:rPr>
        <w:tab/>
        <w:t>New</w:t>
      </w:r>
      <w:r>
        <w:rPr>
          <w:rFonts w:ascii="Arial" w:hAnsi="Arial" w:cs="Arial"/>
          <w:b/>
          <w:bCs/>
          <w:szCs w:val="24"/>
        </w:rPr>
        <w:t xml:space="preserve"> section 8</w:t>
      </w:r>
    </w:p>
    <w:p w14:paraId="16CAB994" w14:textId="1FB42567" w:rsidR="003055A1" w:rsidRDefault="00D16779" w:rsidP="003055A1">
      <w:pPr>
        <w:spacing w:after="240"/>
        <w:rPr>
          <w:rFonts w:ascii="Arial" w:hAnsi="Arial" w:cs="Arial"/>
          <w:szCs w:val="24"/>
        </w:rPr>
      </w:pPr>
      <w:r>
        <w:rPr>
          <w:rFonts w:ascii="Arial" w:hAnsi="Arial" w:cs="Arial"/>
          <w:szCs w:val="24"/>
        </w:rPr>
        <w:t>This clause prescribes the circumstances where a stated person with parental responsibility may consent to an application by a young person under sections 19A(b)(ii)(C), 24(1)(a)(ii)(C) and 29A(1)(a)(ii)(C) of the BDMR Act.</w:t>
      </w:r>
      <w:r w:rsidR="00452C6D">
        <w:rPr>
          <w:rFonts w:ascii="Arial" w:hAnsi="Arial" w:cs="Arial"/>
          <w:szCs w:val="24"/>
        </w:rPr>
        <w:t xml:space="preserve"> </w:t>
      </w:r>
    </w:p>
    <w:p w14:paraId="5471904F" w14:textId="339DB5B9" w:rsidR="003055A1" w:rsidRDefault="003055A1" w:rsidP="003055A1">
      <w:pPr>
        <w:spacing w:after="240"/>
        <w:rPr>
          <w:rFonts w:ascii="Arial" w:hAnsi="Arial" w:cs="Arial"/>
          <w:szCs w:val="24"/>
        </w:rPr>
      </w:pPr>
      <w:r>
        <w:rPr>
          <w:rFonts w:ascii="Arial" w:hAnsi="Arial" w:cs="Arial"/>
          <w:szCs w:val="24"/>
        </w:rPr>
        <w:t xml:space="preserve">It is intended that only persons </w:t>
      </w:r>
      <w:r w:rsidR="00EB106D">
        <w:rPr>
          <w:rFonts w:ascii="Arial" w:hAnsi="Arial" w:cs="Arial"/>
          <w:szCs w:val="24"/>
        </w:rPr>
        <w:t xml:space="preserve">who </w:t>
      </w:r>
      <w:r>
        <w:rPr>
          <w:rFonts w:ascii="Arial" w:hAnsi="Arial" w:cs="Arial"/>
          <w:szCs w:val="24"/>
        </w:rPr>
        <w:t xml:space="preserve">have, in relation to a young person, responsibility for their long-term welfare, long-term care </w:t>
      </w:r>
      <w:r w:rsidRPr="00AF3476">
        <w:rPr>
          <w:rFonts w:ascii="Arial" w:hAnsi="Arial" w:cs="Arial"/>
          <w:szCs w:val="24"/>
        </w:rPr>
        <w:t>responsibility</w:t>
      </w:r>
      <w:r>
        <w:rPr>
          <w:rFonts w:ascii="Arial" w:hAnsi="Arial" w:cs="Arial"/>
          <w:szCs w:val="24"/>
        </w:rPr>
        <w:t>,</w:t>
      </w:r>
      <w:r w:rsidRPr="00AF3476">
        <w:rPr>
          <w:rFonts w:ascii="Arial" w:hAnsi="Arial" w:cs="Arial"/>
          <w:szCs w:val="24"/>
        </w:rPr>
        <w:t xml:space="preserve"> </w:t>
      </w:r>
      <w:r>
        <w:rPr>
          <w:rFonts w:ascii="Arial" w:hAnsi="Arial" w:cs="Arial"/>
          <w:szCs w:val="24"/>
        </w:rPr>
        <w:t xml:space="preserve">or parental responsibility for major long-term issues under the </w:t>
      </w:r>
      <w:r>
        <w:rPr>
          <w:rFonts w:ascii="Arial" w:hAnsi="Arial" w:cs="Arial"/>
          <w:i/>
          <w:iCs/>
          <w:szCs w:val="24"/>
        </w:rPr>
        <w:t>Testamentary Guardianship Act 1984</w:t>
      </w:r>
      <w:r>
        <w:rPr>
          <w:rFonts w:ascii="Arial" w:hAnsi="Arial" w:cs="Arial"/>
          <w:szCs w:val="24"/>
        </w:rPr>
        <w:t xml:space="preserve">, </w:t>
      </w:r>
      <w:r>
        <w:rPr>
          <w:rFonts w:ascii="Arial" w:hAnsi="Arial" w:cs="Arial"/>
          <w:i/>
          <w:iCs/>
          <w:szCs w:val="24"/>
        </w:rPr>
        <w:t>Children and Young People Act 2008</w:t>
      </w:r>
      <w:r>
        <w:rPr>
          <w:rFonts w:ascii="Arial" w:hAnsi="Arial" w:cs="Arial"/>
          <w:szCs w:val="24"/>
        </w:rPr>
        <w:t xml:space="preserve"> and </w:t>
      </w:r>
      <w:r>
        <w:rPr>
          <w:rFonts w:ascii="Arial" w:hAnsi="Arial" w:cs="Arial"/>
          <w:i/>
          <w:iCs/>
          <w:szCs w:val="24"/>
        </w:rPr>
        <w:t>Family Law Act 1975</w:t>
      </w:r>
      <w:r>
        <w:rPr>
          <w:rFonts w:ascii="Arial" w:hAnsi="Arial" w:cs="Arial"/>
          <w:szCs w:val="24"/>
        </w:rPr>
        <w:t>, respectively, can consent to an application in the circumstances prescribed by section 8.</w:t>
      </w:r>
    </w:p>
    <w:p w14:paraId="6A2B1BDB" w14:textId="478506BE" w:rsidR="008928CE" w:rsidRDefault="00064A28" w:rsidP="00452C6D">
      <w:pPr>
        <w:spacing w:after="240"/>
        <w:rPr>
          <w:rFonts w:ascii="Arial" w:hAnsi="Arial" w:cs="Arial"/>
          <w:szCs w:val="24"/>
        </w:rPr>
      </w:pPr>
      <w:r>
        <w:rPr>
          <w:rFonts w:ascii="Arial" w:hAnsi="Arial" w:cs="Arial"/>
          <w:szCs w:val="24"/>
        </w:rPr>
        <w:t>T</w:t>
      </w:r>
      <w:r w:rsidR="008928CE">
        <w:rPr>
          <w:rFonts w:ascii="Arial" w:hAnsi="Arial" w:cs="Arial"/>
          <w:szCs w:val="24"/>
        </w:rPr>
        <w:t xml:space="preserve">able 8 </w:t>
      </w:r>
      <w:r>
        <w:rPr>
          <w:rFonts w:ascii="Arial" w:hAnsi="Arial" w:cs="Arial"/>
          <w:szCs w:val="24"/>
        </w:rPr>
        <w:t xml:space="preserve">in the Regulation </w:t>
      </w:r>
      <w:r w:rsidR="008928CE">
        <w:rPr>
          <w:rFonts w:ascii="Arial" w:hAnsi="Arial" w:cs="Arial"/>
          <w:szCs w:val="24"/>
        </w:rPr>
        <w:t>has 3 columns – item</w:t>
      </w:r>
      <w:r w:rsidR="003055A1">
        <w:rPr>
          <w:rFonts w:ascii="Arial" w:hAnsi="Arial" w:cs="Arial"/>
          <w:szCs w:val="24"/>
        </w:rPr>
        <w:t xml:space="preserve"> (column 1)</w:t>
      </w:r>
      <w:r w:rsidR="008928CE">
        <w:rPr>
          <w:rFonts w:ascii="Arial" w:hAnsi="Arial" w:cs="Arial"/>
          <w:szCs w:val="24"/>
        </w:rPr>
        <w:t>, prescribe</w:t>
      </w:r>
      <w:r w:rsidR="00E0513E">
        <w:rPr>
          <w:rFonts w:ascii="Arial" w:hAnsi="Arial" w:cs="Arial"/>
          <w:szCs w:val="24"/>
        </w:rPr>
        <w:t>s</w:t>
      </w:r>
      <w:r w:rsidR="008928CE">
        <w:rPr>
          <w:rFonts w:ascii="Arial" w:hAnsi="Arial" w:cs="Arial"/>
          <w:szCs w:val="24"/>
        </w:rPr>
        <w:t xml:space="preserve"> circumstance</w:t>
      </w:r>
      <w:r w:rsidR="003055A1">
        <w:rPr>
          <w:rFonts w:ascii="Arial" w:hAnsi="Arial" w:cs="Arial"/>
          <w:szCs w:val="24"/>
        </w:rPr>
        <w:t xml:space="preserve"> (column 2)</w:t>
      </w:r>
      <w:r w:rsidR="008928CE">
        <w:rPr>
          <w:rFonts w:ascii="Arial" w:hAnsi="Arial" w:cs="Arial"/>
          <w:szCs w:val="24"/>
        </w:rPr>
        <w:t xml:space="preserve"> and stated person with parental responsibility</w:t>
      </w:r>
      <w:r w:rsidR="003055A1">
        <w:rPr>
          <w:rFonts w:ascii="Arial" w:hAnsi="Arial" w:cs="Arial"/>
          <w:szCs w:val="24"/>
        </w:rPr>
        <w:t xml:space="preserve"> (column 3)</w:t>
      </w:r>
      <w:r w:rsidR="008928CE">
        <w:rPr>
          <w:rFonts w:ascii="Arial" w:hAnsi="Arial" w:cs="Arial"/>
          <w:szCs w:val="24"/>
        </w:rPr>
        <w:t xml:space="preserve">. </w:t>
      </w:r>
      <w:r w:rsidR="00C30674">
        <w:rPr>
          <w:rFonts w:ascii="Arial" w:hAnsi="Arial" w:cs="Arial"/>
          <w:szCs w:val="24"/>
        </w:rPr>
        <w:t>Section 8(2) of the Regulation provides that</w:t>
      </w:r>
      <w:r w:rsidR="007359AC">
        <w:rPr>
          <w:rFonts w:ascii="Arial" w:hAnsi="Arial" w:cs="Arial"/>
          <w:szCs w:val="24"/>
        </w:rPr>
        <w:t xml:space="preserve"> if</w:t>
      </w:r>
      <w:r w:rsidR="003055A1">
        <w:rPr>
          <w:rFonts w:ascii="Arial" w:hAnsi="Arial" w:cs="Arial"/>
          <w:szCs w:val="24"/>
        </w:rPr>
        <w:t xml:space="preserve"> </w:t>
      </w:r>
      <w:r w:rsidR="008928CE">
        <w:rPr>
          <w:rFonts w:ascii="Arial" w:hAnsi="Arial" w:cs="Arial"/>
          <w:szCs w:val="24"/>
        </w:rPr>
        <w:t>a circumstance mentioned in column 2 of an item</w:t>
      </w:r>
      <w:r w:rsidR="00C30674">
        <w:rPr>
          <w:rFonts w:ascii="Arial" w:hAnsi="Arial" w:cs="Arial"/>
          <w:szCs w:val="24"/>
        </w:rPr>
        <w:t xml:space="preserve"> in Table 8</w:t>
      </w:r>
      <w:r w:rsidR="008928CE">
        <w:rPr>
          <w:rFonts w:ascii="Arial" w:hAnsi="Arial" w:cs="Arial"/>
          <w:szCs w:val="24"/>
        </w:rPr>
        <w:t xml:space="preserve"> applies, then the person or people mentioned in column 3</w:t>
      </w:r>
      <w:r w:rsidR="008D5013">
        <w:rPr>
          <w:rFonts w:ascii="Arial" w:hAnsi="Arial" w:cs="Arial"/>
          <w:szCs w:val="24"/>
        </w:rPr>
        <w:t xml:space="preserve"> </w:t>
      </w:r>
      <w:r w:rsidR="008928CE">
        <w:rPr>
          <w:rFonts w:ascii="Arial" w:hAnsi="Arial" w:cs="Arial"/>
          <w:szCs w:val="24"/>
        </w:rPr>
        <w:t>of the item</w:t>
      </w:r>
      <w:r w:rsidR="008D5013">
        <w:rPr>
          <w:rFonts w:ascii="Arial" w:hAnsi="Arial" w:cs="Arial"/>
          <w:szCs w:val="24"/>
        </w:rPr>
        <w:t xml:space="preserve"> </w:t>
      </w:r>
      <w:r w:rsidR="00C30674">
        <w:rPr>
          <w:rFonts w:ascii="Arial" w:hAnsi="Arial" w:cs="Arial"/>
          <w:szCs w:val="24"/>
        </w:rPr>
        <w:t xml:space="preserve">must </w:t>
      </w:r>
      <w:r w:rsidR="008928CE">
        <w:rPr>
          <w:rFonts w:ascii="Arial" w:hAnsi="Arial" w:cs="Arial"/>
          <w:szCs w:val="24"/>
        </w:rPr>
        <w:t>consent to the application by a young person under sections 19A(b)(ii)(C), 24(1)(a)(ii)(C) and 29A(1)(a)(ii)(C) of the BDMR Act.</w:t>
      </w:r>
    </w:p>
    <w:p w14:paraId="1C764B65" w14:textId="40270FFA" w:rsidR="003573DB" w:rsidRDefault="00452C6D" w:rsidP="008928CE">
      <w:pPr>
        <w:spacing w:after="240"/>
        <w:rPr>
          <w:rFonts w:ascii="Arial" w:hAnsi="Arial" w:cs="Arial"/>
          <w:szCs w:val="24"/>
        </w:rPr>
      </w:pPr>
      <w:r>
        <w:rPr>
          <w:rFonts w:ascii="Arial" w:hAnsi="Arial" w:cs="Arial"/>
          <w:szCs w:val="24"/>
        </w:rPr>
        <w:t>In relation to</w:t>
      </w:r>
      <w:r w:rsidR="008928CE">
        <w:rPr>
          <w:rFonts w:ascii="Arial" w:hAnsi="Arial" w:cs="Arial"/>
          <w:szCs w:val="24"/>
        </w:rPr>
        <w:t xml:space="preserve"> column 3 for items 2, 4 and 6, a young person is not required to obtain the consent of every person stated to have parental responsibility </w:t>
      </w:r>
      <w:r>
        <w:rPr>
          <w:rFonts w:ascii="Arial" w:hAnsi="Arial" w:cs="Arial"/>
          <w:szCs w:val="24"/>
        </w:rPr>
        <w:t xml:space="preserve">for an application </w:t>
      </w:r>
      <w:r w:rsidR="008928CE">
        <w:rPr>
          <w:rFonts w:ascii="Arial" w:hAnsi="Arial" w:cs="Arial"/>
          <w:szCs w:val="24"/>
        </w:rPr>
        <w:t xml:space="preserve">where the consent from </w:t>
      </w:r>
      <w:r>
        <w:rPr>
          <w:rFonts w:ascii="Arial" w:hAnsi="Arial" w:cs="Arial"/>
          <w:szCs w:val="24"/>
        </w:rPr>
        <w:t>every</w:t>
      </w:r>
      <w:r w:rsidR="008928CE">
        <w:rPr>
          <w:rFonts w:ascii="Arial" w:hAnsi="Arial" w:cs="Arial"/>
          <w:szCs w:val="24"/>
        </w:rPr>
        <w:t xml:space="preserve"> person cannot be </w:t>
      </w:r>
      <w:r w:rsidR="009B4DB0">
        <w:rPr>
          <w:rFonts w:ascii="Arial" w:hAnsi="Arial" w:cs="Arial"/>
          <w:szCs w:val="24"/>
        </w:rPr>
        <w:t>practicably and reasonably be</w:t>
      </w:r>
      <w:r w:rsidR="008928CE">
        <w:rPr>
          <w:rFonts w:ascii="Arial" w:hAnsi="Arial" w:cs="Arial"/>
          <w:szCs w:val="24"/>
        </w:rPr>
        <w:t xml:space="preserve"> obtained</w:t>
      </w:r>
      <w:r>
        <w:rPr>
          <w:rFonts w:ascii="Arial" w:hAnsi="Arial" w:cs="Arial"/>
          <w:szCs w:val="24"/>
        </w:rPr>
        <w:t xml:space="preserve">. </w:t>
      </w:r>
      <w:r w:rsidR="00D536ED">
        <w:rPr>
          <w:rFonts w:ascii="Arial" w:hAnsi="Arial" w:cs="Arial"/>
          <w:szCs w:val="24"/>
        </w:rPr>
        <w:t xml:space="preserve">For example, </w:t>
      </w:r>
      <w:r>
        <w:rPr>
          <w:rFonts w:ascii="Arial" w:hAnsi="Arial" w:cs="Arial"/>
          <w:szCs w:val="24"/>
        </w:rPr>
        <w:t>where</w:t>
      </w:r>
      <w:r w:rsidR="008928CE">
        <w:rPr>
          <w:rFonts w:ascii="Arial" w:hAnsi="Arial" w:cs="Arial"/>
          <w:szCs w:val="24"/>
        </w:rPr>
        <w:t xml:space="preserve"> </w:t>
      </w:r>
      <w:r w:rsidR="00221C48">
        <w:rPr>
          <w:rFonts w:ascii="Arial" w:hAnsi="Arial" w:cs="Arial"/>
          <w:szCs w:val="24"/>
        </w:rPr>
        <w:t>a</w:t>
      </w:r>
      <w:r>
        <w:rPr>
          <w:rFonts w:ascii="Arial" w:hAnsi="Arial" w:cs="Arial"/>
          <w:szCs w:val="24"/>
        </w:rPr>
        <w:t xml:space="preserve"> person with the parental responsibility </w:t>
      </w:r>
      <w:r w:rsidR="008928CE">
        <w:rPr>
          <w:rFonts w:ascii="Arial" w:hAnsi="Arial" w:cs="Arial"/>
          <w:szCs w:val="24"/>
        </w:rPr>
        <w:t>is missing</w:t>
      </w:r>
      <w:r w:rsidR="00F80606">
        <w:rPr>
          <w:rFonts w:ascii="Arial" w:hAnsi="Arial" w:cs="Arial"/>
          <w:szCs w:val="24"/>
        </w:rPr>
        <w:t xml:space="preserve"> or</w:t>
      </w:r>
      <w:r w:rsidR="008928CE">
        <w:rPr>
          <w:rFonts w:ascii="Arial" w:hAnsi="Arial" w:cs="Arial"/>
          <w:szCs w:val="24"/>
        </w:rPr>
        <w:t xml:space="preserve"> deceased.</w:t>
      </w:r>
    </w:p>
    <w:p w14:paraId="16D23C75" w14:textId="491B026B" w:rsidR="00037D74" w:rsidRDefault="00D16779">
      <w:pPr>
        <w:rPr>
          <w:rFonts w:ascii="Arial" w:hAnsi="Arial" w:cs="Arial"/>
          <w:szCs w:val="24"/>
        </w:rPr>
      </w:pPr>
      <w:r>
        <w:rPr>
          <w:rFonts w:ascii="Arial" w:hAnsi="Arial" w:cs="Arial"/>
          <w:szCs w:val="24"/>
        </w:rPr>
        <w:t>Section 8(3) provides a list of definitions for the terms used in section 8(2).</w:t>
      </w:r>
    </w:p>
    <w:sectPr w:rsidR="00037D74"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0429" w14:textId="77777777" w:rsidR="00E33B91" w:rsidRDefault="00E33B91" w:rsidP="006815C9">
      <w:r>
        <w:separator/>
      </w:r>
    </w:p>
  </w:endnote>
  <w:endnote w:type="continuationSeparator" w:id="0">
    <w:p w14:paraId="439FD4C6" w14:textId="77777777" w:rsidR="00E33B91" w:rsidRDefault="00E33B9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00F4"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76A9" w14:textId="0F155FEE" w:rsidR="00091D34" w:rsidRPr="005B4B78" w:rsidRDefault="005B4B78" w:rsidP="005B4B78">
    <w:pPr>
      <w:pStyle w:val="Footer"/>
      <w:jc w:val="center"/>
      <w:rPr>
        <w:rFonts w:cs="Arial"/>
        <w:sz w:val="14"/>
      </w:rPr>
    </w:pPr>
    <w:r w:rsidRPr="005B4B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D492"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3BE5A" w14:textId="77777777" w:rsidR="00E33B91" w:rsidRDefault="00E33B91" w:rsidP="006815C9">
      <w:r>
        <w:separator/>
      </w:r>
    </w:p>
  </w:footnote>
  <w:footnote w:type="continuationSeparator" w:id="0">
    <w:p w14:paraId="68159F5D" w14:textId="77777777" w:rsidR="00E33B91" w:rsidRDefault="00E33B9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AB2D"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50A9"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382C"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B15F66"/>
    <w:multiLevelType w:val="hybridMultilevel"/>
    <w:tmpl w:val="1C7AC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AA64FE"/>
    <w:multiLevelType w:val="hybridMultilevel"/>
    <w:tmpl w:val="84042E9E"/>
    <w:lvl w:ilvl="0" w:tplc="A6DCE6D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3365AB"/>
    <w:multiLevelType w:val="hybridMultilevel"/>
    <w:tmpl w:val="E5C2FB7E"/>
    <w:lvl w:ilvl="0" w:tplc="69F0ADE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874C6"/>
    <w:multiLevelType w:val="hybridMultilevel"/>
    <w:tmpl w:val="2BEA2F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D3B3565"/>
    <w:multiLevelType w:val="hybridMultilevel"/>
    <w:tmpl w:val="74B84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C72C59"/>
    <w:multiLevelType w:val="hybridMultilevel"/>
    <w:tmpl w:val="1C7AC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64EA35AE"/>
    <w:multiLevelType w:val="hybridMultilevel"/>
    <w:tmpl w:val="D3EEE242"/>
    <w:lvl w:ilvl="0" w:tplc="B9B26464">
      <w:start w:val="1"/>
      <w:numFmt w:val="bullet"/>
      <w:lvlText w:val=""/>
      <w:lvlJc w:val="left"/>
      <w:pPr>
        <w:ind w:left="720" w:hanging="360"/>
      </w:pPr>
      <w:rPr>
        <w:rFonts w:ascii="Symbol" w:eastAsiaTheme="minorHAnsi" w:hAnsi="Symbol"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08F6246"/>
    <w:multiLevelType w:val="hybridMultilevel"/>
    <w:tmpl w:val="B77209AC"/>
    <w:lvl w:ilvl="0" w:tplc="4EA0E916">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0"/>
  </w:num>
  <w:num w:numId="5">
    <w:abstractNumId w:val="15"/>
  </w:num>
  <w:num w:numId="6">
    <w:abstractNumId w:val="1"/>
  </w:num>
  <w:num w:numId="7">
    <w:abstractNumId w:val="8"/>
  </w:num>
  <w:num w:numId="8">
    <w:abstractNumId w:val="9"/>
  </w:num>
  <w:num w:numId="9">
    <w:abstractNumId w:val="13"/>
  </w:num>
  <w:num w:numId="10">
    <w:abstractNumId w:val="14"/>
  </w:num>
  <w:num w:numId="11">
    <w:abstractNumId w:val="16"/>
  </w:num>
  <w:num w:numId="12">
    <w:abstractNumId w:val="6"/>
  </w:num>
  <w:num w:numId="13">
    <w:abstractNumId w:val="4"/>
  </w:num>
  <w:num w:numId="14">
    <w:abstractNumId w:val="12"/>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189A"/>
    <w:rsid w:val="000120DA"/>
    <w:rsid w:val="00037D74"/>
    <w:rsid w:val="00040E22"/>
    <w:rsid w:val="00045AD5"/>
    <w:rsid w:val="00064A28"/>
    <w:rsid w:val="00073AFD"/>
    <w:rsid w:val="00091D34"/>
    <w:rsid w:val="000D2FB2"/>
    <w:rsid w:val="000E3234"/>
    <w:rsid w:val="000F182F"/>
    <w:rsid w:val="000F67B8"/>
    <w:rsid w:val="001F2D97"/>
    <w:rsid w:val="00221C48"/>
    <w:rsid w:val="00232D60"/>
    <w:rsid w:val="002B0E09"/>
    <w:rsid w:val="002C22C8"/>
    <w:rsid w:val="002E6F34"/>
    <w:rsid w:val="00302E9E"/>
    <w:rsid w:val="003055A1"/>
    <w:rsid w:val="00311E32"/>
    <w:rsid w:val="00313A0E"/>
    <w:rsid w:val="003441DC"/>
    <w:rsid w:val="00347FFB"/>
    <w:rsid w:val="003573DB"/>
    <w:rsid w:val="003E4333"/>
    <w:rsid w:val="00430806"/>
    <w:rsid w:val="00452C6D"/>
    <w:rsid w:val="00483D85"/>
    <w:rsid w:val="004A7F0C"/>
    <w:rsid w:val="00505C97"/>
    <w:rsid w:val="00560200"/>
    <w:rsid w:val="00570D70"/>
    <w:rsid w:val="00594FFC"/>
    <w:rsid w:val="005B4B78"/>
    <w:rsid w:val="005E42C7"/>
    <w:rsid w:val="00603AFB"/>
    <w:rsid w:val="0063058C"/>
    <w:rsid w:val="00640B39"/>
    <w:rsid w:val="0065513C"/>
    <w:rsid w:val="00663310"/>
    <w:rsid w:val="006815C9"/>
    <w:rsid w:val="00684032"/>
    <w:rsid w:val="006A255C"/>
    <w:rsid w:val="006E7046"/>
    <w:rsid w:val="00720500"/>
    <w:rsid w:val="007359AC"/>
    <w:rsid w:val="0076061F"/>
    <w:rsid w:val="007A0002"/>
    <w:rsid w:val="007D02C2"/>
    <w:rsid w:val="007F34BB"/>
    <w:rsid w:val="008511EC"/>
    <w:rsid w:val="00885FB0"/>
    <w:rsid w:val="008928CE"/>
    <w:rsid w:val="008940B0"/>
    <w:rsid w:val="008B6924"/>
    <w:rsid w:val="008D5013"/>
    <w:rsid w:val="00920840"/>
    <w:rsid w:val="00921DBB"/>
    <w:rsid w:val="00936489"/>
    <w:rsid w:val="00941D91"/>
    <w:rsid w:val="00976C7F"/>
    <w:rsid w:val="00981710"/>
    <w:rsid w:val="00992F17"/>
    <w:rsid w:val="009B4DB0"/>
    <w:rsid w:val="00A47108"/>
    <w:rsid w:val="00A537C7"/>
    <w:rsid w:val="00A91533"/>
    <w:rsid w:val="00B0450A"/>
    <w:rsid w:val="00BF19CC"/>
    <w:rsid w:val="00C1618B"/>
    <w:rsid w:val="00C30674"/>
    <w:rsid w:val="00C72CE2"/>
    <w:rsid w:val="00CC642D"/>
    <w:rsid w:val="00D022A3"/>
    <w:rsid w:val="00D16779"/>
    <w:rsid w:val="00D536ED"/>
    <w:rsid w:val="00D721F8"/>
    <w:rsid w:val="00DB40C1"/>
    <w:rsid w:val="00DC1205"/>
    <w:rsid w:val="00E0513E"/>
    <w:rsid w:val="00E26B6E"/>
    <w:rsid w:val="00E33B91"/>
    <w:rsid w:val="00EB106D"/>
    <w:rsid w:val="00EC4D30"/>
    <w:rsid w:val="00F5371D"/>
    <w:rsid w:val="00F71AC7"/>
    <w:rsid w:val="00F80606"/>
    <w:rsid w:val="00FB06F0"/>
    <w:rsid w:val="00FD6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225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uiPriority w:val="99"/>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D16779"/>
    <w:pPr>
      <w:ind w:left="720"/>
    </w:pPr>
    <w:rPr>
      <w:rFonts w:ascii="Calibri" w:hAnsi="Calibri" w:cs="Calibri"/>
      <w:sz w:val="22"/>
      <w:szCs w:val="22"/>
      <w:lang w:eastAsia="en-AU"/>
    </w:rPr>
  </w:style>
  <w:style w:type="character" w:customStyle="1" w:styleId="FootnoteTextChar">
    <w:name w:val="Footnote Text Char"/>
    <w:basedOn w:val="DefaultParagraphFont"/>
    <w:link w:val="FootnoteText"/>
    <w:uiPriority w:val="99"/>
    <w:locked/>
    <w:rsid w:val="00D16779"/>
    <w:rPr>
      <w:sz w:val="24"/>
      <w:szCs w:val="24"/>
      <w:lang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1677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22988">
      <w:bodyDiv w:val="1"/>
      <w:marLeft w:val="0"/>
      <w:marRight w:val="0"/>
      <w:marTop w:val="0"/>
      <w:marBottom w:val="0"/>
      <w:divBdr>
        <w:top w:val="none" w:sz="0" w:space="0" w:color="auto"/>
        <w:left w:val="none" w:sz="0" w:space="0" w:color="auto"/>
        <w:bottom w:val="none" w:sz="0" w:space="0" w:color="auto"/>
        <w:right w:val="none" w:sz="0" w:space="0" w:color="auto"/>
      </w:divBdr>
    </w:div>
    <w:div w:id="1122454150">
      <w:bodyDiv w:val="1"/>
      <w:marLeft w:val="0"/>
      <w:marRight w:val="0"/>
      <w:marTop w:val="0"/>
      <w:marBottom w:val="0"/>
      <w:divBdr>
        <w:top w:val="none" w:sz="0" w:space="0" w:color="auto"/>
        <w:left w:val="none" w:sz="0" w:space="0" w:color="auto"/>
        <w:bottom w:val="none" w:sz="0" w:space="0" w:color="auto"/>
        <w:right w:val="none" w:sz="0" w:space="0" w:color="auto"/>
      </w:divBdr>
    </w:div>
    <w:div w:id="1722437543">
      <w:bodyDiv w:val="1"/>
      <w:marLeft w:val="0"/>
      <w:marRight w:val="0"/>
      <w:marTop w:val="0"/>
      <w:marBottom w:val="0"/>
      <w:divBdr>
        <w:top w:val="none" w:sz="0" w:space="0" w:color="auto"/>
        <w:left w:val="none" w:sz="0" w:space="0" w:color="auto"/>
        <w:bottom w:val="none" w:sz="0" w:space="0" w:color="auto"/>
        <w:right w:val="none" w:sz="0" w:space="0" w:color="auto"/>
      </w:divBdr>
      <w:divsChild>
        <w:div w:id="1160929309">
          <w:marLeft w:val="0"/>
          <w:marRight w:val="0"/>
          <w:marTop w:val="0"/>
          <w:marBottom w:val="0"/>
          <w:divBdr>
            <w:top w:val="none" w:sz="0" w:space="0" w:color="auto"/>
            <w:left w:val="none" w:sz="0" w:space="0" w:color="auto"/>
            <w:bottom w:val="none" w:sz="0" w:space="0" w:color="auto"/>
            <w:right w:val="none" w:sz="0" w:space="0" w:color="auto"/>
          </w:divBdr>
        </w:div>
        <w:div w:id="1256863756">
          <w:marLeft w:val="0"/>
          <w:marRight w:val="0"/>
          <w:marTop w:val="0"/>
          <w:marBottom w:val="0"/>
          <w:divBdr>
            <w:top w:val="none" w:sz="0" w:space="0" w:color="auto"/>
            <w:left w:val="none" w:sz="0" w:space="0" w:color="auto"/>
            <w:bottom w:val="none" w:sz="0" w:space="0" w:color="auto"/>
            <w:right w:val="none" w:sz="0" w:space="0" w:color="auto"/>
          </w:divBdr>
        </w:div>
        <w:div w:id="1020935568">
          <w:marLeft w:val="0"/>
          <w:marRight w:val="0"/>
          <w:marTop w:val="0"/>
          <w:marBottom w:val="0"/>
          <w:divBdr>
            <w:top w:val="none" w:sz="0" w:space="0" w:color="auto"/>
            <w:left w:val="none" w:sz="0" w:space="0" w:color="auto"/>
            <w:bottom w:val="none" w:sz="0" w:space="0" w:color="auto"/>
            <w:right w:val="none" w:sz="0" w:space="0" w:color="auto"/>
          </w:divBdr>
        </w:div>
        <w:div w:id="1766222378">
          <w:marLeft w:val="0"/>
          <w:marRight w:val="0"/>
          <w:marTop w:val="0"/>
          <w:marBottom w:val="0"/>
          <w:divBdr>
            <w:top w:val="none" w:sz="0" w:space="0" w:color="auto"/>
            <w:left w:val="none" w:sz="0" w:space="0" w:color="auto"/>
            <w:bottom w:val="none" w:sz="0" w:space="0" w:color="auto"/>
            <w:right w:val="none" w:sz="0" w:space="0" w:color="auto"/>
          </w:divBdr>
        </w:div>
        <w:div w:id="97257416">
          <w:marLeft w:val="0"/>
          <w:marRight w:val="0"/>
          <w:marTop w:val="0"/>
          <w:marBottom w:val="0"/>
          <w:divBdr>
            <w:top w:val="none" w:sz="0" w:space="0" w:color="auto"/>
            <w:left w:val="none" w:sz="0" w:space="0" w:color="auto"/>
            <w:bottom w:val="none" w:sz="0" w:space="0" w:color="auto"/>
            <w:right w:val="none" w:sz="0" w:space="0" w:color="auto"/>
          </w:divBdr>
        </w:div>
        <w:div w:id="123474547">
          <w:marLeft w:val="0"/>
          <w:marRight w:val="0"/>
          <w:marTop w:val="0"/>
          <w:marBottom w:val="0"/>
          <w:divBdr>
            <w:top w:val="none" w:sz="0" w:space="0" w:color="auto"/>
            <w:left w:val="none" w:sz="0" w:space="0" w:color="auto"/>
            <w:bottom w:val="none" w:sz="0" w:space="0" w:color="auto"/>
            <w:right w:val="none" w:sz="0" w:space="0" w:color="auto"/>
          </w:divBdr>
        </w:div>
        <w:div w:id="1504279786">
          <w:marLeft w:val="0"/>
          <w:marRight w:val="0"/>
          <w:marTop w:val="0"/>
          <w:marBottom w:val="0"/>
          <w:divBdr>
            <w:top w:val="none" w:sz="0" w:space="0" w:color="auto"/>
            <w:left w:val="none" w:sz="0" w:space="0" w:color="auto"/>
            <w:bottom w:val="none" w:sz="0" w:space="0" w:color="auto"/>
            <w:right w:val="none" w:sz="0" w:space="0" w:color="auto"/>
          </w:divBdr>
        </w:div>
        <w:div w:id="1248535892">
          <w:marLeft w:val="0"/>
          <w:marRight w:val="0"/>
          <w:marTop w:val="0"/>
          <w:marBottom w:val="0"/>
          <w:divBdr>
            <w:top w:val="none" w:sz="0" w:space="0" w:color="auto"/>
            <w:left w:val="none" w:sz="0" w:space="0" w:color="auto"/>
            <w:bottom w:val="none" w:sz="0" w:space="0" w:color="auto"/>
            <w:right w:val="none" w:sz="0" w:space="0" w:color="auto"/>
          </w:divBdr>
        </w:div>
        <w:div w:id="594173361">
          <w:marLeft w:val="0"/>
          <w:marRight w:val="0"/>
          <w:marTop w:val="0"/>
          <w:marBottom w:val="0"/>
          <w:divBdr>
            <w:top w:val="none" w:sz="0" w:space="0" w:color="auto"/>
            <w:left w:val="none" w:sz="0" w:space="0" w:color="auto"/>
            <w:bottom w:val="none" w:sz="0" w:space="0" w:color="auto"/>
            <w:right w:val="none" w:sz="0" w:space="0" w:color="auto"/>
          </w:divBdr>
        </w:div>
        <w:div w:id="2007052649">
          <w:marLeft w:val="0"/>
          <w:marRight w:val="0"/>
          <w:marTop w:val="0"/>
          <w:marBottom w:val="0"/>
          <w:divBdr>
            <w:top w:val="none" w:sz="0" w:space="0" w:color="auto"/>
            <w:left w:val="none" w:sz="0" w:space="0" w:color="auto"/>
            <w:bottom w:val="none" w:sz="0" w:space="0" w:color="auto"/>
            <w:right w:val="none" w:sz="0" w:space="0" w:color="auto"/>
          </w:divBdr>
        </w:div>
        <w:div w:id="723795657">
          <w:marLeft w:val="0"/>
          <w:marRight w:val="0"/>
          <w:marTop w:val="0"/>
          <w:marBottom w:val="0"/>
          <w:divBdr>
            <w:top w:val="none" w:sz="0" w:space="0" w:color="auto"/>
            <w:left w:val="none" w:sz="0" w:space="0" w:color="auto"/>
            <w:bottom w:val="none" w:sz="0" w:space="0" w:color="auto"/>
            <w:right w:val="none" w:sz="0" w:space="0" w:color="auto"/>
          </w:divBdr>
        </w:div>
        <w:div w:id="990593830">
          <w:marLeft w:val="0"/>
          <w:marRight w:val="0"/>
          <w:marTop w:val="0"/>
          <w:marBottom w:val="0"/>
          <w:divBdr>
            <w:top w:val="none" w:sz="0" w:space="0" w:color="auto"/>
            <w:left w:val="none" w:sz="0" w:space="0" w:color="auto"/>
            <w:bottom w:val="none" w:sz="0" w:space="0" w:color="auto"/>
            <w:right w:val="none" w:sz="0" w:space="0" w:color="auto"/>
          </w:divBdr>
        </w:div>
        <w:div w:id="83283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B6FC-B412-4F5D-8E5C-49B3D27E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6007</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2021-08-20T02:44:00Z</dcterms:created>
  <dcterms:modified xsi:type="dcterms:W3CDTF">2021-08-20T02:44:00Z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1376433</vt:lpwstr>
  </property>
  <property fmtid="{D5CDD505-2E9C-101B-9397-08002B2CF9AE}" pid="3" name="CHECKEDOUTFROMJMS">
    <vt:lpwstr/>
  </property>
  <property fmtid="{D5CDD505-2E9C-101B-9397-08002B2CF9AE}" pid="4" name="JMSREQUIREDCHECKIN">
    <vt:lpwstr/>
  </property>
</Properties>
</file>