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A11D" w14:textId="77777777" w:rsidR="007A2A8B" w:rsidRDefault="007A2A8B" w:rsidP="0072165A">
      <w:pPr>
        <w:pStyle w:val="Header"/>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27C7A230" w14:textId="77777777" w:rsidR="00884A32" w:rsidRDefault="00884A32" w:rsidP="00884A32">
      <w:pPr>
        <w:pStyle w:val="Billname"/>
        <w:spacing w:before="700"/>
      </w:pPr>
      <w:r>
        <w:t xml:space="preserve">Building </w:t>
      </w:r>
      <w:r w:rsidR="00C059F1">
        <w:t xml:space="preserve">(General) </w:t>
      </w:r>
      <w:r w:rsidR="00AA73A8">
        <w:t>(</w:t>
      </w:r>
      <w:r w:rsidR="00030847">
        <w:t>A</w:t>
      </w:r>
      <w:r w:rsidR="00AA73A8">
        <w:t xml:space="preserve">lternative requirements </w:t>
      </w:r>
      <w:r w:rsidR="00030847">
        <w:t>for unaltered parts</w:t>
      </w:r>
      <w:r w:rsidR="00AA73A8">
        <w:t xml:space="preserve">) Determination 2023 </w:t>
      </w:r>
      <w:r w:rsidR="00CF3E46">
        <w:t>(No1)</w:t>
      </w:r>
    </w:p>
    <w:p w14:paraId="30A5DE4F" w14:textId="77777777"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DD3C85">
        <w:rPr>
          <w:rFonts w:ascii="Arial" w:hAnsi="Arial" w:cs="Arial"/>
          <w:b/>
          <w:bCs/>
        </w:rPr>
        <w:t>23</w:t>
      </w:r>
      <w:r w:rsidR="000E39C3" w:rsidRPr="00FD1187">
        <w:rPr>
          <w:rFonts w:ascii="Arial" w:hAnsi="Arial" w:cs="Arial"/>
          <w:b/>
          <w:bCs/>
        </w:rPr>
        <w:t>—</w:t>
      </w:r>
      <w:r w:rsidR="00FD1187" w:rsidRPr="00FD1187">
        <w:rPr>
          <w:rFonts w:ascii="Arial" w:hAnsi="Arial" w:cs="Arial"/>
          <w:b/>
          <w:bCs/>
        </w:rPr>
        <w:t>69</w:t>
      </w:r>
    </w:p>
    <w:p w14:paraId="664E527D" w14:textId="77777777" w:rsidR="007A2A8B" w:rsidRDefault="007A2A8B" w:rsidP="0072165A">
      <w:pPr>
        <w:pStyle w:val="madeunder"/>
        <w:spacing w:before="300" w:after="0"/>
      </w:pPr>
      <w:r>
        <w:t>made under the</w:t>
      </w:r>
      <w:bookmarkStart w:id="0" w:name="_GoBack"/>
      <w:bookmarkEnd w:id="0"/>
    </w:p>
    <w:p w14:paraId="65BF84C9" w14:textId="77777777" w:rsidR="00AA73A8" w:rsidRDefault="00AA73A8" w:rsidP="0038751C">
      <w:pPr>
        <w:pStyle w:val="CoverActName"/>
        <w:spacing w:before="320" w:after="0"/>
        <w:jc w:val="left"/>
        <w:rPr>
          <w:sz w:val="20"/>
          <w:szCs w:val="20"/>
        </w:rPr>
      </w:pPr>
      <w:r w:rsidRPr="002B5662">
        <w:rPr>
          <w:sz w:val="20"/>
        </w:rPr>
        <w:t>Building (General) Regulation 2008,</w:t>
      </w:r>
      <w:r w:rsidRPr="005B204A">
        <w:rPr>
          <w:sz w:val="20"/>
        </w:rPr>
        <w:t xml:space="preserve"> s</w:t>
      </w:r>
      <w:r w:rsidR="005B204A" w:rsidRPr="00E3481F">
        <w:rPr>
          <w:sz w:val="20"/>
        </w:rPr>
        <w:t xml:space="preserve"> 24 </w:t>
      </w:r>
      <w:r w:rsidR="00C059F1">
        <w:rPr>
          <w:sz w:val="20"/>
        </w:rPr>
        <w:t>(Unaltered part</w:t>
      </w:r>
      <w:r w:rsidR="00904CAC">
        <w:rPr>
          <w:sz w:val="20"/>
        </w:rPr>
        <w:t>s</w:t>
      </w:r>
      <w:r w:rsidR="00C059F1">
        <w:rPr>
          <w:sz w:val="20"/>
        </w:rPr>
        <w:t xml:space="preserve"> need not comply with building code</w:t>
      </w:r>
      <w:r w:rsidR="00904CAC">
        <w:rPr>
          <w:sz w:val="20"/>
        </w:rPr>
        <w:t xml:space="preserve"> if alternative requirements met</w:t>
      </w:r>
      <w:r w:rsidR="00C059F1">
        <w:rPr>
          <w:sz w:val="20"/>
        </w:rPr>
        <w:t>—Act, s 29 (2) (b))</w:t>
      </w:r>
      <w:r w:rsidR="00C059F1" w:rsidRPr="00E3481F" w:rsidDel="00C059F1">
        <w:rPr>
          <w:sz w:val="20"/>
        </w:rPr>
        <w:t xml:space="preserve"> </w:t>
      </w:r>
    </w:p>
    <w:p w14:paraId="7F560B20" w14:textId="77777777" w:rsidR="007A2A8B" w:rsidRDefault="007A2A8B" w:rsidP="0038751C">
      <w:pPr>
        <w:pStyle w:val="CoverActName"/>
        <w:spacing w:before="360" w:after="0"/>
        <w:rPr>
          <w:b w:val="0"/>
          <w:bCs w:val="0"/>
          <w:sz w:val="28"/>
          <w:szCs w:val="28"/>
        </w:rPr>
      </w:pPr>
      <w:r>
        <w:rPr>
          <w:sz w:val="28"/>
          <w:szCs w:val="28"/>
        </w:rPr>
        <w:t>EXPLANATORY STATEMENT</w:t>
      </w:r>
    </w:p>
    <w:p w14:paraId="22F5D159"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4B6D0D96" w14:textId="77777777" w:rsidR="007A2A8B" w:rsidRPr="0072165A" w:rsidRDefault="007A2A8B">
      <w:pPr>
        <w:pStyle w:val="Header"/>
        <w:tabs>
          <w:tab w:val="clear" w:pos="4153"/>
          <w:tab w:val="clear" w:pos="8306"/>
        </w:tabs>
        <w:rPr>
          <w:bCs/>
        </w:rPr>
      </w:pPr>
    </w:p>
    <w:p w14:paraId="31AF0D8F" w14:textId="77777777" w:rsidR="00036F02" w:rsidRDefault="00C059F1" w:rsidP="00C62A15">
      <w:pPr>
        <w:keepNext/>
        <w:autoSpaceDE w:val="0"/>
        <w:autoSpaceDN w:val="0"/>
        <w:adjustRightInd w:val="0"/>
        <w:spacing w:after="160"/>
        <w:rPr>
          <w:b/>
          <w:lang w:eastAsia="en-AU"/>
        </w:rPr>
      </w:pPr>
      <w:r w:rsidRPr="004E2275">
        <w:rPr>
          <w:b/>
          <w:lang w:eastAsia="en-AU"/>
        </w:rPr>
        <w:t>Overview</w:t>
      </w:r>
    </w:p>
    <w:p w14:paraId="23A7E72A" w14:textId="77777777" w:rsidR="00036F02" w:rsidRPr="00036F02" w:rsidRDefault="00036F02" w:rsidP="00036F02">
      <w:pPr>
        <w:ind w:right="-356"/>
        <w:jc w:val="both"/>
      </w:pPr>
      <w:r w:rsidRPr="00036F02">
        <w:t xml:space="preserve">This instrument is made under section </w:t>
      </w:r>
      <w:r w:rsidR="005B204A">
        <w:t xml:space="preserve">24 (2) </w:t>
      </w:r>
      <w:r w:rsidR="00AA73A8">
        <w:t xml:space="preserve">of the </w:t>
      </w:r>
      <w:r w:rsidR="00AA73A8" w:rsidRPr="00E3481F">
        <w:rPr>
          <w:i/>
          <w:iCs/>
        </w:rPr>
        <w:t>Building (General) Regulation 2008</w:t>
      </w:r>
      <w:r w:rsidR="00C059F1">
        <w:t xml:space="preserve"> (the </w:t>
      </w:r>
      <w:r w:rsidR="00904CAC">
        <w:t>r</w:t>
      </w:r>
      <w:r w:rsidR="00C059F1">
        <w:t>egulation)</w:t>
      </w:r>
      <w:r w:rsidR="00AA73A8" w:rsidRPr="00E3481F">
        <w:rPr>
          <w:i/>
          <w:iCs/>
        </w:rPr>
        <w:t>.</w:t>
      </w:r>
    </w:p>
    <w:p w14:paraId="7B5C0348" w14:textId="77777777" w:rsidR="00036F02" w:rsidRDefault="00036F02" w:rsidP="00366411">
      <w:pPr>
        <w:ind w:right="-356"/>
        <w:jc w:val="both"/>
      </w:pPr>
    </w:p>
    <w:p w14:paraId="13F6D6DF" w14:textId="77777777" w:rsidR="002C776C" w:rsidRDefault="002C776C" w:rsidP="00E5344D">
      <w:r>
        <w:t>Th</w:t>
      </w:r>
      <w:r w:rsidR="00DA0899">
        <w:t>is</w:t>
      </w:r>
      <w:r>
        <w:t xml:space="preserve"> instrument </w:t>
      </w:r>
      <w:r w:rsidR="00DA0899">
        <w:t>contains</w:t>
      </w:r>
      <w:r>
        <w:t xml:space="preserve"> provisions relating to alternative requirements to the Building Code of Australia </w:t>
      </w:r>
      <w:r w:rsidR="00AA3C7B">
        <w:t xml:space="preserve">(BCA) </w:t>
      </w:r>
      <w:r>
        <w:t>that apply to unaltered parts of substantially altered class 1, 10a or 10b buildings.</w:t>
      </w:r>
      <w:r w:rsidR="00DA0899">
        <w:t xml:space="preserve"> </w:t>
      </w:r>
    </w:p>
    <w:p w14:paraId="7F9DEA45" w14:textId="77777777" w:rsidR="009675EA" w:rsidRDefault="009675EA" w:rsidP="009675EA"/>
    <w:p w14:paraId="68316149" w14:textId="77777777" w:rsidR="009675EA" w:rsidRDefault="009675EA" w:rsidP="009675EA">
      <w:pPr>
        <w:rPr>
          <w:i/>
          <w:iCs/>
        </w:rPr>
      </w:pPr>
      <w:r>
        <w:t>A substantial alteration is defined in the</w:t>
      </w:r>
      <w:r w:rsidR="00C059F1">
        <w:t xml:space="preserve"> </w:t>
      </w:r>
      <w:r w:rsidR="00904CAC">
        <w:t>r</w:t>
      </w:r>
      <w:r w:rsidR="00C059F1">
        <w:t>egulation</w:t>
      </w:r>
      <w:r w:rsidRPr="00D73115">
        <w:rPr>
          <w:i/>
          <w:iCs/>
        </w:rPr>
        <w:t>.</w:t>
      </w:r>
    </w:p>
    <w:p w14:paraId="496E100D" w14:textId="77777777" w:rsidR="002C776C" w:rsidRDefault="002C776C" w:rsidP="00E5344D"/>
    <w:p w14:paraId="1E6A9718" w14:textId="77777777" w:rsidR="00DA0899" w:rsidRDefault="00AA3C7B" w:rsidP="00E5344D">
      <w:r>
        <w:t xml:space="preserve">These provisions were previously located in the </w:t>
      </w:r>
      <w:r w:rsidR="00904CAC">
        <w:t>r</w:t>
      </w:r>
      <w:r w:rsidR="00C059F1" w:rsidRPr="00C62A15">
        <w:t>egulation</w:t>
      </w:r>
      <w:r>
        <w:rPr>
          <w:i/>
          <w:iCs/>
        </w:rPr>
        <w:t xml:space="preserve">. </w:t>
      </w:r>
      <w:r w:rsidR="002C776C">
        <w:t xml:space="preserve">In the </w:t>
      </w:r>
      <w:r w:rsidR="00DA0899">
        <w:t xml:space="preserve">latest </w:t>
      </w:r>
      <w:r>
        <w:t>re</w:t>
      </w:r>
      <w:r w:rsidR="00DA0899">
        <w:t xml:space="preserve">publication of the </w:t>
      </w:r>
      <w:r w:rsidR="00C62A15">
        <w:t>r</w:t>
      </w:r>
      <w:r w:rsidR="00C059F1" w:rsidRPr="00C62A15">
        <w:t>egulation</w:t>
      </w:r>
      <w:r>
        <w:rPr>
          <w:i/>
          <w:iCs/>
        </w:rPr>
        <w:t>,</w:t>
      </w:r>
      <w:r w:rsidR="00DA0899">
        <w:t xml:space="preserve"> dated 1</w:t>
      </w:r>
      <w:r>
        <w:t> </w:t>
      </w:r>
      <w:r w:rsidR="00DA0899">
        <w:t>April</w:t>
      </w:r>
      <w:r>
        <w:t> </w:t>
      </w:r>
      <w:r w:rsidR="00DA0899">
        <w:t>2021</w:t>
      </w:r>
      <w:r>
        <w:t>,</w:t>
      </w:r>
      <w:r w:rsidR="00DA0899">
        <w:t xml:space="preserve"> </w:t>
      </w:r>
      <w:r w:rsidR="002C776C">
        <w:t>the</w:t>
      </w:r>
      <w:r>
        <w:t xml:space="preserve">y were included at </w:t>
      </w:r>
      <w:r w:rsidR="002C776C">
        <w:t>sections</w:t>
      </w:r>
      <w:r w:rsidR="00E5344D">
        <w:t xml:space="preserve"> 24 to 29</w:t>
      </w:r>
      <w:r w:rsidR="00DA0899">
        <w:t xml:space="preserve"> inclusive</w:t>
      </w:r>
      <w:r w:rsidR="002C776C">
        <w:t>.</w:t>
      </w:r>
      <w:r w:rsidR="009675EA">
        <w:t xml:space="preserve"> These provisions addressed energy efficiency, fire safety, swimming pool safety, glazing, stairs and barriers and handrails.</w:t>
      </w:r>
    </w:p>
    <w:p w14:paraId="7A333B6C" w14:textId="77777777" w:rsidR="009675EA" w:rsidRDefault="009675EA" w:rsidP="00E5344D"/>
    <w:p w14:paraId="1A7B97EC" w14:textId="77777777" w:rsidR="009675EA" w:rsidRDefault="009675EA" w:rsidP="009675EA">
      <w:r w:rsidRPr="009675EA">
        <w:t xml:space="preserve">This </w:t>
      </w:r>
      <w:r>
        <w:t xml:space="preserve">instrument will </w:t>
      </w:r>
      <w:r w:rsidRPr="009675EA">
        <w:t xml:space="preserve">allow the sections specifying parts that need not comply with the </w:t>
      </w:r>
      <w:r w:rsidR="00C059F1">
        <w:t>BCA</w:t>
      </w:r>
      <w:r w:rsidRPr="009675EA">
        <w:t xml:space="preserve"> to be made into a disallowable instrument, rather than part of the regulation itself.</w:t>
      </w:r>
      <w:r>
        <w:t xml:space="preserve"> The provisions included in this instrument address energy efficiency, fire safety, swimming pool safety, glazing, stairs and barriers and handrails.</w:t>
      </w:r>
    </w:p>
    <w:p w14:paraId="127FEB9D" w14:textId="77777777" w:rsidR="009675EA" w:rsidRDefault="009675EA" w:rsidP="00E5344D"/>
    <w:p w14:paraId="507EA653" w14:textId="77777777" w:rsidR="009675EA" w:rsidRDefault="009675EA" w:rsidP="00E5344D">
      <w:r w:rsidRPr="009675EA">
        <w:t>Combining the exemptions into a single disallowable instrument and placing them alongside the ACT Appendices will increase their visibility and reduce complexity, thereby supporting improved compliance.</w:t>
      </w:r>
    </w:p>
    <w:p w14:paraId="25BF9226" w14:textId="77777777" w:rsidR="001B7920" w:rsidRDefault="001B7920" w:rsidP="00E5344D">
      <w:pPr>
        <w:rPr>
          <w:i/>
          <w:iCs/>
        </w:rPr>
      </w:pPr>
    </w:p>
    <w:p w14:paraId="41568708" w14:textId="77777777" w:rsidR="00C059F1" w:rsidRPr="00C62A15" w:rsidRDefault="00C62A15" w:rsidP="00E5344D">
      <w:pPr>
        <w:rPr>
          <w:b/>
          <w:bCs/>
        </w:rPr>
      </w:pPr>
      <w:r>
        <w:rPr>
          <w:b/>
          <w:bCs/>
        </w:rPr>
        <w:t>Adoption date of NCC 2022 provisions</w:t>
      </w:r>
    </w:p>
    <w:p w14:paraId="2F8725D5" w14:textId="77777777" w:rsidR="001B7920" w:rsidRPr="00E3481F" w:rsidRDefault="00C62A15" w:rsidP="00E3481F">
      <w:r>
        <w:t xml:space="preserve">The </w:t>
      </w:r>
      <w:r w:rsidR="001B7920" w:rsidRPr="00E3481F">
        <w:t>N</w:t>
      </w:r>
      <w:r w:rsidR="001B7920">
        <w:t xml:space="preserve">ational </w:t>
      </w:r>
      <w:r w:rsidR="001B7920" w:rsidRPr="00E3481F">
        <w:t>C</w:t>
      </w:r>
      <w:r w:rsidR="001B7920">
        <w:t xml:space="preserve">onstruction </w:t>
      </w:r>
      <w:r w:rsidR="001B7920" w:rsidRPr="00E3481F">
        <w:t>C</w:t>
      </w:r>
      <w:r w:rsidR="001B7920">
        <w:t>ode</w:t>
      </w:r>
      <w:r w:rsidR="001B7920" w:rsidRPr="00E3481F">
        <w:t xml:space="preserve"> </w:t>
      </w:r>
      <w:r w:rsidR="00C059F1">
        <w:t xml:space="preserve">(NCC) </w:t>
      </w:r>
      <w:r w:rsidR="001B7920" w:rsidRPr="00E3481F">
        <w:t xml:space="preserve">2022 has transition arrangements that were agreed by </w:t>
      </w:r>
      <w:r w:rsidR="009675EA">
        <w:t>B</w:t>
      </w:r>
      <w:r w:rsidR="001B7920" w:rsidRPr="00E3481F">
        <w:t xml:space="preserve">uilding </w:t>
      </w:r>
      <w:r w:rsidR="009675EA">
        <w:t>M</w:t>
      </w:r>
      <w:r w:rsidR="001B7920" w:rsidRPr="00E3481F">
        <w:t xml:space="preserve">inisters in August 2022. The main provisions of the </w:t>
      </w:r>
      <w:r w:rsidR="009675EA">
        <w:t>BCA</w:t>
      </w:r>
      <w:r w:rsidR="001B7920" w:rsidRPr="00E3481F">
        <w:t xml:space="preserve"> come </w:t>
      </w:r>
      <w:r w:rsidR="009675EA" w:rsidRPr="009675EA">
        <w:t>into</w:t>
      </w:r>
      <w:r w:rsidR="001B7920" w:rsidRPr="00E3481F">
        <w:t xml:space="preserve"> effect on 1</w:t>
      </w:r>
      <w:r w:rsidR="009675EA">
        <w:t> </w:t>
      </w:r>
      <w:r w:rsidR="001B7920" w:rsidRPr="00E3481F">
        <w:t>May</w:t>
      </w:r>
      <w:r w:rsidR="009675EA">
        <w:t> </w:t>
      </w:r>
      <w:r w:rsidR="001B7920" w:rsidRPr="00E3481F">
        <w:t xml:space="preserve">2023. </w:t>
      </w:r>
      <w:r w:rsidR="009675EA">
        <w:t>Additional provisions addressing</w:t>
      </w:r>
      <w:r w:rsidR="001B7920" w:rsidRPr="00E3481F">
        <w:t xml:space="preserve"> energy efficiency, </w:t>
      </w:r>
      <w:r w:rsidR="001B7920" w:rsidRPr="00E3481F">
        <w:lastRenderedPageBreak/>
        <w:t xml:space="preserve">condensation management and </w:t>
      </w:r>
      <w:r w:rsidRPr="00E3481F">
        <w:t>liveabl</w:t>
      </w:r>
      <w:r>
        <w:t>e</w:t>
      </w:r>
      <w:r w:rsidR="00920252">
        <w:t xml:space="preserve"> housing </w:t>
      </w:r>
      <w:r w:rsidR="001B7920" w:rsidRPr="00E3481F">
        <w:t xml:space="preserve">commence </w:t>
      </w:r>
      <w:r w:rsidR="009675EA">
        <w:t>on</w:t>
      </w:r>
      <w:r w:rsidR="001B7920" w:rsidRPr="00E3481F">
        <w:t xml:space="preserve"> 1</w:t>
      </w:r>
      <w:r w:rsidR="009675EA">
        <w:t> </w:t>
      </w:r>
      <w:r w:rsidR="001B7920" w:rsidRPr="00E3481F">
        <w:t>October</w:t>
      </w:r>
      <w:r w:rsidR="009675EA">
        <w:t> </w:t>
      </w:r>
      <w:r w:rsidR="001B7920" w:rsidRPr="00E3481F">
        <w:t xml:space="preserve">2023. </w:t>
      </w:r>
      <w:r w:rsidR="00920252">
        <w:t xml:space="preserve">Until </w:t>
      </w:r>
      <w:r w:rsidR="00920252" w:rsidRPr="00E423C0">
        <w:t>1</w:t>
      </w:r>
      <w:r w:rsidR="00920252">
        <w:t> </w:t>
      </w:r>
      <w:r w:rsidR="00920252" w:rsidRPr="00E423C0">
        <w:t>October</w:t>
      </w:r>
      <w:r w:rsidR="00920252">
        <w:t> </w:t>
      </w:r>
      <w:r w:rsidR="00920252" w:rsidRPr="00E423C0">
        <w:t>2023</w:t>
      </w:r>
      <w:r w:rsidR="00920252">
        <w:t xml:space="preserve"> </w:t>
      </w:r>
      <w:r w:rsidR="001B7920" w:rsidRPr="00E3481F">
        <w:t xml:space="preserve">the energy efficiency and condensation provisions in NCC 2019 </w:t>
      </w:r>
      <w:r w:rsidR="00920252">
        <w:t>continue to apply</w:t>
      </w:r>
      <w:r w:rsidR="001B7920" w:rsidRPr="00E3481F">
        <w:t>.</w:t>
      </w:r>
      <w:r w:rsidR="00920252">
        <w:t xml:space="preserve"> There are no </w:t>
      </w:r>
      <w:r w:rsidRPr="00E423C0">
        <w:t>liveabl</w:t>
      </w:r>
      <w:r>
        <w:t>e</w:t>
      </w:r>
      <w:r w:rsidR="00920252">
        <w:t xml:space="preserve"> housing provisions in NCC 2019.</w:t>
      </w:r>
    </w:p>
    <w:p w14:paraId="6EC333BE" w14:textId="77777777" w:rsidR="001B7920" w:rsidRDefault="001B7920" w:rsidP="00E5344D"/>
    <w:p w14:paraId="51A4F848" w14:textId="77777777" w:rsidR="00C31175" w:rsidRDefault="00C31175" w:rsidP="00C31175">
      <w:pPr>
        <w:autoSpaceDE w:val="0"/>
        <w:autoSpaceDN w:val="0"/>
        <w:adjustRightInd w:val="0"/>
        <w:ind w:right="-356"/>
        <w:jc w:val="both"/>
      </w:pPr>
      <w:r w:rsidRPr="00192F90">
        <w:t xml:space="preserve">Section </w:t>
      </w:r>
      <w:r>
        <w:t xml:space="preserve">5 of the instrument displaces the requirement in the </w:t>
      </w:r>
      <w:r>
        <w:rPr>
          <w:i/>
        </w:rPr>
        <w:t>Legislation Act 2001</w:t>
      </w:r>
      <w:r>
        <w:rPr>
          <w:iCs/>
        </w:rPr>
        <w:t xml:space="preserve"> (the Legislation Act)</w:t>
      </w:r>
      <w:r>
        <w:t xml:space="preserve">, section 47 (5). Section 47 (5) provides that </w:t>
      </w:r>
      <w:r w:rsidRPr="00166C2B">
        <w:t xml:space="preserve">the text </w:t>
      </w:r>
      <w:r>
        <w:t>of an instrument applied as in force at a particular time</w:t>
      </w:r>
      <w:r w:rsidRPr="00166C2B">
        <w:t xml:space="preserve"> is taken to be a notifiable instrument made under the relevant instrument</w:t>
      </w:r>
      <w:r>
        <w:t>, and therefore must be published on the Legislation Register. Copyright to the BCA is collectively owned by the Commonwealth Government and the states and territories.</w:t>
      </w:r>
    </w:p>
    <w:p w14:paraId="40D5D087" w14:textId="77777777" w:rsidR="00C31175" w:rsidRDefault="00C31175" w:rsidP="00C31175">
      <w:pPr>
        <w:autoSpaceDE w:val="0"/>
        <w:autoSpaceDN w:val="0"/>
        <w:adjustRightInd w:val="0"/>
        <w:ind w:right="-356"/>
        <w:jc w:val="both"/>
      </w:pPr>
    </w:p>
    <w:p w14:paraId="65AD93DF" w14:textId="77777777" w:rsidR="00C31175" w:rsidRDefault="00C31175" w:rsidP="00C31175">
      <w:pPr>
        <w:autoSpaceDE w:val="0"/>
        <w:autoSpaceDN w:val="0"/>
        <w:adjustRightInd w:val="0"/>
        <w:ind w:right="-356"/>
        <w:jc w:val="both"/>
      </w:pPr>
      <w:r>
        <w:t>The arrangement between jurisdictions is that the BCA will be published on behalf of the jurisdictions in a single place by the Australian Building Codes Board (ABCB). It would not be appropriate to publicly notify the code on an ACT Government website. Section 5 of the instrument provides for alternative access to the BCA as it is not being notified on the Legislation Register.</w:t>
      </w:r>
    </w:p>
    <w:p w14:paraId="4F0EC121" w14:textId="77777777" w:rsidR="00C31175" w:rsidRPr="00C62A15" w:rsidRDefault="00C31175" w:rsidP="00E5344D"/>
    <w:p w14:paraId="0413F725" w14:textId="77777777" w:rsidR="001B7920" w:rsidRDefault="001B7920" w:rsidP="001B7920">
      <w:pPr>
        <w:keepNext/>
        <w:autoSpaceDE w:val="0"/>
        <w:autoSpaceDN w:val="0"/>
        <w:adjustRightInd w:val="0"/>
        <w:spacing w:after="160"/>
        <w:rPr>
          <w:b/>
          <w:lang w:eastAsia="en-AU"/>
        </w:rPr>
      </w:pPr>
      <w:r>
        <w:rPr>
          <w:b/>
          <w:lang w:eastAsia="en-AU"/>
        </w:rPr>
        <w:t>Regulatory Impact Statement (RIS)</w:t>
      </w:r>
    </w:p>
    <w:p w14:paraId="0CFCE5FD" w14:textId="77777777" w:rsidR="001B7920" w:rsidRDefault="001B7920" w:rsidP="001B7920">
      <w:pPr>
        <w:autoSpaceDE w:val="0"/>
        <w:autoSpaceDN w:val="0"/>
        <w:adjustRightInd w:val="0"/>
        <w:spacing w:after="240"/>
        <w:ind w:right="-334"/>
        <w:jc w:val="both"/>
        <w:rPr>
          <w:lang w:eastAsia="en-AU"/>
        </w:rPr>
      </w:pPr>
      <w:r>
        <w:rPr>
          <w:lang w:eastAsia="en-AU"/>
        </w:rPr>
        <w:t xml:space="preserve">Section 34 of the </w:t>
      </w:r>
      <w:r w:rsidRPr="00C62A15">
        <w:rPr>
          <w:iCs/>
          <w:lang w:eastAsia="en-AU"/>
        </w:rPr>
        <w:t xml:space="preserve">Legislation </w:t>
      </w:r>
      <w:r w:rsidR="00C62A15" w:rsidRPr="00C62A15">
        <w:rPr>
          <w:iCs/>
          <w:lang w:eastAsia="en-AU"/>
        </w:rPr>
        <w:t xml:space="preserve">Act </w:t>
      </w:r>
      <w:r w:rsidR="00C62A15">
        <w:rPr>
          <w:lang w:eastAsia="en-AU"/>
        </w:rPr>
        <w:t>provides</w:t>
      </w:r>
      <w:r>
        <w:rPr>
          <w:lang w:eastAsia="en-AU"/>
        </w:rPr>
        <w:t xml:space="preserve"> that if a proposed subordinate law or disallowable instrument (the proposed law) is likely to impose appreciable costs on the community, or a part of the community, then, before the proposed law is made, the Minister administering the authorising law must arrange for a regulatory impact statement to be prepared for the proposed law.</w:t>
      </w:r>
    </w:p>
    <w:p w14:paraId="5D0FE071" w14:textId="77777777" w:rsidR="001B7920" w:rsidRDefault="001B7920" w:rsidP="001B7920">
      <w:pPr>
        <w:autoSpaceDE w:val="0"/>
        <w:autoSpaceDN w:val="0"/>
        <w:adjustRightInd w:val="0"/>
        <w:spacing w:after="240"/>
        <w:ind w:right="-334"/>
        <w:jc w:val="both"/>
        <w:rPr>
          <w:lang w:eastAsia="en-AU"/>
        </w:rPr>
      </w:pPr>
      <w:r>
        <w:rPr>
          <w:lang w:eastAsia="en-AU"/>
        </w:rPr>
        <w:t>A RIS is not required for this instrument as the amended adoption date and transitional provisions are not expected to impose appreciable costs on the community or part of the community</w:t>
      </w:r>
      <w:r w:rsidR="00E3481F">
        <w:rPr>
          <w:lang w:eastAsia="en-AU"/>
        </w:rPr>
        <w:t>.</w:t>
      </w:r>
    </w:p>
    <w:p w14:paraId="45223E78" w14:textId="77777777" w:rsidR="001B7920" w:rsidRDefault="001B7920" w:rsidP="001B7920">
      <w:pPr>
        <w:autoSpaceDE w:val="0"/>
        <w:autoSpaceDN w:val="0"/>
        <w:adjustRightInd w:val="0"/>
        <w:spacing w:after="240"/>
        <w:ind w:right="-334"/>
        <w:jc w:val="both"/>
        <w:rPr>
          <w:lang w:eastAsia="en-AU"/>
        </w:rPr>
      </w:pPr>
      <w:r>
        <w:rPr>
          <w:lang w:eastAsia="en-AU"/>
        </w:rPr>
        <w:t xml:space="preserve">This instrument is not the primary mechanism for adopting the 2022 BCA, which is adopted by force of the </w:t>
      </w:r>
      <w:r w:rsidR="00C31175" w:rsidRPr="00C62A15">
        <w:rPr>
          <w:i/>
          <w:iCs/>
          <w:lang w:eastAsia="en-AU"/>
        </w:rPr>
        <w:t xml:space="preserve">Building </w:t>
      </w:r>
      <w:r w:rsidRPr="00C62A15">
        <w:rPr>
          <w:i/>
          <w:iCs/>
          <w:lang w:eastAsia="en-AU"/>
        </w:rPr>
        <w:t>Act</w:t>
      </w:r>
      <w:r w:rsidR="00C31175" w:rsidRPr="00C62A15">
        <w:rPr>
          <w:i/>
          <w:iCs/>
          <w:lang w:eastAsia="en-AU"/>
        </w:rPr>
        <w:t xml:space="preserve"> 2004</w:t>
      </w:r>
      <w:r>
        <w:rPr>
          <w:lang w:eastAsia="en-AU"/>
        </w:rPr>
        <w:t xml:space="preserve">. In relation to the new standards in the BCA, s 36 (1) (h) of the Legislation Act provides that a </w:t>
      </w:r>
      <w:r w:rsidR="00904CAC">
        <w:rPr>
          <w:lang w:eastAsia="en-AU"/>
        </w:rPr>
        <w:t>RIS</w:t>
      </w:r>
      <w:r>
        <w:rPr>
          <w:lang w:eastAsia="en-AU"/>
        </w:rPr>
        <w:t xml:space="preserve">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14:paraId="4DC35F41" w14:textId="77777777" w:rsidR="001B7920" w:rsidRDefault="001B7920" w:rsidP="001B7920">
      <w:pPr>
        <w:autoSpaceDE w:val="0"/>
        <w:autoSpaceDN w:val="0"/>
        <w:adjustRightInd w:val="0"/>
        <w:spacing w:after="240"/>
        <w:jc w:val="both"/>
        <w:rPr>
          <w:lang w:eastAsia="en-AU"/>
        </w:rPr>
      </w:pPr>
      <w:r>
        <w:t>The ABCB has undertaken and published on its website (</w:t>
      </w:r>
      <w:hyperlink r:id="rId9" w:history="1">
        <w:r>
          <w:rPr>
            <w:rStyle w:val="Hyperlink"/>
          </w:rPr>
          <w:t>www.abcb.gov.au</w:t>
        </w:r>
      </w:hyperlink>
      <w:r>
        <w:t xml:space="preserve">) comprehensive regulatory impact analysis, including regulatory impact statements, for the increased regulatory structure provided by 2022 BCA.  </w:t>
      </w:r>
    </w:p>
    <w:p w14:paraId="5B2A1C66" w14:textId="77777777" w:rsidR="001B7920" w:rsidRDefault="001B7920" w:rsidP="001B7920">
      <w:pPr>
        <w:keepNext/>
        <w:autoSpaceDE w:val="0"/>
        <w:autoSpaceDN w:val="0"/>
        <w:adjustRightInd w:val="0"/>
        <w:spacing w:after="160"/>
        <w:rPr>
          <w:b/>
          <w:color w:val="000000"/>
        </w:rPr>
      </w:pPr>
      <w:r>
        <w:rPr>
          <w:b/>
          <w:color w:val="000000"/>
        </w:rPr>
        <w:t>Human Rights</w:t>
      </w:r>
    </w:p>
    <w:p w14:paraId="79906272" w14:textId="77777777" w:rsidR="001B7920" w:rsidRDefault="001B7920" w:rsidP="001B7920">
      <w:pPr>
        <w:pStyle w:val="Header"/>
        <w:tabs>
          <w:tab w:val="left" w:pos="720"/>
        </w:tabs>
        <w:spacing w:after="240"/>
        <w:jc w:val="both"/>
      </w:pPr>
      <w:r w:rsidRPr="00E3481F">
        <w:t>The Standing Committee on Justice and Community Safety (Legislative Scrutiny Role) terms of reference require consideration of human rights impacts, among other matters. There are no human rights impacts related to this instrument.</w:t>
      </w:r>
    </w:p>
    <w:p w14:paraId="331DB71C" w14:textId="77777777" w:rsidR="008A5171" w:rsidRPr="00F677EE" w:rsidRDefault="008A5171" w:rsidP="00F677EE">
      <w:pPr>
        <w:pStyle w:val="Header"/>
        <w:tabs>
          <w:tab w:val="left" w:pos="720"/>
        </w:tabs>
        <w:spacing w:after="240"/>
        <w:jc w:val="both"/>
        <w:rPr>
          <w:rFonts w:ascii="Arial" w:hAnsi="Arial" w:cs="Arial"/>
          <w:b/>
          <w:iCs/>
        </w:rPr>
      </w:pPr>
    </w:p>
    <w:p w14:paraId="16068537" w14:textId="77777777" w:rsidR="00E92EF3" w:rsidRPr="00AA73A8" w:rsidRDefault="00E92EF3" w:rsidP="00E3481F">
      <w:pPr>
        <w:rPr>
          <w:color w:val="000000"/>
          <w:shd w:val="clear" w:color="auto" w:fill="FFFFFF"/>
        </w:rPr>
      </w:pPr>
    </w:p>
    <w:sectPr w:rsidR="00E92EF3" w:rsidRPr="00AA73A8" w:rsidSect="0072165A">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E11A" w14:textId="77777777" w:rsidR="000D217A" w:rsidRDefault="000D217A" w:rsidP="0072165A">
      <w:r>
        <w:separator/>
      </w:r>
    </w:p>
  </w:endnote>
  <w:endnote w:type="continuationSeparator" w:id="0">
    <w:p w14:paraId="0D716164" w14:textId="77777777" w:rsidR="000D217A" w:rsidRDefault="000D217A"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DCC9" w14:textId="77777777" w:rsidR="00635151" w:rsidRDefault="0063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6BD2" w14:textId="77777777" w:rsidR="00635151" w:rsidRPr="00635151" w:rsidRDefault="00635151" w:rsidP="00635151">
    <w:pPr>
      <w:pStyle w:val="Footer"/>
      <w:jc w:val="center"/>
      <w:rPr>
        <w:rFonts w:ascii="Arial" w:hAnsi="Arial" w:cs="Arial"/>
        <w:sz w:val="14"/>
      </w:rPr>
    </w:pPr>
    <w:r w:rsidRPr="0063515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A4F7" w14:textId="77777777" w:rsidR="00635151" w:rsidRDefault="0063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52DE" w14:textId="77777777" w:rsidR="000D217A" w:rsidRDefault="000D217A" w:rsidP="0072165A">
      <w:r>
        <w:separator/>
      </w:r>
    </w:p>
  </w:footnote>
  <w:footnote w:type="continuationSeparator" w:id="0">
    <w:p w14:paraId="7A19B1CA" w14:textId="77777777" w:rsidR="000D217A" w:rsidRDefault="000D217A"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51A" w14:textId="77777777" w:rsidR="00635151" w:rsidRDefault="0063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054" w14:textId="77777777" w:rsidR="00635151" w:rsidRDefault="0063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1D98" w14:textId="77777777" w:rsidR="00635151" w:rsidRDefault="0063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3F85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0663A"/>
    <w:multiLevelType w:val="hybridMultilevel"/>
    <w:tmpl w:val="FFFFFFFF"/>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0B6F40F7"/>
    <w:multiLevelType w:val="hybridMultilevel"/>
    <w:tmpl w:val="FFFFFFFF"/>
    <w:lvl w:ilvl="0" w:tplc="0C090001">
      <w:start w:val="1"/>
      <w:numFmt w:val="bullet"/>
      <w:lvlText w:val=""/>
      <w:lvlJc w:val="left"/>
      <w:pPr>
        <w:ind w:left="720" w:hanging="360"/>
      </w:pPr>
      <w:rPr>
        <w:rFonts w:ascii="Symbol" w:hAnsi="Symbol" w:hint="default"/>
      </w:rPr>
    </w:lvl>
    <w:lvl w:ilvl="1" w:tplc="FFFFFFFF">
      <w:start w:val="45"/>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911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F5F6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1930040E"/>
    <w:multiLevelType w:val="hybridMultilevel"/>
    <w:tmpl w:val="FFFFFFFF"/>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1C8780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8" w15:restartNumberingAfterBreak="0">
    <w:nsid w:val="335872B8"/>
    <w:multiLevelType w:val="hybridMultilevel"/>
    <w:tmpl w:val="FFFFFFFF"/>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46C3F30"/>
    <w:multiLevelType w:val="hybridMultilevel"/>
    <w:tmpl w:val="FFFFFFFF"/>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2938"/>
    <w:multiLevelType w:val="hybridMultilevel"/>
    <w:tmpl w:val="FFFFFFFF"/>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73158"/>
    <w:multiLevelType w:val="singleLevel"/>
    <w:tmpl w:val="FFFFFFFF"/>
    <w:lvl w:ilvl="0">
      <w:start w:val="45"/>
      <w:numFmt w:val="bullet"/>
      <w:lvlText w:val="-"/>
      <w:lvlJc w:val="left"/>
      <w:pPr>
        <w:tabs>
          <w:tab w:val="num" w:pos="360"/>
        </w:tabs>
        <w:ind w:left="360" w:hanging="360"/>
      </w:pPr>
      <w:rPr>
        <w:rFonts w:hint="default"/>
      </w:rPr>
    </w:lvl>
  </w:abstractNum>
  <w:abstractNum w:abstractNumId="12" w15:restartNumberingAfterBreak="0">
    <w:nsid w:val="564F6D5B"/>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A397682"/>
    <w:multiLevelType w:val="hybridMultilevel"/>
    <w:tmpl w:val="FFFFFFFF"/>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C9D2A29"/>
    <w:multiLevelType w:val="hybridMultilevel"/>
    <w:tmpl w:val="FFFFFFFF"/>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A503F"/>
    <w:multiLevelType w:val="hybridMultilevel"/>
    <w:tmpl w:val="FFFFFFFF"/>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37607884">
    <w:abstractNumId w:val="15"/>
  </w:num>
  <w:num w:numId="2" w16cid:durableId="861938808">
    <w:abstractNumId w:val="10"/>
  </w:num>
  <w:num w:numId="3" w16cid:durableId="1517307806">
    <w:abstractNumId w:val="14"/>
  </w:num>
  <w:num w:numId="4" w16cid:durableId="770978352">
    <w:abstractNumId w:val="14"/>
  </w:num>
  <w:num w:numId="5" w16cid:durableId="685206438">
    <w:abstractNumId w:val="11"/>
  </w:num>
  <w:num w:numId="6" w16cid:durableId="118888041">
    <w:abstractNumId w:val="0"/>
  </w:num>
  <w:num w:numId="7" w16cid:durableId="1898974406">
    <w:abstractNumId w:val="5"/>
  </w:num>
  <w:num w:numId="8" w16cid:durableId="875196561">
    <w:abstractNumId w:val="7"/>
  </w:num>
  <w:num w:numId="9" w16cid:durableId="1053768257">
    <w:abstractNumId w:val="9"/>
  </w:num>
  <w:num w:numId="10" w16cid:durableId="120543174">
    <w:abstractNumId w:val="8"/>
  </w:num>
  <w:num w:numId="11" w16cid:durableId="466313197">
    <w:abstractNumId w:val="13"/>
  </w:num>
  <w:num w:numId="12" w16cid:durableId="1410419777">
    <w:abstractNumId w:val="6"/>
  </w:num>
  <w:num w:numId="13" w16cid:durableId="619189742">
    <w:abstractNumId w:val="1"/>
  </w:num>
  <w:num w:numId="14" w16cid:durableId="1970237510">
    <w:abstractNumId w:val="4"/>
  </w:num>
  <w:num w:numId="15" w16cid:durableId="1982297454">
    <w:abstractNumId w:val="3"/>
  </w:num>
  <w:num w:numId="16" w16cid:durableId="1301618895">
    <w:abstractNumId w:val="2"/>
  </w:num>
  <w:num w:numId="17" w16cid:durableId="140969266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21B33"/>
    <w:rsid w:val="00026981"/>
    <w:rsid w:val="00030847"/>
    <w:rsid w:val="00032112"/>
    <w:rsid w:val="0003345E"/>
    <w:rsid w:val="00036F02"/>
    <w:rsid w:val="000378AB"/>
    <w:rsid w:val="00054C22"/>
    <w:rsid w:val="00060A33"/>
    <w:rsid w:val="0007102B"/>
    <w:rsid w:val="0007274D"/>
    <w:rsid w:val="000978AF"/>
    <w:rsid w:val="000A1A53"/>
    <w:rsid w:val="000D217A"/>
    <w:rsid w:val="000D2583"/>
    <w:rsid w:val="000D7A02"/>
    <w:rsid w:val="000E39C3"/>
    <w:rsid w:val="00102CFB"/>
    <w:rsid w:val="00105FCC"/>
    <w:rsid w:val="001266FD"/>
    <w:rsid w:val="0013502F"/>
    <w:rsid w:val="00140735"/>
    <w:rsid w:val="0016000D"/>
    <w:rsid w:val="00166C2B"/>
    <w:rsid w:val="001673C6"/>
    <w:rsid w:val="00192F90"/>
    <w:rsid w:val="001941ED"/>
    <w:rsid w:val="001A378E"/>
    <w:rsid w:val="001A5617"/>
    <w:rsid w:val="001B27E2"/>
    <w:rsid w:val="001B2EE7"/>
    <w:rsid w:val="001B377D"/>
    <w:rsid w:val="001B7920"/>
    <w:rsid w:val="001C6B61"/>
    <w:rsid w:val="001F0837"/>
    <w:rsid w:val="001F452F"/>
    <w:rsid w:val="00232A0D"/>
    <w:rsid w:val="00233B84"/>
    <w:rsid w:val="0024248E"/>
    <w:rsid w:val="00245CDA"/>
    <w:rsid w:val="00246ACC"/>
    <w:rsid w:val="002473D6"/>
    <w:rsid w:val="00262752"/>
    <w:rsid w:val="002653F2"/>
    <w:rsid w:val="002675EF"/>
    <w:rsid w:val="00284A72"/>
    <w:rsid w:val="002876A0"/>
    <w:rsid w:val="00287BDE"/>
    <w:rsid w:val="00295BC7"/>
    <w:rsid w:val="002B0424"/>
    <w:rsid w:val="002B36FA"/>
    <w:rsid w:val="002B48B8"/>
    <w:rsid w:val="002B540C"/>
    <w:rsid w:val="002B5662"/>
    <w:rsid w:val="002B63CA"/>
    <w:rsid w:val="002C16C9"/>
    <w:rsid w:val="002C776C"/>
    <w:rsid w:val="002C7E2A"/>
    <w:rsid w:val="002D3737"/>
    <w:rsid w:val="002E5024"/>
    <w:rsid w:val="002F436A"/>
    <w:rsid w:val="002F639E"/>
    <w:rsid w:val="003333E4"/>
    <w:rsid w:val="00351439"/>
    <w:rsid w:val="00356FEB"/>
    <w:rsid w:val="00366411"/>
    <w:rsid w:val="003772D2"/>
    <w:rsid w:val="0038751C"/>
    <w:rsid w:val="00393AEF"/>
    <w:rsid w:val="003B460D"/>
    <w:rsid w:val="003B6542"/>
    <w:rsid w:val="003C1595"/>
    <w:rsid w:val="003D00F2"/>
    <w:rsid w:val="003D109B"/>
    <w:rsid w:val="003E6E42"/>
    <w:rsid w:val="003F5433"/>
    <w:rsid w:val="003F5FDA"/>
    <w:rsid w:val="003F729C"/>
    <w:rsid w:val="003F7B88"/>
    <w:rsid w:val="00401091"/>
    <w:rsid w:val="00404806"/>
    <w:rsid w:val="004455B3"/>
    <w:rsid w:val="0045410A"/>
    <w:rsid w:val="00461DD9"/>
    <w:rsid w:val="00461F52"/>
    <w:rsid w:val="00490B20"/>
    <w:rsid w:val="004A10CE"/>
    <w:rsid w:val="004C144C"/>
    <w:rsid w:val="004E2275"/>
    <w:rsid w:val="004F5844"/>
    <w:rsid w:val="004F6272"/>
    <w:rsid w:val="00515D65"/>
    <w:rsid w:val="00517DF8"/>
    <w:rsid w:val="005340B6"/>
    <w:rsid w:val="00543F67"/>
    <w:rsid w:val="00555402"/>
    <w:rsid w:val="00570BB9"/>
    <w:rsid w:val="005A623D"/>
    <w:rsid w:val="005A6DCF"/>
    <w:rsid w:val="005A7662"/>
    <w:rsid w:val="005A78ED"/>
    <w:rsid w:val="005B204A"/>
    <w:rsid w:val="005B6244"/>
    <w:rsid w:val="00607CB8"/>
    <w:rsid w:val="00610656"/>
    <w:rsid w:val="00635151"/>
    <w:rsid w:val="006437A1"/>
    <w:rsid w:val="00654E91"/>
    <w:rsid w:val="00664497"/>
    <w:rsid w:val="006658A0"/>
    <w:rsid w:val="006C1CEC"/>
    <w:rsid w:val="006F3430"/>
    <w:rsid w:val="00710010"/>
    <w:rsid w:val="00713B0A"/>
    <w:rsid w:val="007154B0"/>
    <w:rsid w:val="00720F5B"/>
    <w:rsid w:val="0072165A"/>
    <w:rsid w:val="007644D3"/>
    <w:rsid w:val="00770952"/>
    <w:rsid w:val="0077323E"/>
    <w:rsid w:val="007A2A8B"/>
    <w:rsid w:val="007D0C74"/>
    <w:rsid w:val="007D3D99"/>
    <w:rsid w:val="007D5FC1"/>
    <w:rsid w:val="007E5A88"/>
    <w:rsid w:val="0080286E"/>
    <w:rsid w:val="00811D4E"/>
    <w:rsid w:val="008149C6"/>
    <w:rsid w:val="00816F0A"/>
    <w:rsid w:val="008234C5"/>
    <w:rsid w:val="00832A81"/>
    <w:rsid w:val="00834048"/>
    <w:rsid w:val="00857485"/>
    <w:rsid w:val="00876B38"/>
    <w:rsid w:val="00883745"/>
    <w:rsid w:val="00884A32"/>
    <w:rsid w:val="00892E8A"/>
    <w:rsid w:val="008A5171"/>
    <w:rsid w:val="008B2BFA"/>
    <w:rsid w:val="008D062E"/>
    <w:rsid w:val="008D2B37"/>
    <w:rsid w:val="008D497B"/>
    <w:rsid w:val="008E00EA"/>
    <w:rsid w:val="008E3FE3"/>
    <w:rsid w:val="008E76CF"/>
    <w:rsid w:val="008F0230"/>
    <w:rsid w:val="008F0FD5"/>
    <w:rsid w:val="008F4F49"/>
    <w:rsid w:val="008F6CD9"/>
    <w:rsid w:val="00902C4A"/>
    <w:rsid w:val="00903411"/>
    <w:rsid w:val="00904CAC"/>
    <w:rsid w:val="00912333"/>
    <w:rsid w:val="009152DB"/>
    <w:rsid w:val="009201A2"/>
    <w:rsid w:val="00920252"/>
    <w:rsid w:val="00941A6E"/>
    <w:rsid w:val="00947FE7"/>
    <w:rsid w:val="009504C2"/>
    <w:rsid w:val="009619DF"/>
    <w:rsid w:val="00964895"/>
    <w:rsid w:val="009675EA"/>
    <w:rsid w:val="00973DDE"/>
    <w:rsid w:val="009A4545"/>
    <w:rsid w:val="009A45B0"/>
    <w:rsid w:val="009A64BB"/>
    <w:rsid w:val="009B6376"/>
    <w:rsid w:val="009B68A7"/>
    <w:rsid w:val="009B6A6A"/>
    <w:rsid w:val="009D0355"/>
    <w:rsid w:val="009D0427"/>
    <w:rsid w:val="009E0F58"/>
    <w:rsid w:val="009E5A23"/>
    <w:rsid w:val="009F4DAF"/>
    <w:rsid w:val="009F74FD"/>
    <w:rsid w:val="00A17BC4"/>
    <w:rsid w:val="00A23625"/>
    <w:rsid w:val="00A317FA"/>
    <w:rsid w:val="00A3257C"/>
    <w:rsid w:val="00A47AFE"/>
    <w:rsid w:val="00A51808"/>
    <w:rsid w:val="00A70C28"/>
    <w:rsid w:val="00A72282"/>
    <w:rsid w:val="00AA1410"/>
    <w:rsid w:val="00AA3589"/>
    <w:rsid w:val="00AA3C7B"/>
    <w:rsid w:val="00AA73A8"/>
    <w:rsid w:val="00AD268D"/>
    <w:rsid w:val="00AE43BD"/>
    <w:rsid w:val="00B00A05"/>
    <w:rsid w:val="00B069E8"/>
    <w:rsid w:val="00B1369B"/>
    <w:rsid w:val="00B26ADC"/>
    <w:rsid w:val="00B424AD"/>
    <w:rsid w:val="00B439F9"/>
    <w:rsid w:val="00B457CB"/>
    <w:rsid w:val="00B6038F"/>
    <w:rsid w:val="00B800EB"/>
    <w:rsid w:val="00BA6DE5"/>
    <w:rsid w:val="00BC34F7"/>
    <w:rsid w:val="00BC7D82"/>
    <w:rsid w:val="00BD4042"/>
    <w:rsid w:val="00BF49F8"/>
    <w:rsid w:val="00BF619A"/>
    <w:rsid w:val="00C059F1"/>
    <w:rsid w:val="00C1045C"/>
    <w:rsid w:val="00C143AF"/>
    <w:rsid w:val="00C1504A"/>
    <w:rsid w:val="00C31175"/>
    <w:rsid w:val="00C33620"/>
    <w:rsid w:val="00C456D1"/>
    <w:rsid w:val="00C5103D"/>
    <w:rsid w:val="00C551C6"/>
    <w:rsid w:val="00C57E61"/>
    <w:rsid w:val="00C62A15"/>
    <w:rsid w:val="00C630EF"/>
    <w:rsid w:val="00C81A28"/>
    <w:rsid w:val="00C95871"/>
    <w:rsid w:val="00CC0DE5"/>
    <w:rsid w:val="00CF3E46"/>
    <w:rsid w:val="00D15E4E"/>
    <w:rsid w:val="00D26E38"/>
    <w:rsid w:val="00D31476"/>
    <w:rsid w:val="00D338A8"/>
    <w:rsid w:val="00D55025"/>
    <w:rsid w:val="00D55293"/>
    <w:rsid w:val="00D61E80"/>
    <w:rsid w:val="00D73115"/>
    <w:rsid w:val="00D868EC"/>
    <w:rsid w:val="00D9185A"/>
    <w:rsid w:val="00D9209D"/>
    <w:rsid w:val="00DA0899"/>
    <w:rsid w:val="00DA2915"/>
    <w:rsid w:val="00DA4B8A"/>
    <w:rsid w:val="00DA6664"/>
    <w:rsid w:val="00DC0275"/>
    <w:rsid w:val="00DD3C85"/>
    <w:rsid w:val="00DF5BEA"/>
    <w:rsid w:val="00DF73B1"/>
    <w:rsid w:val="00E1173A"/>
    <w:rsid w:val="00E16EAE"/>
    <w:rsid w:val="00E21678"/>
    <w:rsid w:val="00E3481F"/>
    <w:rsid w:val="00E423C0"/>
    <w:rsid w:val="00E426DD"/>
    <w:rsid w:val="00E5344D"/>
    <w:rsid w:val="00E60319"/>
    <w:rsid w:val="00E826C1"/>
    <w:rsid w:val="00E865F5"/>
    <w:rsid w:val="00E92EF3"/>
    <w:rsid w:val="00E94D2B"/>
    <w:rsid w:val="00EB3429"/>
    <w:rsid w:val="00EC7D6A"/>
    <w:rsid w:val="00EE07F2"/>
    <w:rsid w:val="00EE5E1D"/>
    <w:rsid w:val="00EF1AE9"/>
    <w:rsid w:val="00EF469F"/>
    <w:rsid w:val="00F124AE"/>
    <w:rsid w:val="00F20ABC"/>
    <w:rsid w:val="00F230F9"/>
    <w:rsid w:val="00F32927"/>
    <w:rsid w:val="00F37D26"/>
    <w:rsid w:val="00F40C11"/>
    <w:rsid w:val="00F53808"/>
    <w:rsid w:val="00F64A07"/>
    <w:rsid w:val="00F674C8"/>
    <w:rsid w:val="00F677EE"/>
    <w:rsid w:val="00F837B6"/>
    <w:rsid w:val="00F86A70"/>
    <w:rsid w:val="00F902DE"/>
    <w:rsid w:val="00F94183"/>
    <w:rsid w:val="00FA20EC"/>
    <w:rsid w:val="00FA32A3"/>
    <w:rsid w:val="00FB312C"/>
    <w:rsid w:val="00FB7B69"/>
    <w:rsid w:val="00FD1187"/>
    <w:rsid w:val="00FD1726"/>
    <w:rsid w:val="00FD2419"/>
    <w:rsid w:val="00FF26AF"/>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38D7CE"/>
  <w14:defaultImageDpi w14:val="0"/>
  <w15:docId w15:val="{937CCB61-5082-442A-869E-EA78F9C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64497"/>
    <w:pPr>
      <w:widowControl w:val="0"/>
      <w:ind w:left="720"/>
      <w:contextualSpacing/>
    </w:pPr>
    <w:rPr>
      <w:iCs/>
      <w:lang w:val="en-US"/>
    </w:rPr>
  </w:style>
  <w:style w:type="paragraph" w:styleId="NormalWeb">
    <w:name w:val="Normal (Web)"/>
    <w:basedOn w:val="Normal"/>
    <w:uiPriority w:val="99"/>
    <w:unhideWhenUsed/>
    <w:rsid w:val="008E3FE3"/>
    <w:pPr>
      <w:spacing w:before="100" w:beforeAutospacing="1" w:after="100" w:afterAutospacing="1"/>
    </w:pPr>
    <w:rPr>
      <w:lang w:eastAsia="en-AU"/>
    </w:rPr>
  </w:style>
  <w:style w:type="character" w:styleId="Strong">
    <w:name w:val="Strong"/>
    <w:basedOn w:val="DefaultParagraphFont"/>
    <w:uiPriority w:val="22"/>
    <w:qFormat/>
    <w:rsid w:val="00B439F9"/>
    <w:rPr>
      <w:rFonts w:cs="Times New Roman"/>
      <w:b/>
      <w:bCs/>
    </w:rPr>
  </w:style>
  <w:style w:type="paragraph" w:styleId="Revision">
    <w:name w:val="Revision"/>
    <w:hidden/>
    <w:uiPriority w:val="99"/>
    <w:semiHidden/>
    <w:rsid w:val="003D109B"/>
    <w:rPr>
      <w:sz w:val="24"/>
      <w:szCs w:val="24"/>
      <w:lang w:eastAsia="en-U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45410A"/>
    <w:rPr>
      <w:rFonts w:cs="Times New Roman"/>
      <w:iCs/>
      <w:sz w:val="24"/>
      <w:szCs w:val="24"/>
      <w:lang w:val="en-US" w:eastAsia="en-US"/>
    </w:rPr>
  </w:style>
  <w:style w:type="paragraph" w:customStyle="1" w:styleId="pf0">
    <w:name w:val="pf0"/>
    <w:basedOn w:val="Normal"/>
    <w:rsid w:val="001B7920"/>
    <w:pPr>
      <w:spacing w:before="100" w:beforeAutospacing="1" w:after="100" w:afterAutospacing="1"/>
    </w:pPr>
    <w:rPr>
      <w:lang w:eastAsia="en-AU"/>
    </w:rPr>
  </w:style>
  <w:style w:type="character" w:customStyle="1" w:styleId="cf01">
    <w:name w:val="cf01"/>
    <w:basedOn w:val="DefaultParagraphFont"/>
    <w:rsid w:val="001B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11348">
      <w:marLeft w:val="0"/>
      <w:marRight w:val="0"/>
      <w:marTop w:val="0"/>
      <w:marBottom w:val="0"/>
      <w:divBdr>
        <w:top w:val="none" w:sz="0" w:space="0" w:color="auto"/>
        <w:left w:val="none" w:sz="0" w:space="0" w:color="auto"/>
        <w:bottom w:val="none" w:sz="0" w:space="0" w:color="auto"/>
        <w:right w:val="none" w:sz="0" w:space="0" w:color="auto"/>
      </w:divBdr>
    </w:div>
    <w:div w:id="1098911349">
      <w:marLeft w:val="0"/>
      <w:marRight w:val="0"/>
      <w:marTop w:val="0"/>
      <w:marBottom w:val="0"/>
      <w:divBdr>
        <w:top w:val="none" w:sz="0" w:space="0" w:color="auto"/>
        <w:left w:val="none" w:sz="0" w:space="0" w:color="auto"/>
        <w:bottom w:val="none" w:sz="0" w:space="0" w:color="auto"/>
        <w:right w:val="none" w:sz="0" w:space="0" w:color="auto"/>
      </w:divBdr>
    </w:div>
    <w:div w:id="1098911350">
      <w:marLeft w:val="0"/>
      <w:marRight w:val="0"/>
      <w:marTop w:val="0"/>
      <w:marBottom w:val="0"/>
      <w:divBdr>
        <w:top w:val="none" w:sz="0" w:space="0" w:color="auto"/>
        <w:left w:val="none" w:sz="0" w:space="0" w:color="auto"/>
        <w:bottom w:val="none" w:sz="0" w:space="0" w:color="auto"/>
        <w:right w:val="none" w:sz="0" w:space="0" w:color="auto"/>
      </w:divBdr>
    </w:div>
    <w:div w:id="1098911351">
      <w:marLeft w:val="0"/>
      <w:marRight w:val="0"/>
      <w:marTop w:val="0"/>
      <w:marBottom w:val="0"/>
      <w:divBdr>
        <w:top w:val="none" w:sz="0" w:space="0" w:color="auto"/>
        <w:left w:val="none" w:sz="0" w:space="0" w:color="auto"/>
        <w:bottom w:val="none" w:sz="0" w:space="0" w:color="auto"/>
        <w:right w:val="none" w:sz="0" w:space="0" w:color="auto"/>
      </w:divBdr>
    </w:div>
    <w:div w:id="1098911352">
      <w:marLeft w:val="0"/>
      <w:marRight w:val="0"/>
      <w:marTop w:val="0"/>
      <w:marBottom w:val="0"/>
      <w:divBdr>
        <w:top w:val="none" w:sz="0" w:space="0" w:color="auto"/>
        <w:left w:val="none" w:sz="0" w:space="0" w:color="auto"/>
        <w:bottom w:val="none" w:sz="0" w:space="0" w:color="auto"/>
        <w:right w:val="none" w:sz="0" w:space="0" w:color="auto"/>
      </w:divBdr>
    </w:div>
    <w:div w:id="1098911353">
      <w:marLeft w:val="0"/>
      <w:marRight w:val="0"/>
      <w:marTop w:val="0"/>
      <w:marBottom w:val="0"/>
      <w:divBdr>
        <w:top w:val="none" w:sz="0" w:space="0" w:color="auto"/>
        <w:left w:val="none" w:sz="0" w:space="0" w:color="auto"/>
        <w:bottom w:val="none" w:sz="0" w:space="0" w:color="auto"/>
        <w:right w:val="none" w:sz="0" w:space="0" w:color="auto"/>
      </w:divBdr>
    </w:div>
    <w:div w:id="1098911354">
      <w:marLeft w:val="0"/>
      <w:marRight w:val="0"/>
      <w:marTop w:val="0"/>
      <w:marBottom w:val="0"/>
      <w:divBdr>
        <w:top w:val="none" w:sz="0" w:space="0" w:color="auto"/>
        <w:left w:val="none" w:sz="0" w:space="0" w:color="auto"/>
        <w:bottom w:val="none" w:sz="0" w:space="0" w:color="auto"/>
        <w:right w:val="none" w:sz="0" w:space="0" w:color="auto"/>
      </w:divBdr>
    </w:div>
    <w:div w:id="1098911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4B77D8-8C8D-40BC-98D8-FA22685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3818</Characters>
  <Application>Microsoft Office Word</Application>
  <DocSecurity>0</DocSecurity>
  <Lines>81</Lines>
  <Paragraphs>28</Paragraphs>
  <ScaleCrop>false</ScaleCrop>
  <Company>ACT Government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2017-11-15T21:11:00Z</cp:lastPrinted>
  <dcterms:created xsi:type="dcterms:W3CDTF">2023-04-28T05:57:00Z</dcterms:created>
  <dcterms:modified xsi:type="dcterms:W3CDTF">2023-04-28T05:57:00Z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2017-10-06T14:00:00Z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2017-10-06T14:00:00Z</vt:filetime>
  </property>
  <property fmtid="{D5CDD505-2E9C-101B-9397-08002B2CF9AE}" pid="8" name="Objective-ModificationStamp">
    <vt:filetime>2017-10-06T14:00:00Z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