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3CE5" w14:textId="77777777" w:rsidR="00CF331B" w:rsidRDefault="00CF331B" w:rsidP="00CF331B">
      <w:pPr>
        <w:spacing w:before="120"/>
        <w:rPr>
          <w:rFonts w:ascii="Arial" w:hAnsi="Arial" w:cs="Arial"/>
        </w:rPr>
      </w:pPr>
      <w:bookmarkStart w:id="0" w:name="_Toc44738651"/>
      <w:r>
        <w:rPr>
          <w:rFonts w:ascii="Arial" w:hAnsi="Arial" w:cs="Arial"/>
        </w:rPr>
        <w:t>Australian Capital Territory</w:t>
      </w:r>
    </w:p>
    <w:p w14:paraId="19FACBA6" w14:textId="3BCDE9D2" w:rsidR="00CF331B" w:rsidRDefault="00CF331B" w:rsidP="00CF331B">
      <w:pPr>
        <w:pStyle w:val="Billname"/>
        <w:spacing w:before="700"/>
      </w:pPr>
      <w:r w:rsidRPr="00981827">
        <w:t>Gambling and Racing Control (Code of Practice) Amendment Regulation 202</w:t>
      </w:r>
      <w:r w:rsidR="005208EB" w:rsidRPr="00981827">
        <w:t>3</w:t>
      </w:r>
      <w:r w:rsidRPr="00981827">
        <w:t xml:space="preserve"> (No</w:t>
      </w:r>
      <w:r w:rsidR="007D0B01" w:rsidRPr="00981827">
        <w:t xml:space="preserve"> 1</w:t>
      </w:r>
      <w:r w:rsidRPr="00981827">
        <w:t>)</w:t>
      </w:r>
    </w:p>
    <w:p w14:paraId="45636A75" w14:textId="6012A1BA" w:rsidR="00CF331B" w:rsidRDefault="00CF331B" w:rsidP="00CF331B">
      <w:pPr>
        <w:spacing w:before="340"/>
        <w:rPr>
          <w:rFonts w:ascii="Arial" w:hAnsi="Arial" w:cs="Arial"/>
          <w:b/>
          <w:bCs/>
        </w:rPr>
      </w:pPr>
      <w:r w:rsidRPr="004F14F2">
        <w:rPr>
          <w:rFonts w:ascii="Arial" w:hAnsi="Arial" w:cs="Arial"/>
          <w:b/>
          <w:bCs/>
        </w:rPr>
        <w:t>Subordinate law SL202</w:t>
      </w:r>
      <w:r w:rsidR="00FC20D9" w:rsidRPr="004F14F2">
        <w:rPr>
          <w:rFonts w:ascii="Arial" w:hAnsi="Arial" w:cs="Arial"/>
          <w:b/>
          <w:bCs/>
        </w:rPr>
        <w:t>3</w:t>
      </w:r>
      <w:r w:rsidRPr="004F14F2">
        <w:rPr>
          <w:rFonts w:ascii="Arial" w:hAnsi="Arial" w:cs="Arial"/>
          <w:b/>
          <w:bCs/>
        </w:rPr>
        <w:t>–</w:t>
      </w:r>
      <w:r w:rsidR="006954CC">
        <w:rPr>
          <w:rFonts w:ascii="Arial" w:hAnsi="Arial" w:cs="Arial"/>
          <w:b/>
          <w:bCs/>
        </w:rPr>
        <w:t>8</w:t>
      </w:r>
    </w:p>
    <w:p w14:paraId="11F7EB77" w14:textId="77777777" w:rsidR="00CF331B" w:rsidRDefault="00CF331B" w:rsidP="00CF331B">
      <w:pPr>
        <w:pStyle w:val="madeunder"/>
        <w:spacing w:before="300" w:after="0"/>
      </w:pPr>
      <w:r>
        <w:t xml:space="preserve">made under the  </w:t>
      </w:r>
    </w:p>
    <w:p w14:paraId="6F10E95A" w14:textId="77777777" w:rsidR="00CF331B" w:rsidRDefault="00CF331B" w:rsidP="00CF331B">
      <w:pPr>
        <w:pStyle w:val="CoverActName"/>
        <w:spacing w:before="320" w:after="0"/>
        <w:rPr>
          <w:rFonts w:cs="Arial"/>
          <w:sz w:val="20"/>
        </w:rPr>
      </w:pPr>
      <w:r>
        <w:rPr>
          <w:rFonts w:cs="Arial"/>
          <w:sz w:val="20"/>
        </w:rPr>
        <w:t>Gambling and Racing Control Act 1999, s 54 (Regulation-making power)</w:t>
      </w:r>
    </w:p>
    <w:p w14:paraId="76D51994" w14:textId="77777777" w:rsidR="00CF331B" w:rsidRDefault="00CF331B" w:rsidP="00CF331B">
      <w:pPr>
        <w:spacing w:before="360"/>
        <w:ind w:right="565"/>
        <w:rPr>
          <w:rFonts w:ascii="Arial" w:hAnsi="Arial" w:cs="Arial"/>
          <w:b/>
          <w:bCs/>
          <w:sz w:val="28"/>
          <w:szCs w:val="28"/>
        </w:rPr>
      </w:pPr>
      <w:r>
        <w:rPr>
          <w:rFonts w:ascii="Arial" w:hAnsi="Arial" w:cs="Arial"/>
          <w:b/>
          <w:bCs/>
          <w:sz w:val="28"/>
          <w:szCs w:val="28"/>
        </w:rPr>
        <w:t>EXPLANATORY STATEMENT</w:t>
      </w:r>
    </w:p>
    <w:p w14:paraId="68433494" w14:textId="77777777" w:rsidR="00CF331B" w:rsidRDefault="00CF331B" w:rsidP="00CF331B">
      <w:pPr>
        <w:pStyle w:val="N-line3"/>
        <w:pBdr>
          <w:bottom w:val="none" w:sz="0" w:space="0" w:color="auto"/>
        </w:pBdr>
      </w:pPr>
    </w:p>
    <w:p w14:paraId="75450EAB" w14:textId="77777777" w:rsidR="00CF331B" w:rsidRDefault="00CF331B" w:rsidP="00CF331B">
      <w:pPr>
        <w:pStyle w:val="N-line3"/>
        <w:pBdr>
          <w:top w:val="single" w:sz="12" w:space="1" w:color="auto"/>
          <w:bottom w:val="none" w:sz="0" w:space="0" w:color="auto"/>
        </w:pBdr>
      </w:pPr>
    </w:p>
    <w:bookmarkEnd w:id="0"/>
    <w:p w14:paraId="7550AE74" w14:textId="77777777" w:rsidR="00CF331B" w:rsidRDefault="00CF331B" w:rsidP="00CF331B">
      <w:pPr>
        <w:rPr>
          <w:b/>
          <w:bCs/>
        </w:rPr>
      </w:pPr>
      <w:r w:rsidRPr="00D966DF">
        <w:rPr>
          <w:b/>
          <w:bCs/>
        </w:rPr>
        <w:t>OVERVIEW</w:t>
      </w:r>
    </w:p>
    <w:p w14:paraId="33418D8E" w14:textId="414B6419" w:rsidR="00CF331B" w:rsidRPr="00CB4227" w:rsidRDefault="00CF331B" w:rsidP="00CF331B">
      <w:pPr>
        <w:rPr>
          <w:szCs w:val="24"/>
        </w:rPr>
      </w:pPr>
      <w:r w:rsidRPr="00CB4227">
        <w:rPr>
          <w:szCs w:val="24"/>
        </w:rPr>
        <w:t xml:space="preserve">The </w:t>
      </w:r>
      <w:r w:rsidRPr="00CB4227">
        <w:rPr>
          <w:i/>
          <w:iCs/>
          <w:szCs w:val="24"/>
        </w:rPr>
        <w:t>Gambling and Racing Control (Code of Practice) Amendment Regulation 202</w:t>
      </w:r>
      <w:r w:rsidR="00EC0739" w:rsidRPr="005B2CBA">
        <w:rPr>
          <w:i/>
          <w:iCs/>
          <w:szCs w:val="24"/>
        </w:rPr>
        <w:t>3</w:t>
      </w:r>
      <w:r w:rsidR="006954CC">
        <w:rPr>
          <w:i/>
          <w:iCs/>
          <w:szCs w:val="24"/>
        </w:rPr>
        <w:t xml:space="preserve"> (No 1)</w:t>
      </w:r>
      <w:r w:rsidRPr="00CB4227">
        <w:rPr>
          <w:szCs w:val="24"/>
        </w:rPr>
        <w:t xml:space="preserve"> (the Amendment Regulation) amends the </w:t>
      </w:r>
      <w:r w:rsidRPr="00CB4227">
        <w:rPr>
          <w:i/>
          <w:iCs/>
          <w:szCs w:val="24"/>
        </w:rPr>
        <w:t>Gambling and Racing Control (Code of Practice) Regulation 2002</w:t>
      </w:r>
      <w:r w:rsidRPr="00CB4227">
        <w:rPr>
          <w:szCs w:val="24"/>
        </w:rPr>
        <w:t xml:space="preserve"> (the Regulation) to implement the </w:t>
      </w:r>
      <w:r w:rsidR="00076D0F" w:rsidRPr="00CB4227">
        <w:rPr>
          <w:szCs w:val="24"/>
        </w:rPr>
        <w:t>consistent gambling messaging</w:t>
      </w:r>
      <w:r w:rsidRPr="00CB4227">
        <w:rPr>
          <w:szCs w:val="24"/>
        </w:rPr>
        <w:t xml:space="preserve"> measure</w:t>
      </w:r>
      <w:r w:rsidR="00076D0F" w:rsidRPr="00CB4227">
        <w:rPr>
          <w:szCs w:val="24"/>
        </w:rPr>
        <w:t xml:space="preserve"> and staff training</w:t>
      </w:r>
      <w:r w:rsidRPr="00CB4227">
        <w:rPr>
          <w:szCs w:val="24"/>
        </w:rPr>
        <w:t xml:space="preserve"> </w:t>
      </w:r>
      <w:r w:rsidR="00B75CAC">
        <w:rPr>
          <w:szCs w:val="24"/>
        </w:rPr>
        <w:t xml:space="preserve">measure </w:t>
      </w:r>
      <w:r w:rsidRPr="00CB4227">
        <w:rPr>
          <w:szCs w:val="24"/>
        </w:rPr>
        <w:t xml:space="preserve">in the National Consumer Protection Framework for Online Wagering (NCPF). </w:t>
      </w:r>
    </w:p>
    <w:p w14:paraId="74E04C56" w14:textId="77777777" w:rsidR="00CF331B" w:rsidRPr="00CB4227" w:rsidRDefault="00CF331B" w:rsidP="00CF331B">
      <w:pPr>
        <w:rPr>
          <w:szCs w:val="24"/>
        </w:rPr>
      </w:pPr>
    </w:p>
    <w:p w14:paraId="5BDD7195" w14:textId="73741999" w:rsidR="00CF331B" w:rsidRPr="00CB4227" w:rsidRDefault="00CF331B" w:rsidP="00CF331B">
      <w:pPr>
        <w:rPr>
          <w:szCs w:val="24"/>
        </w:rPr>
      </w:pPr>
      <w:r w:rsidRPr="00CB4227">
        <w:rPr>
          <w:szCs w:val="24"/>
        </w:rPr>
        <w:t>The NCPF provides a nationally consistent framework to minimise gambling harm related to wagering activity. The NCPF was developed in response to the 2015 Review of Illegal Offshore Wagering and consists of 10 consumer protection measures for online wagering. The Commonwealth and all Australian States and Territories participate in the NCPF.</w:t>
      </w:r>
    </w:p>
    <w:p w14:paraId="595B4229" w14:textId="77777777" w:rsidR="00CF331B" w:rsidRPr="00CB4227" w:rsidRDefault="00CF331B" w:rsidP="00CF331B">
      <w:pPr>
        <w:rPr>
          <w:szCs w:val="24"/>
        </w:rPr>
      </w:pPr>
    </w:p>
    <w:p w14:paraId="37E7C8E4" w14:textId="608F4198" w:rsidR="00187603" w:rsidRPr="00CB4227" w:rsidRDefault="00187603" w:rsidP="00CF331B">
      <w:pPr>
        <w:rPr>
          <w:szCs w:val="24"/>
        </w:rPr>
      </w:pPr>
      <w:r w:rsidRPr="00CB4227">
        <w:rPr>
          <w:szCs w:val="24"/>
        </w:rPr>
        <w:t xml:space="preserve">The Regulation was amended in 2022 to implement the NCPF activity statements measure in the ACT. </w:t>
      </w:r>
      <w:r w:rsidR="004D3F0A" w:rsidRPr="00CB4227">
        <w:rPr>
          <w:szCs w:val="24"/>
        </w:rPr>
        <w:t>Th</w:t>
      </w:r>
      <w:r w:rsidR="002145BE">
        <w:rPr>
          <w:szCs w:val="24"/>
        </w:rPr>
        <w:t>e 2022</w:t>
      </w:r>
      <w:r w:rsidR="004D3F0A" w:rsidRPr="00CB4227">
        <w:rPr>
          <w:szCs w:val="24"/>
        </w:rPr>
        <w:t xml:space="preserve"> Amendment Regulation</w:t>
      </w:r>
      <w:r w:rsidR="008D5C55">
        <w:rPr>
          <w:rStyle w:val="CommentReference"/>
        </w:rPr>
        <w:t xml:space="preserve"> </w:t>
      </w:r>
      <w:r w:rsidR="000275B2" w:rsidRPr="000275B2">
        <w:rPr>
          <w:szCs w:val="24"/>
        </w:rPr>
        <w:t>also</w:t>
      </w:r>
      <w:r w:rsidR="000275B2">
        <w:rPr>
          <w:rStyle w:val="CommentReference"/>
        </w:rPr>
        <w:t xml:space="preserve"> </w:t>
      </w:r>
      <w:r w:rsidR="008D5C55" w:rsidRPr="008D5C55">
        <w:rPr>
          <w:szCs w:val="24"/>
        </w:rPr>
        <w:t>u</w:t>
      </w:r>
      <w:r w:rsidR="004D3F0A" w:rsidRPr="008D5C55">
        <w:rPr>
          <w:szCs w:val="24"/>
        </w:rPr>
        <w:t>pdated</w:t>
      </w:r>
      <w:r w:rsidR="004D3F0A" w:rsidRPr="00CB4227">
        <w:rPr>
          <w:szCs w:val="24"/>
        </w:rPr>
        <w:t xml:space="preserve"> the Regulation to provide that the</w:t>
      </w:r>
      <w:r w:rsidR="00CE1137">
        <w:rPr>
          <w:szCs w:val="24"/>
        </w:rPr>
        <w:t xml:space="preserve"> Code of Practice </w:t>
      </w:r>
      <w:r w:rsidR="004D3F0A" w:rsidRPr="00CB4227">
        <w:rPr>
          <w:szCs w:val="24"/>
        </w:rPr>
        <w:t xml:space="preserve">applies to race bookmakers who have an online, phone or other form of remote telecommunication betting method. This </w:t>
      </w:r>
      <w:r w:rsidR="00807DD4">
        <w:rPr>
          <w:szCs w:val="24"/>
        </w:rPr>
        <w:t xml:space="preserve">update </w:t>
      </w:r>
      <w:r w:rsidR="004D3F0A" w:rsidRPr="00CB4227">
        <w:rPr>
          <w:szCs w:val="24"/>
        </w:rPr>
        <w:t>enabled the application of the NCPF</w:t>
      </w:r>
      <w:r w:rsidR="00C57212">
        <w:rPr>
          <w:szCs w:val="24"/>
        </w:rPr>
        <w:t xml:space="preserve"> in the ACT </w:t>
      </w:r>
      <w:r w:rsidR="004D3F0A" w:rsidRPr="00CB4227">
        <w:rPr>
          <w:szCs w:val="24"/>
        </w:rPr>
        <w:t>to be consistent with other State and Territory jurisdictions, such as NSW, and increased consumer protections in the Territory.</w:t>
      </w:r>
    </w:p>
    <w:p w14:paraId="7377645B" w14:textId="77777777" w:rsidR="00187603" w:rsidRPr="00CB4227" w:rsidRDefault="00187603" w:rsidP="00CF331B">
      <w:pPr>
        <w:rPr>
          <w:szCs w:val="24"/>
        </w:rPr>
      </w:pPr>
    </w:p>
    <w:p w14:paraId="1D06015A" w14:textId="3E7A435F" w:rsidR="00CF331B" w:rsidRPr="00CB4227" w:rsidRDefault="00CF331B" w:rsidP="00CF331B">
      <w:pPr>
        <w:rPr>
          <w:szCs w:val="24"/>
        </w:rPr>
      </w:pPr>
      <w:r w:rsidRPr="00CB4227">
        <w:rPr>
          <w:szCs w:val="24"/>
        </w:rPr>
        <w:t>The Regulation was amended in 2019 to implement the following NCPF measures in the ACT:</w:t>
      </w:r>
    </w:p>
    <w:p w14:paraId="0A6EA71A" w14:textId="77777777" w:rsidR="00CF331B" w:rsidRPr="00CB4227" w:rsidRDefault="00CF331B" w:rsidP="00CF331B">
      <w:pPr>
        <w:pStyle w:val="ListParagraph"/>
        <w:numPr>
          <w:ilvl w:val="0"/>
          <w:numId w:val="1"/>
        </w:numPr>
        <w:rPr>
          <w:szCs w:val="24"/>
        </w:rPr>
      </w:pPr>
      <w:r w:rsidRPr="00CB4227">
        <w:rPr>
          <w:szCs w:val="24"/>
        </w:rPr>
        <w:t>Restrictions on inducements</w:t>
      </w:r>
    </w:p>
    <w:p w14:paraId="520D35E9" w14:textId="77777777" w:rsidR="00CF331B" w:rsidRPr="00CB4227" w:rsidRDefault="00CF331B" w:rsidP="00CF331B">
      <w:pPr>
        <w:pStyle w:val="ListParagraph"/>
        <w:numPr>
          <w:ilvl w:val="0"/>
          <w:numId w:val="1"/>
        </w:numPr>
        <w:rPr>
          <w:szCs w:val="24"/>
        </w:rPr>
      </w:pPr>
      <w:r w:rsidRPr="00CB4227">
        <w:rPr>
          <w:szCs w:val="24"/>
        </w:rPr>
        <w:t>Account closure</w:t>
      </w:r>
    </w:p>
    <w:p w14:paraId="5FD9FE97" w14:textId="77777777" w:rsidR="00CF331B" w:rsidRPr="00CB4227" w:rsidRDefault="00CF331B" w:rsidP="00CF331B">
      <w:pPr>
        <w:pStyle w:val="ListParagraph"/>
        <w:numPr>
          <w:ilvl w:val="0"/>
          <w:numId w:val="1"/>
        </w:numPr>
        <w:rPr>
          <w:szCs w:val="24"/>
        </w:rPr>
      </w:pPr>
      <w:r w:rsidRPr="00CB4227">
        <w:rPr>
          <w:szCs w:val="24"/>
        </w:rPr>
        <w:t xml:space="preserve">Voluntary pre-commitment scheme. </w:t>
      </w:r>
    </w:p>
    <w:p w14:paraId="4908C39E" w14:textId="77777777" w:rsidR="00CF331B" w:rsidRPr="00CB4227" w:rsidRDefault="00CF331B" w:rsidP="00CF331B">
      <w:pPr>
        <w:rPr>
          <w:szCs w:val="24"/>
        </w:rPr>
      </w:pPr>
    </w:p>
    <w:p w14:paraId="1BB83BDC" w14:textId="17CDAB98" w:rsidR="002E7D9A" w:rsidRDefault="00CF331B" w:rsidP="002E7D9A">
      <w:pPr>
        <w:rPr>
          <w:szCs w:val="24"/>
        </w:rPr>
      </w:pPr>
      <w:bookmarkStart w:id="1" w:name="_Hlk109228632"/>
      <w:r w:rsidRPr="00EE76F2">
        <w:rPr>
          <w:szCs w:val="24"/>
        </w:rPr>
        <w:t xml:space="preserve">The </w:t>
      </w:r>
      <w:r w:rsidR="00670B1E" w:rsidRPr="00EE76F2">
        <w:rPr>
          <w:szCs w:val="24"/>
        </w:rPr>
        <w:t>consistent gambling messaging measure</w:t>
      </w:r>
      <w:r w:rsidRPr="00EE76F2">
        <w:rPr>
          <w:szCs w:val="24"/>
        </w:rPr>
        <w:t xml:space="preserve"> </w:t>
      </w:r>
      <w:r w:rsidR="00012B05" w:rsidRPr="00EE76F2">
        <w:rPr>
          <w:szCs w:val="24"/>
        </w:rPr>
        <w:t xml:space="preserve">under the NCPF </w:t>
      </w:r>
      <w:r w:rsidRPr="00EE76F2">
        <w:rPr>
          <w:szCs w:val="24"/>
        </w:rPr>
        <w:t>requires a wagering service provider (WSP) to</w:t>
      </w:r>
      <w:r w:rsidR="000814E0" w:rsidRPr="00EE76F2">
        <w:rPr>
          <w:szCs w:val="24"/>
        </w:rPr>
        <w:t xml:space="preserve"> </w:t>
      </w:r>
      <w:r w:rsidR="00887D23" w:rsidRPr="00EE76F2">
        <w:rPr>
          <w:szCs w:val="24"/>
        </w:rPr>
        <w:t>replace the existing tagline, ‘gamble responsibly’ in all instances where this is currently required or displayed</w:t>
      </w:r>
      <w:r w:rsidR="005D0B3F" w:rsidRPr="00EE76F2">
        <w:rPr>
          <w:szCs w:val="24"/>
        </w:rPr>
        <w:t xml:space="preserve"> with </w:t>
      </w:r>
      <w:r w:rsidR="00BD108D">
        <w:rPr>
          <w:szCs w:val="24"/>
        </w:rPr>
        <w:t>an</w:t>
      </w:r>
      <w:r w:rsidR="00807DD4">
        <w:rPr>
          <w:szCs w:val="24"/>
        </w:rPr>
        <w:t xml:space="preserve"> </w:t>
      </w:r>
      <w:r w:rsidR="005D0B3F" w:rsidRPr="00EE76F2">
        <w:rPr>
          <w:szCs w:val="24"/>
        </w:rPr>
        <w:t>evidence-based taglines</w:t>
      </w:r>
      <w:r w:rsidR="00EE76F2" w:rsidRPr="00EE76F2">
        <w:rPr>
          <w:szCs w:val="24"/>
        </w:rPr>
        <w:t xml:space="preserve"> and calls to action</w:t>
      </w:r>
      <w:r w:rsidR="001B4EAC">
        <w:rPr>
          <w:szCs w:val="24"/>
        </w:rPr>
        <w:t>.</w:t>
      </w:r>
    </w:p>
    <w:p w14:paraId="0DFA105A" w14:textId="77777777" w:rsidR="002E7D9A" w:rsidRDefault="002E7D9A" w:rsidP="002E7D9A">
      <w:pPr>
        <w:rPr>
          <w:szCs w:val="24"/>
        </w:rPr>
      </w:pPr>
    </w:p>
    <w:p w14:paraId="56F3759C" w14:textId="05DD184E" w:rsidR="001B4EAC" w:rsidRDefault="001B4EAC" w:rsidP="002E7D9A">
      <w:pPr>
        <w:rPr>
          <w:szCs w:val="24"/>
        </w:rPr>
      </w:pPr>
      <w:r>
        <w:rPr>
          <w:szCs w:val="24"/>
        </w:rPr>
        <w:t xml:space="preserve">A </w:t>
      </w:r>
      <w:r w:rsidRPr="00807DD4">
        <w:rPr>
          <w:szCs w:val="24"/>
        </w:rPr>
        <w:t xml:space="preserve">WSP must use and rotate the </w:t>
      </w:r>
      <w:r>
        <w:rPr>
          <w:szCs w:val="24"/>
        </w:rPr>
        <w:t xml:space="preserve">specified </w:t>
      </w:r>
      <w:r w:rsidRPr="00807DD4">
        <w:rPr>
          <w:szCs w:val="24"/>
        </w:rPr>
        <w:t>tagline</w:t>
      </w:r>
      <w:r>
        <w:rPr>
          <w:szCs w:val="24"/>
        </w:rPr>
        <w:t>/s and call to action,</w:t>
      </w:r>
      <w:r w:rsidRPr="00EE76F2">
        <w:rPr>
          <w:szCs w:val="24"/>
        </w:rPr>
        <w:t xml:space="preserve"> </w:t>
      </w:r>
      <w:r>
        <w:rPr>
          <w:szCs w:val="24"/>
        </w:rPr>
        <w:t>d</w:t>
      </w:r>
      <w:r w:rsidRPr="00EE76F2">
        <w:rPr>
          <w:szCs w:val="24"/>
        </w:rPr>
        <w:t xml:space="preserve">epending on the </w:t>
      </w:r>
      <w:r>
        <w:rPr>
          <w:szCs w:val="24"/>
        </w:rPr>
        <w:t>advertising platform that the gambling advertisement is being shown on.</w:t>
      </w:r>
      <w:r w:rsidRPr="00EE76F2">
        <w:rPr>
          <w:szCs w:val="24"/>
        </w:rPr>
        <w:t xml:space="preserve"> </w:t>
      </w:r>
    </w:p>
    <w:p w14:paraId="35A09CC9" w14:textId="04D219DC" w:rsidR="00807DD4" w:rsidRDefault="00807DD4" w:rsidP="00CF331B">
      <w:pPr>
        <w:rPr>
          <w:szCs w:val="24"/>
        </w:rPr>
      </w:pPr>
    </w:p>
    <w:p w14:paraId="0B36AF64" w14:textId="66463178" w:rsidR="00807DD4" w:rsidRPr="00807DD4" w:rsidRDefault="00807DD4" w:rsidP="00CF331B">
      <w:pPr>
        <w:rPr>
          <w:szCs w:val="24"/>
          <w:u w:val="single"/>
        </w:rPr>
      </w:pPr>
      <w:r w:rsidRPr="00807DD4">
        <w:rPr>
          <w:szCs w:val="24"/>
          <w:u w:val="single"/>
        </w:rPr>
        <w:lastRenderedPageBreak/>
        <w:t>Evidence-based taglines</w:t>
      </w:r>
    </w:p>
    <w:p w14:paraId="6F5FC302" w14:textId="77777777" w:rsidR="0061078F" w:rsidRDefault="0061078F" w:rsidP="0061078F">
      <w:pPr>
        <w:pStyle w:val="ListParagraph"/>
        <w:numPr>
          <w:ilvl w:val="0"/>
          <w:numId w:val="1"/>
        </w:numPr>
        <w:rPr>
          <w:szCs w:val="24"/>
        </w:rPr>
      </w:pPr>
      <w:r w:rsidRPr="0061078F">
        <w:rPr>
          <w:szCs w:val="24"/>
        </w:rPr>
        <w:t xml:space="preserve">Chances are you’re about to lose. </w:t>
      </w:r>
    </w:p>
    <w:p w14:paraId="03A9B924" w14:textId="77777777" w:rsidR="0061078F" w:rsidRDefault="0061078F" w:rsidP="0061078F">
      <w:pPr>
        <w:pStyle w:val="ListParagraph"/>
        <w:numPr>
          <w:ilvl w:val="0"/>
          <w:numId w:val="1"/>
        </w:numPr>
        <w:rPr>
          <w:szCs w:val="24"/>
        </w:rPr>
      </w:pPr>
      <w:r w:rsidRPr="0061078F">
        <w:rPr>
          <w:szCs w:val="24"/>
        </w:rPr>
        <w:t>Think. Is this a bet you really want to place?</w:t>
      </w:r>
    </w:p>
    <w:p w14:paraId="73856766" w14:textId="77777777" w:rsidR="0061078F" w:rsidRDefault="0061078F" w:rsidP="0061078F">
      <w:pPr>
        <w:pStyle w:val="ListParagraph"/>
        <w:numPr>
          <w:ilvl w:val="0"/>
          <w:numId w:val="1"/>
        </w:numPr>
        <w:rPr>
          <w:szCs w:val="24"/>
        </w:rPr>
      </w:pPr>
      <w:r w:rsidRPr="0061078F">
        <w:rPr>
          <w:szCs w:val="24"/>
        </w:rPr>
        <w:t>What’s gambling really costing you?</w:t>
      </w:r>
    </w:p>
    <w:p w14:paraId="02EDCEA2" w14:textId="77777777" w:rsidR="0061078F" w:rsidRDefault="0061078F" w:rsidP="0061078F">
      <w:pPr>
        <w:pStyle w:val="ListParagraph"/>
        <w:numPr>
          <w:ilvl w:val="0"/>
          <w:numId w:val="1"/>
        </w:numPr>
        <w:rPr>
          <w:szCs w:val="24"/>
        </w:rPr>
      </w:pPr>
      <w:r w:rsidRPr="0061078F">
        <w:rPr>
          <w:szCs w:val="24"/>
        </w:rPr>
        <w:t>What are you prepared to lose today? Set a deposit limit.</w:t>
      </w:r>
    </w:p>
    <w:p w14:paraId="1352D949" w14:textId="77777777" w:rsidR="0061078F" w:rsidRDefault="0061078F" w:rsidP="0061078F">
      <w:pPr>
        <w:pStyle w:val="ListParagraph"/>
        <w:numPr>
          <w:ilvl w:val="0"/>
          <w:numId w:val="1"/>
        </w:numPr>
        <w:rPr>
          <w:szCs w:val="24"/>
        </w:rPr>
      </w:pPr>
      <w:r w:rsidRPr="0061078F">
        <w:rPr>
          <w:szCs w:val="24"/>
        </w:rPr>
        <w:t>Imagine what you could be buying instead.</w:t>
      </w:r>
    </w:p>
    <w:p w14:paraId="6F8A3FA5" w14:textId="77777777" w:rsidR="0061078F" w:rsidRDefault="0061078F" w:rsidP="0061078F">
      <w:pPr>
        <w:pStyle w:val="ListParagraph"/>
        <w:numPr>
          <w:ilvl w:val="0"/>
          <w:numId w:val="1"/>
        </w:numPr>
        <w:rPr>
          <w:szCs w:val="24"/>
        </w:rPr>
      </w:pPr>
      <w:r w:rsidRPr="0061078F">
        <w:rPr>
          <w:szCs w:val="24"/>
        </w:rPr>
        <w:t>You win some. You lose more.</w:t>
      </w:r>
    </w:p>
    <w:p w14:paraId="6D9B352F" w14:textId="7B2903F8" w:rsidR="00807DD4" w:rsidRPr="0061078F" w:rsidRDefault="0061078F" w:rsidP="0061078F">
      <w:pPr>
        <w:pStyle w:val="ListParagraph"/>
        <w:numPr>
          <w:ilvl w:val="0"/>
          <w:numId w:val="1"/>
        </w:numPr>
        <w:rPr>
          <w:szCs w:val="24"/>
        </w:rPr>
      </w:pPr>
      <w:r w:rsidRPr="0061078F">
        <w:rPr>
          <w:szCs w:val="24"/>
        </w:rPr>
        <w:t>What are you really gambling with?</w:t>
      </w:r>
    </w:p>
    <w:p w14:paraId="37017369" w14:textId="77777777" w:rsidR="0061078F" w:rsidRDefault="0061078F" w:rsidP="00CF331B">
      <w:pPr>
        <w:rPr>
          <w:szCs w:val="24"/>
        </w:rPr>
      </w:pPr>
    </w:p>
    <w:p w14:paraId="6EEAE57F" w14:textId="48F3473E" w:rsidR="00807DD4" w:rsidRDefault="00807DD4" w:rsidP="00CF331B">
      <w:pPr>
        <w:rPr>
          <w:szCs w:val="24"/>
          <w:u w:val="single"/>
        </w:rPr>
      </w:pPr>
      <w:r w:rsidRPr="00807DD4">
        <w:rPr>
          <w:szCs w:val="24"/>
          <w:u w:val="single"/>
        </w:rPr>
        <w:t>Calls to action</w:t>
      </w:r>
    </w:p>
    <w:p w14:paraId="00D7527A" w14:textId="77777777" w:rsidR="001955AE" w:rsidRDefault="001955AE" w:rsidP="001955AE">
      <w:pPr>
        <w:pStyle w:val="ListParagraph"/>
        <w:numPr>
          <w:ilvl w:val="0"/>
          <w:numId w:val="1"/>
        </w:numPr>
        <w:rPr>
          <w:szCs w:val="24"/>
        </w:rPr>
      </w:pPr>
      <w:r w:rsidRPr="00E910FC">
        <w:rPr>
          <w:b/>
          <w:bCs/>
          <w:szCs w:val="24"/>
        </w:rPr>
        <w:t>The standard call to action is:</w:t>
      </w:r>
      <w:r w:rsidRPr="001955AE">
        <w:rPr>
          <w:szCs w:val="24"/>
        </w:rPr>
        <w:t xml:space="preserve"> </w:t>
      </w:r>
      <w:r w:rsidRPr="00161228">
        <w:rPr>
          <w:i/>
          <w:iCs/>
          <w:szCs w:val="24"/>
        </w:rPr>
        <w:t>For free and confidential support call 1800 858 858 or visit gamblinghelponline.org.au</w:t>
      </w:r>
    </w:p>
    <w:p w14:paraId="2A623F75" w14:textId="77777777" w:rsidR="001955AE" w:rsidRDefault="001955AE" w:rsidP="001955AE">
      <w:pPr>
        <w:pStyle w:val="ListParagraph"/>
        <w:numPr>
          <w:ilvl w:val="0"/>
          <w:numId w:val="1"/>
        </w:numPr>
        <w:rPr>
          <w:szCs w:val="24"/>
        </w:rPr>
      </w:pPr>
      <w:r w:rsidRPr="00E910FC">
        <w:rPr>
          <w:b/>
          <w:bCs/>
          <w:szCs w:val="24"/>
        </w:rPr>
        <w:t>The modified call to action for TV and Video advertising is:</w:t>
      </w:r>
      <w:r w:rsidRPr="001955AE">
        <w:rPr>
          <w:szCs w:val="24"/>
        </w:rPr>
        <w:t xml:space="preserve"> </w:t>
      </w:r>
      <w:r w:rsidRPr="00173FC7">
        <w:rPr>
          <w:i/>
          <w:iCs/>
          <w:szCs w:val="24"/>
        </w:rPr>
        <w:t>For free and confidential support, call the number on the screen or visit the website.</w:t>
      </w:r>
    </w:p>
    <w:p w14:paraId="73E934A3" w14:textId="77777777" w:rsidR="001955AE" w:rsidRDefault="001955AE" w:rsidP="001955AE">
      <w:pPr>
        <w:pStyle w:val="ListParagraph"/>
        <w:numPr>
          <w:ilvl w:val="0"/>
          <w:numId w:val="1"/>
        </w:numPr>
        <w:rPr>
          <w:szCs w:val="24"/>
        </w:rPr>
      </w:pPr>
      <w:r w:rsidRPr="00E910FC">
        <w:rPr>
          <w:b/>
          <w:bCs/>
          <w:szCs w:val="24"/>
        </w:rPr>
        <w:t>The modified call to action for Radio advertising is:</w:t>
      </w:r>
      <w:r w:rsidRPr="001955AE">
        <w:rPr>
          <w:szCs w:val="24"/>
        </w:rPr>
        <w:t xml:space="preserve"> </w:t>
      </w:r>
      <w:r w:rsidRPr="00173FC7">
        <w:rPr>
          <w:i/>
          <w:iCs/>
          <w:szCs w:val="24"/>
        </w:rPr>
        <w:t>For free and confidential support visit gamblinghelponline.org.au.</w:t>
      </w:r>
    </w:p>
    <w:p w14:paraId="30BD976D" w14:textId="3293BDD8" w:rsidR="00807DD4" w:rsidRPr="001955AE" w:rsidRDefault="001955AE" w:rsidP="00CF331B">
      <w:pPr>
        <w:pStyle w:val="ListParagraph"/>
        <w:numPr>
          <w:ilvl w:val="0"/>
          <w:numId w:val="1"/>
        </w:numPr>
        <w:rPr>
          <w:szCs w:val="24"/>
        </w:rPr>
      </w:pPr>
      <w:r w:rsidRPr="00E910FC">
        <w:rPr>
          <w:b/>
          <w:bCs/>
          <w:szCs w:val="24"/>
        </w:rPr>
        <w:t>The shortened call to action is:</w:t>
      </w:r>
      <w:r w:rsidRPr="001955AE">
        <w:rPr>
          <w:szCs w:val="24"/>
        </w:rPr>
        <w:t xml:space="preserve"> </w:t>
      </w:r>
      <w:r w:rsidRPr="00173FC7">
        <w:rPr>
          <w:i/>
          <w:iCs/>
          <w:szCs w:val="24"/>
        </w:rPr>
        <w:t>Set a deposit limit.</w:t>
      </w:r>
    </w:p>
    <w:p w14:paraId="3C23555A" w14:textId="77777777" w:rsidR="00807DD4" w:rsidRDefault="00807DD4" w:rsidP="00CF331B">
      <w:pPr>
        <w:rPr>
          <w:szCs w:val="24"/>
        </w:rPr>
      </w:pPr>
    </w:p>
    <w:p w14:paraId="727CAA26" w14:textId="3D28FB47" w:rsidR="00EF0766" w:rsidRPr="00EE76F2" w:rsidRDefault="00EF0766" w:rsidP="00EF0766">
      <w:pPr>
        <w:rPr>
          <w:szCs w:val="24"/>
        </w:rPr>
      </w:pPr>
      <w:r>
        <w:rPr>
          <w:szCs w:val="24"/>
        </w:rPr>
        <w:t>The exceptions are:</w:t>
      </w:r>
    </w:p>
    <w:p w14:paraId="38B60BAE" w14:textId="16104E5C" w:rsidR="00EF0766" w:rsidRPr="00EF0766" w:rsidRDefault="00EF0766" w:rsidP="00EF0766">
      <w:pPr>
        <w:pStyle w:val="ListParagraph"/>
        <w:numPr>
          <w:ilvl w:val="0"/>
          <w:numId w:val="1"/>
        </w:numPr>
        <w:rPr>
          <w:szCs w:val="24"/>
        </w:rPr>
      </w:pPr>
      <w:r>
        <w:rPr>
          <w:szCs w:val="24"/>
        </w:rPr>
        <w:t>S</w:t>
      </w:r>
      <w:r w:rsidRPr="00EF0766">
        <w:rPr>
          <w:szCs w:val="24"/>
        </w:rPr>
        <w:t>hort form TV and video advertising (15 seconds or less) do not require the call to action to be spoken, rather the call to action must be displayed on the screen</w:t>
      </w:r>
      <w:r w:rsidR="003A4831">
        <w:rPr>
          <w:szCs w:val="24"/>
        </w:rPr>
        <w:t>.</w:t>
      </w:r>
    </w:p>
    <w:p w14:paraId="0F3C1F12" w14:textId="37C9D1DA" w:rsidR="00EF0766" w:rsidRPr="00EF0766" w:rsidRDefault="00EF0766" w:rsidP="00EF0766">
      <w:pPr>
        <w:pStyle w:val="ListParagraph"/>
        <w:numPr>
          <w:ilvl w:val="0"/>
          <w:numId w:val="1"/>
        </w:numPr>
        <w:rPr>
          <w:szCs w:val="24"/>
        </w:rPr>
      </w:pPr>
      <w:r>
        <w:rPr>
          <w:szCs w:val="24"/>
        </w:rPr>
        <w:t>R</w:t>
      </w:r>
      <w:r w:rsidRPr="00EF0766">
        <w:rPr>
          <w:szCs w:val="24"/>
        </w:rPr>
        <w:t>adio advertising (15 seconds or less) only the tagline is to be spoken</w:t>
      </w:r>
      <w:r w:rsidR="003A4831">
        <w:rPr>
          <w:szCs w:val="24"/>
        </w:rPr>
        <w:t>.</w:t>
      </w:r>
    </w:p>
    <w:p w14:paraId="3BE92F9D" w14:textId="1A8CB9FF" w:rsidR="00EF0766" w:rsidRPr="00EF0766" w:rsidRDefault="00EF0766" w:rsidP="00EF0766">
      <w:pPr>
        <w:pStyle w:val="ListParagraph"/>
        <w:numPr>
          <w:ilvl w:val="0"/>
          <w:numId w:val="1"/>
        </w:numPr>
        <w:rPr>
          <w:szCs w:val="24"/>
        </w:rPr>
      </w:pPr>
      <w:r>
        <w:rPr>
          <w:szCs w:val="24"/>
        </w:rPr>
        <w:t>D</w:t>
      </w:r>
      <w:r w:rsidRPr="00EF0766">
        <w:rPr>
          <w:szCs w:val="24"/>
        </w:rPr>
        <w:t>igital advertising and social media with very restricted character counts (such as Twitter, but not Facebook or Instagram etc.) for which a shortened call to action is to be used.</w:t>
      </w:r>
    </w:p>
    <w:p w14:paraId="20658A70" w14:textId="77777777" w:rsidR="00EF0766" w:rsidRDefault="00EF0766" w:rsidP="00CF331B">
      <w:pPr>
        <w:rPr>
          <w:szCs w:val="24"/>
        </w:rPr>
      </w:pPr>
    </w:p>
    <w:bookmarkEnd w:id="1"/>
    <w:p w14:paraId="69A163EB" w14:textId="718E1138" w:rsidR="00CF331B" w:rsidRPr="00CB4227" w:rsidRDefault="00CF331B" w:rsidP="00CF331B">
      <w:pPr>
        <w:rPr>
          <w:b/>
          <w:bCs/>
          <w:szCs w:val="24"/>
        </w:rPr>
      </w:pPr>
      <w:r w:rsidRPr="00CB4227">
        <w:rPr>
          <w:b/>
          <w:bCs/>
          <w:szCs w:val="24"/>
        </w:rPr>
        <w:t>HUMAN RIGHTS IMPACTS</w:t>
      </w:r>
    </w:p>
    <w:p w14:paraId="4E45E049" w14:textId="77777777" w:rsidR="008E55E5" w:rsidRDefault="008E55E5" w:rsidP="00CF331B">
      <w:pPr>
        <w:rPr>
          <w:szCs w:val="24"/>
        </w:rPr>
      </w:pPr>
    </w:p>
    <w:p w14:paraId="248DAD64" w14:textId="2DDB4519" w:rsidR="008E55E5" w:rsidRDefault="008E55E5" w:rsidP="00CF331B">
      <w:pPr>
        <w:rPr>
          <w:szCs w:val="24"/>
        </w:rPr>
      </w:pPr>
      <w:r w:rsidRPr="008E55E5">
        <w:rPr>
          <w:szCs w:val="24"/>
        </w:rPr>
        <w:t>The Amendment Regulation imposes obligations on Tabcorp ACT (a corporation)</w:t>
      </w:r>
      <w:r w:rsidR="00D36CAA">
        <w:rPr>
          <w:szCs w:val="24"/>
        </w:rPr>
        <w:t>. T</w:t>
      </w:r>
      <w:r w:rsidR="00BD108D">
        <w:rPr>
          <w:szCs w:val="24"/>
        </w:rPr>
        <w:t>abcorp</w:t>
      </w:r>
      <w:r w:rsidR="00D36CAA">
        <w:rPr>
          <w:szCs w:val="24"/>
        </w:rPr>
        <w:t xml:space="preserve"> ACT is</w:t>
      </w:r>
      <w:r w:rsidRPr="008E55E5">
        <w:rPr>
          <w:szCs w:val="24"/>
        </w:rPr>
        <w:t xml:space="preserve"> current</w:t>
      </w:r>
      <w:r w:rsidR="00BD108D">
        <w:rPr>
          <w:szCs w:val="24"/>
        </w:rPr>
        <w:t>ly the</w:t>
      </w:r>
      <w:r w:rsidRPr="008E55E5">
        <w:rPr>
          <w:szCs w:val="24"/>
        </w:rPr>
        <w:t xml:space="preserve"> sole online wagering service provider licensed in the ACT.</w:t>
      </w:r>
    </w:p>
    <w:p w14:paraId="68145BBE" w14:textId="70106CB9" w:rsidR="00941C12" w:rsidRDefault="00941C12" w:rsidP="00CF331B">
      <w:pPr>
        <w:rPr>
          <w:szCs w:val="24"/>
        </w:rPr>
      </w:pPr>
    </w:p>
    <w:p w14:paraId="4127FA34" w14:textId="23557955" w:rsidR="00941C12" w:rsidRDefault="00941C12" w:rsidP="00CF331B">
      <w:pPr>
        <w:rPr>
          <w:szCs w:val="24"/>
        </w:rPr>
      </w:pPr>
      <w:r w:rsidRPr="00941C12">
        <w:rPr>
          <w:szCs w:val="24"/>
        </w:rPr>
        <w:t>Through reducing the risk of gambling harm, the measures included in the Amendment Regulation can be considered to support the right to the protection of the family and children (section 11 of the Human Rights Act 2004 (HRA)).</w:t>
      </w:r>
    </w:p>
    <w:p w14:paraId="211C7BAF" w14:textId="5CC1BF31" w:rsidR="006464BB" w:rsidRDefault="006464BB" w:rsidP="00CF331B">
      <w:pPr>
        <w:rPr>
          <w:szCs w:val="24"/>
        </w:rPr>
      </w:pPr>
    </w:p>
    <w:p w14:paraId="6B4384E6" w14:textId="77777777" w:rsidR="006464BB" w:rsidRPr="006464BB" w:rsidRDefault="006464BB" w:rsidP="006464BB">
      <w:pPr>
        <w:rPr>
          <w:b/>
          <w:bCs/>
          <w:szCs w:val="24"/>
        </w:rPr>
      </w:pPr>
      <w:r w:rsidRPr="006464BB">
        <w:rPr>
          <w:b/>
          <w:bCs/>
          <w:szCs w:val="24"/>
        </w:rPr>
        <w:t>CONSISTENCY WITH HUMAN RIGHTS</w:t>
      </w:r>
    </w:p>
    <w:p w14:paraId="2DA00400" w14:textId="77777777" w:rsidR="006464BB" w:rsidRDefault="006464BB" w:rsidP="006464BB">
      <w:pPr>
        <w:rPr>
          <w:szCs w:val="24"/>
        </w:rPr>
      </w:pPr>
    </w:p>
    <w:p w14:paraId="184E4E9D" w14:textId="6EC648E4" w:rsidR="006464BB" w:rsidRDefault="006464BB" w:rsidP="006464BB">
      <w:pPr>
        <w:rPr>
          <w:szCs w:val="24"/>
        </w:rPr>
      </w:pPr>
      <w:r w:rsidRPr="006464BB">
        <w:rPr>
          <w:szCs w:val="24"/>
        </w:rPr>
        <w:t>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w:t>
      </w:r>
    </w:p>
    <w:p w14:paraId="47E74B50" w14:textId="77777777" w:rsidR="006464BB" w:rsidRPr="006464BB" w:rsidRDefault="006464BB" w:rsidP="006464BB">
      <w:pPr>
        <w:rPr>
          <w:szCs w:val="24"/>
        </w:rPr>
      </w:pPr>
    </w:p>
    <w:p w14:paraId="0FD093BE" w14:textId="555A9AC0" w:rsidR="006464BB" w:rsidRPr="006464BB" w:rsidRDefault="006464BB" w:rsidP="006464BB">
      <w:pPr>
        <w:rPr>
          <w:szCs w:val="24"/>
        </w:rPr>
      </w:pPr>
      <w:r w:rsidRPr="006464BB">
        <w:rPr>
          <w:szCs w:val="24"/>
        </w:rPr>
        <w:t>The European Court of Human Rights has considered the positive obligation of governments to uphold rights in depth, noting governments must put in place legislative and administrative frameworks to deter conduct that infringes rights, and to undertake operational measures to protect an individual who is at risk of rights infringement.</w:t>
      </w:r>
      <w:r w:rsidR="00DA1848" w:rsidRPr="006464BB">
        <w:rPr>
          <w:szCs w:val="24"/>
        </w:rPr>
        <w:t xml:space="preserve"> </w:t>
      </w:r>
    </w:p>
    <w:p w14:paraId="722C75D9" w14:textId="77777777" w:rsidR="008E55E5" w:rsidRDefault="008E55E5" w:rsidP="00CF331B">
      <w:pPr>
        <w:rPr>
          <w:szCs w:val="24"/>
        </w:rPr>
      </w:pPr>
    </w:p>
    <w:p w14:paraId="57623526" w14:textId="77777777" w:rsidR="007D76C4" w:rsidRPr="007D76C4" w:rsidRDefault="007D76C4" w:rsidP="007D76C4">
      <w:pPr>
        <w:rPr>
          <w:b/>
          <w:bCs/>
          <w:szCs w:val="24"/>
        </w:rPr>
      </w:pPr>
      <w:r w:rsidRPr="007D76C4">
        <w:rPr>
          <w:b/>
          <w:bCs/>
          <w:szCs w:val="24"/>
        </w:rPr>
        <w:lastRenderedPageBreak/>
        <w:t>REGULATORY IMPACT STATEMENT</w:t>
      </w:r>
    </w:p>
    <w:p w14:paraId="6D9DD76E" w14:textId="77777777" w:rsidR="007D76C4" w:rsidRPr="007D76C4" w:rsidRDefault="007D76C4" w:rsidP="007D76C4">
      <w:pPr>
        <w:rPr>
          <w:szCs w:val="24"/>
        </w:rPr>
      </w:pPr>
    </w:p>
    <w:p w14:paraId="0BB804C3" w14:textId="77777777" w:rsidR="00DA1848" w:rsidRDefault="00DA1848" w:rsidP="00DA1848">
      <w:pPr>
        <w:pStyle w:val="NormalWeb"/>
        <w:shd w:val="clear" w:color="auto" w:fill="FFFFFF"/>
        <w:spacing w:before="0" w:beforeAutospacing="0" w:after="0" w:afterAutospacing="0"/>
        <w:rPr>
          <w:color w:val="000000"/>
        </w:rPr>
      </w:pPr>
      <w:r>
        <w:rPr>
          <w:color w:val="000000"/>
        </w:rPr>
        <w:t>Section 34 of the </w:t>
      </w:r>
      <w:r>
        <w:rPr>
          <w:i/>
          <w:iCs/>
          <w:color w:val="000000"/>
        </w:rPr>
        <w:t>Legislation Act 2001</w:t>
      </w:r>
      <w:r>
        <w:rPr>
          <w:color w:val="000000"/>
        </w:rPr>
        <w:t> requires the preparation of a Regulatory Impact Statement where a subordinate law is likely to impose appreciable costs on the community, or a part of the community.</w:t>
      </w:r>
    </w:p>
    <w:p w14:paraId="2D9B5E38" w14:textId="77777777" w:rsidR="00DA1848" w:rsidRDefault="00DA1848" w:rsidP="00DA1848">
      <w:pPr>
        <w:pStyle w:val="NormalWeb"/>
        <w:shd w:val="clear" w:color="auto" w:fill="FFFFFF"/>
        <w:spacing w:before="0" w:beforeAutospacing="0" w:after="0" w:afterAutospacing="0"/>
        <w:rPr>
          <w:color w:val="000000"/>
        </w:rPr>
      </w:pPr>
      <w:r>
        <w:rPr>
          <w:color w:val="000000"/>
        </w:rPr>
        <w:t> </w:t>
      </w:r>
    </w:p>
    <w:p w14:paraId="3C7A58B8" w14:textId="77777777" w:rsidR="00DA1848" w:rsidRDefault="00DA1848" w:rsidP="00DA1848">
      <w:pPr>
        <w:pStyle w:val="NormalWeb"/>
        <w:shd w:val="clear" w:color="auto" w:fill="FFFFFF"/>
        <w:spacing w:before="0" w:beforeAutospacing="0" w:after="0" w:afterAutospacing="0"/>
        <w:rPr>
          <w:color w:val="000000"/>
        </w:rPr>
      </w:pPr>
      <w:r>
        <w:rPr>
          <w:color w:val="000000"/>
        </w:rPr>
        <w:t>Since the Amendment Regulation will place additional obligations on online wagering service providers licensed in the ACT, a Regulatory Impact Statement has been prepared as required. </w:t>
      </w:r>
    </w:p>
    <w:p w14:paraId="3CAA6489" w14:textId="77777777" w:rsidR="00DA1848" w:rsidRDefault="00DA1848" w:rsidP="00DA1848">
      <w:pPr>
        <w:pStyle w:val="NormalWeb"/>
        <w:shd w:val="clear" w:color="auto" w:fill="FFFFFF"/>
        <w:spacing w:before="0" w:beforeAutospacing="0" w:after="0" w:afterAutospacing="0"/>
        <w:rPr>
          <w:color w:val="000000"/>
        </w:rPr>
      </w:pPr>
      <w:r>
        <w:rPr>
          <w:color w:val="000000"/>
        </w:rPr>
        <w:t> </w:t>
      </w:r>
    </w:p>
    <w:p w14:paraId="4F91A658" w14:textId="78D630C5" w:rsidR="00D476FA" w:rsidRPr="00FC5513" w:rsidRDefault="00BD108D" w:rsidP="00FC5513">
      <w:pPr>
        <w:pStyle w:val="NormalWeb"/>
        <w:shd w:val="clear" w:color="auto" w:fill="FFFFFF"/>
        <w:spacing w:before="0" w:beforeAutospacing="0" w:after="0" w:afterAutospacing="0"/>
        <w:rPr>
          <w:color w:val="000000"/>
        </w:rPr>
      </w:pPr>
      <w:r>
        <w:rPr>
          <w:color w:val="000000"/>
        </w:rPr>
        <w:t>The</w:t>
      </w:r>
      <w:r w:rsidR="00FE1E93">
        <w:rPr>
          <w:color w:val="000000"/>
        </w:rPr>
        <w:t xml:space="preserve"> RIS should be read in conjunction with the RIS prepared in 2019 when amendments were made to the Gambling and Racing Control (Code of Practice) Regulation to implement the </w:t>
      </w:r>
      <w:r w:rsidR="00FC5513">
        <w:rPr>
          <w:color w:val="000000"/>
        </w:rPr>
        <w:t>first tranche of NCPF measures (see </w:t>
      </w:r>
      <w:r w:rsidR="00FC5513">
        <w:rPr>
          <w:i/>
          <w:iCs/>
          <w:color w:val="000000"/>
        </w:rPr>
        <w:t>Gambling and Racing Control (Code of Practice) Amendment Regulation 2019</w:t>
      </w:r>
      <w:r w:rsidR="00FC5513">
        <w:rPr>
          <w:color w:val="000000"/>
        </w:rPr>
        <w:t> (No 1) SL2019-10).</w:t>
      </w:r>
      <w:r w:rsidR="002B2939">
        <w:rPr>
          <w:color w:val="000000"/>
        </w:rPr>
        <w:t xml:space="preserve"> </w:t>
      </w:r>
      <w:r w:rsidR="00D476FA" w:rsidRPr="00CB4227">
        <w:t xml:space="preserve">The 2019 RIS contained a comprehensive cost assessment and benefit analysis for each measure. </w:t>
      </w:r>
    </w:p>
    <w:p w14:paraId="472B4E9F" w14:textId="6373F7C3" w:rsidR="003169D8" w:rsidRDefault="003169D8" w:rsidP="007D76C4">
      <w:pPr>
        <w:rPr>
          <w:szCs w:val="24"/>
        </w:rPr>
      </w:pPr>
    </w:p>
    <w:p w14:paraId="71982741" w14:textId="5CA2F2B2" w:rsidR="003169D8" w:rsidRPr="003169D8" w:rsidRDefault="003169D8" w:rsidP="003169D8">
      <w:pPr>
        <w:rPr>
          <w:b/>
          <w:bCs/>
          <w:szCs w:val="24"/>
        </w:rPr>
      </w:pPr>
      <w:r w:rsidRPr="003169D8">
        <w:rPr>
          <w:b/>
          <w:bCs/>
          <w:szCs w:val="24"/>
        </w:rPr>
        <w:t>NOTES ON CLAUSES</w:t>
      </w:r>
    </w:p>
    <w:p w14:paraId="7526D5A2" w14:textId="77777777" w:rsidR="003169D8" w:rsidRPr="003169D8" w:rsidRDefault="003169D8" w:rsidP="003169D8">
      <w:pPr>
        <w:rPr>
          <w:szCs w:val="24"/>
        </w:rPr>
      </w:pPr>
    </w:p>
    <w:p w14:paraId="580F259C" w14:textId="03473E7B" w:rsidR="003169D8" w:rsidRPr="003169D8" w:rsidRDefault="003169D8" w:rsidP="003169D8">
      <w:pPr>
        <w:rPr>
          <w:b/>
          <w:bCs/>
          <w:szCs w:val="24"/>
        </w:rPr>
      </w:pPr>
      <w:r w:rsidRPr="003169D8">
        <w:rPr>
          <w:b/>
          <w:bCs/>
          <w:szCs w:val="24"/>
        </w:rPr>
        <w:t>Clause 1 – Name of regulation</w:t>
      </w:r>
    </w:p>
    <w:p w14:paraId="729CE8CA" w14:textId="7D362EEB" w:rsidR="003169D8" w:rsidRPr="003A0C6F" w:rsidRDefault="003169D8" w:rsidP="00A54F80">
      <w:pPr>
        <w:rPr>
          <w:szCs w:val="24"/>
        </w:rPr>
      </w:pPr>
      <w:r w:rsidRPr="003A0C6F">
        <w:rPr>
          <w:szCs w:val="24"/>
        </w:rPr>
        <w:t xml:space="preserve">Clause 1 is a formal provision setting out the name of the </w:t>
      </w:r>
      <w:r w:rsidRPr="000C5DC6">
        <w:rPr>
          <w:i/>
          <w:iCs/>
          <w:szCs w:val="24"/>
        </w:rPr>
        <w:t>Amendment Regulation as the</w:t>
      </w:r>
      <w:r w:rsidR="00A54F80" w:rsidRPr="000C5DC6">
        <w:rPr>
          <w:i/>
          <w:iCs/>
          <w:szCs w:val="24"/>
        </w:rPr>
        <w:t xml:space="preserve"> Gambling and Racing Control (Code of Practice) Amendment Regulation 2023</w:t>
      </w:r>
      <w:r w:rsidR="006954CC">
        <w:rPr>
          <w:i/>
          <w:iCs/>
          <w:szCs w:val="24"/>
        </w:rPr>
        <w:t xml:space="preserve"> (No 1)</w:t>
      </w:r>
      <w:r w:rsidR="00C51075">
        <w:rPr>
          <w:i/>
          <w:iCs/>
          <w:szCs w:val="24"/>
        </w:rPr>
        <w:t>.</w:t>
      </w:r>
    </w:p>
    <w:p w14:paraId="56D77325" w14:textId="22693400" w:rsidR="00DF6571" w:rsidRDefault="00DF6571" w:rsidP="003169D8">
      <w:pPr>
        <w:rPr>
          <w:szCs w:val="24"/>
        </w:rPr>
      </w:pPr>
    </w:p>
    <w:p w14:paraId="25CCD3C5" w14:textId="7753BF05" w:rsidR="003169D8" w:rsidRPr="00A54F80" w:rsidRDefault="00DF6571" w:rsidP="003169D8">
      <w:pPr>
        <w:rPr>
          <w:b/>
          <w:bCs/>
          <w:szCs w:val="24"/>
        </w:rPr>
      </w:pPr>
      <w:r w:rsidRPr="00A54F80">
        <w:rPr>
          <w:b/>
          <w:bCs/>
          <w:szCs w:val="24"/>
        </w:rPr>
        <w:t>C</w:t>
      </w:r>
      <w:r w:rsidR="003169D8" w:rsidRPr="00A54F80">
        <w:rPr>
          <w:b/>
          <w:bCs/>
          <w:szCs w:val="24"/>
        </w:rPr>
        <w:t>lause 2 – Commencement</w:t>
      </w:r>
    </w:p>
    <w:p w14:paraId="3DE4F313" w14:textId="2DD2D97D" w:rsidR="003169D8" w:rsidRPr="004879FB" w:rsidRDefault="003169D8" w:rsidP="003169D8">
      <w:pPr>
        <w:rPr>
          <w:szCs w:val="24"/>
        </w:rPr>
      </w:pPr>
      <w:r w:rsidRPr="004879FB">
        <w:rPr>
          <w:szCs w:val="24"/>
        </w:rPr>
        <w:t>Clause 2 provides</w:t>
      </w:r>
      <w:r w:rsidR="003130B1">
        <w:rPr>
          <w:szCs w:val="24"/>
        </w:rPr>
        <w:t xml:space="preserve"> that the Amendment R</w:t>
      </w:r>
      <w:r w:rsidR="003130B1" w:rsidRPr="003130B1">
        <w:rPr>
          <w:szCs w:val="24"/>
        </w:rPr>
        <w:t>egulation commences on the day after its</w:t>
      </w:r>
      <w:r w:rsidR="003130B1">
        <w:rPr>
          <w:szCs w:val="24"/>
        </w:rPr>
        <w:t xml:space="preserve"> </w:t>
      </w:r>
      <w:r w:rsidR="003130B1" w:rsidRPr="003130B1">
        <w:rPr>
          <w:szCs w:val="24"/>
        </w:rPr>
        <w:t>notification day</w:t>
      </w:r>
      <w:r w:rsidR="003130B1">
        <w:rPr>
          <w:szCs w:val="24"/>
        </w:rPr>
        <w:t xml:space="preserve">. </w:t>
      </w:r>
    </w:p>
    <w:p w14:paraId="3102A4BD" w14:textId="3540DF78" w:rsidR="003169D8" w:rsidRPr="007E43DA" w:rsidRDefault="003169D8" w:rsidP="003169D8">
      <w:pPr>
        <w:rPr>
          <w:szCs w:val="24"/>
          <w:highlight w:val="yellow"/>
        </w:rPr>
      </w:pPr>
      <w:r w:rsidRPr="007E43DA">
        <w:rPr>
          <w:szCs w:val="24"/>
          <w:highlight w:val="yellow"/>
        </w:rPr>
        <w:t xml:space="preserve"> </w:t>
      </w:r>
    </w:p>
    <w:p w14:paraId="4D76C751" w14:textId="21E605B5" w:rsidR="003169D8" w:rsidRPr="00F7013B" w:rsidRDefault="003169D8" w:rsidP="003169D8">
      <w:pPr>
        <w:rPr>
          <w:b/>
          <w:bCs/>
          <w:szCs w:val="24"/>
        </w:rPr>
      </w:pPr>
      <w:r w:rsidRPr="00F7013B">
        <w:rPr>
          <w:b/>
          <w:bCs/>
          <w:szCs w:val="24"/>
        </w:rPr>
        <w:t>Clause 3 – Legislation amended</w:t>
      </w:r>
    </w:p>
    <w:p w14:paraId="04A33C9B" w14:textId="05F11512" w:rsidR="00007CB8" w:rsidRDefault="003169D8" w:rsidP="003169D8">
      <w:pPr>
        <w:rPr>
          <w:szCs w:val="24"/>
        </w:rPr>
      </w:pPr>
      <w:r w:rsidRPr="00E16B29">
        <w:rPr>
          <w:szCs w:val="24"/>
        </w:rPr>
        <w:t xml:space="preserve">Clause 3 provides that the Amendment Regulation amends the </w:t>
      </w:r>
      <w:r w:rsidRPr="00E16B29">
        <w:rPr>
          <w:i/>
          <w:iCs/>
          <w:szCs w:val="24"/>
        </w:rPr>
        <w:t>Gambling and Racing Control (Code of Practice) Regulation 2002</w:t>
      </w:r>
      <w:r w:rsidRPr="00E16B29">
        <w:rPr>
          <w:szCs w:val="24"/>
        </w:rPr>
        <w:t>.</w:t>
      </w:r>
    </w:p>
    <w:p w14:paraId="0CC2133B" w14:textId="43C350D0" w:rsidR="00C51075" w:rsidRDefault="00C51075" w:rsidP="003169D8">
      <w:pPr>
        <w:rPr>
          <w:szCs w:val="24"/>
        </w:rPr>
      </w:pPr>
    </w:p>
    <w:p w14:paraId="50E785C7" w14:textId="66FF23EB" w:rsidR="003169D8" w:rsidRDefault="003169D8" w:rsidP="003169D8">
      <w:pPr>
        <w:rPr>
          <w:b/>
          <w:bCs/>
          <w:i/>
          <w:iCs/>
          <w:szCs w:val="24"/>
        </w:rPr>
      </w:pPr>
      <w:r w:rsidRPr="00721380">
        <w:rPr>
          <w:b/>
          <w:bCs/>
          <w:szCs w:val="24"/>
        </w:rPr>
        <w:t>Clause 4 – Schedule 1,</w:t>
      </w:r>
      <w:r w:rsidR="00B00E89">
        <w:rPr>
          <w:b/>
          <w:bCs/>
          <w:szCs w:val="24"/>
        </w:rPr>
        <w:t xml:space="preserve"> section 1.1A, definition of </w:t>
      </w:r>
      <w:r w:rsidR="00B00E89" w:rsidRPr="00B00E89">
        <w:rPr>
          <w:b/>
          <w:bCs/>
          <w:i/>
          <w:iCs/>
          <w:szCs w:val="24"/>
        </w:rPr>
        <w:t>direct marketing</w:t>
      </w:r>
    </w:p>
    <w:p w14:paraId="0276E4F3" w14:textId="02F105CF" w:rsidR="0006712D" w:rsidRDefault="000C5DC6" w:rsidP="003169D8">
      <w:pPr>
        <w:rPr>
          <w:szCs w:val="24"/>
        </w:rPr>
      </w:pPr>
      <w:r>
        <w:rPr>
          <w:szCs w:val="24"/>
        </w:rPr>
        <w:t>C</w:t>
      </w:r>
      <w:r w:rsidR="00551B25">
        <w:rPr>
          <w:szCs w:val="24"/>
        </w:rPr>
        <w:t>lause</w:t>
      </w:r>
      <w:r>
        <w:rPr>
          <w:szCs w:val="24"/>
        </w:rPr>
        <w:t xml:space="preserve"> 4</w:t>
      </w:r>
      <w:r w:rsidR="00551B25">
        <w:rPr>
          <w:szCs w:val="24"/>
        </w:rPr>
        <w:t xml:space="preserve"> </w:t>
      </w:r>
      <w:r w:rsidR="0006712D">
        <w:rPr>
          <w:szCs w:val="24"/>
        </w:rPr>
        <w:t>omits ‘internet application’ and substitutes it with ‘app’.</w:t>
      </w:r>
    </w:p>
    <w:p w14:paraId="3A4F5568" w14:textId="108C59B1" w:rsidR="00E460CB" w:rsidRDefault="00E460CB" w:rsidP="003169D8">
      <w:pPr>
        <w:rPr>
          <w:szCs w:val="24"/>
        </w:rPr>
      </w:pPr>
    </w:p>
    <w:p w14:paraId="71AA20E6" w14:textId="77777777" w:rsidR="00551B25" w:rsidRPr="00551B25" w:rsidRDefault="00E460CB" w:rsidP="003169D8">
      <w:pPr>
        <w:rPr>
          <w:b/>
          <w:bCs/>
          <w:szCs w:val="24"/>
        </w:rPr>
      </w:pPr>
      <w:r w:rsidRPr="00551B25">
        <w:rPr>
          <w:b/>
          <w:bCs/>
          <w:szCs w:val="24"/>
        </w:rPr>
        <w:t>Clause 5 – Schedule 1, section 1.1A</w:t>
      </w:r>
    </w:p>
    <w:p w14:paraId="745D3D18" w14:textId="1AD756DE" w:rsidR="00E460CB" w:rsidRDefault="008F03ED" w:rsidP="003169D8">
      <w:pPr>
        <w:rPr>
          <w:szCs w:val="24"/>
        </w:rPr>
      </w:pPr>
      <w:r>
        <w:rPr>
          <w:szCs w:val="24"/>
        </w:rPr>
        <w:t>C</w:t>
      </w:r>
      <w:r w:rsidR="00551B25">
        <w:rPr>
          <w:szCs w:val="24"/>
        </w:rPr>
        <w:t>lause</w:t>
      </w:r>
      <w:r>
        <w:rPr>
          <w:szCs w:val="24"/>
        </w:rPr>
        <w:t xml:space="preserve"> 5</w:t>
      </w:r>
      <w:r w:rsidR="00551B25">
        <w:rPr>
          <w:szCs w:val="24"/>
        </w:rPr>
        <w:t xml:space="preserve"> </w:t>
      </w:r>
      <w:r w:rsidR="00E460CB">
        <w:rPr>
          <w:szCs w:val="24"/>
        </w:rPr>
        <w:t xml:space="preserve">inserts </w:t>
      </w:r>
      <w:r>
        <w:rPr>
          <w:szCs w:val="24"/>
        </w:rPr>
        <w:t>that</w:t>
      </w:r>
      <w:r w:rsidRPr="008F03ED">
        <w:rPr>
          <w:szCs w:val="24"/>
        </w:rPr>
        <w:t xml:space="preserve"> electronic sports bookmaking licensee means the holder of a sports bookmaking licence under the </w:t>
      </w:r>
      <w:r w:rsidRPr="00335645">
        <w:rPr>
          <w:i/>
          <w:iCs/>
          <w:szCs w:val="24"/>
        </w:rPr>
        <w:t>Race and Sports Bookmaking Act 2001</w:t>
      </w:r>
      <w:r w:rsidRPr="008F03ED">
        <w:rPr>
          <w:szCs w:val="24"/>
        </w:rPr>
        <w:t xml:space="preserve"> who accepts a bet using a telecommunication service. </w:t>
      </w:r>
      <w:r>
        <w:rPr>
          <w:szCs w:val="24"/>
        </w:rPr>
        <w:t>E</w:t>
      </w:r>
      <w:r w:rsidRPr="008F03ED">
        <w:rPr>
          <w:szCs w:val="24"/>
        </w:rPr>
        <w:t xml:space="preserve">lectronic totalisator licensee means the holder of a totalisator licence under the </w:t>
      </w:r>
      <w:r w:rsidRPr="00335645">
        <w:rPr>
          <w:i/>
          <w:iCs/>
          <w:szCs w:val="24"/>
        </w:rPr>
        <w:t>Totalisator Act 2014</w:t>
      </w:r>
      <w:r w:rsidRPr="008F03ED">
        <w:rPr>
          <w:szCs w:val="24"/>
        </w:rPr>
        <w:t xml:space="preserve"> who accepts a bet using a telecommunication service.</w:t>
      </w:r>
    </w:p>
    <w:p w14:paraId="407A81AE" w14:textId="36CDD092" w:rsidR="00E460CB" w:rsidRDefault="00E460CB" w:rsidP="003169D8">
      <w:pPr>
        <w:rPr>
          <w:szCs w:val="24"/>
        </w:rPr>
      </w:pPr>
    </w:p>
    <w:p w14:paraId="7356DBF8" w14:textId="021B4005" w:rsidR="00551B25" w:rsidRPr="00551B25" w:rsidRDefault="00E460CB" w:rsidP="003169D8">
      <w:pPr>
        <w:rPr>
          <w:b/>
          <w:bCs/>
          <w:szCs w:val="24"/>
        </w:rPr>
      </w:pPr>
      <w:r w:rsidRPr="00551B25">
        <w:rPr>
          <w:b/>
          <w:bCs/>
          <w:szCs w:val="24"/>
        </w:rPr>
        <w:t xml:space="preserve">Clause 6 – Schedule </w:t>
      </w:r>
      <w:r w:rsidR="003F0F25" w:rsidRPr="00551B25">
        <w:rPr>
          <w:b/>
          <w:bCs/>
          <w:szCs w:val="24"/>
        </w:rPr>
        <w:t>1, section 1.5A</w:t>
      </w:r>
      <w:r w:rsidR="00C51075">
        <w:rPr>
          <w:b/>
          <w:bCs/>
          <w:szCs w:val="24"/>
        </w:rPr>
        <w:t xml:space="preserve"> and 1.5B</w:t>
      </w:r>
    </w:p>
    <w:p w14:paraId="10C73B25" w14:textId="6797C44F" w:rsidR="00E460CB" w:rsidRDefault="004038A6" w:rsidP="003169D8">
      <w:pPr>
        <w:rPr>
          <w:szCs w:val="24"/>
        </w:rPr>
      </w:pPr>
      <w:r>
        <w:rPr>
          <w:szCs w:val="24"/>
        </w:rPr>
        <w:t>C</w:t>
      </w:r>
      <w:r w:rsidR="00551B25">
        <w:rPr>
          <w:szCs w:val="24"/>
        </w:rPr>
        <w:t xml:space="preserve">lause </w:t>
      </w:r>
      <w:r w:rsidR="00C51075">
        <w:rPr>
          <w:szCs w:val="24"/>
        </w:rPr>
        <w:t xml:space="preserve">6, section 1.5A </w:t>
      </w:r>
      <w:r w:rsidR="003F0F25">
        <w:rPr>
          <w:szCs w:val="24"/>
        </w:rPr>
        <w:t>sets out training required for the responsible service of interactive wagering and betting services.</w:t>
      </w:r>
    </w:p>
    <w:p w14:paraId="4BBAD32F" w14:textId="594491C2" w:rsidR="003F0F25" w:rsidRDefault="003F0F25" w:rsidP="003169D8">
      <w:pPr>
        <w:rPr>
          <w:szCs w:val="24"/>
        </w:rPr>
      </w:pPr>
    </w:p>
    <w:p w14:paraId="542DD1BE" w14:textId="6C687581" w:rsidR="0026102B" w:rsidRDefault="00C51075" w:rsidP="004038A6">
      <w:pPr>
        <w:rPr>
          <w:szCs w:val="24"/>
        </w:rPr>
      </w:pPr>
      <w:r>
        <w:rPr>
          <w:szCs w:val="24"/>
        </w:rPr>
        <w:t xml:space="preserve">Section </w:t>
      </w:r>
      <w:r w:rsidR="004038A6" w:rsidRPr="004038A6">
        <w:rPr>
          <w:szCs w:val="24"/>
        </w:rPr>
        <w:t>1.5B sets out independent audits required for the training and refresher training.</w:t>
      </w:r>
    </w:p>
    <w:p w14:paraId="109BB319" w14:textId="77777777" w:rsidR="004038A6" w:rsidRDefault="004038A6" w:rsidP="004038A6">
      <w:pPr>
        <w:rPr>
          <w:szCs w:val="24"/>
        </w:rPr>
      </w:pPr>
    </w:p>
    <w:p w14:paraId="1C873515" w14:textId="40422FA8" w:rsidR="00F0197E" w:rsidRPr="00F0197E" w:rsidRDefault="0026102B" w:rsidP="003F0F25">
      <w:pPr>
        <w:rPr>
          <w:b/>
          <w:bCs/>
          <w:szCs w:val="24"/>
        </w:rPr>
      </w:pPr>
      <w:r w:rsidRPr="00F0197E">
        <w:rPr>
          <w:b/>
          <w:bCs/>
          <w:szCs w:val="24"/>
        </w:rPr>
        <w:t>Clause 7 – Schedule 1, new division 1.4.</w:t>
      </w:r>
      <w:r w:rsidR="00C51075">
        <w:rPr>
          <w:b/>
          <w:bCs/>
          <w:szCs w:val="24"/>
        </w:rPr>
        <w:t xml:space="preserve">1 heading </w:t>
      </w:r>
    </w:p>
    <w:p w14:paraId="76C805C3" w14:textId="2CE397B1" w:rsidR="0026102B" w:rsidRDefault="004038A6" w:rsidP="003F0F25">
      <w:pPr>
        <w:rPr>
          <w:szCs w:val="24"/>
        </w:rPr>
      </w:pPr>
      <w:r>
        <w:rPr>
          <w:szCs w:val="24"/>
        </w:rPr>
        <w:t>C</w:t>
      </w:r>
      <w:r w:rsidR="00F0197E">
        <w:rPr>
          <w:szCs w:val="24"/>
        </w:rPr>
        <w:t>lause</w:t>
      </w:r>
      <w:r>
        <w:rPr>
          <w:szCs w:val="24"/>
        </w:rPr>
        <w:t xml:space="preserve"> 7</w:t>
      </w:r>
      <w:r w:rsidR="0026102B">
        <w:rPr>
          <w:szCs w:val="24"/>
        </w:rPr>
        <w:t xml:space="preserve"> inserts the heading ‘Advertising requirements – general’.</w:t>
      </w:r>
    </w:p>
    <w:p w14:paraId="323F32C0" w14:textId="77777777" w:rsidR="002B2939" w:rsidRDefault="002B2939" w:rsidP="003F0F25">
      <w:pPr>
        <w:rPr>
          <w:szCs w:val="24"/>
        </w:rPr>
      </w:pPr>
    </w:p>
    <w:p w14:paraId="4E138C8A" w14:textId="5F036625" w:rsidR="0026102B" w:rsidRDefault="0026102B" w:rsidP="003F0F25">
      <w:pPr>
        <w:rPr>
          <w:szCs w:val="24"/>
        </w:rPr>
      </w:pPr>
    </w:p>
    <w:p w14:paraId="3C66B8A0" w14:textId="77777777" w:rsidR="00F0197E" w:rsidRPr="00F0197E" w:rsidRDefault="0026102B" w:rsidP="003F0F25">
      <w:pPr>
        <w:rPr>
          <w:b/>
          <w:bCs/>
          <w:szCs w:val="24"/>
        </w:rPr>
      </w:pPr>
      <w:r w:rsidRPr="00F0197E">
        <w:rPr>
          <w:b/>
          <w:bCs/>
          <w:szCs w:val="24"/>
        </w:rPr>
        <w:lastRenderedPageBreak/>
        <w:t>Clause 8 – Schedule 1, new section 1.29 (4)</w:t>
      </w:r>
    </w:p>
    <w:p w14:paraId="20727561" w14:textId="23AE4FD2" w:rsidR="0026102B" w:rsidRDefault="004038A6" w:rsidP="003F0F25">
      <w:pPr>
        <w:rPr>
          <w:szCs w:val="24"/>
        </w:rPr>
      </w:pPr>
      <w:r>
        <w:rPr>
          <w:szCs w:val="24"/>
        </w:rPr>
        <w:t>C</w:t>
      </w:r>
      <w:r w:rsidR="00F0197E">
        <w:rPr>
          <w:szCs w:val="24"/>
        </w:rPr>
        <w:t>lause</w:t>
      </w:r>
      <w:r>
        <w:rPr>
          <w:szCs w:val="24"/>
        </w:rPr>
        <w:t xml:space="preserve"> 8</w:t>
      </w:r>
      <w:r w:rsidR="00F0197E">
        <w:rPr>
          <w:szCs w:val="24"/>
        </w:rPr>
        <w:t xml:space="preserve"> </w:t>
      </w:r>
      <w:r w:rsidR="00C51075">
        <w:rPr>
          <w:szCs w:val="24"/>
        </w:rPr>
        <w:t>provides that the definition for</w:t>
      </w:r>
      <w:r w:rsidR="0026102B">
        <w:rPr>
          <w:szCs w:val="24"/>
        </w:rPr>
        <w:t xml:space="preserve"> </w:t>
      </w:r>
      <w:r w:rsidR="0026102B" w:rsidRPr="0026102B">
        <w:rPr>
          <w:i/>
          <w:iCs/>
          <w:szCs w:val="24"/>
        </w:rPr>
        <w:t>gambling advertising</w:t>
      </w:r>
      <w:r w:rsidR="0026102B">
        <w:rPr>
          <w:szCs w:val="24"/>
        </w:rPr>
        <w:t xml:space="preserve"> </w:t>
      </w:r>
      <w:r w:rsidR="00C51075">
        <w:rPr>
          <w:szCs w:val="24"/>
        </w:rPr>
        <w:t xml:space="preserve">is provided at </w:t>
      </w:r>
      <w:r w:rsidR="0026102B">
        <w:rPr>
          <w:szCs w:val="24"/>
        </w:rPr>
        <w:t>section 1.29B.</w:t>
      </w:r>
    </w:p>
    <w:p w14:paraId="597A4F00" w14:textId="44358951" w:rsidR="0026102B" w:rsidRDefault="0026102B" w:rsidP="003F0F25">
      <w:pPr>
        <w:rPr>
          <w:szCs w:val="24"/>
        </w:rPr>
      </w:pPr>
    </w:p>
    <w:p w14:paraId="62E77F33" w14:textId="65E9A5DC" w:rsidR="00F0197E" w:rsidRDefault="0026102B" w:rsidP="003169D8">
      <w:pPr>
        <w:rPr>
          <w:b/>
          <w:bCs/>
          <w:szCs w:val="24"/>
        </w:rPr>
      </w:pPr>
      <w:r w:rsidRPr="00F0197E">
        <w:rPr>
          <w:b/>
          <w:bCs/>
          <w:szCs w:val="24"/>
        </w:rPr>
        <w:t>Clause 9 – Schedule 1, new division 1.4.2</w:t>
      </w:r>
    </w:p>
    <w:p w14:paraId="113E1784" w14:textId="24E035FE" w:rsidR="00C51075" w:rsidRPr="00CF4113" w:rsidRDefault="00C51075" w:rsidP="003169D8">
      <w:pPr>
        <w:rPr>
          <w:szCs w:val="24"/>
        </w:rPr>
      </w:pPr>
      <w:r w:rsidRPr="00CF4113">
        <w:rPr>
          <w:szCs w:val="24"/>
        </w:rPr>
        <w:t xml:space="preserve">Clause 9 provides the advertising requirements for electronic licensees. </w:t>
      </w:r>
    </w:p>
    <w:p w14:paraId="13748B1E" w14:textId="77777777" w:rsidR="004038A6" w:rsidRDefault="004038A6" w:rsidP="004038A6">
      <w:pPr>
        <w:rPr>
          <w:szCs w:val="24"/>
          <w:u w:val="single"/>
        </w:rPr>
      </w:pPr>
    </w:p>
    <w:p w14:paraId="51D82CA3" w14:textId="28C201E5" w:rsidR="004038A6" w:rsidRPr="00106A4E" w:rsidRDefault="004038A6" w:rsidP="004038A6">
      <w:pPr>
        <w:rPr>
          <w:szCs w:val="24"/>
          <w:u w:val="single"/>
        </w:rPr>
      </w:pPr>
      <w:r w:rsidRPr="00106A4E">
        <w:rPr>
          <w:szCs w:val="24"/>
          <w:u w:val="single"/>
        </w:rPr>
        <w:t>Section 1</w:t>
      </w:r>
      <w:r w:rsidR="002B593B">
        <w:rPr>
          <w:szCs w:val="24"/>
          <w:u w:val="single"/>
        </w:rPr>
        <w:t>.</w:t>
      </w:r>
      <w:r w:rsidR="00C51075">
        <w:rPr>
          <w:szCs w:val="24"/>
          <w:u w:val="single"/>
        </w:rPr>
        <w:t>29A</w:t>
      </w:r>
      <w:r w:rsidRPr="00106A4E">
        <w:rPr>
          <w:szCs w:val="24"/>
          <w:u w:val="single"/>
        </w:rPr>
        <w:t xml:space="preserve"> – Application – div</w:t>
      </w:r>
      <w:r>
        <w:rPr>
          <w:szCs w:val="24"/>
          <w:u w:val="single"/>
        </w:rPr>
        <w:t>ision</w:t>
      </w:r>
      <w:r w:rsidRPr="00106A4E">
        <w:rPr>
          <w:szCs w:val="24"/>
          <w:u w:val="single"/>
        </w:rPr>
        <w:t xml:space="preserve"> 1.2.4</w:t>
      </w:r>
    </w:p>
    <w:p w14:paraId="6D35478C" w14:textId="77777777" w:rsidR="004038A6" w:rsidRPr="00106A4E" w:rsidRDefault="004038A6" w:rsidP="004038A6">
      <w:pPr>
        <w:rPr>
          <w:spacing w:val="-5"/>
          <w:w w:val="105"/>
        </w:rPr>
      </w:pPr>
      <w:r w:rsidRPr="0040001D">
        <w:rPr>
          <w:spacing w:val="-5"/>
          <w:w w:val="105"/>
        </w:rPr>
        <w:t>This clause sets out</w:t>
      </w:r>
      <w:r>
        <w:rPr>
          <w:spacing w:val="-5"/>
          <w:w w:val="105"/>
        </w:rPr>
        <w:t xml:space="preserve"> </w:t>
      </w:r>
      <w:r w:rsidRPr="0040001D">
        <w:rPr>
          <w:spacing w:val="-5"/>
          <w:w w:val="105"/>
        </w:rPr>
        <w:t>that</w:t>
      </w:r>
      <w:r>
        <w:rPr>
          <w:spacing w:val="-5"/>
          <w:w w:val="105"/>
        </w:rPr>
        <w:t xml:space="preserve"> the division</w:t>
      </w:r>
      <w:r w:rsidRPr="0040001D">
        <w:rPr>
          <w:spacing w:val="-5"/>
          <w:w w:val="105"/>
        </w:rPr>
        <w:t xml:space="preserve"> appl</w:t>
      </w:r>
      <w:r>
        <w:rPr>
          <w:spacing w:val="-5"/>
          <w:w w:val="105"/>
        </w:rPr>
        <w:t>ies</w:t>
      </w:r>
      <w:r w:rsidRPr="0040001D">
        <w:rPr>
          <w:spacing w:val="-5"/>
          <w:w w:val="105"/>
        </w:rPr>
        <w:t xml:space="preserve"> to electronic licensees</w:t>
      </w:r>
      <w:r>
        <w:rPr>
          <w:spacing w:val="-5"/>
          <w:w w:val="105"/>
        </w:rPr>
        <w:t xml:space="preserve">, including </w:t>
      </w:r>
      <w:r w:rsidRPr="00106A4E">
        <w:rPr>
          <w:spacing w:val="-5"/>
          <w:w w:val="105"/>
        </w:rPr>
        <w:t>an electronic race bookmaking licensee</w:t>
      </w:r>
      <w:r>
        <w:rPr>
          <w:spacing w:val="-5"/>
          <w:w w:val="105"/>
        </w:rPr>
        <w:t xml:space="preserve">, </w:t>
      </w:r>
      <w:r w:rsidRPr="00106A4E">
        <w:rPr>
          <w:spacing w:val="-5"/>
          <w:w w:val="105"/>
        </w:rPr>
        <w:t>an electronic sports bookmaking licensee</w:t>
      </w:r>
      <w:r>
        <w:rPr>
          <w:spacing w:val="-5"/>
          <w:w w:val="105"/>
        </w:rPr>
        <w:t xml:space="preserve"> and an </w:t>
      </w:r>
      <w:r w:rsidRPr="00106A4E">
        <w:rPr>
          <w:spacing w:val="-5"/>
          <w:w w:val="105"/>
        </w:rPr>
        <w:t>electronic totalisator licensee.</w:t>
      </w:r>
      <w:r>
        <w:rPr>
          <w:spacing w:val="-5"/>
          <w:w w:val="105"/>
        </w:rPr>
        <w:t xml:space="preserve"> </w:t>
      </w:r>
    </w:p>
    <w:p w14:paraId="07BAB573" w14:textId="77777777" w:rsidR="004038A6" w:rsidRDefault="004038A6" w:rsidP="004038A6">
      <w:pPr>
        <w:rPr>
          <w:szCs w:val="24"/>
          <w:u w:val="single"/>
        </w:rPr>
      </w:pPr>
    </w:p>
    <w:p w14:paraId="3006BA00" w14:textId="73FEBF75" w:rsidR="004038A6" w:rsidRPr="00106A4E" w:rsidRDefault="004038A6" w:rsidP="004038A6">
      <w:pPr>
        <w:rPr>
          <w:szCs w:val="24"/>
          <w:u w:val="single"/>
        </w:rPr>
      </w:pPr>
      <w:r w:rsidRPr="00106A4E">
        <w:rPr>
          <w:szCs w:val="24"/>
          <w:u w:val="single"/>
        </w:rPr>
        <w:t>Section 1</w:t>
      </w:r>
      <w:r w:rsidR="002B593B">
        <w:rPr>
          <w:szCs w:val="24"/>
          <w:u w:val="single"/>
        </w:rPr>
        <w:t>.</w:t>
      </w:r>
      <w:r w:rsidR="00C51075">
        <w:rPr>
          <w:szCs w:val="24"/>
          <w:u w:val="single"/>
        </w:rPr>
        <w:t>29B</w:t>
      </w:r>
      <w:r w:rsidRPr="00106A4E">
        <w:rPr>
          <w:szCs w:val="24"/>
          <w:u w:val="single"/>
        </w:rPr>
        <w:t xml:space="preserve"> – </w:t>
      </w:r>
      <w:r>
        <w:rPr>
          <w:szCs w:val="24"/>
          <w:u w:val="single"/>
        </w:rPr>
        <w:t>Definitions</w:t>
      </w:r>
      <w:r w:rsidRPr="00106A4E">
        <w:rPr>
          <w:szCs w:val="24"/>
          <w:u w:val="single"/>
        </w:rPr>
        <w:t xml:space="preserve"> – div</w:t>
      </w:r>
      <w:r>
        <w:rPr>
          <w:szCs w:val="24"/>
          <w:u w:val="single"/>
        </w:rPr>
        <w:t>ision</w:t>
      </w:r>
      <w:r w:rsidRPr="00106A4E">
        <w:rPr>
          <w:szCs w:val="24"/>
          <w:u w:val="single"/>
        </w:rPr>
        <w:t xml:space="preserve"> 1.2.4</w:t>
      </w:r>
    </w:p>
    <w:p w14:paraId="5745101C" w14:textId="653CEE49" w:rsidR="00C51075" w:rsidRDefault="004038A6" w:rsidP="004038A6">
      <w:pPr>
        <w:rPr>
          <w:spacing w:val="-5"/>
          <w:w w:val="105"/>
        </w:rPr>
      </w:pPr>
      <w:r w:rsidRPr="0040001D">
        <w:rPr>
          <w:spacing w:val="-5"/>
          <w:w w:val="105"/>
        </w:rPr>
        <w:t xml:space="preserve">This clause </w:t>
      </w:r>
      <w:r w:rsidR="00C51075">
        <w:rPr>
          <w:spacing w:val="-5"/>
          <w:w w:val="105"/>
        </w:rPr>
        <w:t xml:space="preserve">provides </w:t>
      </w:r>
      <w:r>
        <w:rPr>
          <w:spacing w:val="-5"/>
          <w:w w:val="105"/>
        </w:rPr>
        <w:t>definitions</w:t>
      </w:r>
      <w:r w:rsidR="00C51075">
        <w:rPr>
          <w:spacing w:val="-5"/>
          <w:w w:val="105"/>
        </w:rPr>
        <w:t xml:space="preserve"> for</w:t>
      </w:r>
      <w:r>
        <w:rPr>
          <w:spacing w:val="-5"/>
          <w:w w:val="105"/>
        </w:rPr>
        <w:t>, app advertising, call to action, digital advertising, direct marketing, gambling advertising, print advertising, radio advertising, social media advertising, tagline, television, television or video advertising and website advertising.</w:t>
      </w:r>
    </w:p>
    <w:p w14:paraId="14399983" w14:textId="77777777" w:rsidR="00C51075" w:rsidRDefault="00C51075" w:rsidP="004038A6">
      <w:pPr>
        <w:rPr>
          <w:spacing w:val="-5"/>
          <w:w w:val="105"/>
        </w:rPr>
      </w:pPr>
    </w:p>
    <w:p w14:paraId="470D06C8" w14:textId="6236144B" w:rsidR="004038A6" w:rsidRPr="009F240C" w:rsidRDefault="00C51075" w:rsidP="004038A6">
      <w:pPr>
        <w:rPr>
          <w:spacing w:val="-5"/>
          <w:w w:val="105"/>
          <w:u w:val="single"/>
        </w:rPr>
      </w:pPr>
      <w:r>
        <w:rPr>
          <w:spacing w:val="-5"/>
          <w:w w:val="105"/>
          <w:u w:val="single"/>
        </w:rPr>
        <w:t xml:space="preserve">Section </w:t>
      </w:r>
      <w:r w:rsidR="004038A6" w:rsidRPr="009F240C">
        <w:rPr>
          <w:spacing w:val="-5"/>
          <w:w w:val="105"/>
          <w:u w:val="single"/>
        </w:rPr>
        <w:t xml:space="preserve">1.29C – </w:t>
      </w:r>
      <w:r w:rsidR="004038A6">
        <w:rPr>
          <w:spacing w:val="-5"/>
          <w:w w:val="105"/>
          <w:u w:val="single"/>
        </w:rPr>
        <w:t xml:space="preserve">Meaning of </w:t>
      </w:r>
      <w:r w:rsidR="004038A6" w:rsidRPr="00365308">
        <w:rPr>
          <w:i/>
          <w:iCs/>
          <w:spacing w:val="-5"/>
          <w:w w:val="105"/>
          <w:u w:val="single"/>
        </w:rPr>
        <w:t>tagline</w:t>
      </w:r>
      <w:r w:rsidR="004038A6">
        <w:rPr>
          <w:spacing w:val="-5"/>
          <w:w w:val="105"/>
          <w:u w:val="single"/>
        </w:rPr>
        <w:t xml:space="preserve"> – division 1.4.2</w:t>
      </w:r>
    </w:p>
    <w:p w14:paraId="59C9FD0C" w14:textId="12B50B34" w:rsidR="004038A6" w:rsidRDefault="004038A6" w:rsidP="004038A6">
      <w:pPr>
        <w:rPr>
          <w:szCs w:val="24"/>
        </w:rPr>
      </w:pPr>
      <w:r w:rsidRPr="00175197">
        <w:rPr>
          <w:szCs w:val="24"/>
        </w:rPr>
        <w:t xml:space="preserve">This clause </w:t>
      </w:r>
      <w:r w:rsidR="00A0408F">
        <w:rPr>
          <w:szCs w:val="24"/>
        </w:rPr>
        <w:t>provides</w:t>
      </w:r>
      <w:r w:rsidR="00A0408F" w:rsidRPr="00175197">
        <w:rPr>
          <w:szCs w:val="24"/>
        </w:rPr>
        <w:t xml:space="preserve"> </w:t>
      </w:r>
      <w:r>
        <w:rPr>
          <w:szCs w:val="24"/>
        </w:rPr>
        <w:t>a meaning of ‘tagline’ by inserting ‘Table 1.29C Taglines’ which includes;</w:t>
      </w:r>
    </w:p>
    <w:p w14:paraId="34FD9FC2" w14:textId="77777777" w:rsidR="004038A6" w:rsidRPr="00980CB1" w:rsidRDefault="004038A6" w:rsidP="004038A6">
      <w:pPr>
        <w:pStyle w:val="ListParagraph"/>
        <w:numPr>
          <w:ilvl w:val="0"/>
          <w:numId w:val="6"/>
        </w:numPr>
        <w:spacing w:after="200" w:line="276" w:lineRule="auto"/>
        <w:rPr>
          <w:szCs w:val="24"/>
        </w:rPr>
      </w:pPr>
      <w:r>
        <w:t>You win some. You lose more.</w:t>
      </w:r>
    </w:p>
    <w:p w14:paraId="00E6AC9F" w14:textId="77777777" w:rsidR="004038A6" w:rsidRPr="00980CB1" w:rsidRDefault="004038A6" w:rsidP="004038A6">
      <w:pPr>
        <w:pStyle w:val="ListParagraph"/>
        <w:numPr>
          <w:ilvl w:val="0"/>
          <w:numId w:val="6"/>
        </w:numPr>
        <w:spacing w:after="200" w:line="276" w:lineRule="auto"/>
        <w:rPr>
          <w:szCs w:val="24"/>
        </w:rPr>
      </w:pPr>
      <w:r>
        <w:t>Chances are you’re about to lose.</w:t>
      </w:r>
    </w:p>
    <w:p w14:paraId="2C790CC1" w14:textId="77777777" w:rsidR="004038A6" w:rsidRPr="00980CB1" w:rsidRDefault="004038A6" w:rsidP="004038A6">
      <w:pPr>
        <w:pStyle w:val="ListParagraph"/>
        <w:numPr>
          <w:ilvl w:val="0"/>
          <w:numId w:val="6"/>
        </w:numPr>
        <w:spacing w:after="200" w:line="276" w:lineRule="auto"/>
        <w:rPr>
          <w:szCs w:val="24"/>
        </w:rPr>
      </w:pPr>
      <w:r>
        <w:t>What’s gambling really costing you?</w:t>
      </w:r>
    </w:p>
    <w:p w14:paraId="3AEB1C69" w14:textId="77777777" w:rsidR="004038A6" w:rsidRPr="00980CB1" w:rsidRDefault="004038A6" w:rsidP="004038A6">
      <w:pPr>
        <w:pStyle w:val="ListParagraph"/>
        <w:numPr>
          <w:ilvl w:val="0"/>
          <w:numId w:val="6"/>
        </w:numPr>
        <w:spacing w:after="200" w:line="276" w:lineRule="auto"/>
        <w:rPr>
          <w:szCs w:val="24"/>
        </w:rPr>
      </w:pPr>
      <w:r>
        <w:t>Imagine what you could be buying instead.</w:t>
      </w:r>
    </w:p>
    <w:p w14:paraId="68ADB462" w14:textId="77777777" w:rsidR="004038A6" w:rsidRPr="00980CB1" w:rsidRDefault="004038A6" w:rsidP="004038A6">
      <w:pPr>
        <w:pStyle w:val="ListParagraph"/>
        <w:numPr>
          <w:ilvl w:val="0"/>
          <w:numId w:val="6"/>
        </w:numPr>
        <w:spacing w:after="200" w:line="276" w:lineRule="auto"/>
        <w:rPr>
          <w:szCs w:val="24"/>
        </w:rPr>
      </w:pPr>
      <w:r>
        <w:t>What are you really gambling with?</w:t>
      </w:r>
    </w:p>
    <w:p w14:paraId="6AEDF9A7" w14:textId="77777777" w:rsidR="004038A6" w:rsidRPr="00980CB1" w:rsidRDefault="004038A6" w:rsidP="004038A6">
      <w:pPr>
        <w:pStyle w:val="ListParagraph"/>
        <w:numPr>
          <w:ilvl w:val="0"/>
          <w:numId w:val="6"/>
        </w:numPr>
        <w:spacing w:after="200" w:line="276" w:lineRule="auto"/>
        <w:rPr>
          <w:szCs w:val="24"/>
        </w:rPr>
      </w:pPr>
      <w:r>
        <w:t>Think. Is this a bet you really want to place?</w:t>
      </w:r>
    </w:p>
    <w:p w14:paraId="468F64A4" w14:textId="77777777" w:rsidR="004038A6" w:rsidRPr="00980CB1" w:rsidRDefault="004038A6" w:rsidP="004038A6">
      <w:pPr>
        <w:pStyle w:val="ListParagraph"/>
        <w:numPr>
          <w:ilvl w:val="0"/>
          <w:numId w:val="6"/>
        </w:numPr>
        <w:spacing w:after="200" w:line="276" w:lineRule="auto"/>
        <w:rPr>
          <w:szCs w:val="24"/>
        </w:rPr>
      </w:pPr>
      <w:r>
        <w:t>What are you prepared to lose today? Set a deposit limit.</w:t>
      </w:r>
    </w:p>
    <w:p w14:paraId="0614D3DA" w14:textId="4DDB48EF" w:rsidR="004038A6" w:rsidRPr="009F240C" w:rsidRDefault="00C51075" w:rsidP="004038A6">
      <w:pPr>
        <w:rPr>
          <w:spacing w:val="-5"/>
          <w:w w:val="105"/>
          <w:u w:val="single"/>
        </w:rPr>
      </w:pPr>
      <w:r>
        <w:rPr>
          <w:spacing w:val="-5"/>
          <w:w w:val="105"/>
          <w:u w:val="single"/>
        </w:rPr>
        <w:t xml:space="preserve">Section </w:t>
      </w:r>
      <w:r w:rsidR="004038A6" w:rsidRPr="009F240C">
        <w:rPr>
          <w:spacing w:val="-5"/>
          <w:w w:val="105"/>
          <w:u w:val="single"/>
        </w:rPr>
        <w:t>1.29D</w:t>
      </w:r>
      <w:r w:rsidR="0087637F">
        <w:rPr>
          <w:spacing w:val="-5"/>
          <w:w w:val="105"/>
          <w:u w:val="single"/>
        </w:rPr>
        <w:t xml:space="preserve"> – </w:t>
      </w:r>
      <w:r w:rsidR="004038A6">
        <w:rPr>
          <w:spacing w:val="-5"/>
          <w:w w:val="105"/>
          <w:u w:val="single"/>
        </w:rPr>
        <w:t xml:space="preserve">Meaning of </w:t>
      </w:r>
      <w:r w:rsidR="004038A6" w:rsidRPr="00365308">
        <w:rPr>
          <w:i/>
          <w:iCs/>
          <w:spacing w:val="-5"/>
          <w:w w:val="105"/>
          <w:u w:val="single"/>
        </w:rPr>
        <w:t>call to action</w:t>
      </w:r>
      <w:r w:rsidR="004038A6">
        <w:rPr>
          <w:spacing w:val="-5"/>
          <w:w w:val="105"/>
          <w:u w:val="single"/>
        </w:rPr>
        <w:t xml:space="preserve"> – division 1.4.2</w:t>
      </w:r>
    </w:p>
    <w:p w14:paraId="681017BA" w14:textId="1BC9C8AA" w:rsidR="004038A6" w:rsidRDefault="004038A6" w:rsidP="004038A6">
      <w:pPr>
        <w:rPr>
          <w:szCs w:val="24"/>
        </w:rPr>
      </w:pPr>
      <w:r w:rsidRPr="00175197">
        <w:rPr>
          <w:szCs w:val="24"/>
        </w:rPr>
        <w:t xml:space="preserve">This clause </w:t>
      </w:r>
      <w:r w:rsidR="00A0408F">
        <w:rPr>
          <w:szCs w:val="24"/>
        </w:rPr>
        <w:t>the meaning</w:t>
      </w:r>
      <w:r>
        <w:rPr>
          <w:szCs w:val="24"/>
        </w:rPr>
        <w:t xml:space="preserve"> of ‘call to action’ by inserting ‘Table 1.29D Calls to action’ which includes;</w:t>
      </w:r>
    </w:p>
    <w:p w14:paraId="4C6B29FD" w14:textId="77777777" w:rsidR="004038A6" w:rsidRPr="00980CB1" w:rsidRDefault="004038A6" w:rsidP="004038A6">
      <w:pPr>
        <w:pStyle w:val="ListParagraph"/>
        <w:numPr>
          <w:ilvl w:val="0"/>
          <w:numId w:val="7"/>
        </w:numPr>
        <w:spacing w:after="200" w:line="276" w:lineRule="auto"/>
        <w:rPr>
          <w:szCs w:val="24"/>
        </w:rPr>
      </w:pPr>
      <w:r>
        <w:t>For free and confidential support visit gamblinghelponline.org.au</w:t>
      </w:r>
    </w:p>
    <w:p w14:paraId="4636AC92" w14:textId="77777777" w:rsidR="004038A6" w:rsidRPr="00980CB1" w:rsidRDefault="004038A6" w:rsidP="004038A6">
      <w:pPr>
        <w:pStyle w:val="ListParagraph"/>
        <w:numPr>
          <w:ilvl w:val="0"/>
          <w:numId w:val="7"/>
        </w:numPr>
        <w:spacing w:after="200" w:line="276" w:lineRule="auto"/>
        <w:rPr>
          <w:szCs w:val="24"/>
        </w:rPr>
      </w:pPr>
      <w:r>
        <w:t>For free and confidential support, call the number on the screen or visit the website.</w:t>
      </w:r>
    </w:p>
    <w:p w14:paraId="3A8738D4" w14:textId="77777777" w:rsidR="004038A6" w:rsidRPr="00980CB1" w:rsidRDefault="004038A6" w:rsidP="004038A6">
      <w:pPr>
        <w:pStyle w:val="ListParagraph"/>
        <w:numPr>
          <w:ilvl w:val="0"/>
          <w:numId w:val="7"/>
        </w:numPr>
        <w:spacing w:after="200" w:line="276" w:lineRule="auto"/>
        <w:rPr>
          <w:szCs w:val="24"/>
        </w:rPr>
      </w:pPr>
      <w:r>
        <w:t>Set a deposit limit</w:t>
      </w:r>
    </w:p>
    <w:p w14:paraId="709BE40C" w14:textId="77777777" w:rsidR="004038A6" w:rsidRPr="00266ED4" w:rsidRDefault="004038A6" w:rsidP="004038A6">
      <w:pPr>
        <w:pStyle w:val="ListParagraph"/>
        <w:numPr>
          <w:ilvl w:val="0"/>
          <w:numId w:val="7"/>
        </w:numPr>
        <w:spacing w:after="200" w:line="276" w:lineRule="auto"/>
        <w:rPr>
          <w:szCs w:val="24"/>
        </w:rPr>
      </w:pPr>
      <w:r>
        <w:t>For free and confidential support call 1 800 858 858 or visit gamblinghelponline.org.au</w:t>
      </w:r>
    </w:p>
    <w:p w14:paraId="278881B1" w14:textId="1FFEBC83" w:rsidR="004038A6" w:rsidRPr="009F240C" w:rsidRDefault="00A0408F" w:rsidP="004038A6">
      <w:pPr>
        <w:rPr>
          <w:spacing w:val="-5"/>
          <w:w w:val="105"/>
          <w:u w:val="single"/>
        </w:rPr>
      </w:pPr>
      <w:r>
        <w:rPr>
          <w:spacing w:val="-5"/>
          <w:w w:val="105"/>
          <w:u w:val="single"/>
        </w:rPr>
        <w:t xml:space="preserve">Section </w:t>
      </w:r>
      <w:r w:rsidR="004038A6" w:rsidRPr="009F240C">
        <w:rPr>
          <w:spacing w:val="-5"/>
          <w:w w:val="105"/>
          <w:u w:val="single"/>
        </w:rPr>
        <w:t>1.29</w:t>
      </w:r>
      <w:r w:rsidR="004038A6">
        <w:rPr>
          <w:spacing w:val="-5"/>
          <w:w w:val="105"/>
          <w:u w:val="single"/>
        </w:rPr>
        <w:t>E – Statements to be included in gambling advertising</w:t>
      </w:r>
    </w:p>
    <w:p w14:paraId="3AE43B58" w14:textId="77777777" w:rsidR="004038A6" w:rsidRPr="005C599B" w:rsidRDefault="004038A6" w:rsidP="004038A6">
      <w:pPr>
        <w:rPr>
          <w:szCs w:val="24"/>
        </w:rPr>
      </w:pPr>
      <w:r w:rsidRPr="00175197">
        <w:rPr>
          <w:szCs w:val="24"/>
        </w:rPr>
        <w:t xml:space="preserve">This clause </w:t>
      </w:r>
      <w:r>
        <w:rPr>
          <w:szCs w:val="24"/>
        </w:rPr>
        <w:t xml:space="preserve">sets out that a </w:t>
      </w:r>
      <w:r w:rsidRPr="005C599B">
        <w:rPr>
          <w:szCs w:val="24"/>
        </w:rPr>
        <w:t>licensee must ensure that gambling advertising of a kind mentioned</w:t>
      </w:r>
      <w:r>
        <w:rPr>
          <w:szCs w:val="24"/>
        </w:rPr>
        <w:t xml:space="preserve"> </w:t>
      </w:r>
      <w:r w:rsidRPr="005C599B">
        <w:rPr>
          <w:szCs w:val="24"/>
        </w:rPr>
        <w:t>in column 2 of an item in table 1.29E includes—</w:t>
      </w:r>
    </w:p>
    <w:p w14:paraId="60C562DA" w14:textId="77777777" w:rsidR="004038A6" w:rsidRPr="005C599B" w:rsidRDefault="004038A6" w:rsidP="004038A6">
      <w:pPr>
        <w:rPr>
          <w:szCs w:val="24"/>
        </w:rPr>
      </w:pPr>
      <w:r w:rsidRPr="005C599B">
        <w:rPr>
          <w:szCs w:val="24"/>
        </w:rPr>
        <w:t>(a) a tagline mentioned in the item, column 3; and</w:t>
      </w:r>
    </w:p>
    <w:p w14:paraId="0F6E34C4" w14:textId="77777777" w:rsidR="004038A6" w:rsidRDefault="004038A6" w:rsidP="004038A6">
      <w:pPr>
        <w:rPr>
          <w:szCs w:val="24"/>
        </w:rPr>
      </w:pPr>
      <w:r w:rsidRPr="005C599B">
        <w:rPr>
          <w:szCs w:val="24"/>
        </w:rPr>
        <w:t>(b) the call to action mentioned in the item, column 4.</w:t>
      </w:r>
    </w:p>
    <w:p w14:paraId="48A62B2C" w14:textId="77777777" w:rsidR="00A0408F" w:rsidRDefault="00A0408F" w:rsidP="004038A6">
      <w:pPr>
        <w:rPr>
          <w:szCs w:val="24"/>
        </w:rPr>
      </w:pPr>
    </w:p>
    <w:p w14:paraId="00AF843D" w14:textId="1861EBE8" w:rsidR="004038A6" w:rsidRDefault="00A0408F" w:rsidP="004038A6">
      <w:pPr>
        <w:rPr>
          <w:spacing w:val="-5"/>
          <w:w w:val="105"/>
          <w:u w:val="single"/>
        </w:rPr>
      </w:pPr>
      <w:r>
        <w:rPr>
          <w:spacing w:val="-5"/>
          <w:w w:val="105"/>
          <w:u w:val="single"/>
        </w:rPr>
        <w:t xml:space="preserve">Section </w:t>
      </w:r>
      <w:r w:rsidR="004038A6" w:rsidRPr="009F240C">
        <w:rPr>
          <w:spacing w:val="-5"/>
          <w:w w:val="105"/>
          <w:u w:val="single"/>
        </w:rPr>
        <w:t>1.29</w:t>
      </w:r>
      <w:r w:rsidR="004038A6">
        <w:rPr>
          <w:spacing w:val="-5"/>
          <w:w w:val="105"/>
          <w:u w:val="single"/>
        </w:rPr>
        <w:t>F – Additional requirements about taglines and calls to action</w:t>
      </w:r>
    </w:p>
    <w:p w14:paraId="6870B993" w14:textId="3B839BDB" w:rsidR="004038A6" w:rsidRDefault="004038A6" w:rsidP="004038A6">
      <w:pPr>
        <w:rPr>
          <w:spacing w:val="-5"/>
          <w:w w:val="105"/>
        </w:rPr>
      </w:pPr>
      <w:r w:rsidRPr="00A32E30">
        <w:rPr>
          <w:spacing w:val="-5"/>
          <w:w w:val="105"/>
        </w:rPr>
        <w:t xml:space="preserve">This clause sets out </w:t>
      </w:r>
      <w:r>
        <w:rPr>
          <w:spacing w:val="-5"/>
          <w:w w:val="105"/>
        </w:rPr>
        <w:t>additional requirements about taglines and calls to action that a</w:t>
      </w:r>
      <w:r w:rsidRPr="00A32E30">
        <w:rPr>
          <w:spacing w:val="-5"/>
          <w:w w:val="105"/>
        </w:rPr>
        <w:t xml:space="preserve"> licensee</w:t>
      </w:r>
      <w:r w:rsidR="00A0408F">
        <w:rPr>
          <w:spacing w:val="-5"/>
          <w:w w:val="105"/>
        </w:rPr>
        <w:t xml:space="preserve"> must meet.</w:t>
      </w:r>
    </w:p>
    <w:p w14:paraId="241DB7D3" w14:textId="3D8AB43C" w:rsidR="00A0408F" w:rsidRDefault="00A0408F" w:rsidP="00A0408F">
      <w:pPr>
        <w:pStyle w:val="ListParagraph"/>
      </w:pPr>
    </w:p>
    <w:p w14:paraId="0D313C63" w14:textId="34E66C98" w:rsidR="002B2939" w:rsidRDefault="002B2939" w:rsidP="00A0408F">
      <w:pPr>
        <w:pStyle w:val="ListParagraph"/>
      </w:pPr>
    </w:p>
    <w:p w14:paraId="06E0D9C4" w14:textId="7B0EDFCF" w:rsidR="002B2939" w:rsidRDefault="002B2939" w:rsidP="00A0408F">
      <w:pPr>
        <w:pStyle w:val="ListParagraph"/>
      </w:pPr>
    </w:p>
    <w:p w14:paraId="04ACFD77" w14:textId="77777777" w:rsidR="002B2939" w:rsidRDefault="002B2939" w:rsidP="00A0408F">
      <w:pPr>
        <w:pStyle w:val="ListParagraph"/>
      </w:pPr>
    </w:p>
    <w:p w14:paraId="7AAD7038" w14:textId="05F4E78C" w:rsidR="004038A6" w:rsidRPr="00636637" w:rsidRDefault="00A0408F" w:rsidP="004038A6">
      <w:pPr>
        <w:rPr>
          <w:u w:val="single"/>
        </w:rPr>
      </w:pPr>
      <w:r>
        <w:rPr>
          <w:u w:val="single"/>
        </w:rPr>
        <w:lastRenderedPageBreak/>
        <w:t xml:space="preserve">Section </w:t>
      </w:r>
      <w:r w:rsidR="004038A6" w:rsidRPr="00636637">
        <w:rPr>
          <w:u w:val="single"/>
        </w:rPr>
        <w:t>1.29G</w:t>
      </w:r>
      <w:r w:rsidR="0087637F">
        <w:rPr>
          <w:spacing w:val="-5"/>
          <w:w w:val="105"/>
          <w:u w:val="single"/>
        </w:rPr>
        <w:t xml:space="preserve"> – </w:t>
      </w:r>
      <w:r w:rsidR="004038A6" w:rsidRPr="00636637">
        <w:rPr>
          <w:u w:val="single"/>
        </w:rPr>
        <w:t>Electronic licensee must keep gambling advertising records</w:t>
      </w:r>
    </w:p>
    <w:p w14:paraId="3496E40A" w14:textId="59AC56EB" w:rsidR="004038A6" w:rsidRDefault="004038A6" w:rsidP="004038A6">
      <w:r w:rsidRPr="00A32E30">
        <w:rPr>
          <w:spacing w:val="-5"/>
          <w:w w:val="105"/>
        </w:rPr>
        <w:t>This clause sets out</w:t>
      </w:r>
      <w:r>
        <w:rPr>
          <w:spacing w:val="-5"/>
          <w:w w:val="105"/>
        </w:rPr>
        <w:t xml:space="preserve"> that a </w:t>
      </w:r>
      <w:r>
        <w:t>licensee must keep a copy of gambling advertising published or communicated by or for the licensee for at least 12 months after the day the advertising was last published or communicated.</w:t>
      </w:r>
    </w:p>
    <w:p w14:paraId="438F53A2" w14:textId="77777777" w:rsidR="004038A6" w:rsidRDefault="004038A6" w:rsidP="004038A6"/>
    <w:p w14:paraId="775BB21D" w14:textId="7BA026D2" w:rsidR="0077227C" w:rsidRDefault="0077227C" w:rsidP="00551B25">
      <w:pPr>
        <w:rPr>
          <w:b/>
          <w:bCs/>
          <w:szCs w:val="24"/>
        </w:rPr>
      </w:pPr>
      <w:r w:rsidRPr="00F0197E">
        <w:rPr>
          <w:b/>
          <w:bCs/>
          <w:szCs w:val="24"/>
        </w:rPr>
        <w:t xml:space="preserve">Clause </w:t>
      </w:r>
      <w:r>
        <w:rPr>
          <w:b/>
          <w:bCs/>
          <w:szCs w:val="24"/>
        </w:rPr>
        <w:t>10</w:t>
      </w:r>
      <w:r w:rsidRPr="00F0197E">
        <w:rPr>
          <w:b/>
          <w:bCs/>
          <w:szCs w:val="24"/>
        </w:rPr>
        <w:t xml:space="preserve"> – </w:t>
      </w:r>
      <w:r>
        <w:rPr>
          <w:b/>
          <w:bCs/>
          <w:szCs w:val="24"/>
        </w:rPr>
        <w:t xml:space="preserve">Schedule 1, new </w:t>
      </w:r>
      <w:r w:rsidRPr="0059205E">
        <w:rPr>
          <w:b/>
          <w:bCs/>
          <w:szCs w:val="24"/>
        </w:rPr>
        <w:t>D</w:t>
      </w:r>
      <w:r>
        <w:rPr>
          <w:b/>
          <w:bCs/>
          <w:szCs w:val="24"/>
        </w:rPr>
        <w:t>ivision 1.4.3 heading</w:t>
      </w:r>
    </w:p>
    <w:p w14:paraId="3D38B19B" w14:textId="0116FD65" w:rsidR="00551B25" w:rsidRPr="001B6323" w:rsidRDefault="00551B25" w:rsidP="00551B25">
      <w:pPr>
        <w:rPr>
          <w:szCs w:val="24"/>
          <w:highlight w:val="yellow"/>
        </w:rPr>
      </w:pPr>
      <w:r w:rsidRPr="001B6323">
        <w:rPr>
          <w:szCs w:val="24"/>
        </w:rPr>
        <w:t xml:space="preserve">This clause </w:t>
      </w:r>
      <w:r w:rsidR="001B6323" w:rsidRPr="001B6323">
        <w:rPr>
          <w:szCs w:val="24"/>
        </w:rPr>
        <w:t xml:space="preserve">inserts </w:t>
      </w:r>
      <w:r w:rsidR="004F14F9">
        <w:rPr>
          <w:szCs w:val="24"/>
        </w:rPr>
        <w:t xml:space="preserve">a new </w:t>
      </w:r>
      <w:r w:rsidR="00A0408F">
        <w:rPr>
          <w:szCs w:val="24"/>
        </w:rPr>
        <w:t xml:space="preserve">heading </w:t>
      </w:r>
      <w:r w:rsidR="001B6323" w:rsidRPr="001B6323">
        <w:t xml:space="preserve">Division 1.4.3 Promotions and </w:t>
      </w:r>
      <w:r w:rsidR="00A0408F" w:rsidRPr="001B6323">
        <w:t>inducements</w:t>
      </w:r>
      <w:r w:rsidR="00A0408F">
        <w:t>.</w:t>
      </w:r>
    </w:p>
    <w:p w14:paraId="37B9B064" w14:textId="77777777" w:rsidR="0077227C" w:rsidRDefault="0077227C" w:rsidP="00551B25">
      <w:pPr>
        <w:rPr>
          <w:b/>
          <w:bCs/>
          <w:szCs w:val="24"/>
        </w:rPr>
      </w:pPr>
    </w:p>
    <w:p w14:paraId="7B7FF122" w14:textId="635AFD21" w:rsidR="00D25108" w:rsidRDefault="00D25108" w:rsidP="00551B25">
      <w:pPr>
        <w:rPr>
          <w:b/>
          <w:bCs/>
          <w:szCs w:val="24"/>
        </w:rPr>
      </w:pPr>
      <w:r w:rsidRPr="00F0197E">
        <w:rPr>
          <w:b/>
          <w:bCs/>
          <w:szCs w:val="24"/>
        </w:rPr>
        <w:t xml:space="preserve">Clause </w:t>
      </w:r>
      <w:r>
        <w:rPr>
          <w:b/>
          <w:bCs/>
          <w:szCs w:val="24"/>
        </w:rPr>
        <w:t>11</w:t>
      </w:r>
      <w:r w:rsidRPr="00F0197E">
        <w:rPr>
          <w:b/>
          <w:bCs/>
          <w:szCs w:val="24"/>
        </w:rPr>
        <w:t xml:space="preserve"> – </w:t>
      </w:r>
      <w:r>
        <w:rPr>
          <w:b/>
          <w:bCs/>
          <w:szCs w:val="24"/>
        </w:rPr>
        <w:t xml:space="preserve">Schedule 1, new </w:t>
      </w:r>
      <w:r w:rsidRPr="0059205E">
        <w:rPr>
          <w:b/>
          <w:bCs/>
          <w:szCs w:val="24"/>
        </w:rPr>
        <w:t>D</w:t>
      </w:r>
      <w:r>
        <w:rPr>
          <w:b/>
          <w:bCs/>
          <w:szCs w:val="24"/>
        </w:rPr>
        <w:t>ivision 1.4.4 heading</w:t>
      </w:r>
    </w:p>
    <w:p w14:paraId="7D991266" w14:textId="7B1E38F9" w:rsidR="00D43EB1" w:rsidRPr="001B6323" w:rsidRDefault="00D43EB1" w:rsidP="00D43EB1">
      <w:pPr>
        <w:rPr>
          <w:szCs w:val="24"/>
          <w:highlight w:val="yellow"/>
        </w:rPr>
      </w:pPr>
      <w:r w:rsidRPr="001B6323">
        <w:rPr>
          <w:szCs w:val="24"/>
        </w:rPr>
        <w:t>This clause inserts</w:t>
      </w:r>
      <w:r w:rsidR="004F14F9">
        <w:rPr>
          <w:szCs w:val="24"/>
        </w:rPr>
        <w:t xml:space="preserve"> a new</w:t>
      </w:r>
      <w:r w:rsidR="00A0408F">
        <w:rPr>
          <w:szCs w:val="24"/>
        </w:rPr>
        <w:t xml:space="preserve"> heading</w:t>
      </w:r>
      <w:r w:rsidRPr="001B6323">
        <w:rPr>
          <w:szCs w:val="24"/>
        </w:rPr>
        <w:t xml:space="preserve"> </w:t>
      </w:r>
      <w:r w:rsidRPr="001B6323">
        <w:t>Division 1.4.</w:t>
      </w:r>
      <w:r>
        <w:t>4 Direct marketing</w:t>
      </w:r>
      <w:r w:rsidR="00A0408F">
        <w:t>.</w:t>
      </w:r>
      <w:r>
        <w:t xml:space="preserve"> </w:t>
      </w:r>
    </w:p>
    <w:p w14:paraId="6B1F5A31" w14:textId="77777777" w:rsidR="00CF331B" w:rsidRPr="007E43DA" w:rsidRDefault="00CF331B" w:rsidP="00CF331B">
      <w:pPr>
        <w:rPr>
          <w:szCs w:val="24"/>
          <w:highlight w:val="yellow"/>
        </w:rPr>
      </w:pPr>
    </w:p>
    <w:p w14:paraId="189A663C" w14:textId="1E0D98CE" w:rsidR="00551B25" w:rsidRDefault="00136E62" w:rsidP="00551B25">
      <w:pPr>
        <w:rPr>
          <w:b/>
          <w:bCs/>
          <w:szCs w:val="24"/>
        </w:rPr>
      </w:pPr>
      <w:r w:rsidRPr="00F0197E">
        <w:rPr>
          <w:b/>
          <w:bCs/>
          <w:szCs w:val="24"/>
        </w:rPr>
        <w:t xml:space="preserve">Clause </w:t>
      </w:r>
      <w:r>
        <w:rPr>
          <w:b/>
          <w:bCs/>
          <w:szCs w:val="24"/>
        </w:rPr>
        <w:t>12</w:t>
      </w:r>
      <w:r w:rsidRPr="00F0197E">
        <w:rPr>
          <w:b/>
          <w:bCs/>
          <w:szCs w:val="24"/>
        </w:rPr>
        <w:t xml:space="preserve"> – </w:t>
      </w:r>
      <w:r w:rsidR="00A0408F">
        <w:rPr>
          <w:b/>
          <w:bCs/>
          <w:szCs w:val="24"/>
        </w:rPr>
        <w:t xml:space="preserve">Schedule 1, </w:t>
      </w:r>
      <w:r w:rsidR="00551B25" w:rsidRPr="0059205E">
        <w:rPr>
          <w:b/>
          <w:bCs/>
          <w:szCs w:val="24"/>
        </w:rPr>
        <w:t>D</w:t>
      </w:r>
      <w:r w:rsidR="00551B25">
        <w:rPr>
          <w:b/>
          <w:bCs/>
          <w:szCs w:val="24"/>
        </w:rPr>
        <w:t>ivision 1.4.</w:t>
      </w:r>
      <w:r w:rsidR="00D43EB1">
        <w:rPr>
          <w:b/>
          <w:bCs/>
          <w:szCs w:val="24"/>
        </w:rPr>
        <w:t>5 heading</w:t>
      </w:r>
    </w:p>
    <w:p w14:paraId="73B7E926" w14:textId="0AABCEBC" w:rsidR="00CF331B" w:rsidRPr="007E43DA" w:rsidRDefault="00551B25" w:rsidP="00CF331B">
      <w:pPr>
        <w:rPr>
          <w:szCs w:val="24"/>
          <w:highlight w:val="yellow"/>
        </w:rPr>
      </w:pPr>
      <w:r>
        <w:rPr>
          <w:szCs w:val="24"/>
        </w:rPr>
        <w:t>This clause</w:t>
      </w:r>
      <w:r w:rsidR="00D43EB1">
        <w:rPr>
          <w:szCs w:val="24"/>
        </w:rPr>
        <w:t xml:space="preserve"> inserts</w:t>
      </w:r>
      <w:r w:rsidR="004F14F9">
        <w:rPr>
          <w:szCs w:val="24"/>
        </w:rPr>
        <w:t xml:space="preserve"> a new</w:t>
      </w:r>
      <w:r w:rsidR="00D43EB1">
        <w:rPr>
          <w:szCs w:val="24"/>
        </w:rPr>
        <w:t xml:space="preserve"> </w:t>
      </w:r>
      <w:r w:rsidR="00A0408F">
        <w:rPr>
          <w:szCs w:val="24"/>
        </w:rPr>
        <w:t xml:space="preserve">heading </w:t>
      </w:r>
      <w:r w:rsidR="004F14F9">
        <w:rPr>
          <w:szCs w:val="24"/>
        </w:rPr>
        <w:t>Division 1.4.5 Miscellaneous</w:t>
      </w:r>
      <w:r w:rsidR="00A0408F">
        <w:rPr>
          <w:szCs w:val="24"/>
        </w:rPr>
        <w:t>.</w:t>
      </w:r>
      <w:r w:rsidR="004F14F9">
        <w:rPr>
          <w:szCs w:val="24"/>
        </w:rPr>
        <w:t xml:space="preserve"> </w:t>
      </w:r>
    </w:p>
    <w:p w14:paraId="6E4DF073" w14:textId="77777777" w:rsidR="00CF331B" w:rsidRPr="007E43DA" w:rsidRDefault="00CF331B" w:rsidP="00CF331B">
      <w:pPr>
        <w:rPr>
          <w:szCs w:val="24"/>
          <w:highlight w:val="yellow"/>
        </w:rPr>
      </w:pPr>
    </w:p>
    <w:p w14:paraId="2D2CA6CE" w14:textId="621F075B" w:rsidR="0059205E" w:rsidRDefault="00C4081D" w:rsidP="0059205E">
      <w:pPr>
        <w:rPr>
          <w:b/>
          <w:bCs/>
          <w:szCs w:val="24"/>
        </w:rPr>
      </w:pPr>
      <w:r w:rsidRPr="00C4081D">
        <w:rPr>
          <w:b/>
          <w:bCs/>
          <w:szCs w:val="24"/>
        </w:rPr>
        <w:t>Clause 1</w:t>
      </w:r>
      <w:r>
        <w:rPr>
          <w:b/>
          <w:bCs/>
          <w:szCs w:val="24"/>
        </w:rPr>
        <w:t>3</w:t>
      </w:r>
      <w:r w:rsidRPr="00C4081D">
        <w:rPr>
          <w:b/>
          <w:bCs/>
          <w:szCs w:val="24"/>
        </w:rPr>
        <w:t xml:space="preserve"> – </w:t>
      </w:r>
      <w:r w:rsidR="0059205E" w:rsidRPr="0059205E">
        <w:rPr>
          <w:b/>
          <w:bCs/>
          <w:szCs w:val="24"/>
        </w:rPr>
        <w:t xml:space="preserve">Dictionary, </w:t>
      </w:r>
      <w:r w:rsidR="0059205E">
        <w:rPr>
          <w:b/>
          <w:bCs/>
          <w:szCs w:val="24"/>
        </w:rPr>
        <w:t>new definitions</w:t>
      </w:r>
    </w:p>
    <w:p w14:paraId="3082A723" w14:textId="5FF4F3AB" w:rsidR="00551B25" w:rsidRDefault="00551B25" w:rsidP="00551B25">
      <w:pPr>
        <w:rPr>
          <w:szCs w:val="24"/>
        </w:rPr>
      </w:pPr>
      <w:r>
        <w:rPr>
          <w:szCs w:val="24"/>
        </w:rPr>
        <w:t>This clause inserts n</w:t>
      </w:r>
      <w:r w:rsidRPr="0059205E">
        <w:rPr>
          <w:szCs w:val="24"/>
        </w:rPr>
        <w:t>ew definitions into the Dictionary of the Regulation</w:t>
      </w:r>
      <w:r w:rsidR="00A0408F">
        <w:rPr>
          <w:szCs w:val="24"/>
        </w:rPr>
        <w:t xml:space="preserve"> for app advertising, call to action and digital advertising. </w:t>
      </w:r>
    </w:p>
    <w:p w14:paraId="449DD656" w14:textId="76347C80" w:rsidR="00551B25" w:rsidRDefault="00551B25" w:rsidP="00551B25">
      <w:pPr>
        <w:rPr>
          <w:szCs w:val="24"/>
        </w:rPr>
      </w:pPr>
    </w:p>
    <w:p w14:paraId="4F10DC01" w14:textId="01B3D035" w:rsidR="0059205E" w:rsidRPr="0059205E" w:rsidRDefault="00FC5DAB" w:rsidP="0059205E">
      <w:pPr>
        <w:rPr>
          <w:szCs w:val="24"/>
          <w:highlight w:val="yellow"/>
        </w:rPr>
      </w:pPr>
      <w:r w:rsidRPr="00C4081D">
        <w:rPr>
          <w:b/>
          <w:bCs/>
          <w:szCs w:val="24"/>
        </w:rPr>
        <w:t>Clause 1</w:t>
      </w:r>
      <w:r>
        <w:rPr>
          <w:b/>
          <w:bCs/>
          <w:szCs w:val="24"/>
        </w:rPr>
        <w:t>4</w:t>
      </w:r>
      <w:r w:rsidRPr="00C4081D">
        <w:rPr>
          <w:b/>
          <w:bCs/>
          <w:szCs w:val="24"/>
        </w:rPr>
        <w:t xml:space="preserve"> – </w:t>
      </w:r>
      <w:r w:rsidR="0059205E" w:rsidRPr="0059205E">
        <w:rPr>
          <w:b/>
          <w:bCs/>
          <w:szCs w:val="24"/>
        </w:rPr>
        <w:t xml:space="preserve">Dictionary, </w:t>
      </w:r>
      <w:r w:rsidR="0059205E">
        <w:rPr>
          <w:b/>
          <w:bCs/>
          <w:szCs w:val="24"/>
        </w:rPr>
        <w:t>definition of direct marketing</w:t>
      </w:r>
      <w:r w:rsidR="0059205E" w:rsidRPr="0059205E">
        <w:rPr>
          <w:b/>
          <w:bCs/>
          <w:szCs w:val="24"/>
        </w:rPr>
        <w:t xml:space="preserve"> </w:t>
      </w:r>
    </w:p>
    <w:p w14:paraId="0105346F" w14:textId="54851690" w:rsidR="0059205E" w:rsidRDefault="00551B25" w:rsidP="00CF331B">
      <w:pPr>
        <w:rPr>
          <w:szCs w:val="24"/>
        </w:rPr>
      </w:pPr>
      <w:r>
        <w:rPr>
          <w:szCs w:val="24"/>
        </w:rPr>
        <w:t xml:space="preserve">This clause </w:t>
      </w:r>
      <w:r w:rsidR="00A72DF7">
        <w:t xml:space="preserve">amends the definition of </w:t>
      </w:r>
      <w:r>
        <w:t>direct marketing</w:t>
      </w:r>
      <w:r w:rsidR="00A72DF7">
        <w:t xml:space="preserve">. </w:t>
      </w:r>
      <w:r>
        <w:t xml:space="preserve"> </w:t>
      </w:r>
    </w:p>
    <w:p w14:paraId="2E32012F" w14:textId="77777777" w:rsidR="00551B25" w:rsidRDefault="00551B25" w:rsidP="00CF331B">
      <w:pPr>
        <w:rPr>
          <w:b/>
          <w:bCs/>
          <w:szCs w:val="24"/>
        </w:rPr>
      </w:pPr>
    </w:p>
    <w:p w14:paraId="7E90FF00" w14:textId="1267F61C" w:rsidR="00CF331B" w:rsidRPr="0059205E" w:rsidRDefault="00734EBC" w:rsidP="00CF331B">
      <w:pPr>
        <w:rPr>
          <w:szCs w:val="24"/>
          <w:highlight w:val="yellow"/>
        </w:rPr>
      </w:pPr>
      <w:r w:rsidRPr="00C4081D">
        <w:rPr>
          <w:b/>
          <w:bCs/>
          <w:szCs w:val="24"/>
        </w:rPr>
        <w:t>Clause 1</w:t>
      </w:r>
      <w:r>
        <w:rPr>
          <w:b/>
          <w:bCs/>
          <w:szCs w:val="24"/>
        </w:rPr>
        <w:t>5</w:t>
      </w:r>
      <w:r w:rsidRPr="00C4081D">
        <w:rPr>
          <w:b/>
          <w:bCs/>
          <w:szCs w:val="24"/>
        </w:rPr>
        <w:t xml:space="preserve"> – </w:t>
      </w:r>
      <w:r w:rsidR="00CF331B" w:rsidRPr="0059205E">
        <w:rPr>
          <w:b/>
          <w:bCs/>
          <w:szCs w:val="24"/>
        </w:rPr>
        <w:t xml:space="preserve">Dictionary, new definitions </w:t>
      </w:r>
    </w:p>
    <w:p w14:paraId="31879309" w14:textId="02E332E0" w:rsidR="0059205E" w:rsidRDefault="00551B25" w:rsidP="0059205E">
      <w:pPr>
        <w:rPr>
          <w:szCs w:val="24"/>
        </w:rPr>
      </w:pPr>
      <w:r>
        <w:rPr>
          <w:szCs w:val="24"/>
        </w:rPr>
        <w:t>This clause inserts n</w:t>
      </w:r>
      <w:r w:rsidR="0059205E" w:rsidRPr="0059205E">
        <w:rPr>
          <w:szCs w:val="24"/>
        </w:rPr>
        <w:t xml:space="preserve">ew definitions </w:t>
      </w:r>
      <w:r w:rsidR="00CF331B" w:rsidRPr="0059205E">
        <w:rPr>
          <w:szCs w:val="24"/>
        </w:rPr>
        <w:t xml:space="preserve">into the Dictionary of the Regulation, </w:t>
      </w:r>
      <w:r w:rsidR="00A72DF7">
        <w:rPr>
          <w:szCs w:val="24"/>
        </w:rPr>
        <w:t xml:space="preserve">for </w:t>
      </w:r>
      <w:r w:rsidR="002B2939">
        <w:rPr>
          <w:szCs w:val="24"/>
        </w:rPr>
        <w:t>e</w:t>
      </w:r>
      <w:r w:rsidR="0059205E" w:rsidRPr="0059205E">
        <w:rPr>
          <w:szCs w:val="24"/>
        </w:rPr>
        <w:t>lectronic sports</w:t>
      </w:r>
      <w:r w:rsidR="0059205E">
        <w:rPr>
          <w:szCs w:val="24"/>
        </w:rPr>
        <w:t xml:space="preserve"> </w:t>
      </w:r>
      <w:r w:rsidR="0059205E" w:rsidRPr="0059205E">
        <w:rPr>
          <w:szCs w:val="24"/>
        </w:rPr>
        <w:t>bookmaking licensee</w:t>
      </w:r>
      <w:r w:rsidR="00731354">
        <w:rPr>
          <w:szCs w:val="24"/>
        </w:rPr>
        <w:t>,</w:t>
      </w:r>
      <w:r w:rsidR="002B2939">
        <w:rPr>
          <w:szCs w:val="24"/>
        </w:rPr>
        <w:t xml:space="preserve"> e</w:t>
      </w:r>
      <w:r w:rsidR="0059205E" w:rsidRPr="0059205E">
        <w:rPr>
          <w:szCs w:val="24"/>
        </w:rPr>
        <w:t>lectronic totalisator licensee</w:t>
      </w:r>
      <w:r w:rsidR="00731354">
        <w:rPr>
          <w:szCs w:val="24"/>
        </w:rPr>
        <w:t>,</w:t>
      </w:r>
      <w:r w:rsidR="002B2939">
        <w:rPr>
          <w:szCs w:val="24"/>
        </w:rPr>
        <w:t xml:space="preserve"> g</w:t>
      </w:r>
      <w:r w:rsidR="0059205E" w:rsidRPr="0059205E">
        <w:rPr>
          <w:szCs w:val="24"/>
        </w:rPr>
        <w:t>ambling advertising</w:t>
      </w:r>
      <w:r w:rsidR="00731354">
        <w:rPr>
          <w:szCs w:val="24"/>
        </w:rPr>
        <w:t>,</w:t>
      </w:r>
      <w:r w:rsidR="002B2939">
        <w:rPr>
          <w:szCs w:val="24"/>
        </w:rPr>
        <w:t xml:space="preserve"> p</w:t>
      </w:r>
      <w:r w:rsidR="0059205E" w:rsidRPr="0059205E">
        <w:rPr>
          <w:szCs w:val="24"/>
        </w:rPr>
        <w:t xml:space="preserve">rint advertising, </w:t>
      </w:r>
    </w:p>
    <w:p w14:paraId="1B93A11B" w14:textId="252E836A" w:rsidR="00CF331B" w:rsidRPr="00CB4227" w:rsidRDefault="002B2939" w:rsidP="0059205E">
      <w:pPr>
        <w:rPr>
          <w:szCs w:val="24"/>
        </w:rPr>
      </w:pPr>
      <w:r>
        <w:rPr>
          <w:szCs w:val="24"/>
        </w:rPr>
        <w:t>r</w:t>
      </w:r>
      <w:r w:rsidR="0059205E" w:rsidRPr="0059205E">
        <w:rPr>
          <w:szCs w:val="24"/>
        </w:rPr>
        <w:t>adio advertising,</w:t>
      </w:r>
      <w:r>
        <w:rPr>
          <w:szCs w:val="24"/>
        </w:rPr>
        <w:t xml:space="preserve"> s</w:t>
      </w:r>
      <w:r w:rsidR="0059205E" w:rsidRPr="0059205E">
        <w:rPr>
          <w:szCs w:val="24"/>
        </w:rPr>
        <w:t>ocial media advertising,</w:t>
      </w:r>
      <w:r>
        <w:rPr>
          <w:szCs w:val="24"/>
        </w:rPr>
        <w:t xml:space="preserve"> t</w:t>
      </w:r>
      <w:r w:rsidR="0059205E" w:rsidRPr="0059205E">
        <w:rPr>
          <w:szCs w:val="24"/>
        </w:rPr>
        <w:t>agline</w:t>
      </w:r>
      <w:r w:rsidR="00731354">
        <w:rPr>
          <w:szCs w:val="24"/>
        </w:rPr>
        <w:t>,</w:t>
      </w:r>
      <w:r>
        <w:rPr>
          <w:szCs w:val="24"/>
        </w:rPr>
        <w:t xml:space="preserve"> t</w:t>
      </w:r>
      <w:r w:rsidR="0059205E" w:rsidRPr="0059205E">
        <w:rPr>
          <w:szCs w:val="24"/>
        </w:rPr>
        <w:t>elevision,</w:t>
      </w:r>
      <w:r>
        <w:rPr>
          <w:szCs w:val="24"/>
        </w:rPr>
        <w:t xml:space="preserve"> t</w:t>
      </w:r>
      <w:r w:rsidR="0059205E" w:rsidRPr="0059205E">
        <w:rPr>
          <w:szCs w:val="24"/>
        </w:rPr>
        <w:t>elevision or video advertising</w:t>
      </w:r>
      <w:r>
        <w:rPr>
          <w:szCs w:val="24"/>
        </w:rPr>
        <w:t xml:space="preserve"> and w</w:t>
      </w:r>
      <w:r w:rsidR="0059205E" w:rsidRPr="0059205E">
        <w:rPr>
          <w:szCs w:val="24"/>
        </w:rPr>
        <w:t>ebsite advertising</w:t>
      </w:r>
      <w:r w:rsidR="00731354">
        <w:rPr>
          <w:szCs w:val="24"/>
        </w:rPr>
        <w:t>.</w:t>
      </w:r>
    </w:p>
    <w:p w14:paraId="30C64905" w14:textId="77777777" w:rsidR="00CE1B8F" w:rsidRDefault="0094254F"/>
    <w:sectPr w:rsidR="00CE1B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E8D6" w14:textId="77777777" w:rsidR="00393FEC" w:rsidRDefault="00393FEC" w:rsidP="00393FEC">
      <w:r>
        <w:separator/>
      </w:r>
    </w:p>
  </w:endnote>
  <w:endnote w:type="continuationSeparator" w:id="0">
    <w:p w14:paraId="285481C0" w14:textId="77777777" w:rsidR="00393FEC" w:rsidRDefault="00393FEC" w:rsidP="0039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6C6C" w14:textId="77777777" w:rsidR="00393FEC" w:rsidRDefault="0039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9628" w14:textId="6E68E885" w:rsidR="00393FEC" w:rsidRPr="0094254F" w:rsidRDefault="0094254F" w:rsidP="0094254F">
    <w:pPr>
      <w:pStyle w:val="Footer"/>
      <w:jc w:val="center"/>
      <w:rPr>
        <w:rFonts w:ascii="Arial" w:hAnsi="Arial" w:cs="Arial"/>
        <w:sz w:val="14"/>
      </w:rPr>
    </w:pPr>
    <w:r w:rsidRPr="0094254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6D9" w14:textId="77777777" w:rsidR="00393FEC" w:rsidRDefault="0039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C33B" w14:textId="77777777" w:rsidR="00393FEC" w:rsidRDefault="00393FEC" w:rsidP="00393FEC">
      <w:r>
        <w:separator/>
      </w:r>
    </w:p>
  </w:footnote>
  <w:footnote w:type="continuationSeparator" w:id="0">
    <w:p w14:paraId="631C1683" w14:textId="77777777" w:rsidR="00393FEC" w:rsidRDefault="00393FEC" w:rsidP="0039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BF9" w14:textId="77777777" w:rsidR="00393FEC" w:rsidRDefault="0039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D8A" w14:textId="77777777" w:rsidR="00393FEC" w:rsidRDefault="00393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811F" w14:textId="77777777" w:rsidR="00393FEC" w:rsidRDefault="0039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4C8"/>
    <w:multiLevelType w:val="hybridMultilevel"/>
    <w:tmpl w:val="F734492A"/>
    <w:lvl w:ilvl="0" w:tplc="0C090001">
      <w:start w:val="1"/>
      <w:numFmt w:val="bullet"/>
      <w:lvlText w:val=""/>
      <w:lvlJc w:val="left"/>
      <w:pPr>
        <w:ind w:left="720" w:hanging="360"/>
      </w:pPr>
      <w:rPr>
        <w:rFonts w:ascii="Symbol" w:hAnsi="Symbol" w:hint="default"/>
      </w:rPr>
    </w:lvl>
    <w:lvl w:ilvl="1" w:tplc="4FB440B0">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95F2D"/>
    <w:multiLevelType w:val="hybridMultilevel"/>
    <w:tmpl w:val="DFAC59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602B50"/>
    <w:multiLevelType w:val="hybridMultilevel"/>
    <w:tmpl w:val="DFAC5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5C2936"/>
    <w:multiLevelType w:val="hybridMultilevel"/>
    <w:tmpl w:val="3358264E"/>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4" w15:restartNumberingAfterBreak="0">
    <w:nsid w:val="58AF06C5"/>
    <w:multiLevelType w:val="hybridMultilevel"/>
    <w:tmpl w:val="E2BE1760"/>
    <w:lvl w:ilvl="0" w:tplc="F9EC8086">
      <w:start w:val="1"/>
      <w:numFmt w:val="lowerLetter"/>
      <w:lvlText w:val="(%1)"/>
      <w:lvlJc w:val="left"/>
      <w:pPr>
        <w:ind w:left="720" w:hanging="360"/>
      </w:pPr>
      <w:rPr>
        <w:rFonts w:hint="default"/>
      </w:rPr>
    </w:lvl>
    <w:lvl w:ilvl="1" w:tplc="FFFFFFFF">
      <w:numFmt w:val="bullet"/>
      <w:lvlText w:val="•"/>
      <w:lvlJc w:val="left"/>
      <w:pPr>
        <w:ind w:left="1800" w:hanging="72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E8B36F4"/>
    <w:multiLevelType w:val="hybridMultilevel"/>
    <w:tmpl w:val="B2086D6A"/>
    <w:lvl w:ilvl="0" w:tplc="658404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1157CA"/>
    <w:multiLevelType w:val="hybridMultilevel"/>
    <w:tmpl w:val="3432C628"/>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F954343"/>
    <w:multiLevelType w:val="hybridMultilevel"/>
    <w:tmpl w:val="64D82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4608429">
    <w:abstractNumId w:val="0"/>
  </w:num>
  <w:num w:numId="2" w16cid:durableId="1576820678">
    <w:abstractNumId w:val="7"/>
  </w:num>
  <w:num w:numId="3" w16cid:durableId="26376361">
    <w:abstractNumId w:val="3"/>
  </w:num>
  <w:num w:numId="4" w16cid:durableId="1027172313">
    <w:abstractNumId w:val="4"/>
  </w:num>
  <w:num w:numId="5" w16cid:durableId="1597204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3171835">
    <w:abstractNumId w:val="1"/>
  </w:num>
  <w:num w:numId="7" w16cid:durableId="1445921617">
    <w:abstractNumId w:val="2"/>
  </w:num>
  <w:num w:numId="8" w16cid:durableId="1684474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B"/>
    <w:rsid w:val="00007CB8"/>
    <w:rsid w:val="00012B05"/>
    <w:rsid w:val="00021DE9"/>
    <w:rsid w:val="000275B2"/>
    <w:rsid w:val="0006712D"/>
    <w:rsid w:val="00067D82"/>
    <w:rsid w:val="00076D0F"/>
    <w:rsid w:val="000814E0"/>
    <w:rsid w:val="000B37AA"/>
    <w:rsid w:val="000B66C1"/>
    <w:rsid w:val="000C5DC6"/>
    <w:rsid w:val="001145D7"/>
    <w:rsid w:val="00115DD8"/>
    <w:rsid w:val="00136E62"/>
    <w:rsid w:val="00151F63"/>
    <w:rsid w:val="00161228"/>
    <w:rsid w:val="00173FC7"/>
    <w:rsid w:val="00187603"/>
    <w:rsid w:val="00192578"/>
    <w:rsid w:val="001955AE"/>
    <w:rsid w:val="001B4EAC"/>
    <w:rsid w:val="001B6323"/>
    <w:rsid w:val="001C51B2"/>
    <w:rsid w:val="001D6E0B"/>
    <w:rsid w:val="001E5230"/>
    <w:rsid w:val="0020042C"/>
    <w:rsid w:val="002145BE"/>
    <w:rsid w:val="0026102B"/>
    <w:rsid w:val="002B2939"/>
    <w:rsid w:val="002B593B"/>
    <w:rsid w:val="002B7B4A"/>
    <w:rsid w:val="002E7D9A"/>
    <w:rsid w:val="003023B5"/>
    <w:rsid w:val="0031126D"/>
    <w:rsid w:val="003130B1"/>
    <w:rsid w:val="003169D8"/>
    <w:rsid w:val="00335645"/>
    <w:rsid w:val="00366D69"/>
    <w:rsid w:val="00386641"/>
    <w:rsid w:val="00393FEC"/>
    <w:rsid w:val="003948B0"/>
    <w:rsid w:val="003A0C6F"/>
    <w:rsid w:val="003A4831"/>
    <w:rsid w:val="003B5787"/>
    <w:rsid w:val="003C609E"/>
    <w:rsid w:val="003E00D3"/>
    <w:rsid w:val="003E133A"/>
    <w:rsid w:val="003E13A8"/>
    <w:rsid w:val="003F0F25"/>
    <w:rsid w:val="004038A6"/>
    <w:rsid w:val="004341CF"/>
    <w:rsid w:val="004879FB"/>
    <w:rsid w:val="004A0FF5"/>
    <w:rsid w:val="004A6581"/>
    <w:rsid w:val="004B3D7F"/>
    <w:rsid w:val="004C7E26"/>
    <w:rsid w:val="004D3F0A"/>
    <w:rsid w:val="004D66CA"/>
    <w:rsid w:val="004E3EA6"/>
    <w:rsid w:val="004E6CDF"/>
    <w:rsid w:val="004F14F2"/>
    <w:rsid w:val="004F14F9"/>
    <w:rsid w:val="00516CB6"/>
    <w:rsid w:val="005208EB"/>
    <w:rsid w:val="00551B25"/>
    <w:rsid w:val="005527FD"/>
    <w:rsid w:val="0059205E"/>
    <w:rsid w:val="005926DB"/>
    <w:rsid w:val="005A2A5A"/>
    <w:rsid w:val="005B2CBA"/>
    <w:rsid w:val="005D0B3F"/>
    <w:rsid w:val="005D68C6"/>
    <w:rsid w:val="006069DC"/>
    <w:rsid w:val="0061078F"/>
    <w:rsid w:val="00617AF7"/>
    <w:rsid w:val="00621847"/>
    <w:rsid w:val="006464BB"/>
    <w:rsid w:val="00655CF6"/>
    <w:rsid w:val="00667969"/>
    <w:rsid w:val="00670B1E"/>
    <w:rsid w:val="00691AF8"/>
    <w:rsid w:val="006954CC"/>
    <w:rsid w:val="006D6A97"/>
    <w:rsid w:val="00721380"/>
    <w:rsid w:val="00731354"/>
    <w:rsid w:val="00734EBC"/>
    <w:rsid w:val="0077227C"/>
    <w:rsid w:val="007B74FB"/>
    <w:rsid w:val="007C3239"/>
    <w:rsid w:val="007D0B01"/>
    <w:rsid w:val="007D76C4"/>
    <w:rsid w:val="007E43DA"/>
    <w:rsid w:val="007E738F"/>
    <w:rsid w:val="007F4C8E"/>
    <w:rsid w:val="00807DD4"/>
    <w:rsid w:val="00850112"/>
    <w:rsid w:val="00852E95"/>
    <w:rsid w:val="00864196"/>
    <w:rsid w:val="0087637F"/>
    <w:rsid w:val="00887D23"/>
    <w:rsid w:val="008C74AC"/>
    <w:rsid w:val="008D5C55"/>
    <w:rsid w:val="008E55E5"/>
    <w:rsid w:val="008F03ED"/>
    <w:rsid w:val="008F688D"/>
    <w:rsid w:val="009406C9"/>
    <w:rsid w:val="00941C12"/>
    <w:rsid w:val="0094254F"/>
    <w:rsid w:val="00946729"/>
    <w:rsid w:val="00981827"/>
    <w:rsid w:val="009A08AF"/>
    <w:rsid w:val="009A1297"/>
    <w:rsid w:val="009C382E"/>
    <w:rsid w:val="009E0810"/>
    <w:rsid w:val="00A0408F"/>
    <w:rsid w:val="00A23C3C"/>
    <w:rsid w:val="00A31C88"/>
    <w:rsid w:val="00A54F80"/>
    <w:rsid w:val="00A72DF7"/>
    <w:rsid w:val="00AA0C6B"/>
    <w:rsid w:val="00AA1CE3"/>
    <w:rsid w:val="00AA76DF"/>
    <w:rsid w:val="00B00E89"/>
    <w:rsid w:val="00B01882"/>
    <w:rsid w:val="00B24B5B"/>
    <w:rsid w:val="00B57FCE"/>
    <w:rsid w:val="00B6181F"/>
    <w:rsid w:val="00B75CAC"/>
    <w:rsid w:val="00B93623"/>
    <w:rsid w:val="00BA5C4F"/>
    <w:rsid w:val="00BD108D"/>
    <w:rsid w:val="00C208F3"/>
    <w:rsid w:val="00C4081D"/>
    <w:rsid w:val="00C51075"/>
    <w:rsid w:val="00C57212"/>
    <w:rsid w:val="00C673DD"/>
    <w:rsid w:val="00CB4227"/>
    <w:rsid w:val="00CD1B33"/>
    <w:rsid w:val="00CD61F4"/>
    <w:rsid w:val="00CE1137"/>
    <w:rsid w:val="00CF116E"/>
    <w:rsid w:val="00CF331B"/>
    <w:rsid w:val="00CF4113"/>
    <w:rsid w:val="00D25108"/>
    <w:rsid w:val="00D36CAA"/>
    <w:rsid w:val="00D43EB1"/>
    <w:rsid w:val="00D476FA"/>
    <w:rsid w:val="00DA1848"/>
    <w:rsid w:val="00DA6434"/>
    <w:rsid w:val="00DD206C"/>
    <w:rsid w:val="00DF1406"/>
    <w:rsid w:val="00DF6571"/>
    <w:rsid w:val="00E16B29"/>
    <w:rsid w:val="00E40BEB"/>
    <w:rsid w:val="00E41675"/>
    <w:rsid w:val="00E460CB"/>
    <w:rsid w:val="00E51468"/>
    <w:rsid w:val="00E5176C"/>
    <w:rsid w:val="00E62695"/>
    <w:rsid w:val="00E81326"/>
    <w:rsid w:val="00E910FC"/>
    <w:rsid w:val="00E928DD"/>
    <w:rsid w:val="00E93222"/>
    <w:rsid w:val="00EC0739"/>
    <w:rsid w:val="00EE76F2"/>
    <w:rsid w:val="00EF0766"/>
    <w:rsid w:val="00F0197E"/>
    <w:rsid w:val="00F062CF"/>
    <w:rsid w:val="00F15FD8"/>
    <w:rsid w:val="00F16101"/>
    <w:rsid w:val="00F23416"/>
    <w:rsid w:val="00F50361"/>
    <w:rsid w:val="00F61E06"/>
    <w:rsid w:val="00F67AC4"/>
    <w:rsid w:val="00F7013B"/>
    <w:rsid w:val="00F722C3"/>
    <w:rsid w:val="00F94153"/>
    <w:rsid w:val="00FC20D9"/>
    <w:rsid w:val="00FC5513"/>
    <w:rsid w:val="00FC5DAB"/>
    <w:rsid w:val="00FE1E93"/>
    <w:rsid w:val="00FE4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CBB35"/>
  <w15:chartTrackingRefBased/>
  <w15:docId w15:val="{0E41E080-010B-4AC3-9C90-ADAEAE8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F331B"/>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CF331B"/>
    <w:pPr>
      <w:pBdr>
        <w:bottom w:val="single" w:sz="12" w:space="1" w:color="auto"/>
      </w:pBdr>
      <w:jc w:val="both"/>
    </w:pPr>
  </w:style>
  <w:style w:type="paragraph" w:customStyle="1" w:styleId="madeunder">
    <w:name w:val="made under"/>
    <w:basedOn w:val="Normal"/>
    <w:rsid w:val="00CF331B"/>
    <w:pPr>
      <w:spacing w:before="180" w:after="60"/>
      <w:jc w:val="both"/>
    </w:pPr>
  </w:style>
  <w:style w:type="paragraph" w:customStyle="1" w:styleId="CoverActName">
    <w:name w:val="CoverActName"/>
    <w:basedOn w:val="Normal"/>
    <w:rsid w:val="00CF331B"/>
    <w:pPr>
      <w:tabs>
        <w:tab w:val="left" w:pos="2600"/>
      </w:tabs>
      <w:spacing w:before="200" w:after="60"/>
      <w:jc w:val="both"/>
    </w:pPr>
    <w:rPr>
      <w:rFonts w:ascii="Arial" w:hAnsi="Arial"/>
      <w:b/>
    </w:rPr>
  </w:style>
  <w:style w:type="character" w:styleId="Hyperlink">
    <w:name w:val="Hyperlink"/>
    <w:basedOn w:val="DefaultParagraphFont"/>
    <w:semiHidden/>
    <w:rsid w:val="00CF331B"/>
    <w:rPr>
      <w:color w:val="0000FF"/>
      <w:u w:val="single"/>
    </w:rPr>
  </w:style>
  <w:style w:type="paragraph" w:styleId="ListParagraph">
    <w:name w:val="List Paragraph"/>
    <w:aliases w:val="List Paragraph1,Recommendation,List Paragraph11,Bullet point,L"/>
    <w:basedOn w:val="Normal"/>
    <w:link w:val="ListParagraphChar"/>
    <w:uiPriority w:val="34"/>
    <w:qFormat/>
    <w:rsid w:val="00CF331B"/>
    <w:pPr>
      <w:ind w:left="720"/>
      <w:contextualSpacing/>
    </w:pPr>
  </w:style>
  <w:style w:type="character" w:styleId="CommentReference">
    <w:name w:val="annotation reference"/>
    <w:basedOn w:val="DefaultParagraphFont"/>
    <w:semiHidden/>
    <w:unhideWhenUsed/>
    <w:rsid w:val="00CF331B"/>
    <w:rPr>
      <w:sz w:val="16"/>
      <w:szCs w:val="16"/>
    </w:rPr>
  </w:style>
  <w:style w:type="paragraph" w:styleId="CommentText">
    <w:name w:val="annotation text"/>
    <w:basedOn w:val="Normal"/>
    <w:link w:val="CommentTextChar"/>
    <w:unhideWhenUsed/>
    <w:rsid w:val="00CF331B"/>
    <w:rPr>
      <w:sz w:val="20"/>
    </w:rPr>
  </w:style>
  <w:style w:type="character" w:customStyle="1" w:styleId="CommentTextChar">
    <w:name w:val="Comment Text Char"/>
    <w:basedOn w:val="DefaultParagraphFont"/>
    <w:link w:val="CommentText"/>
    <w:rsid w:val="00CF331B"/>
    <w:rPr>
      <w:rFonts w:ascii="Times New Roman" w:eastAsia="Times New Roman" w:hAnsi="Times New Roman" w:cs="Times New Roman"/>
      <w:sz w:val="20"/>
      <w:szCs w:val="20"/>
    </w:rPr>
  </w:style>
  <w:style w:type="paragraph" w:styleId="Revision">
    <w:name w:val="Revision"/>
    <w:hidden/>
    <w:uiPriority w:val="99"/>
    <w:semiHidden/>
    <w:rsid w:val="004D66CA"/>
    <w:pPr>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4D66CA"/>
    <w:rPr>
      <w:b/>
      <w:bCs/>
    </w:rPr>
  </w:style>
  <w:style w:type="character" w:customStyle="1" w:styleId="CommentSubjectChar">
    <w:name w:val="Comment Subject Char"/>
    <w:basedOn w:val="CommentTextChar"/>
    <w:link w:val="CommentSubject"/>
    <w:uiPriority w:val="99"/>
    <w:semiHidden/>
    <w:rsid w:val="004D66CA"/>
    <w:rPr>
      <w:rFonts w:ascii="Times New Roman" w:eastAsia="Times New Roman" w:hAnsi="Times New Roman" w:cs="Times New Roman"/>
      <w:b/>
      <w:bCs/>
      <w:sz w:val="20"/>
      <w:szCs w:val="20"/>
    </w:rPr>
  </w:style>
  <w:style w:type="paragraph" w:styleId="NormalWeb">
    <w:name w:val="Normal (Web)"/>
    <w:basedOn w:val="Normal"/>
    <w:uiPriority w:val="99"/>
    <w:unhideWhenUsed/>
    <w:rsid w:val="00DA1848"/>
    <w:pPr>
      <w:spacing w:before="100" w:beforeAutospacing="1" w:after="100" w:afterAutospacing="1"/>
    </w:pPr>
    <w:rPr>
      <w:szCs w:val="24"/>
      <w:lang w:eastAsia="en-AU"/>
    </w:rPr>
  </w:style>
  <w:style w:type="character" w:customStyle="1" w:styleId="ListParagraphChar">
    <w:name w:val="List Paragraph Char"/>
    <w:aliases w:val="List Paragraph1 Char,Recommendation Char,List Paragraph11 Char,Bullet point Char,L Char"/>
    <w:basedOn w:val="DefaultParagraphFont"/>
    <w:link w:val="ListParagraph"/>
    <w:uiPriority w:val="34"/>
    <w:locked/>
    <w:rsid w:val="004038A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93FEC"/>
    <w:pPr>
      <w:tabs>
        <w:tab w:val="center" w:pos="4513"/>
        <w:tab w:val="right" w:pos="9026"/>
      </w:tabs>
    </w:pPr>
  </w:style>
  <w:style w:type="character" w:customStyle="1" w:styleId="HeaderChar">
    <w:name w:val="Header Char"/>
    <w:basedOn w:val="DefaultParagraphFont"/>
    <w:link w:val="Header"/>
    <w:uiPriority w:val="99"/>
    <w:rsid w:val="00393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93FEC"/>
    <w:pPr>
      <w:tabs>
        <w:tab w:val="center" w:pos="4513"/>
        <w:tab w:val="right" w:pos="9026"/>
      </w:tabs>
    </w:pPr>
  </w:style>
  <w:style w:type="character" w:customStyle="1" w:styleId="FooterChar">
    <w:name w:val="Footer Char"/>
    <w:basedOn w:val="DefaultParagraphFont"/>
    <w:link w:val="Footer"/>
    <w:uiPriority w:val="99"/>
    <w:rsid w:val="00393F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333">
      <w:bodyDiv w:val="1"/>
      <w:marLeft w:val="0"/>
      <w:marRight w:val="0"/>
      <w:marTop w:val="0"/>
      <w:marBottom w:val="0"/>
      <w:divBdr>
        <w:top w:val="none" w:sz="0" w:space="0" w:color="auto"/>
        <w:left w:val="none" w:sz="0" w:space="0" w:color="auto"/>
        <w:bottom w:val="none" w:sz="0" w:space="0" w:color="auto"/>
        <w:right w:val="none" w:sz="0" w:space="0" w:color="auto"/>
      </w:divBdr>
    </w:div>
    <w:div w:id="17250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8661</Characters>
  <Application>Microsoft Office Word</Application>
  <DocSecurity>0</DocSecurity>
  <Lines>213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KateE</dc:creator>
  <cp:keywords>2</cp:keywords>
  <dc:description/>
  <cp:lastModifiedBy>PCODCS</cp:lastModifiedBy>
  <cp:revision>4</cp:revision>
  <dcterms:created xsi:type="dcterms:W3CDTF">2023-05-29T23:50:00Z</dcterms:created>
  <dcterms:modified xsi:type="dcterms:W3CDTF">2023-05-29T23:50:00Z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10549491</vt:lpwstr>
  </property>
  <property fmtid="{D5CDD505-2E9C-101B-9397-08002B2CF9AE}" pid="4" name="JMSREQUIREDCHECKIN">
    <vt:lpwstr/>
  </property>
</Properties>
</file>