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A9EFB" w14:textId="77777777" w:rsidR="006815C9" w:rsidRDefault="006815C9" w:rsidP="00614DCB">
      <w:pPr>
        <w:spacing w:before="120"/>
        <w:rPr>
          <w:rFonts w:ascii="Arial" w:hAnsi="Arial" w:cs="Arial"/>
        </w:rPr>
      </w:pPr>
      <w:bookmarkStart w:id="0" w:name="_Toc44738651"/>
      <w:r>
        <w:rPr>
          <w:rFonts w:ascii="Arial" w:hAnsi="Arial" w:cs="Arial"/>
        </w:rPr>
        <w:t>Australian Capital Territory</w:t>
      </w:r>
    </w:p>
    <w:p w14:paraId="1281DFA6" w14:textId="50CD24DB" w:rsidR="006815C9" w:rsidRDefault="0066794D" w:rsidP="00614DCB">
      <w:pPr>
        <w:pStyle w:val="Billname"/>
        <w:spacing w:before="700"/>
      </w:pPr>
      <w:r>
        <w:t>Building</w:t>
      </w:r>
      <w:r w:rsidR="006815C9">
        <w:t xml:space="preserve"> </w:t>
      </w:r>
      <w:r w:rsidR="005260AE">
        <w:t xml:space="preserve">and Construction Legislation </w:t>
      </w:r>
      <w:r>
        <w:t xml:space="preserve">Amendment Regulation </w:t>
      </w:r>
      <w:r w:rsidR="00C83810">
        <w:t xml:space="preserve">2023 </w:t>
      </w:r>
      <w:r w:rsidR="00C85B88">
        <w:t>(No</w:t>
      </w:r>
      <w:r w:rsidR="007A025B">
        <w:t> </w:t>
      </w:r>
      <w:r w:rsidR="00C34379">
        <w:t>2</w:t>
      </w:r>
      <w:r w:rsidR="00C85B88">
        <w:t>)</w:t>
      </w:r>
    </w:p>
    <w:p w14:paraId="1B6D9C54" w14:textId="1363F22F" w:rsidR="006815C9" w:rsidRDefault="00F5371D" w:rsidP="00614DCB">
      <w:pPr>
        <w:spacing w:before="340"/>
        <w:rPr>
          <w:rFonts w:ascii="Arial" w:hAnsi="Arial" w:cs="Arial"/>
          <w:b/>
          <w:bCs/>
        </w:rPr>
      </w:pPr>
      <w:r>
        <w:rPr>
          <w:rFonts w:ascii="Arial" w:hAnsi="Arial" w:cs="Arial"/>
          <w:b/>
          <w:bCs/>
        </w:rPr>
        <w:t xml:space="preserve">Subordinate law </w:t>
      </w:r>
      <w:r w:rsidR="00530761">
        <w:rPr>
          <w:rFonts w:ascii="Arial" w:hAnsi="Arial" w:cs="Arial"/>
          <w:b/>
          <w:bCs/>
        </w:rPr>
        <w:t>SL2023-</w:t>
      </w:r>
      <w:r w:rsidR="0090317B">
        <w:rPr>
          <w:rFonts w:ascii="Arial" w:hAnsi="Arial" w:cs="Arial"/>
          <w:b/>
          <w:bCs/>
        </w:rPr>
        <w:t>23</w:t>
      </w:r>
    </w:p>
    <w:p w14:paraId="5712FEC2" w14:textId="77777777" w:rsidR="006815C9" w:rsidRDefault="006815C9" w:rsidP="00620F86">
      <w:pPr>
        <w:pStyle w:val="madeunder"/>
        <w:spacing w:before="300" w:after="0"/>
        <w:jc w:val="left"/>
      </w:pPr>
      <w:r>
        <w:t xml:space="preserve">made under the  </w:t>
      </w:r>
    </w:p>
    <w:p w14:paraId="0EC433D1" w14:textId="78723E3C" w:rsidR="006815C9" w:rsidRDefault="0066794D" w:rsidP="00620F86">
      <w:pPr>
        <w:pStyle w:val="CoverActName"/>
        <w:spacing w:before="320" w:after="0"/>
        <w:jc w:val="left"/>
        <w:rPr>
          <w:rFonts w:cs="Arial"/>
          <w:sz w:val="20"/>
        </w:rPr>
      </w:pPr>
      <w:r w:rsidRPr="00A06228">
        <w:rPr>
          <w:rFonts w:cs="Arial"/>
          <w:sz w:val="20"/>
        </w:rPr>
        <w:t>Building Act 2004</w:t>
      </w:r>
    </w:p>
    <w:p w14:paraId="18049C84" w14:textId="77777777" w:rsidR="006815C9" w:rsidRDefault="006815C9" w:rsidP="00614DCB">
      <w:pPr>
        <w:spacing w:before="360"/>
        <w:ind w:right="565"/>
        <w:rPr>
          <w:rFonts w:ascii="Arial" w:hAnsi="Arial" w:cs="Arial"/>
          <w:b/>
          <w:bCs/>
          <w:sz w:val="28"/>
          <w:szCs w:val="28"/>
        </w:rPr>
      </w:pPr>
      <w:r>
        <w:rPr>
          <w:rFonts w:ascii="Arial" w:hAnsi="Arial" w:cs="Arial"/>
          <w:b/>
          <w:bCs/>
          <w:sz w:val="28"/>
          <w:szCs w:val="28"/>
        </w:rPr>
        <w:t>EXPLANATORY STATEMENT</w:t>
      </w:r>
    </w:p>
    <w:p w14:paraId="03F5214A" w14:textId="77777777" w:rsidR="006815C9" w:rsidRDefault="006815C9" w:rsidP="00620F86">
      <w:pPr>
        <w:pStyle w:val="N-line3"/>
        <w:pBdr>
          <w:bottom w:val="none" w:sz="0" w:space="0" w:color="auto"/>
        </w:pBdr>
        <w:jc w:val="left"/>
      </w:pPr>
    </w:p>
    <w:p w14:paraId="6E0AC33C" w14:textId="77777777" w:rsidR="006815C9" w:rsidRDefault="006815C9" w:rsidP="00620F86">
      <w:pPr>
        <w:pStyle w:val="N-line3"/>
        <w:pBdr>
          <w:top w:val="single" w:sz="12" w:space="1" w:color="auto"/>
          <w:bottom w:val="none" w:sz="0" w:space="0" w:color="auto"/>
        </w:pBdr>
        <w:jc w:val="left"/>
      </w:pPr>
    </w:p>
    <w:bookmarkEnd w:id="0"/>
    <w:p w14:paraId="6019DE6F" w14:textId="5730813D" w:rsidR="00DA0F68" w:rsidRDefault="00530761" w:rsidP="00614DCB">
      <w:r>
        <w:t xml:space="preserve">This explanatory statement relates to the </w:t>
      </w:r>
      <w:r w:rsidRPr="00D13FFE">
        <w:rPr>
          <w:i/>
        </w:rPr>
        <w:t xml:space="preserve">Building </w:t>
      </w:r>
      <w:r>
        <w:rPr>
          <w:i/>
        </w:rPr>
        <w:t>and Construction Legislation Amendment Regulation 2023</w:t>
      </w:r>
      <w:r w:rsidR="007A025B">
        <w:rPr>
          <w:i/>
        </w:rPr>
        <w:t xml:space="preserve"> (No </w:t>
      </w:r>
      <w:r w:rsidR="00C34379">
        <w:rPr>
          <w:i/>
        </w:rPr>
        <w:t>2</w:t>
      </w:r>
      <w:r w:rsidR="007A025B">
        <w:rPr>
          <w:i/>
        </w:rPr>
        <w:t>)</w:t>
      </w:r>
      <w:r>
        <w:t xml:space="preserve"> (the </w:t>
      </w:r>
      <w:r w:rsidRPr="00620F86">
        <w:rPr>
          <w:b/>
          <w:bCs/>
          <w:i/>
          <w:iCs/>
        </w:rPr>
        <w:t>regulation</w:t>
      </w:r>
      <w:r>
        <w:t xml:space="preserve">) as made by the </w:t>
      </w:r>
      <w:r w:rsidR="005260AE">
        <w:t xml:space="preserve">Executive. </w:t>
      </w:r>
      <w:r w:rsidRPr="00530761">
        <w:t>It has been prepared to assist the reader of the regulation and to help inform debate on it. It does not form part of the regulation and has not been endorsed by the Legislative Assembly.</w:t>
      </w:r>
    </w:p>
    <w:p w14:paraId="101218C8" w14:textId="77777777" w:rsidR="00DA0F68" w:rsidRDefault="00DA0F68" w:rsidP="00614DCB"/>
    <w:p w14:paraId="1F7107C0" w14:textId="6A30A5C3" w:rsidR="00530761" w:rsidRDefault="002E115C" w:rsidP="00614DCB">
      <w:pPr>
        <w:rPr>
          <w:sz w:val="22"/>
        </w:rPr>
      </w:pPr>
      <w:r>
        <w:rPr>
          <w:rStyle w:val="ui-provider"/>
        </w:rPr>
        <w:t>Th</w:t>
      </w:r>
      <w:r w:rsidR="007A025B">
        <w:rPr>
          <w:rStyle w:val="ui-provider"/>
        </w:rPr>
        <w:t>is</w:t>
      </w:r>
      <w:r>
        <w:rPr>
          <w:rStyle w:val="ui-provider"/>
        </w:rPr>
        <w:t xml:space="preserve"> </w:t>
      </w:r>
      <w:r w:rsidR="00DA0F68">
        <w:rPr>
          <w:rStyle w:val="ui-provider"/>
        </w:rPr>
        <w:t>s</w:t>
      </w:r>
      <w:r>
        <w:rPr>
          <w:rStyle w:val="ui-provider"/>
        </w:rPr>
        <w:t>tatement must be read in conjunction with the regulation. It is not, and is not meant to be, a comprehensive description of the regulation. What is said about a provision is not to be taken as an authoritative guide to the meaning of a provision, this being a task for the courts.</w:t>
      </w:r>
    </w:p>
    <w:p w14:paraId="5BECBF01" w14:textId="77777777" w:rsidR="00530761" w:rsidRDefault="00530761" w:rsidP="00614DCB"/>
    <w:p w14:paraId="799A0586" w14:textId="77777777" w:rsidR="000832A1" w:rsidRDefault="000832A1" w:rsidP="00614DCB">
      <w:pPr>
        <w:rPr>
          <w:b/>
        </w:rPr>
      </w:pPr>
      <w:r>
        <w:rPr>
          <w:b/>
        </w:rPr>
        <w:t>Overview</w:t>
      </w:r>
    </w:p>
    <w:p w14:paraId="24D2CF1B" w14:textId="77777777" w:rsidR="00D13FFE" w:rsidRDefault="00D13FFE" w:rsidP="00614DCB">
      <w:pPr>
        <w:rPr>
          <w:b/>
        </w:rPr>
      </w:pPr>
    </w:p>
    <w:p w14:paraId="682B948D" w14:textId="0A0A51E9" w:rsidR="009E3F17" w:rsidRDefault="006C330F" w:rsidP="006C330F">
      <w:pPr>
        <w:rPr>
          <w:iCs/>
        </w:rPr>
      </w:pPr>
      <w:r>
        <w:rPr>
          <w:iCs/>
        </w:rPr>
        <w:t xml:space="preserve">On 15 September 2023, the Minister for </w:t>
      </w:r>
      <w:r w:rsidRPr="006C330F">
        <w:rPr>
          <w:iCs/>
        </w:rPr>
        <w:t>Sustainable Building and Construction</w:t>
      </w:r>
      <w:r>
        <w:rPr>
          <w:iCs/>
        </w:rPr>
        <w:t>,</w:t>
      </w:r>
      <w:r w:rsidRPr="006C330F">
        <w:rPr>
          <w:iCs/>
        </w:rPr>
        <w:t xml:space="preserve"> Rebecca </w:t>
      </w:r>
      <w:proofErr w:type="spellStart"/>
      <w:r w:rsidRPr="006C330F">
        <w:rPr>
          <w:iCs/>
        </w:rPr>
        <w:t>Vassarotti</w:t>
      </w:r>
      <w:proofErr w:type="spellEnd"/>
      <w:r>
        <w:rPr>
          <w:iCs/>
        </w:rPr>
        <w:t xml:space="preserve"> MLA, announced that the </w:t>
      </w:r>
      <w:r w:rsidR="00391083">
        <w:rPr>
          <w:iCs/>
        </w:rPr>
        <w:t xml:space="preserve">ACT will now be adopting the energy efficiency, condensation mitigation and </w:t>
      </w:r>
      <w:proofErr w:type="spellStart"/>
      <w:r w:rsidR="00391083">
        <w:rPr>
          <w:iCs/>
        </w:rPr>
        <w:t>livable</w:t>
      </w:r>
      <w:proofErr w:type="spellEnd"/>
      <w:r w:rsidR="00391083">
        <w:rPr>
          <w:iCs/>
        </w:rPr>
        <w:t xml:space="preserve"> (accessible) housing) provisions</w:t>
      </w:r>
      <w:r>
        <w:rPr>
          <w:color w:val="000000"/>
          <w:szCs w:val="24"/>
        </w:rPr>
        <w:t xml:space="preserve"> </w:t>
      </w:r>
      <w:r w:rsidR="00391083">
        <w:rPr>
          <w:color w:val="000000"/>
          <w:szCs w:val="24"/>
        </w:rPr>
        <w:t xml:space="preserve">in the 2022 edition of the National </w:t>
      </w:r>
      <w:r>
        <w:rPr>
          <w:color w:val="000000"/>
          <w:szCs w:val="24"/>
        </w:rPr>
        <w:t>Construction Code (</w:t>
      </w:r>
      <w:r w:rsidR="00EC2666">
        <w:rPr>
          <w:color w:val="000000"/>
          <w:szCs w:val="24"/>
        </w:rPr>
        <w:t xml:space="preserve">the </w:t>
      </w:r>
      <w:r w:rsidRPr="009E3F17">
        <w:rPr>
          <w:b/>
          <w:bCs/>
          <w:i/>
        </w:rPr>
        <w:t>NCC</w:t>
      </w:r>
      <w:r>
        <w:rPr>
          <w:iCs/>
        </w:rPr>
        <w:t xml:space="preserve">) </w:t>
      </w:r>
      <w:r w:rsidR="009E3F17">
        <w:rPr>
          <w:iCs/>
        </w:rPr>
        <w:t>from</w:t>
      </w:r>
      <w:r>
        <w:rPr>
          <w:iCs/>
        </w:rPr>
        <w:t xml:space="preserve"> 15 January 2024. </w:t>
      </w:r>
      <w:r w:rsidR="009E3F17">
        <w:rPr>
          <w:iCs/>
        </w:rPr>
        <w:t xml:space="preserve">The ACT had </w:t>
      </w:r>
      <w:r w:rsidR="00391083">
        <w:rPr>
          <w:iCs/>
        </w:rPr>
        <w:t xml:space="preserve">originally </w:t>
      </w:r>
      <w:r w:rsidR="009E3F17">
        <w:rPr>
          <w:iCs/>
        </w:rPr>
        <w:t xml:space="preserve">planned to adopt these </w:t>
      </w:r>
      <w:r w:rsidR="00391083">
        <w:rPr>
          <w:iCs/>
        </w:rPr>
        <w:t>provisions</w:t>
      </w:r>
      <w:r w:rsidR="009E3F17">
        <w:rPr>
          <w:iCs/>
        </w:rPr>
        <w:t xml:space="preserve"> on 1 October 2023.</w:t>
      </w:r>
    </w:p>
    <w:p w14:paraId="57BDABC8" w14:textId="77777777" w:rsidR="006C330F" w:rsidRPr="006C330F" w:rsidRDefault="006C330F" w:rsidP="006C330F">
      <w:pPr>
        <w:rPr>
          <w:iCs/>
          <w:color w:val="000000"/>
          <w:szCs w:val="24"/>
        </w:rPr>
      </w:pPr>
    </w:p>
    <w:p w14:paraId="103111B3" w14:textId="5DD96A76" w:rsidR="009E3F17" w:rsidRDefault="009E3F17" w:rsidP="00614DCB">
      <w:pPr>
        <w:rPr>
          <w:iCs/>
        </w:rPr>
      </w:pPr>
      <w:r w:rsidRPr="007A025B">
        <w:t>Th</w:t>
      </w:r>
      <w:r>
        <w:t>is</w:t>
      </w:r>
      <w:r w:rsidRPr="007A025B">
        <w:t xml:space="preserve"> </w:t>
      </w:r>
      <w:r w:rsidR="007A025B" w:rsidRPr="00620F86">
        <w:rPr>
          <w:iCs/>
        </w:rPr>
        <w:t>regulation</w:t>
      </w:r>
      <w:r w:rsidR="00D13FFE" w:rsidRPr="0078775E">
        <w:rPr>
          <w:iCs/>
        </w:rPr>
        <w:t xml:space="preserve"> </w:t>
      </w:r>
      <w:r w:rsidR="00D13FFE" w:rsidRPr="007A025B">
        <w:t>amends the</w:t>
      </w:r>
      <w:r w:rsidR="00541C88">
        <w:t xml:space="preserve"> </w:t>
      </w:r>
      <w:r w:rsidR="00541C88" w:rsidRPr="009E3F17">
        <w:rPr>
          <w:i/>
          <w:iCs/>
        </w:rPr>
        <w:t>Building and Construction Legislation Amendment Regulation 2023 (No 1)</w:t>
      </w:r>
      <w:r>
        <w:rPr>
          <w:iCs/>
        </w:rPr>
        <w:t xml:space="preserve"> which contained amendments due to commence on 1 October 2023 to support the planned adoption of NCC 2022 in the ACT.</w:t>
      </w:r>
    </w:p>
    <w:p w14:paraId="5D4E0651" w14:textId="77777777" w:rsidR="009E3F17" w:rsidRDefault="009E3F17" w:rsidP="00614DCB">
      <w:pPr>
        <w:rPr>
          <w:iCs/>
        </w:rPr>
      </w:pPr>
    </w:p>
    <w:p w14:paraId="29E21DD6" w14:textId="25848011" w:rsidR="009E3F17" w:rsidRDefault="009E3F17" w:rsidP="00614DCB">
      <w:pPr>
        <w:rPr>
          <w:iCs/>
        </w:rPr>
      </w:pPr>
      <w:r>
        <w:rPr>
          <w:iCs/>
        </w:rPr>
        <w:t>This regulation removes those amendments due to the delay in the adoption of NCC 2022 and amendments proposed to the related Act provision in the Building and Construction Legislation Amendment Bill 2023.</w:t>
      </w:r>
    </w:p>
    <w:p w14:paraId="3FE6BE33" w14:textId="77777777" w:rsidR="006D4BC0" w:rsidRPr="0013180F" w:rsidRDefault="006D4BC0" w:rsidP="00614DCB">
      <w:pPr>
        <w:rPr>
          <w:b/>
        </w:rPr>
      </w:pPr>
    </w:p>
    <w:p w14:paraId="42F27B10" w14:textId="5FD72A4F" w:rsidR="00E82762" w:rsidRDefault="00E82762" w:rsidP="00614DCB">
      <w:pPr>
        <w:rPr>
          <w:b/>
        </w:rPr>
      </w:pPr>
      <w:r>
        <w:rPr>
          <w:b/>
        </w:rPr>
        <w:t xml:space="preserve">Regulatory Impact </w:t>
      </w:r>
      <w:r w:rsidR="004B7DFC">
        <w:rPr>
          <w:b/>
        </w:rPr>
        <w:t>Statement</w:t>
      </w:r>
    </w:p>
    <w:p w14:paraId="6B67E38F" w14:textId="77777777" w:rsidR="00E82762" w:rsidRDefault="00E82762" w:rsidP="00614DCB">
      <w:pPr>
        <w:rPr>
          <w:b/>
        </w:rPr>
      </w:pPr>
    </w:p>
    <w:p w14:paraId="0B91E17C" w14:textId="4E99293A" w:rsidR="00E82762" w:rsidRDefault="00E82762" w:rsidP="00614DCB">
      <w:r>
        <w:t xml:space="preserve">A regulatory impact statement is not required </w:t>
      </w:r>
      <w:r w:rsidR="00DA0F68">
        <w:t xml:space="preserve">as the </w:t>
      </w:r>
      <w:r>
        <w:t>regulation does not impose any appreciable costs on the community, or part of a community</w:t>
      </w:r>
      <w:r w:rsidR="004B7DFC">
        <w:t xml:space="preserve"> under section 34 (1) of the </w:t>
      </w:r>
      <w:r w:rsidR="004B7DFC" w:rsidRPr="00620F86">
        <w:rPr>
          <w:i/>
          <w:iCs/>
        </w:rPr>
        <w:t>Legislation Act 2001</w:t>
      </w:r>
      <w:r>
        <w:t>.</w:t>
      </w:r>
      <w:r w:rsidR="00182962">
        <w:t xml:space="preserve"> </w:t>
      </w:r>
    </w:p>
    <w:p w14:paraId="76840153" w14:textId="77777777" w:rsidR="00E82762" w:rsidRDefault="00E82762" w:rsidP="00614DCB"/>
    <w:p w14:paraId="67D83B9A" w14:textId="77777777" w:rsidR="00E82762" w:rsidRDefault="00E82762" w:rsidP="00614DCB">
      <w:r>
        <w:rPr>
          <w:b/>
        </w:rPr>
        <w:t>Offences and Penalties</w:t>
      </w:r>
    </w:p>
    <w:p w14:paraId="6D73725C" w14:textId="77777777" w:rsidR="00E82762" w:rsidRDefault="00E82762" w:rsidP="00614DCB"/>
    <w:p w14:paraId="00F73773" w14:textId="77777777" w:rsidR="00E82762" w:rsidRDefault="00E82762" w:rsidP="00614DCB">
      <w:r>
        <w:t>The regulation does not introduce any new offences or penalties.</w:t>
      </w:r>
    </w:p>
    <w:p w14:paraId="2716EC5A" w14:textId="77777777" w:rsidR="00E82762" w:rsidRDefault="00E82762" w:rsidP="00614DCB"/>
    <w:p w14:paraId="35760DAB" w14:textId="64CF71DB" w:rsidR="00E82762" w:rsidRDefault="004B7DFC" w:rsidP="00614DCB">
      <w:pPr>
        <w:rPr>
          <w:b/>
        </w:rPr>
      </w:pPr>
      <w:r>
        <w:rPr>
          <w:b/>
        </w:rPr>
        <w:t xml:space="preserve">Consistency with </w:t>
      </w:r>
      <w:r w:rsidR="00E82762">
        <w:rPr>
          <w:b/>
        </w:rPr>
        <w:t>Human Rights</w:t>
      </w:r>
    </w:p>
    <w:p w14:paraId="0CF7175A" w14:textId="77777777" w:rsidR="00E82762" w:rsidRDefault="00E82762" w:rsidP="00614DCB">
      <w:pPr>
        <w:rPr>
          <w:b/>
        </w:rPr>
      </w:pPr>
    </w:p>
    <w:p w14:paraId="7E4798BB" w14:textId="77777777" w:rsidR="00E82762" w:rsidRDefault="00E82762" w:rsidP="00614DCB">
      <w:pPr>
        <w:autoSpaceDE w:val="0"/>
        <w:autoSpaceDN w:val="0"/>
        <w:adjustRightInd w:val="0"/>
        <w:rPr>
          <w:rFonts w:ascii="TimesNewRomanPSMT" w:hAnsi="TimesNewRomanPSMT" w:cs="TimesNewRomanPSMT"/>
          <w:szCs w:val="24"/>
          <w:lang w:eastAsia="en-AU"/>
        </w:rPr>
      </w:pPr>
      <w:r>
        <w:rPr>
          <w:rFonts w:ascii="TimesNewRomanPSMT" w:hAnsi="TimesNewRomanPSMT" w:cs="TimesNewRomanPSMT"/>
          <w:szCs w:val="24"/>
          <w:lang w:eastAsia="en-AU"/>
        </w:rPr>
        <w:t>The Standing Committee on Justice and Community Safety (Legislative Scrutiny</w:t>
      </w:r>
    </w:p>
    <w:p w14:paraId="775D2CB4" w14:textId="05A81949" w:rsidR="00E82762" w:rsidRDefault="00E82762" w:rsidP="00614DCB">
      <w:pPr>
        <w:autoSpaceDE w:val="0"/>
        <w:autoSpaceDN w:val="0"/>
        <w:adjustRightInd w:val="0"/>
        <w:rPr>
          <w:rFonts w:ascii="TimesNewRomanPSMT" w:hAnsi="TimesNewRomanPSMT" w:cs="TimesNewRomanPSMT"/>
          <w:szCs w:val="24"/>
          <w:lang w:eastAsia="en-AU"/>
        </w:rPr>
      </w:pPr>
      <w:r>
        <w:rPr>
          <w:rFonts w:ascii="TimesNewRomanPSMT" w:hAnsi="TimesNewRomanPSMT" w:cs="TimesNewRomanPSMT"/>
          <w:szCs w:val="24"/>
          <w:lang w:eastAsia="en-AU"/>
        </w:rPr>
        <w:t>Role) terms of reference require consideration of human rights impacts</w:t>
      </w:r>
      <w:r w:rsidR="00620F86">
        <w:rPr>
          <w:rFonts w:ascii="TimesNewRomanPSMT" w:hAnsi="TimesNewRomanPSMT" w:cs="TimesNewRomanPSMT"/>
          <w:szCs w:val="24"/>
          <w:lang w:eastAsia="en-AU"/>
        </w:rPr>
        <w:t xml:space="preserve"> of subordinate legislation</w:t>
      </w:r>
      <w:r>
        <w:rPr>
          <w:rFonts w:ascii="TimesNewRomanPSMT" w:hAnsi="TimesNewRomanPSMT" w:cs="TimesNewRomanPSMT"/>
          <w:szCs w:val="24"/>
          <w:lang w:eastAsia="en-AU"/>
        </w:rPr>
        <w:t>, among other</w:t>
      </w:r>
      <w:r w:rsidR="007B15ED">
        <w:rPr>
          <w:rFonts w:ascii="TimesNewRomanPSMT" w:hAnsi="TimesNewRomanPSMT" w:cs="TimesNewRomanPSMT"/>
          <w:szCs w:val="24"/>
          <w:lang w:eastAsia="en-AU"/>
        </w:rPr>
        <w:t xml:space="preserve"> </w:t>
      </w:r>
      <w:r>
        <w:rPr>
          <w:rFonts w:ascii="TimesNewRomanPSMT" w:hAnsi="TimesNewRomanPSMT" w:cs="TimesNewRomanPSMT"/>
          <w:szCs w:val="24"/>
          <w:lang w:eastAsia="en-AU"/>
        </w:rPr>
        <w:t xml:space="preserve">matters. There are no human rights impacts related to this </w:t>
      </w:r>
      <w:r w:rsidR="00182962">
        <w:rPr>
          <w:rFonts w:ascii="TimesNewRomanPSMT" w:hAnsi="TimesNewRomanPSMT" w:cs="TimesNewRomanPSMT"/>
          <w:szCs w:val="24"/>
          <w:lang w:eastAsia="en-AU"/>
        </w:rPr>
        <w:t>regulatio</w:t>
      </w:r>
      <w:r w:rsidR="001E6DCC">
        <w:rPr>
          <w:rFonts w:ascii="TimesNewRomanPSMT" w:hAnsi="TimesNewRomanPSMT" w:cs="TimesNewRomanPSMT"/>
          <w:szCs w:val="24"/>
          <w:lang w:eastAsia="en-AU"/>
        </w:rPr>
        <w:t>n</w:t>
      </w:r>
      <w:r>
        <w:rPr>
          <w:rFonts w:ascii="TimesNewRomanPSMT" w:hAnsi="TimesNewRomanPSMT" w:cs="TimesNewRomanPSMT"/>
          <w:szCs w:val="24"/>
          <w:lang w:eastAsia="en-AU"/>
        </w:rPr>
        <w:t>.</w:t>
      </w:r>
      <w:r w:rsidR="00182962">
        <w:rPr>
          <w:rFonts w:ascii="TimesNewRomanPSMT" w:hAnsi="TimesNewRomanPSMT" w:cs="TimesNewRomanPSMT"/>
          <w:szCs w:val="24"/>
          <w:lang w:eastAsia="en-AU"/>
        </w:rPr>
        <w:t xml:space="preserve"> </w:t>
      </w:r>
      <w:r w:rsidR="00917210">
        <w:rPr>
          <w:rFonts w:ascii="TimesNewRomanPSMT" w:hAnsi="TimesNewRomanPSMT" w:cs="TimesNewRomanPSMT"/>
          <w:szCs w:val="24"/>
          <w:lang w:eastAsia="en-AU"/>
        </w:rPr>
        <w:t xml:space="preserve">The regulation does not engage with human rights under the </w:t>
      </w:r>
      <w:r w:rsidR="00917210" w:rsidRPr="00312271">
        <w:rPr>
          <w:rFonts w:ascii="TimesNewRomanPSMT" w:hAnsi="TimesNewRomanPSMT" w:cs="TimesNewRomanPSMT"/>
          <w:i/>
          <w:iCs/>
          <w:szCs w:val="24"/>
          <w:lang w:eastAsia="en-AU"/>
        </w:rPr>
        <w:t>Human Rights Act 2004</w:t>
      </w:r>
      <w:r w:rsidR="00917210">
        <w:rPr>
          <w:rFonts w:ascii="TimesNewRomanPSMT" w:hAnsi="TimesNewRomanPSMT" w:cs="TimesNewRomanPSMT"/>
          <w:szCs w:val="24"/>
          <w:lang w:eastAsia="en-AU"/>
        </w:rPr>
        <w:t>.</w:t>
      </w:r>
    </w:p>
    <w:p w14:paraId="4C88E808" w14:textId="77777777" w:rsidR="002E05E2" w:rsidRDefault="002E05E2" w:rsidP="00614DCB"/>
    <w:p w14:paraId="3B3A5173" w14:textId="3D4941EC" w:rsidR="002E05E2" w:rsidRPr="00645F58" w:rsidRDefault="002E05E2" w:rsidP="00614DCB">
      <w:pPr>
        <w:autoSpaceDE w:val="0"/>
        <w:autoSpaceDN w:val="0"/>
        <w:adjustRightInd w:val="0"/>
        <w:rPr>
          <w:rFonts w:ascii="TimesNewRomanPS-BoldMT" w:hAnsi="TimesNewRomanPS-BoldMT" w:cs="TimesNewRomanPS-BoldMT"/>
          <w:b/>
          <w:bCs/>
          <w:szCs w:val="24"/>
          <w:lang w:eastAsia="en-AU"/>
        </w:rPr>
      </w:pPr>
      <w:r w:rsidRPr="00645F58">
        <w:rPr>
          <w:rFonts w:ascii="TimesNewRomanPS-BoldMT" w:hAnsi="TimesNewRomanPS-BoldMT" w:cs="TimesNewRomanPS-BoldMT"/>
          <w:b/>
          <w:bCs/>
          <w:szCs w:val="24"/>
          <w:lang w:eastAsia="en-AU"/>
        </w:rPr>
        <w:t>Scrutiny Committee Principles</w:t>
      </w:r>
    </w:p>
    <w:p w14:paraId="641F1C7F" w14:textId="77777777" w:rsidR="00B65950" w:rsidRDefault="00B65950" w:rsidP="00614DCB">
      <w:pPr>
        <w:autoSpaceDE w:val="0"/>
        <w:autoSpaceDN w:val="0"/>
        <w:adjustRightInd w:val="0"/>
        <w:rPr>
          <w:rFonts w:ascii="TimesNewRomanPSMT" w:hAnsi="TimesNewRomanPSMT" w:cs="TimesNewRomanPSMT"/>
          <w:szCs w:val="24"/>
          <w:lang w:eastAsia="en-AU"/>
        </w:rPr>
      </w:pPr>
    </w:p>
    <w:p w14:paraId="47537AC0" w14:textId="40930B23" w:rsidR="002E05E2" w:rsidRPr="00645F58" w:rsidRDefault="002E05E2" w:rsidP="00614DCB">
      <w:pPr>
        <w:autoSpaceDE w:val="0"/>
        <w:autoSpaceDN w:val="0"/>
        <w:adjustRightInd w:val="0"/>
        <w:rPr>
          <w:rFonts w:ascii="TimesNewRomanPSMT" w:hAnsi="TimesNewRomanPSMT" w:cs="TimesNewRomanPSMT"/>
          <w:szCs w:val="24"/>
          <w:lang w:eastAsia="en-AU"/>
        </w:rPr>
      </w:pPr>
      <w:r w:rsidRPr="00645F58">
        <w:rPr>
          <w:rFonts w:ascii="TimesNewRomanPSMT" w:hAnsi="TimesNewRomanPSMT" w:cs="TimesNewRomanPSMT"/>
          <w:szCs w:val="24"/>
          <w:lang w:eastAsia="en-AU"/>
        </w:rPr>
        <w:t>The regulation is consistent with Scrutiny Committee (the Committee) principles.</w:t>
      </w:r>
      <w:r w:rsidR="00182962" w:rsidRPr="00645F58">
        <w:rPr>
          <w:rFonts w:ascii="TimesNewRomanPSMT" w:hAnsi="TimesNewRomanPSMT" w:cs="TimesNewRomanPSMT"/>
          <w:szCs w:val="24"/>
          <w:lang w:eastAsia="en-AU"/>
        </w:rPr>
        <w:br/>
      </w:r>
    </w:p>
    <w:p w14:paraId="2EC75366" w14:textId="77777777" w:rsidR="002E05E2" w:rsidRPr="00645F58" w:rsidRDefault="002E05E2" w:rsidP="00614DCB">
      <w:pPr>
        <w:pStyle w:val="ListParagraph"/>
        <w:numPr>
          <w:ilvl w:val="0"/>
          <w:numId w:val="11"/>
        </w:numPr>
        <w:autoSpaceDE w:val="0"/>
        <w:autoSpaceDN w:val="0"/>
        <w:adjustRightInd w:val="0"/>
        <w:rPr>
          <w:rFonts w:ascii="TimesNewRomanPSMT" w:hAnsi="TimesNewRomanPSMT" w:cs="TimesNewRomanPSMT"/>
          <w:szCs w:val="24"/>
          <w:lang w:eastAsia="en-AU"/>
        </w:rPr>
      </w:pPr>
      <w:r w:rsidRPr="00645F58">
        <w:rPr>
          <w:rFonts w:ascii="TimesNewRomanPSMT" w:hAnsi="TimesNewRomanPSMT" w:cs="TimesNewRomanPSMT"/>
          <w:szCs w:val="24"/>
          <w:lang w:eastAsia="en-AU"/>
        </w:rPr>
        <w:t>The regulation does not unduly trespass on rights previously established by</w:t>
      </w:r>
    </w:p>
    <w:p w14:paraId="2FD72DF2" w14:textId="513FE39C" w:rsidR="005241AA" w:rsidRPr="00645F58" w:rsidRDefault="002E05E2" w:rsidP="00614DCB">
      <w:pPr>
        <w:pStyle w:val="ListParagraph"/>
        <w:autoSpaceDE w:val="0"/>
        <w:autoSpaceDN w:val="0"/>
        <w:adjustRightInd w:val="0"/>
        <w:rPr>
          <w:rFonts w:ascii="TimesNewRomanPSMT" w:hAnsi="TimesNewRomanPSMT" w:cs="TimesNewRomanPSMT"/>
          <w:szCs w:val="24"/>
          <w:lang w:eastAsia="en-AU"/>
        </w:rPr>
      </w:pPr>
      <w:r w:rsidRPr="003C3A19">
        <w:rPr>
          <w:rFonts w:ascii="TimesNewRomanPSMT" w:hAnsi="TimesNewRomanPSMT" w:cs="TimesNewRomanPSMT"/>
          <w:szCs w:val="24"/>
          <w:lang w:eastAsia="en-AU"/>
        </w:rPr>
        <w:t xml:space="preserve">law. </w:t>
      </w:r>
    </w:p>
    <w:p w14:paraId="6D0A7819" w14:textId="77777777" w:rsidR="005241AA" w:rsidRPr="00645F58" w:rsidRDefault="005241AA" w:rsidP="00614DCB">
      <w:pPr>
        <w:autoSpaceDE w:val="0"/>
        <w:autoSpaceDN w:val="0"/>
        <w:adjustRightInd w:val="0"/>
        <w:rPr>
          <w:rFonts w:ascii="TimesNewRomanPSMT" w:hAnsi="TimesNewRomanPSMT" w:cs="TimesNewRomanPSMT"/>
          <w:szCs w:val="24"/>
          <w:lang w:eastAsia="en-AU"/>
        </w:rPr>
      </w:pPr>
    </w:p>
    <w:p w14:paraId="170BA2DB" w14:textId="12359037" w:rsidR="006561C4" w:rsidRPr="009E3F17" w:rsidRDefault="002E05E2" w:rsidP="009E3F17">
      <w:pPr>
        <w:pStyle w:val="ListParagraph"/>
        <w:numPr>
          <w:ilvl w:val="0"/>
          <w:numId w:val="11"/>
        </w:numPr>
        <w:autoSpaceDE w:val="0"/>
        <w:autoSpaceDN w:val="0"/>
        <w:adjustRightInd w:val="0"/>
        <w:rPr>
          <w:rFonts w:ascii="TimesNewRomanPSMT" w:hAnsi="TimesNewRomanPSMT" w:cs="TimesNewRomanPSMT"/>
          <w:szCs w:val="24"/>
          <w:lang w:eastAsia="en-AU"/>
        </w:rPr>
      </w:pPr>
      <w:r w:rsidRPr="009E3F17">
        <w:rPr>
          <w:rFonts w:ascii="TimesNewRomanPSMT" w:hAnsi="TimesNewRomanPSMT" w:cs="TimesNewRomanPSMT"/>
          <w:szCs w:val="24"/>
          <w:lang w:eastAsia="en-AU"/>
        </w:rPr>
        <w:t>The regulation does not contain matters which should properly be dealt with in</w:t>
      </w:r>
      <w:r w:rsidR="009E3F17" w:rsidRPr="009E3F17">
        <w:rPr>
          <w:rFonts w:ascii="TimesNewRomanPSMT" w:hAnsi="TimesNewRomanPSMT" w:cs="TimesNewRomanPSMT"/>
          <w:szCs w:val="24"/>
          <w:lang w:eastAsia="en-AU"/>
        </w:rPr>
        <w:t xml:space="preserve"> </w:t>
      </w:r>
      <w:r w:rsidRPr="009E3F17">
        <w:rPr>
          <w:rFonts w:ascii="TimesNewRomanPSMT" w:hAnsi="TimesNewRomanPSMT" w:cs="TimesNewRomanPSMT"/>
          <w:szCs w:val="24"/>
          <w:lang w:eastAsia="en-AU"/>
        </w:rPr>
        <w:t xml:space="preserve">an Act of the Legislative Assembly. </w:t>
      </w:r>
    </w:p>
    <w:p w14:paraId="34737451" w14:textId="77777777" w:rsidR="006561C4" w:rsidRDefault="006561C4" w:rsidP="00614DCB">
      <w:pPr>
        <w:rPr>
          <w:rFonts w:ascii="TimesNewRomanPSMT" w:hAnsi="TimesNewRomanPSMT" w:cs="TimesNewRomanPSMT"/>
          <w:szCs w:val="24"/>
          <w:highlight w:val="yellow"/>
          <w:lang w:eastAsia="en-AU"/>
        </w:rPr>
      </w:pPr>
      <w:r>
        <w:rPr>
          <w:rFonts w:ascii="TimesNewRomanPSMT" w:hAnsi="TimesNewRomanPSMT" w:cs="TimesNewRomanPSMT"/>
          <w:szCs w:val="24"/>
          <w:highlight w:val="yellow"/>
          <w:lang w:eastAsia="en-AU"/>
        </w:rPr>
        <w:br w:type="page"/>
      </w:r>
    </w:p>
    <w:p w14:paraId="1C6848E4" w14:textId="57A19A41" w:rsidR="007A021A" w:rsidRDefault="00391083" w:rsidP="00620F86">
      <w:pPr>
        <w:rPr>
          <w:b/>
        </w:rPr>
      </w:pPr>
      <w:r>
        <w:rPr>
          <w:b/>
        </w:rPr>
        <w:lastRenderedPageBreak/>
        <w:t>Clause Notes</w:t>
      </w:r>
    </w:p>
    <w:p w14:paraId="24A14CDC" w14:textId="77777777" w:rsidR="00391083" w:rsidRDefault="00391083" w:rsidP="00620F86">
      <w:pPr>
        <w:rPr>
          <w:b/>
        </w:rPr>
      </w:pPr>
    </w:p>
    <w:p w14:paraId="5885C5C4" w14:textId="1AA06753" w:rsidR="007A021A" w:rsidRDefault="007A021A" w:rsidP="00614DCB">
      <w:pPr>
        <w:rPr>
          <w:b/>
        </w:rPr>
      </w:pPr>
      <w:r>
        <w:rPr>
          <w:b/>
        </w:rPr>
        <w:t>Clause 1</w:t>
      </w:r>
      <w:r>
        <w:rPr>
          <w:b/>
        </w:rPr>
        <w:tab/>
        <w:t xml:space="preserve">Name of </w:t>
      </w:r>
      <w:r w:rsidR="004B7DFC">
        <w:rPr>
          <w:b/>
        </w:rPr>
        <w:t>r</w:t>
      </w:r>
      <w:r>
        <w:rPr>
          <w:b/>
        </w:rPr>
        <w:t>egulation</w:t>
      </w:r>
    </w:p>
    <w:p w14:paraId="1F00CC24" w14:textId="77777777" w:rsidR="007A021A" w:rsidRDefault="007A021A" w:rsidP="00614DCB">
      <w:pPr>
        <w:rPr>
          <w:b/>
        </w:rPr>
      </w:pPr>
    </w:p>
    <w:p w14:paraId="7CA4560B" w14:textId="154B9CFE" w:rsidR="007A021A" w:rsidRPr="007A021A" w:rsidRDefault="007A021A" w:rsidP="00614DCB">
      <w:r>
        <w:t xml:space="preserve">This clause provides that the name of the regulation is the </w:t>
      </w:r>
      <w:r>
        <w:rPr>
          <w:i/>
        </w:rPr>
        <w:t xml:space="preserve">Building </w:t>
      </w:r>
      <w:r w:rsidR="00E64680">
        <w:rPr>
          <w:i/>
        </w:rPr>
        <w:t>and Construction Legislation A</w:t>
      </w:r>
      <w:r>
        <w:rPr>
          <w:i/>
        </w:rPr>
        <w:t xml:space="preserve">mendment Regulation </w:t>
      </w:r>
      <w:r w:rsidR="00E64680">
        <w:rPr>
          <w:i/>
        </w:rPr>
        <w:t>2023</w:t>
      </w:r>
      <w:r w:rsidR="007A025B">
        <w:rPr>
          <w:i/>
        </w:rPr>
        <w:t xml:space="preserve"> (No </w:t>
      </w:r>
      <w:r w:rsidR="00702D57">
        <w:rPr>
          <w:i/>
        </w:rPr>
        <w:t>2</w:t>
      </w:r>
      <w:r w:rsidR="007A025B">
        <w:rPr>
          <w:i/>
        </w:rPr>
        <w:t>)</w:t>
      </w:r>
      <w:r w:rsidR="00E64680">
        <w:rPr>
          <w:i/>
        </w:rPr>
        <w:t>.</w:t>
      </w:r>
    </w:p>
    <w:p w14:paraId="4785E373" w14:textId="77777777" w:rsidR="007A021A" w:rsidRDefault="007A021A" w:rsidP="00614DCB">
      <w:pPr>
        <w:rPr>
          <w:b/>
        </w:rPr>
      </w:pPr>
    </w:p>
    <w:p w14:paraId="76738B90" w14:textId="77777777" w:rsidR="007A021A" w:rsidRDefault="007A021A" w:rsidP="00614DCB">
      <w:pPr>
        <w:rPr>
          <w:b/>
        </w:rPr>
      </w:pPr>
      <w:r>
        <w:rPr>
          <w:b/>
        </w:rPr>
        <w:t xml:space="preserve">Clause 2 </w:t>
      </w:r>
      <w:r>
        <w:rPr>
          <w:b/>
        </w:rPr>
        <w:tab/>
        <w:t xml:space="preserve">Commencement </w:t>
      </w:r>
    </w:p>
    <w:p w14:paraId="49BE1CE1" w14:textId="77777777" w:rsidR="007A021A" w:rsidRDefault="007A021A" w:rsidP="00614DCB">
      <w:pPr>
        <w:rPr>
          <w:b/>
        </w:rPr>
      </w:pPr>
    </w:p>
    <w:p w14:paraId="1D66D076" w14:textId="7F40716E" w:rsidR="007A021A" w:rsidRDefault="007A021A" w:rsidP="00614DCB">
      <w:r w:rsidRPr="000C2022">
        <w:t xml:space="preserve">This clause provides </w:t>
      </w:r>
      <w:r w:rsidR="00C85B88" w:rsidRPr="000C2022">
        <w:t>that the regulation</w:t>
      </w:r>
      <w:r w:rsidR="00E64680">
        <w:t xml:space="preserve"> </w:t>
      </w:r>
      <w:r w:rsidR="00C85B88" w:rsidRPr="000C2022">
        <w:t xml:space="preserve">commences on </w:t>
      </w:r>
      <w:r w:rsidR="000F1948">
        <w:t>the day after notification</w:t>
      </w:r>
      <w:r w:rsidR="00E64680">
        <w:t>.</w:t>
      </w:r>
      <w:r>
        <w:t xml:space="preserve"> </w:t>
      </w:r>
    </w:p>
    <w:p w14:paraId="0C5807DA" w14:textId="77777777" w:rsidR="007A021A" w:rsidRPr="007A021A" w:rsidRDefault="007A021A" w:rsidP="00614DCB"/>
    <w:p w14:paraId="2831E687" w14:textId="77777777" w:rsidR="007A021A" w:rsidRDefault="007A021A" w:rsidP="00614DCB">
      <w:pPr>
        <w:rPr>
          <w:b/>
        </w:rPr>
      </w:pPr>
      <w:r>
        <w:rPr>
          <w:b/>
        </w:rPr>
        <w:t>Clause 3</w:t>
      </w:r>
      <w:r>
        <w:rPr>
          <w:b/>
        </w:rPr>
        <w:tab/>
        <w:t>Legislation amended</w:t>
      </w:r>
    </w:p>
    <w:p w14:paraId="1D658297" w14:textId="77777777" w:rsidR="007A021A" w:rsidRDefault="007A021A" w:rsidP="00614DCB">
      <w:pPr>
        <w:rPr>
          <w:b/>
        </w:rPr>
      </w:pPr>
    </w:p>
    <w:p w14:paraId="3BF40372" w14:textId="73EAA0A9" w:rsidR="007A021A" w:rsidRDefault="007A021A" w:rsidP="00614DCB">
      <w:r>
        <w:t>This clause provides that the regulation amends the</w:t>
      </w:r>
      <w:r w:rsidR="00E64680">
        <w:t xml:space="preserve"> </w:t>
      </w:r>
      <w:r w:rsidR="00541C88" w:rsidRPr="00391083">
        <w:rPr>
          <w:i/>
          <w:iCs/>
        </w:rPr>
        <w:t>Building and Construction Legislation Amendment Regulation 2023 (No 1).</w:t>
      </w:r>
    </w:p>
    <w:p w14:paraId="06A40137" w14:textId="77777777" w:rsidR="00614DCB" w:rsidRDefault="00614DCB" w:rsidP="00614DCB">
      <w:pPr>
        <w:rPr>
          <w:b/>
        </w:rPr>
      </w:pPr>
    </w:p>
    <w:p w14:paraId="1B34F2A0" w14:textId="7FBBAE96" w:rsidR="007A021A" w:rsidRPr="007A021A" w:rsidRDefault="007A021A" w:rsidP="00614DCB">
      <w:pPr>
        <w:rPr>
          <w:b/>
        </w:rPr>
      </w:pPr>
      <w:r>
        <w:rPr>
          <w:b/>
        </w:rPr>
        <w:t>Clause 4</w:t>
      </w:r>
      <w:r>
        <w:rPr>
          <w:b/>
        </w:rPr>
        <w:tab/>
      </w:r>
      <w:r w:rsidR="004C31A8">
        <w:rPr>
          <w:b/>
        </w:rPr>
        <w:t>Section 2</w:t>
      </w:r>
      <w:r w:rsidR="00BA649D">
        <w:rPr>
          <w:b/>
        </w:rPr>
        <w:t xml:space="preserve"> (1)</w:t>
      </w:r>
    </w:p>
    <w:p w14:paraId="594C9F2B" w14:textId="77777777" w:rsidR="000832A1" w:rsidRDefault="000832A1" w:rsidP="00614DCB">
      <w:pPr>
        <w:rPr>
          <w:b/>
        </w:rPr>
      </w:pPr>
    </w:p>
    <w:p w14:paraId="679ED8DB" w14:textId="10D273A6" w:rsidR="007B15ED" w:rsidRDefault="007A021A" w:rsidP="00391083">
      <w:r>
        <w:t xml:space="preserve">This clause </w:t>
      </w:r>
      <w:r w:rsidR="00BA649D">
        <w:t xml:space="preserve">omits </w:t>
      </w:r>
      <w:r w:rsidR="00B37DDA">
        <w:t xml:space="preserve">the words </w:t>
      </w:r>
      <w:r w:rsidR="00391083">
        <w:t>‘</w:t>
      </w:r>
      <w:r w:rsidR="00B37DDA">
        <w:t>other than section 7</w:t>
      </w:r>
      <w:r w:rsidR="00391083">
        <w:t>’</w:t>
      </w:r>
      <w:r w:rsidR="00B37DDA">
        <w:t xml:space="preserve"> from </w:t>
      </w:r>
      <w:r w:rsidR="004C31A8">
        <w:t>section 2</w:t>
      </w:r>
      <w:r w:rsidR="00BA649D">
        <w:t xml:space="preserve"> (1) of the </w:t>
      </w:r>
      <w:r w:rsidR="00BA649D" w:rsidRPr="001E7B03">
        <w:rPr>
          <w:i/>
          <w:iCs/>
        </w:rPr>
        <w:t>Building and Construction Legislation Amendment Regulation 2023 (No 1</w:t>
      </w:r>
      <w:r w:rsidR="00702D57">
        <w:rPr>
          <w:i/>
          <w:iCs/>
        </w:rPr>
        <w:t>)</w:t>
      </w:r>
    </w:p>
    <w:p w14:paraId="00B56FD5" w14:textId="77777777" w:rsidR="007B15ED" w:rsidRDefault="007B15ED" w:rsidP="00614DCB"/>
    <w:p w14:paraId="536910CB" w14:textId="4DF925C2" w:rsidR="00FD6AAB" w:rsidRPr="007A021A" w:rsidRDefault="00FD6AAB" w:rsidP="00614DCB">
      <w:pPr>
        <w:rPr>
          <w:b/>
        </w:rPr>
      </w:pPr>
      <w:r>
        <w:rPr>
          <w:b/>
        </w:rPr>
        <w:t>Clause 5</w:t>
      </w:r>
      <w:r>
        <w:rPr>
          <w:b/>
        </w:rPr>
        <w:tab/>
        <w:t xml:space="preserve">Section </w:t>
      </w:r>
      <w:r w:rsidR="00B37DDA">
        <w:rPr>
          <w:b/>
        </w:rPr>
        <w:t>2 (2)</w:t>
      </w:r>
    </w:p>
    <w:p w14:paraId="02B98319" w14:textId="53DCC30A" w:rsidR="00FD6AAB" w:rsidRDefault="00FD6AAB" w:rsidP="00614DCB"/>
    <w:p w14:paraId="13B54B1F" w14:textId="4317BA53" w:rsidR="00391083" w:rsidRDefault="00FD6AAB" w:rsidP="00391083">
      <w:r>
        <w:t xml:space="preserve">This clause </w:t>
      </w:r>
      <w:r w:rsidR="00B37DDA">
        <w:t xml:space="preserve">omits </w:t>
      </w:r>
      <w:r>
        <w:t>section</w:t>
      </w:r>
      <w:r w:rsidR="00B37DDA">
        <w:t xml:space="preserve"> 2 (2)</w:t>
      </w:r>
      <w:r w:rsidR="00391083">
        <w:t xml:space="preserve"> which has the effect of ceasing the commencement of amendments to section 44AA of the </w:t>
      </w:r>
      <w:r w:rsidR="00391083" w:rsidRPr="00391083">
        <w:rPr>
          <w:i/>
          <w:iCs/>
        </w:rPr>
        <w:t>Building (General) Regulation 2008</w:t>
      </w:r>
      <w:r w:rsidR="00391083">
        <w:t xml:space="preserve"> in the </w:t>
      </w:r>
      <w:r w:rsidR="00391083" w:rsidRPr="00391083">
        <w:rPr>
          <w:i/>
          <w:iCs/>
        </w:rPr>
        <w:t>Building and Construction Legislation Amendment Regulation 2023 (No 1).</w:t>
      </w:r>
    </w:p>
    <w:p w14:paraId="618D4ACF" w14:textId="5F7B609B" w:rsidR="00D905F0" w:rsidRDefault="00D905F0" w:rsidP="00D905F0"/>
    <w:p w14:paraId="015484DD" w14:textId="0D043A81" w:rsidR="00FD6AAB" w:rsidRDefault="00FD6AAB" w:rsidP="00614DCB">
      <w:pPr>
        <w:rPr>
          <w:b/>
        </w:rPr>
      </w:pPr>
      <w:r>
        <w:rPr>
          <w:b/>
        </w:rPr>
        <w:t>Clause 6</w:t>
      </w:r>
      <w:r>
        <w:rPr>
          <w:b/>
        </w:rPr>
        <w:tab/>
        <w:t xml:space="preserve">Section </w:t>
      </w:r>
      <w:r w:rsidR="00DB6EB4">
        <w:rPr>
          <w:b/>
        </w:rPr>
        <w:t>7</w:t>
      </w:r>
    </w:p>
    <w:p w14:paraId="0801F9AB" w14:textId="4ED3CAFE" w:rsidR="00FD6AAB" w:rsidRDefault="00FD6AAB" w:rsidP="00614DCB">
      <w:pPr>
        <w:rPr>
          <w:b/>
        </w:rPr>
      </w:pPr>
    </w:p>
    <w:p w14:paraId="0309ACCF" w14:textId="73C051C8" w:rsidR="00391083" w:rsidRDefault="00FD6AAB" w:rsidP="00614DCB">
      <w:pPr>
        <w:rPr>
          <w:bCs/>
        </w:rPr>
      </w:pPr>
      <w:r w:rsidRPr="00D37BAB">
        <w:rPr>
          <w:bCs/>
        </w:rPr>
        <w:t>This clause</w:t>
      </w:r>
      <w:r w:rsidR="00DB6EB4">
        <w:rPr>
          <w:bCs/>
        </w:rPr>
        <w:t xml:space="preserve"> omits</w:t>
      </w:r>
      <w:r w:rsidRPr="00D37BAB">
        <w:rPr>
          <w:bCs/>
        </w:rPr>
        <w:t xml:space="preserve"> section </w:t>
      </w:r>
      <w:r w:rsidR="00DB6EB4">
        <w:rPr>
          <w:bCs/>
        </w:rPr>
        <w:t>7</w:t>
      </w:r>
      <w:r w:rsidR="00391083">
        <w:rPr>
          <w:bCs/>
        </w:rPr>
        <w:t xml:space="preserve"> of the </w:t>
      </w:r>
      <w:r w:rsidR="00391083" w:rsidRPr="00391083">
        <w:rPr>
          <w:bCs/>
          <w:i/>
          <w:iCs/>
        </w:rPr>
        <w:t>Building and Construction Legislation Amendment Regulation 2023 (No 1)</w:t>
      </w:r>
      <w:r w:rsidR="00391083">
        <w:rPr>
          <w:bCs/>
        </w:rPr>
        <w:t>.</w:t>
      </w:r>
      <w:r w:rsidR="00DB6EB4">
        <w:rPr>
          <w:bCs/>
        </w:rPr>
        <w:t xml:space="preserve"> </w:t>
      </w:r>
    </w:p>
    <w:p w14:paraId="22F00961" w14:textId="77777777" w:rsidR="00391083" w:rsidRDefault="00391083" w:rsidP="00614DCB">
      <w:pPr>
        <w:rPr>
          <w:bCs/>
        </w:rPr>
      </w:pPr>
    </w:p>
    <w:p w14:paraId="6E86C6E9" w14:textId="107DD5A0" w:rsidR="00391083" w:rsidRDefault="00DB6EB4" w:rsidP="00614DCB">
      <w:pPr>
        <w:rPr>
          <w:bCs/>
        </w:rPr>
      </w:pPr>
      <w:r>
        <w:rPr>
          <w:bCs/>
        </w:rPr>
        <w:t xml:space="preserve">Section 7 contained </w:t>
      </w:r>
      <w:r w:rsidR="00391083">
        <w:rPr>
          <w:bCs/>
        </w:rPr>
        <w:t xml:space="preserve">amendments to section 44AA of the </w:t>
      </w:r>
      <w:r w:rsidR="00391083" w:rsidRPr="00391083">
        <w:rPr>
          <w:bCs/>
          <w:i/>
          <w:iCs/>
        </w:rPr>
        <w:t>Building (General) Regulation 2008</w:t>
      </w:r>
      <w:r w:rsidR="00391083">
        <w:rPr>
          <w:bCs/>
        </w:rPr>
        <w:t xml:space="preserve"> to support the adoption of the energy efficiency provisions in NCC 2022 from 1 October 2023.</w:t>
      </w:r>
    </w:p>
    <w:p w14:paraId="467922FB" w14:textId="0BF60BC4" w:rsidR="00391083" w:rsidRDefault="00391083" w:rsidP="00614DCB">
      <w:pPr>
        <w:rPr>
          <w:bCs/>
        </w:rPr>
      </w:pPr>
    </w:p>
    <w:p w14:paraId="792E04CA" w14:textId="659D7B95" w:rsidR="00391083" w:rsidRDefault="00391083" w:rsidP="00614DCB">
      <w:pPr>
        <w:rPr>
          <w:bCs/>
        </w:rPr>
      </w:pPr>
      <w:r>
        <w:rPr>
          <w:bCs/>
        </w:rPr>
        <w:t>A future regulation will be progressed to support adoption of the energy efficiency provisions in NCC 2022 in the ACT from 15 January 2024.</w:t>
      </w:r>
    </w:p>
    <w:p w14:paraId="29282328" w14:textId="0492C054" w:rsidR="00645F58" w:rsidRPr="00645F58" w:rsidRDefault="00645F58" w:rsidP="00DB6EB4">
      <w:pPr>
        <w:rPr>
          <w:bCs/>
        </w:rPr>
      </w:pPr>
    </w:p>
    <w:sectPr w:rsidR="00645F58" w:rsidRPr="00645F58" w:rsidSect="00C1618B">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533AE" w14:textId="77777777" w:rsidR="009762F4" w:rsidRDefault="009762F4" w:rsidP="006815C9">
      <w:r>
        <w:separator/>
      </w:r>
    </w:p>
  </w:endnote>
  <w:endnote w:type="continuationSeparator" w:id="0">
    <w:p w14:paraId="0975D4A1" w14:textId="77777777" w:rsidR="009762F4" w:rsidRDefault="009762F4"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E7614" w14:textId="77777777" w:rsidR="00CA7869" w:rsidRDefault="00CA7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12AB" w14:textId="7BF874BE" w:rsidR="002048C8" w:rsidRPr="00FB107F" w:rsidRDefault="00FB107F" w:rsidP="00FB107F">
    <w:pPr>
      <w:pStyle w:val="Footer"/>
      <w:jc w:val="center"/>
      <w:rPr>
        <w:rFonts w:cs="Arial"/>
        <w:sz w:val="14"/>
      </w:rPr>
    </w:pPr>
    <w:r w:rsidRPr="00FB107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E4B7" w14:textId="77777777" w:rsidR="00CA7869" w:rsidRDefault="00CA7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0BAA6" w14:textId="77777777" w:rsidR="009762F4" w:rsidRDefault="009762F4" w:rsidP="006815C9">
      <w:r>
        <w:separator/>
      </w:r>
    </w:p>
  </w:footnote>
  <w:footnote w:type="continuationSeparator" w:id="0">
    <w:p w14:paraId="4C2869FF" w14:textId="77777777" w:rsidR="009762F4" w:rsidRDefault="009762F4"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DC87" w14:textId="77777777" w:rsidR="00CA7869" w:rsidRDefault="00CA7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D61D" w14:textId="77777777" w:rsidR="00CA7869" w:rsidRDefault="00CA78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1EFD2" w14:textId="77777777" w:rsidR="00CA7869" w:rsidRDefault="00CA78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A730E"/>
    <w:multiLevelType w:val="hybridMultilevel"/>
    <w:tmpl w:val="09B838AA"/>
    <w:lvl w:ilvl="0" w:tplc="FE522BD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DB640B"/>
    <w:multiLevelType w:val="hybridMultilevel"/>
    <w:tmpl w:val="B1CA0E42"/>
    <w:lvl w:ilvl="0" w:tplc="4FA61B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5A2B2C"/>
    <w:multiLevelType w:val="hybridMultilevel"/>
    <w:tmpl w:val="9148FA2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35872B8"/>
    <w:multiLevelType w:val="hybridMultilevel"/>
    <w:tmpl w:val="E0047B24"/>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9"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0"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1" w15:restartNumberingAfterBreak="0">
    <w:nsid w:val="3D8E2730"/>
    <w:multiLevelType w:val="hybridMultilevel"/>
    <w:tmpl w:val="27A64F7C"/>
    <w:lvl w:ilvl="0" w:tplc="B942CF38">
      <w:numFmt w:val="bullet"/>
      <w:lvlText w:val="-"/>
      <w:lvlJc w:val="left"/>
      <w:pPr>
        <w:ind w:left="720" w:hanging="360"/>
      </w:pPr>
      <w:rPr>
        <w:rFonts w:ascii="Times New Roman" w:eastAsia="Times New Roman" w:hAnsi="Times New Roman"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3" w15:restartNumberingAfterBreak="0">
    <w:nsid w:val="65BB0470"/>
    <w:multiLevelType w:val="hybridMultilevel"/>
    <w:tmpl w:val="8BDC0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AC17EA"/>
    <w:multiLevelType w:val="hybridMultilevel"/>
    <w:tmpl w:val="C3007D2E"/>
    <w:lvl w:ilvl="0" w:tplc="4A1810F6">
      <w:start w:val="1"/>
      <w:numFmt w:val="decimal"/>
      <w:lvlText w:val="%1."/>
      <w:lvlJc w:val="left"/>
      <w:pPr>
        <w:ind w:left="360" w:hanging="360"/>
      </w:pPr>
      <w:rPr>
        <w:i w:val="0"/>
        <w:iCs/>
      </w:rPr>
    </w:lvl>
    <w:lvl w:ilvl="1" w:tplc="0C090019">
      <w:start w:val="1"/>
      <w:numFmt w:val="lowerLetter"/>
      <w:lvlText w:val="%2."/>
      <w:lvlJc w:val="left"/>
      <w:pPr>
        <w:ind w:left="51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DFB265A6">
      <w:start w:val="1"/>
      <w:numFmt w:val="lowerRoman"/>
      <w:lvlText w:val="(%6)"/>
      <w:lvlJc w:val="left"/>
      <w:pPr>
        <w:ind w:left="4500" w:hanging="720"/>
      </w:pPr>
      <w:rPr>
        <w:rFonts w:hint="default"/>
      </w:r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850159C"/>
    <w:multiLevelType w:val="hybridMultilevel"/>
    <w:tmpl w:val="E8D00B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76AD24DD"/>
    <w:multiLevelType w:val="hybridMultilevel"/>
    <w:tmpl w:val="D2B639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413117937">
    <w:abstractNumId w:val="2"/>
  </w:num>
  <w:num w:numId="2" w16cid:durableId="1080100967">
    <w:abstractNumId w:val="0"/>
  </w:num>
  <w:num w:numId="3" w16cid:durableId="1783378686">
    <w:abstractNumId w:val="4"/>
  </w:num>
  <w:num w:numId="4" w16cid:durableId="607196000">
    <w:abstractNumId w:val="10"/>
  </w:num>
  <w:num w:numId="5" w16cid:durableId="69740750">
    <w:abstractNumId w:val="16"/>
  </w:num>
  <w:num w:numId="6" w16cid:durableId="941955501">
    <w:abstractNumId w:val="1"/>
  </w:num>
  <w:num w:numId="7" w16cid:durableId="1265721881">
    <w:abstractNumId w:val="8"/>
  </w:num>
  <w:num w:numId="8" w16cid:durableId="1439564944">
    <w:abstractNumId w:val="9"/>
  </w:num>
  <w:num w:numId="9" w16cid:durableId="1263536376">
    <w:abstractNumId w:val="12"/>
  </w:num>
  <w:num w:numId="10" w16cid:durableId="2030326275">
    <w:abstractNumId w:val="11"/>
  </w:num>
  <w:num w:numId="11" w16cid:durableId="1540513297">
    <w:abstractNumId w:val="13"/>
  </w:num>
  <w:num w:numId="12" w16cid:durableId="656081010">
    <w:abstractNumId w:val="5"/>
  </w:num>
  <w:num w:numId="13" w16cid:durableId="1983578932">
    <w:abstractNumId w:val="7"/>
  </w:num>
  <w:num w:numId="14" w16cid:durableId="2024044331">
    <w:abstractNumId w:val="17"/>
  </w:num>
  <w:num w:numId="15" w16cid:durableId="161118477">
    <w:abstractNumId w:val="15"/>
  </w:num>
  <w:num w:numId="16" w16cid:durableId="1214541820">
    <w:abstractNumId w:val="3"/>
  </w:num>
  <w:num w:numId="17" w16cid:durableId="599610281">
    <w:abstractNumId w:val="14"/>
  </w:num>
  <w:num w:numId="18" w16cid:durableId="2979278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71D"/>
    <w:rsid w:val="00002BE2"/>
    <w:rsid w:val="000140D0"/>
    <w:rsid w:val="00034586"/>
    <w:rsid w:val="00040E22"/>
    <w:rsid w:val="00042325"/>
    <w:rsid w:val="0006462B"/>
    <w:rsid w:val="00071BDD"/>
    <w:rsid w:val="000832A1"/>
    <w:rsid w:val="00090B44"/>
    <w:rsid w:val="00091D34"/>
    <w:rsid w:val="00094B1A"/>
    <w:rsid w:val="000C2022"/>
    <w:rsid w:val="000D0393"/>
    <w:rsid w:val="000F1948"/>
    <w:rsid w:val="0013180F"/>
    <w:rsid w:val="001715B1"/>
    <w:rsid w:val="00182962"/>
    <w:rsid w:val="001E1262"/>
    <w:rsid w:val="001E6851"/>
    <w:rsid w:val="001E6DCC"/>
    <w:rsid w:val="002048C8"/>
    <w:rsid w:val="00217359"/>
    <w:rsid w:val="00246511"/>
    <w:rsid w:val="00247D13"/>
    <w:rsid w:val="0025520B"/>
    <w:rsid w:val="0025753A"/>
    <w:rsid w:val="00263019"/>
    <w:rsid w:val="00287B12"/>
    <w:rsid w:val="002B6E37"/>
    <w:rsid w:val="002C0BC6"/>
    <w:rsid w:val="002E05E2"/>
    <w:rsid w:val="002E1079"/>
    <w:rsid w:val="002E115C"/>
    <w:rsid w:val="00302862"/>
    <w:rsid w:val="00312271"/>
    <w:rsid w:val="0034519F"/>
    <w:rsid w:val="00357A62"/>
    <w:rsid w:val="00373229"/>
    <w:rsid w:val="00391083"/>
    <w:rsid w:val="00395007"/>
    <w:rsid w:val="003A4D6C"/>
    <w:rsid w:val="003C3A19"/>
    <w:rsid w:val="003C696A"/>
    <w:rsid w:val="003D53CE"/>
    <w:rsid w:val="003E0E30"/>
    <w:rsid w:val="003F6F20"/>
    <w:rsid w:val="004844AD"/>
    <w:rsid w:val="004A04E8"/>
    <w:rsid w:val="004A5D38"/>
    <w:rsid w:val="004A6854"/>
    <w:rsid w:val="004A70FB"/>
    <w:rsid w:val="004B5BAB"/>
    <w:rsid w:val="004B7DFC"/>
    <w:rsid w:val="004C31A8"/>
    <w:rsid w:val="004E2774"/>
    <w:rsid w:val="00510016"/>
    <w:rsid w:val="005241AA"/>
    <w:rsid w:val="00524BB8"/>
    <w:rsid w:val="005260AE"/>
    <w:rsid w:val="00530761"/>
    <w:rsid w:val="00541C88"/>
    <w:rsid w:val="005475AF"/>
    <w:rsid w:val="005508CE"/>
    <w:rsid w:val="00553E0C"/>
    <w:rsid w:val="00576EC6"/>
    <w:rsid w:val="005907C7"/>
    <w:rsid w:val="005A58DF"/>
    <w:rsid w:val="005A7B87"/>
    <w:rsid w:val="005C03B9"/>
    <w:rsid w:val="005C73DB"/>
    <w:rsid w:val="005E4D60"/>
    <w:rsid w:val="00614DCB"/>
    <w:rsid w:val="00620F86"/>
    <w:rsid w:val="00621BC5"/>
    <w:rsid w:val="00627D74"/>
    <w:rsid w:val="006337C7"/>
    <w:rsid w:val="00645F58"/>
    <w:rsid w:val="00652AE0"/>
    <w:rsid w:val="006561C4"/>
    <w:rsid w:val="00656DD4"/>
    <w:rsid w:val="0066794D"/>
    <w:rsid w:val="006815C9"/>
    <w:rsid w:val="00692D26"/>
    <w:rsid w:val="00696C57"/>
    <w:rsid w:val="006A6C54"/>
    <w:rsid w:val="006C330F"/>
    <w:rsid w:val="006C6D1F"/>
    <w:rsid w:val="006D4BC0"/>
    <w:rsid w:val="006D6739"/>
    <w:rsid w:val="006E7046"/>
    <w:rsid w:val="006F3DB2"/>
    <w:rsid w:val="006F3EF9"/>
    <w:rsid w:val="00702D57"/>
    <w:rsid w:val="00703A9E"/>
    <w:rsid w:val="00714A25"/>
    <w:rsid w:val="0072249E"/>
    <w:rsid w:val="00781421"/>
    <w:rsid w:val="0078775E"/>
    <w:rsid w:val="00795FC1"/>
    <w:rsid w:val="007A021A"/>
    <w:rsid w:val="007A025B"/>
    <w:rsid w:val="007A771D"/>
    <w:rsid w:val="007B15ED"/>
    <w:rsid w:val="007B4F43"/>
    <w:rsid w:val="007F5E05"/>
    <w:rsid w:val="00800F6A"/>
    <w:rsid w:val="008511EC"/>
    <w:rsid w:val="00855F38"/>
    <w:rsid w:val="0087507C"/>
    <w:rsid w:val="008A1020"/>
    <w:rsid w:val="008B7270"/>
    <w:rsid w:val="0090317B"/>
    <w:rsid w:val="00917210"/>
    <w:rsid w:val="00917D57"/>
    <w:rsid w:val="00943042"/>
    <w:rsid w:val="00974BF4"/>
    <w:rsid w:val="009762F4"/>
    <w:rsid w:val="009908C1"/>
    <w:rsid w:val="009B7F25"/>
    <w:rsid w:val="009C6B88"/>
    <w:rsid w:val="009E3F17"/>
    <w:rsid w:val="009E7A98"/>
    <w:rsid w:val="009F0A48"/>
    <w:rsid w:val="00A06228"/>
    <w:rsid w:val="00A1545E"/>
    <w:rsid w:val="00A17306"/>
    <w:rsid w:val="00A506A8"/>
    <w:rsid w:val="00A746DB"/>
    <w:rsid w:val="00A75678"/>
    <w:rsid w:val="00AB6921"/>
    <w:rsid w:val="00AC243C"/>
    <w:rsid w:val="00AE65D0"/>
    <w:rsid w:val="00AF0F45"/>
    <w:rsid w:val="00AF7127"/>
    <w:rsid w:val="00B10E7B"/>
    <w:rsid w:val="00B37DDA"/>
    <w:rsid w:val="00B42DE9"/>
    <w:rsid w:val="00B55248"/>
    <w:rsid w:val="00B621AB"/>
    <w:rsid w:val="00B65950"/>
    <w:rsid w:val="00B90269"/>
    <w:rsid w:val="00BA5D98"/>
    <w:rsid w:val="00BA649D"/>
    <w:rsid w:val="00BC4F25"/>
    <w:rsid w:val="00BD613A"/>
    <w:rsid w:val="00C1618B"/>
    <w:rsid w:val="00C34379"/>
    <w:rsid w:val="00C40997"/>
    <w:rsid w:val="00C60C49"/>
    <w:rsid w:val="00C627CF"/>
    <w:rsid w:val="00C83810"/>
    <w:rsid w:val="00C85B88"/>
    <w:rsid w:val="00CA5D2D"/>
    <w:rsid w:val="00CA7869"/>
    <w:rsid w:val="00CB6D72"/>
    <w:rsid w:val="00CF183A"/>
    <w:rsid w:val="00CF1D16"/>
    <w:rsid w:val="00CF24FE"/>
    <w:rsid w:val="00D03B57"/>
    <w:rsid w:val="00D13FFE"/>
    <w:rsid w:val="00D20EC2"/>
    <w:rsid w:val="00D21835"/>
    <w:rsid w:val="00D302B8"/>
    <w:rsid w:val="00D33066"/>
    <w:rsid w:val="00D37BAB"/>
    <w:rsid w:val="00D552E7"/>
    <w:rsid w:val="00D905F0"/>
    <w:rsid w:val="00D9327A"/>
    <w:rsid w:val="00D979A3"/>
    <w:rsid w:val="00DA0F68"/>
    <w:rsid w:val="00DB087B"/>
    <w:rsid w:val="00DB3875"/>
    <w:rsid w:val="00DB4016"/>
    <w:rsid w:val="00DB6EB4"/>
    <w:rsid w:val="00DE7DA1"/>
    <w:rsid w:val="00E01968"/>
    <w:rsid w:val="00E061B0"/>
    <w:rsid w:val="00E13947"/>
    <w:rsid w:val="00E20ACA"/>
    <w:rsid w:val="00E23641"/>
    <w:rsid w:val="00E24E25"/>
    <w:rsid w:val="00E314EA"/>
    <w:rsid w:val="00E64680"/>
    <w:rsid w:val="00E65935"/>
    <w:rsid w:val="00E67083"/>
    <w:rsid w:val="00E82762"/>
    <w:rsid w:val="00E96003"/>
    <w:rsid w:val="00EB5639"/>
    <w:rsid w:val="00EB5719"/>
    <w:rsid w:val="00EC1DD8"/>
    <w:rsid w:val="00EC2666"/>
    <w:rsid w:val="00EC5EF9"/>
    <w:rsid w:val="00F0643B"/>
    <w:rsid w:val="00F40057"/>
    <w:rsid w:val="00F46EAF"/>
    <w:rsid w:val="00F5371D"/>
    <w:rsid w:val="00F624AD"/>
    <w:rsid w:val="00F664D7"/>
    <w:rsid w:val="00F718AF"/>
    <w:rsid w:val="00F800C6"/>
    <w:rsid w:val="00FB0F6D"/>
    <w:rsid w:val="00FB107F"/>
    <w:rsid w:val="00FD6AAB"/>
    <w:rsid w:val="00FE04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36568"/>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paragraph" w:styleId="ListParagraph">
    <w:name w:val="List Paragraph"/>
    <w:basedOn w:val="Normal"/>
    <w:uiPriority w:val="34"/>
    <w:qFormat/>
    <w:rsid w:val="000832A1"/>
    <w:pPr>
      <w:ind w:left="720"/>
      <w:contextualSpacing/>
    </w:pPr>
  </w:style>
  <w:style w:type="paragraph" w:customStyle="1" w:styleId="Default">
    <w:name w:val="Default"/>
    <w:rsid w:val="00C85B88"/>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1E6DCC"/>
    <w:rPr>
      <w:sz w:val="16"/>
      <w:szCs w:val="16"/>
    </w:rPr>
  </w:style>
  <w:style w:type="paragraph" w:styleId="CommentText">
    <w:name w:val="annotation text"/>
    <w:basedOn w:val="Normal"/>
    <w:link w:val="CommentTextChar"/>
    <w:uiPriority w:val="99"/>
    <w:unhideWhenUsed/>
    <w:rsid w:val="001E6DCC"/>
    <w:rPr>
      <w:sz w:val="20"/>
    </w:rPr>
  </w:style>
  <w:style w:type="character" w:customStyle="1" w:styleId="CommentTextChar">
    <w:name w:val="Comment Text Char"/>
    <w:basedOn w:val="DefaultParagraphFont"/>
    <w:link w:val="CommentText"/>
    <w:uiPriority w:val="99"/>
    <w:rsid w:val="001E6DCC"/>
    <w:rPr>
      <w:lang w:eastAsia="en-US"/>
    </w:rPr>
  </w:style>
  <w:style w:type="paragraph" w:styleId="CommentSubject">
    <w:name w:val="annotation subject"/>
    <w:basedOn w:val="CommentText"/>
    <w:next w:val="CommentText"/>
    <w:link w:val="CommentSubjectChar"/>
    <w:uiPriority w:val="99"/>
    <w:semiHidden/>
    <w:unhideWhenUsed/>
    <w:rsid w:val="001E6DCC"/>
    <w:rPr>
      <w:b/>
      <w:bCs/>
    </w:rPr>
  </w:style>
  <w:style w:type="character" w:customStyle="1" w:styleId="CommentSubjectChar">
    <w:name w:val="Comment Subject Char"/>
    <w:basedOn w:val="CommentTextChar"/>
    <w:link w:val="CommentSubject"/>
    <w:uiPriority w:val="99"/>
    <w:semiHidden/>
    <w:rsid w:val="001E6DCC"/>
    <w:rPr>
      <w:b/>
      <w:bCs/>
      <w:lang w:eastAsia="en-US"/>
    </w:rPr>
  </w:style>
  <w:style w:type="paragraph" w:styleId="BalloonText">
    <w:name w:val="Balloon Text"/>
    <w:basedOn w:val="Normal"/>
    <w:link w:val="BalloonTextChar"/>
    <w:uiPriority w:val="99"/>
    <w:semiHidden/>
    <w:unhideWhenUsed/>
    <w:rsid w:val="001E6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DCC"/>
    <w:rPr>
      <w:rFonts w:ascii="Segoe UI" w:hAnsi="Segoe UI" w:cs="Segoe UI"/>
      <w:sz w:val="18"/>
      <w:szCs w:val="18"/>
      <w:lang w:eastAsia="en-US"/>
    </w:rPr>
  </w:style>
  <w:style w:type="character" w:customStyle="1" w:styleId="Calibri12">
    <w:name w:val="Calibri 12"/>
    <w:basedOn w:val="DefaultParagraphFont"/>
    <w:uiPriority w:val="1"/>
    <w:qFormat/>
    <w:rsid w:val="006D6739"/>
    <w:rPr>
      <w:rFonts w:ascii="Calibri" w:hAnsi="Calibri"/>
      <w:sz w:val="24"/>
    </w:rPr>
  </w:style>
  <w:style w:type="character" w:styleId="UnresolvedMention">
    <w:name w:val="Unresolved Mention"/>
    <w:basedOn w:val="DefaultParagraphFont"/>
    <w:uiPriority w:val="99"/>
    <w:semiHidden/>
    <w:unhideWhenUsed/>
    <w:rsid w:val="00EB5639"/>
    <w:rPr>
      <w:color w:val="605E5C"/>
      <w:shd w:val="clear" w:color="auto" w:fill="E1DFDD"/>
    </w:rPr>
  </w:style>
  <w:style w:type="character" w:customStyle="1" w:styleId="ui-provider">
    <w:name w:val="ui-provider"/>
    <w:basedOn w:val="DefaultParagraphFont"/>
    <w:rsid w:val="002E115C"/>
  </w:style>
  <w:style w:type="paragraph" w:styleId="Revision">
    <w:name w:val="Revision"/>
    <w:hidden/>
    <w:uiPriority w:val="99"/>
    <w:semiHidden/>
    <w:rsid w:val="007B15E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4160">
      <w:bodyDiv w:val="1"/>
      <w:marLeft w:val="0"/>
      <w:marRight w:val="0"/>
      <w:marTop w:val="0"/>
      <w:marBottom w:val="0"/>
      <w:divBdr>
        <w:top w:val="none" w:sz="0" w:space="0" w:color="auto"/>
        <w:left w:val="none" w:sz="0" w:space="0" w:color="auto"/>
        <w:bottom w:val="none" w:sz="0" w:space="0" w:color="auto"/>
        <w:right w:val="none" w:sz="0" w:space="0" w:color="auto"/>
      </w:divBdr>
    </w:div>
    <w:div w:id="97518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A43654866</value>
    </field>
    <field name="Objective-Title">
      <value order="0">Building and Construction Legislation Amendment Regulation 2023 (No 2) - Explanatory Statement</value>
    </field>
    <field name="Objective-Description">
      <value order="0"/>
    </field>
    <field name="Objective-CreationStamp">
      <value order="0">2023-09-21T03:42:43Z</value>
    </field>
    <field name="Objective-IsApproved">
      <value order="0">false</value>
    </field>
    <field name="Objective-IsPublished">
      <value order="0">true</value>
    </field>
    <field name="Objective-DatePublished">
      <value order="0">2023-09-22T05:24:33Z</value>
    </field>
    <field name="Objective-ModificationStamp">
      <value order="0">2023-09-22T05:24:33Z</value>
    </field>
    <field name="Objective-Owner">
      <value order="0">David Rochford</value>
    </field>
    <field name="Objective-Path">
      <value order="0">Whole of ACT Government:EPSDD - Environment Planning and Sustainable Development Directorate:DIVISION - Planning and Urban Policy:Branch - Building Reform:03. Focus Area - Building Regulatory System:01. Legislation:02 Amendment Regulations:02. Building and Construction Amendment Regulation 2023 (No 2)</value>
    </field>
    <field name="Objective-Parent">
      <value order="0">02. Building and Construction Amendment Regulation 2023 (No 2)</value>
    </field>
    <field name="Objective-State">
      <value order="0">Published</value>
    </field>
    <field name="Objective-VersionId">
      <value order="0">vA54480607</value>
    </field>
    <field name="Objective-Version">
      <value order="0">3.0</value>
    </field>
    <field name="Objective-VersionNumber">
      <value order="0">6</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3321</Characters>
  <Application>Microsoft Office Word</Application>
  <DocSecurity>0</DocSecurity>
  <Lines>102</Lines>
  <Paragraphs>39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2019-06-25T20:37:00Z</cp:lastPrinted>
  <dcterms:created xsi:type="dcterms:W3CDTF">2023-09-28T07:04:00Z</dcterms:created>
  <dcterms:modified xsi:type="dcterms:W3CDTF">2023-09-28T07:04:00Z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A43654866</vt:lpwstr>
  </property>
  <property fmtid="{D5CDD505-2E9C-101B-9397-08002B2CF9AE}" pid="4" name="Objective-Title">
    <vt:lpwstr>Building and Construction Legislation Amendment Regulation 2023 (No 2) - Explanatory Statement</vt:lpwstr>
  </property>
  <property fmtid="{D5CDD505-2E9C-101B-9397-08002B2CF9AE}" pid="5" name="Objective-Comment">
    <vt:lpwstr/>
  </property>
  <property fmtid="{D5CDD505-2E9C-101B-9397-08002B2CF9AE}" pid="6" name="Objective-CreationStamp">
    <vt:filetime>2023-09-21T03:42:43Z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2023-09-22T05:24:33Z</vt:filetime>
  </property>
  <property fmtid="{D5CDD505-2E9C-101B-9397-08002B2CF9AE}" pid="10" name="Objective-ModificationStamp">
    <vt:filetime>2023-09-22T05:24:33Z</vt:filetime>
  </property>
  <property fmtid="{D5CDD505-2E9C-101B-9397-08002B2CF9AE}" pid="11" name="Objective-Owner">
    <vt:lpwstr>David Rochford</vt:lpwstr>
  </property>
  <property fmtid="{D5CDD505-2E9C-101B-9397-08002B2CF9AE}" pid="12" name="Objective-Path">
    <vt:lpwstr>Whole of ACT Government:EPSDD - Environment Planning and Sustainable Development Directorate:DIVISION - Planning and Urban Policy:Branch - Building Reform:03. Focus Area - Building Regulatory System:01. Legislation:02 Amendment Regulations:02. Building and Construction Amendment Regulation 2023 (No 2):</vt:lpwstr>
  </property>
  <property fmtid="{D5CDD505-2E9C-101B-9397-08002B2CF9AE}" pid="13" name="Objective-Parent">
    <vt:lpwstr>02. Building and Construction Amendment Regulation 2023 (No 2)</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MSID">
    <vt:lpwstr>11046991</vt:lpwstr>
  </property>
  <property fmtid="{D5CDD505-2E9C-101B-9397-08002B2CF9AE}" pid="33" name="CHECKEDOUTFROMJMS">
    <vt:lpwstr/>
  </property>
  <property fmtid="{D5CDD505-2E9C-101B-9397-08002B2CF9AE}" pid="34" name="JMSREQUIREDCHECKIN">
    <vt:lpwstr/>
  </property>
  <property fmtid="{D5CDD505-2E9C-101B-9397-08002B2CF9AE}" pid="35" name="Objective-Owner Agency">
    <vt:lpwstr>EPSDD</vt:lpwstr>
  </property>
  <property fmtid="{D5CDD505-2E9C-101B-9397-08002B2CF9AE}" pid="36" name="Objective-Document Type">
    <vt:lpwstr>0-Document</vt:lpwstr>
  </property>
  <property fmtid="{D5CDD505-2E9C-101B-9397-08002B2CF9AE}" pid="37" name="Objective-Language">
    <vt:lpwstr>English (en)</vt:lpwstr>
  </property>
  <property fmtid="{D5CDD505-2E9C-101B-9397-08002B2CF9AE}" pid="38" name="Objective-Jurisdiction">
    <vt:lpwstr>ACT</vt:lpwstr>
  </property>
  <property fmtid="{D5CDD505-2E9C-101B-9397-08002B2CF9AE}" pid="39" name="Objective-Customers">
    <vt:lpwstr/>
  </property>
  <property fmtid="{D5CDD505-2E9C-101B-9397-08002B2CF9AE}" pid="40" name="Objective-Places">
    <vt:lpwstr/>
  </property>
  <property fmtid="{D5CDD505-2E9C-101B-9397-08002B2CF9AE}" pid="41" name="Objective-Transaction Reference">
    <vt:lpwstr/>
  </property>
  <property fmtid="{D5CDD505-2E9C-101B-9397-08002B2CF9AE}" pid="42" name="Objective-Document Created By">
    <vt:lpwstr/>
  </property>
  <property fmtid="{D5CDD505-2E9C-101B-9397-08002B2CF9AE}" pid="43" name="Objective-Document Created On">
    <vt:lpwstr/>
  </property>
  <property fmtid="{D5CDD505-2E9C-101B-9397-08002B2CF9AE}" pid="44" name="Objective-Covers Period From">
    <vt:lpwstr/>
  </property>
  <property fmtid="{D5CDD505-2E9C-101B-9397-08002B2CF9AE}" pid="45" name="Objective-Covers Period To">
    <vt:lpwstr/>
  </property>
  <property fmtid="{D5CDD505-2E9C-101B-9397-08002B2CF9AE}" pid="46" name="Objective-Description">
    <vt:lpwstr/>
  </property>
  <property fmtid="{D5CDD505-2E9C-101B-9397-08002B2CF9AE}" pid="47" name="Objective-VersionId">
    <vt:lpwstr>vA54480607</vt:lpwstr>
  </property>
</Properties>
</file>