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A0F2" w14:textId="77777777" w:rsidR="00D66A00" w:rsidRPr="00772BDF" w:rsidRDefault="00D66A00" w:rsidP="00D66A00">
      <w:pPr>
        <w:spacing w:before="120" w:after="0" w:line="240" w:lineRule="auto"/>
        <w:rPr>
          <w:rFonts w:ascii="Arial" w:eastAsia="Times New Roman" w:hAnsi="Arial" w:cs="Arial"/>
          <w:sz w:val="24"/>
          <w:szCs w:val="20"/>
        </w:rPr>
      </w:pPr>
      <w:r w:rsidRPr="00772BDF">
        <w:rPr>
          <w:rFonts w:ascii="Arial" w:eastAsia="Times New Roman" w:hAnsi="Arial" w:cs="Arial"/>
          <w:sz w:val="24"/>
          <w:szCs w:val="20"/>
        </w:rPr>
        <w:t>Australian Capital Territory</w:t>
      </w:r>
    </w:p>
    <w:p w14:paraId="422B586E" w14:textId="332985F5" w:rsidR="00D66A00" w:rsidRPr="00772BDF" w:rsidRDefault="002114E9" w:rsidP="00D66A00">
      <w:pPr>
        <w:tabs>
          <w:tab w:val="left" w:pos="2400"/>
          <w:tab w:val="left" w:pos="2880"/>
        </w:tabs>
        <w:spacing w:before="700" w:after="100" w:line="240" w:lineRule="auto"/>
        <w:rPr>
          <w:rFonts w:ascii="Arial" w:eastAsia="Times New Roman" w:hAnsi="Arial" w:cs="Times New Roman"/>
          <w:b/>
          <w:sz w:val="40"/>
          <w:szCs w:val="20"/>
        </w:rPr>
      </w:pPr>
      <w:r w:rsidRPr="002114E9">
        <w:rPr>
          <w:rFonts w:ascii="Arial" w:eastAsia="Times New Roman" w:hAnsi="Arial" w:cs="Times New Roman"/>
          <w:b/>
          <w:sz w:val="40"/>
          <w:szCs w:val="20"/>
        </w:rPr>
        <w:t>Waste Management and Resource Recovery (Waste-to-Energy) Code of Practice 2023 (No 1)</w:t>
      </w:r>
    </w:p>
    <w:p w14:paraId="13EC38C0" w14:textId="4CA3D5A4" w:rsidR="00D66A00" w:rsidRPr="00772BDF" w:rsidRDefault="00D66A00" w:rsidP="00D66A00">
      <w:pPr>
        <w:spacing w:before="340" w:after="0" w:line="240" w:lineRule="auto"/>
        <w:rPr>
          <w:rFonts w:ascii="Arial" w:eastAsia="Times New Roman" w:hAnsi="Arial" w:cs="Arial"/>
          <w:b/>
          <w:bCs/>
          <w:sz w:val="24"/>
          <w:szCs w:val="20"/>
        </w:rPr>
      </w:pPr>
      <w:r w:rsidRPr="00772BDF">
        <w:rPr>
          <w:rFonts w:ascii="Arial" w:eastAsia="Times New Roman" w:hAnsi="Arial" w:cs="Arial"/>
          <w:b/>
          <w:bCs/>
          <w:sz w:val="24"/>
          <w:szCs w:val="20"/>
        </w:rPr>
        <w:t xml:space="preserve">Disallowable </w:t>
      </w:r>
      <w:r w:rsidR="000C65BE">
        <w:rPr>
          <w:rFonts w:ascii="Arial" w:eastAsia="Times New Roman" w:hAnsi="Arial" w:cs="Arial"/>
          <w:b/>
          <w:bCs/>
          <w:sz w:val="24"/>
          <w:szCs w:val="20"/>
        </w:rPr>
        <w:t>I</w:t>
      </w:r>
      <w:r w:rsidRPr="00772BDF">
        <w:rPr>
          <w:rFonts w:ascii="Arial" w:eastAsia="Times New Roman" w:hAnsi="Arial" w:cs="Arial"/>
          <w:b/>
          <w:bCs/>
          <w:sz w:val="24"/>
          <w:szCs w:val="20"/>
        </w:rPr>
        <w:t xml:space="preserve">nstrument </w:t>
      </w:r>
      <w:r w:rsidRPr="000C65BE">
        <w:rPr>
          <w:rFonts w:ascii="Arial" w:eastAsia="Times New Roman" w:hAnsi="Arial" w:cs="Arial"/>
          <w:b/>
          <w:bCs/>
          <w:sz w:val="24"/>
          <w:szCs w:val="20"/>
        </w:rPr>
        <w:t>DI</w:t>
      </w:r>
      <w:r w:rsidRPr="000C65BE">
        <w:rPr>
          <w:rFonts w:ascii="Arial" w:eastAsia="Times New Roman" w:hAnsi="Arial" w:cs="Arial"/>
          <w:b/>
          <w:bCs/>
          <w:iCs/>
          <w:sz w:val="24"/>
          <w:szCs w:val="20"/>
        </w:rPr>
        <w:t>2023</w:t>
      </w:r>
      <w:r w:rsidRPr="000C65BE">
        <w:rPr>
          <w:rFonts w:ascii="Arial" w:eastAsia="Times New Roman" w:hAnsi="Arial" w:cs="Arial"/>
          <w:b/>
          <w:bCs/>
          <w:sz w:val="24"/>
          <w:szCs w:val="20"/>
        </w:rPr>
        <w:t>–</w:t>
      </w:r>
      <w:r w:rsidR="00045D28">
        <w:rPr>
          <w:rFonts w:ascii="Arial" w:eastAsia="Times New Roman" w:hAnsi="Arial" w:cs="Arial"/>
          <w:b/>
          <w:bCs/>
          <w:sz w:val="24"/>
          <w:szCs w:val="20"/>
        </w:rPr>
        <w:t>252</w:t>
      </w:r>
    </w:p>
    <w:p w14:paraId="6849C77C" w14:textId="77777777" w:rsidR="00D66A00" w:rsidRPr="00772BDF" w:rsidRDefault="00D66A00" w:rsidP="00D66A00">
      <w:pPr>
        <w:spacing w:before="300" w:after="0" w:line="240" w:lineRule="auto"/>
        <w:jc w:val="both"/>
        <w:rPr>
          <w:rFonts w:ascii="Times New Roman" w:eastAsia="Times New Roman" w:hAnsi="Times New Roman" w:cs="Times New Roman"/>
          <w:sz w:val="24"/>
          <w:szCs w:val="20"/>
        </w:rPr>
      </w:pPr>
      <w:r w:rsidRPr="00772BDF">
        <w:rPr>
          <w:rFonts w:ascii="Times New Roman" w:eastAsia="Times New Roman" w:hAnsi="Times New Roman" w:cs="Times New Roman"/>
          <w:sz w:val="24"/>
          <w:szCs w:val="20"/>
        </w:rPr>
        <w:t xml:space="preserve">made under the  </w:t>
      </w:r>
    </w:p>
    <w:p w14:paraId="2183B85F" w14:textId="1F46E110" w:rsidR="0002368B" w:rsidRPr="000C65BE" w:rsidRDefault="00D66A00" w:rsidP="00D66A00">
      <w:pPr>
        <w:tabs>
          <w:tab w:val="left" w:pos="2600"/>
        </w:tabs>
        <w:spacing w:before="320" w:line="240" w:lineRule="auto"/>
        <w:jc w:val="both"/>
        <w:rPr>
          <w:rFonts w:ascii="Arial" w:eastAsia="Times New Roman" w:hAnsi="Arial" w:cs="Arial"/>
          <w:b/>
          <w:sz w:val="24"/>
          <w:szCs w:val="24"/>
        </w:rPr>
      </w:pPr>
      <w:r w:rsidRPr="000C65BE">
        <w:rPr>
          <w:rFonts w:ascii="Arial" w:hAnsi="Arial" w:cs="Arial"/>
          <w:b/>
          <w:bCs/>
          <w:color w:val="000000"/>
          <w:sz w:val="24"/>
          <w:szCs w:val="24"/>
          <w:shd w:val="clear" w:color="auto" w:fill="FFFFFF"/>
        </w:rPr>
        <w:t>Waste Management and Resource Recovery Act 2016, s 60 (Codes of practice</w:t>
      </w:r>
      <w:bookmarkStart w:id="0" w:name="_Hlk47341574"/>
      <w:r w:rsidRPr="000C65BE">
        <w:rPr>
          <w:rFonts w:ascii="Arial" w:hAnsi="Arial" w:cs="Arial"/>
          <w:b/>
          <w:bCs/>
          <w:color w:val="000000"/>
          <w:sz w:val="24"/>
          <w:szCs w:val="24"/>
          <w:shd w:val="clear" w:color="auto" w:fill="FFFFFF"/>
        </w:rPr>
        <w:t>—</w:t>
      </w:r>
      <w:bookmarkEnd w:id="0"/>
      <w:r w:rsidRPr="000C65BE">
        <w:rPr>
          <w:rFonts w:ascii="Arial" w:hAnsi="Arial" w:cs="Arial"/>
          <w:b/>
          <w:bCs/>
          <w:color w:val="000000"/>
          <w:sz w:val="24"/>
          <w:szCs w:val="24"/>
          <w:shd w:val="clear" w:color="auto" w:fill="FFFFFF"/>
        </w:rPr>
        <w:t>approval)</w:t>
      </w:r>
    </w:p>
    <w:p w14:paraId="632BB836" w14:textId="77777777" w:rsidR="00D66A00" w:rsidRPr="00CB0432" w:rsidRDefault="00D66A00" w:rsidP="00D66A00">
      <w:pPr>
        <w:pStyle w:val="Heading1"/>
        <w:ind w:left="0"/>
      </w:pPr>
      <w:r w:rsidRPr="00CB0432">
        <w:t>EXPLANATORY STATEMENT</w:t>
      </w:r>
    </w:p>
    <w:p w14:paraId="6554BE84" w14:textId="77777777" w:rsidR="00D66A00" w:rsidRPr="00772BDF" w:rsidRDefault="00D66A00" w:rsidP="00D66A00">
      <w:pPr>
        <w:spacing w:before="60" w:after="0" w:line="240" w:lineRule="auto"/>
        <w:jc w:val="both"/>
        <w:rPr>
          <w:rFonts w:ascii="Times New Roman" w:eastAsia="Times New Roman" w:hAnsi="Times New Roman" w:cs="Times New Roman"/>
          <w:sz w:val="24"/>
          <w:szCs w:val="20"/>
        </w:rPr>
      </w:pPr>
    </w:p>
    <w:p w14:paraId="7F1DAFA8" w14:textId="77777777" w:rsidR="00D66A00" w:rsidRPr="00772BDF" w:rsidRDefault="00D66A00" w:rsidP="00D66A00">
      <w:pPr>
        <w:pBdr>
          <w:top w:val="single" w:sz="12" w:space="1" w:color="auto"/>
        </w:pBdr>
        <w:spacing w:after="0" w:line="240" w:lineRule="auto"/>
        <w:jc w:val="both"/>
        <w:rPr>
          <w:rFonts w:ascii="Times New Roman" w:eastAsia="Times New Roman" w:hAnsi="Times New Roman" w:cs="Times New Roman"/>
          <w:sz w:val="24"/>
          <w:szCs w:val="20"/>
        </w:rPr>
      </w:pPr>
    </w:p>
    <w:p w14:paraId="7EA87313" w14:textId="3C0BD9CA" w:rsidR="00D66A00" w:rsidRPr="006F69E0" w:rsidRDefault="00080EB0" w:rsidP="00080EB0">
      <w:pPr>
        <w:rPr>
          <w:rFonts w:cstheme="minorHAnsi"/>
          <w:color w:val="000000"/>
          <w:shd w:val="clear" w:color="auto" w:fill="FFFFFF"/>
        </w:rPr>
      </w:pPr>
      <w:r w:rsidRPr="006F69E0">
        <w:rPr>
          <w:rFonts w:cstheme="minorHAnsi"/>
          <w:color w:val="000000"/>
          <w:shd w:val="clear" w:color="auto" w:fill="FFFFFF"/>
        </w:rPr>
        <w:t>Section 60 of the </w:t>
      </w:r>
      <w:r w:rsidRPr="006F69E0">
        <w:rPr>
          <w:rFonts w:cstheme="minorHAnsi"/>
          <w:i/>
          <w:iCs/>
          <w:color w:val="000000"/>
          <w:shd w:val="clear" w:color="auto" w:fill="FFFFFF"/>
        </w:rPr>
        <w:t>Waste Management and Resource Recovery Act 2016</w:t>
      </w:r>
      <w:r w:rsidRPr="006F69E0">
        <w:rPr>
          <w:rFonts w:cstheme="minorHAnsi"/>
          <w:color w:val="000000"/>
          <w:shd w:val="clear" w:color="auto" w:fill="FFFFFF"/>
        </w:rPr>
        <w:t> provides that the Minister may approve codes of practice in relation to a waste activity.</w:t>
      </w:r>
    </w:p>
    <w:p w14:paraId="2B4F26B8" w14:textId="28AB5633" w:rsidR="00D702A4" w:rsidRPr="006F69E0" w:rsidRDefault="009B58F4" w:rsidP="009B58F4">
      <w:pPr>
        <w:rPr>
          <w:rFonts w:cstheme="minorHAnsi"/>
        </w:rPr>
      </w:pPr>
      <w:r w:rsidRPr="006F69E0">
        <w:rPr>
          <w:rFonts w:cstheme="minorHAnsi"/>
        </w:rPr>
        <w:t xml:space="preserve">The ACT Government set a target to reach 90% resource recovery by 2025 in the </w:t>
      </w:r>
      <w:r w:rsidRPr="00522460">
        <w:rPr>
          <w:rFonts w:cstheme="minorHAnsi"/>
          <w:i/>
          <w:iCs/>
        </w:rPr>
        <w:t>ACT Waste Management Strategy 2011-2025</w:t>
      </w:r>
      <w:r w:rsidRPr="006F69E0">
        <w:rPr>
          <w:rFonts w:cstheme="minorHAnsi"/>
        </w:rPr>
        <w:t xml:space="preserve">. </w:t>
      </w:r>
      <w:r w:rsidR="00D702A4" w:rsidRPr="006F69E0">
        <w:rPr>
          <w:rFonts w:cstheme="minorHAnsi"/>
        </w:rPr>
        <w:t xml:space="preserve">In 2016, the </w:t>
      </w:r>
      <w:r w:rsidR="00D702A4" w:rsidRPr="00522460">
        <w:rPr>
          <w:rFonts w:cstheme="minorHAnsi"/>
          <w:i/>
          <w:iCs/>
        </w:rPr>
        <w:t>Waste Feasibility Study</w:t>
      </w:r>
      <w:r w:rsidR="00D702A4" w:rsidRPr="006F69E0">
        <w:rPr>
          <w:rFonts w:cstheme="minorHAnsi"/>
        </w:rPr>
        <w:t xml:space="preserve"> was undertaken to identify potential paths to reach the outcomes in the </w:t>
      </w:r>
      <w:r w:rsidR="00D702A4" w:rsidRPr="00522460">
        <w:rPr>
          <w:rFonts w:cstheme="minorHAnsi"/>
          <w:i/>
          <w:iCs/>
        </w:rPr>
        <w:t>Waste Management Strategy 2011-2025</w:t>
      </w:r>
      <w:r w:rsidR="00D702A4" w:rsidRPr="006F69E0">
        <w:rPr>
          <w:rFonts w:cstheme="minorHAnsi"/>
        </w:rPr>
        <w:t xml:space="preserve"> including full resource recovery. The </w:t>
      </w:r>
      <w:r w:rsidR="00D702A4" w:rsidRPr="00522460">
        <w:rPr>
          <w:rFonts w:cstheme="minorHAnsi"/>
          <w:i/>
          <w:iCs/>
        </w:rPr>
        <w:t>Waste Feasibility Study Roadmap (Roadmap)</w:t>
      </w:r>
      <w:r w:rsidR="00D702A4" w:rsidRPr="006F69E0">
        <w:rPr>
          <w:rFonts w:cstheme="minorHAnsi"/>
        </w:rPr>
        <w:t xml:space="preserve"> was released in 2018, recommending the development of a waste-to-energy policy in the ACT</w:t>
      </w:r>
      <w:r w:rsidRPr="006F69E0">
        <w:rPr>
          <w:rFonts w:cstheme="minorHAnsi"/>
        </w:rPr>
        <w:t xml:space="preserve"> to provide greater clarity to the community and industry as well as a framework to the ACT Government for assessing Waste-to-Energy proposals.</w:t>
      </w:r>
    </w:p>
    <w:p w14:paraId="168D1DFD" w14:textId="18851E2B" w:rsidR="00D702A4" w:rsidRPr="006F69E0" w:rsidRDefault="00D702A4" w:rsidP="009B58F4">
      <w:pPr>
        <w:rPr>
          <w:rFonts w:cstheme="minorHAnsi"/>
        </w:rPr>
      </w:pPr>
      <w:r w:rsidRPr="006F69E0">
        <w:rPr>
          <w:rFonts w:cstheme="minorHAnsi"/>
        </w:rPr>
        <w:t>In September 2018, T</w:t>
      </w:r>
      <w:r w:rsidR="007A60D3">
        <w:rPr>
          <w:rFonts w:cstheme="minorHAnsi"/>
        </w:rPr>
        <w:t>ransport Canberra and City Services</w:t>
      </w:r>
      <w:r w:rsidRPr="006F69E0">
        <w:rPr>
          <w:rFonts w:cstheme="minorHAnsi"/>
        </w:rPr>
        <w:t xml:space="preserve"> undertook a 10-week consultation on waste-to-energy. The findings of the consultation were used to develop the final </w:t>
      </w:r>
      <w:r w:rsidRPr="00522460">
        <w:rPr>
          <w:rFonts w:cstheme="minorHAnsi"/>
          <w:i/>
          <w:iCs/>
        </w:rPr>
        <w:t xml:space="preserve">ACT Waste-to-Energy Policy 2020-25 </w:t>
      </w:r>
      <w:r w:rsidRPr="006F69E0">
        <w:rPr>
          <w:rFonts w:cstheme="minorHAnsi"/>
        </w:rPr>
        <w:t>(</w:t>
      </w:r>
      <w:proofErr w:type="spellStart"/>
      <w:r w:rsidRPr="006F69E0">
        <w:rPr>
          <w:rFonts w:cstheme="minorHAnsi"/>
        </w:rPr>
        <w:t>WtE</w:t>
      </w:r>
      <w:proofErr w:type="spellEnd"/>
      <w:r w:rsidRPr="006F69E0">
        <w:rPr>
          <w:rFonts w:cstheme="minorHAnsi"/>
        </w:rPr>
        <w:t xml:space="preserve"> Policy), which was released in March 2020.</w:t>
      </w:r>
      <w:r w:rsidRPr="006F69E0" w:rsidDel="003F2492">
        <w:rPr>
          <w:rFonts w:cstheme="minorHAnsi"/>
        </w:rPr>
        <w:t xml:space="preserve"> </w:t>
      </w:r>
      <w:r w:rsidR="009B58F4" w:rsidRPr="006F69E0">
        <w:rPr>
          <w:rFonts w:cstheme="minorHAnsi"/>
        </w:rPr>
        <w:t xml:space="preserve">The </w:t>
      </w:r>
      <w:proofErr w:type="spellStart"/>
      <w:r w:rsidR="009B58F4" w:rsidRPr="006F69E0">
        <w:rPr>
          <w:rFonts w:cstheme="minorHAnsi"/>
        </w:rPr>
        <w:t>WtE</w:t>
      </w:r>
      <w:proofErr w:type="spellEnd"/>
      <w:r w:rsidR="009B58F4" w:rsidRPr="006F69E0">
        <w:rPr>
          <w:rFonts w:cstheme="minorHAnsi"/>
        </w:rPr>
        <w:t xml:space="preserve"> Policy generally prohibits thermal treatment of waste, promotes the waste hierarchy and supports investment in anaerobic digestion in the ACT. The policy establishes underlying principles and outcomes to guide the transition to a circular economy and provides clear direction about the types of activities that are permitted.</w:t>
      </w:r>
    </w:p>
    <w:p w14:paraId="1F96A954" w14:textId="72D0562C" w:rsidR="001D439E" w:rsidRPr="006F69E0" w:rsidRDefault="00D702A4" w:rsidP="001D439E">
      <w:pPr>
        <w:rPr>
          <w:rFonts w:cstheme="minorHAnsi"/>
        </w:rPr>
      </w:pPr>
      <w:r w:rsidRPr="006F69E0">
        <w:rPr>
          <w:rFonts w:cstheme="minorHAnsi"/>
          <w:color w:val="000000"/>
          <w:shd w:val="clear" w:color="auto" w:fill="FFFFFF"/>
        </w:rPr>
        <w:t xml:space="preserve">This instrument </w:t>
      </w:r>
      <w:r w:rsidR="00C925FF" w:rsidRPr="006F69E0">
        <w:rPr>
          <w:rFonts w:cstheme="minorHAnsi"/>
          <w:color w:val="000000"/>
          <w:shd w:val="clear" w:color="auto" w:fill="FFFFFF"/>
        </w:rPr>
        <w:t xml:space="preserve">sets out a legislative framework to allow enforcement of </w:t>
      </w:r>
      <w:r w:rsidR="007A60D3">
        <w:rPr>
          <w:rFonts w:cstheme="minorHAnsi"/>
          <w:color w:val="000000"/>
          <w:shd w:val="clear" w:color="auto" w:fill="FFFFFF"/>
        </w:rPr>
        <w:t xml:space="preserve">certain aspects of </w:t>
      </w:r>
      <w:r w:rsidR="00C925FF" w:rsidRPr="006F69E0">
        <w:rPr>
          <w:rFonts w:cstheme="minorHAnsi"/>
          <w:color w:val="000000"/>
          <w:shd w:val="clear" w:color="auto" w:fill="FFFFFF"/>
        </w:rPr>
        <w:t xml:space="preserve">the </w:t>
      </w:r>
      <w:proofErr w:type="spellStart"/>
      <w:r w:rsidRPr="006F69E0">
        <w:rPr>
          <w:rFonts w:cstheme="minorHAnsi"/>
          <w:color w:val="000000"/>
          <w:shd w:val="clear" w:color="auto" w:fill="FFFFFF"/>
        </w:rPr>
        <w:t>WtE</w:t>
      </w:r>
      <w:proofErr w:type="spellEnd"/>
      <w:r w:rsidRPr="006F69E0">
        <w:rPr>
          <w:rFonts w:cstheme="minorHAnsi"/>
          <w:color w:val="000000"/>
          <w:shd w:val="clear" w:color="auto" w:fill="FFFFFF"/>
        </w:rPr>
        <w:t xml:space="preserve"> Policy</w:t>
      </w:r>
      <w:r w:rsidR="001D439E" w:rsidRPr="006F69E0">
        <w:rPr>
          <w:rFonts w:cstheme="minorHAnsi"/>
          <w:color w:val="000000"/>
          <w:shd w:val="clear" w:color="auto" w:fill="FFFFFF"/>
        </w:rPr>
        <w:t xml:space="preserve"> by </w:t>
      </w:r>
      <w:r w:rsidR="001D439E" w:rsidRPr="006F69E0">
        <w:rPr>
          <w:rFonts w:cstheme="minorHAnsi"/>
        </w:rPr>
        <w:t xml:space="preserve">prohibiting the thermal treatment of waste in new waste facilities; </w:t>
      </w:r>
      <w:r w:rsidR="007A60D3">
        <w:rPr>
          <w:rFonts w:cstheme="minorHAnsi"/>
        </w:rPr>
        <w:t>and</w:t>
      </w:r>
      <w:r w:rsidR="001D439E" w:rsidRPr="006F69E0">
        <w:rPr>
          <w:rFonts w:cstheme="minorHAnsi"/>
        </w:rPr>
        <w:t xml:space="preserve"> prohibiting the thermal treatment of refuse derived fuel.</w:t>
      </w:r>
    </w:p>
    <w:p w14:paraId="2DAEF08D" w14:textId="608E003E" w:rsidR="00D702A4" w:rsidRDefault="009B58F4" w:rsidP="00080EB0">
      <w:pPr>
        <w:rPr>
          <w:rFonts w:cstheme="minorHAnsi"/>
        </w:rPr>
      </w:pPr>
      <w:r w:rsidRPr="006F69E0">
        <w:rPr>
          <w:rFonts w:cstheme="minorHAnsi"/>
        </w:rPr>
        <w:t>The ACT is a small jurisdiction, which generates relatively small quantities of waste. Improvements to waste management in the future will focus on further reducing the volume of waste going to landfill, starting with waste avoidance in line with the waste hierarchy. Therefore, waste management solutions which promote thermal treatment of waste are not considered to be appropriate in the ACT context at this time.</w:t>
      </w:r>
    </w:p>
    <w:p w14:paraId="347A749F" w14:textId="77777777" w:rsidR="000C65BE" w:rsidRPr="006F69E0" w:rsidRDefault="000C65BE" w:rsidP="00080EB0">
      <w:pPr>
        <w:rPr>
          <w:rFonts w:cstheme="minorHAnsi"/>
        </w:rPr>
      </w:pPr>
    </w:p>
    <w:p w14:paraId="666D01FC" w14:textId="6314CB54" w:rsidR="00D702A4" w:rsidRPr="006F69E0" w:rsidRDefault="00D702A4" w:rsidP="006F6C7D">
      <w:pPr>
        <w:keepNext/>
        <w:rPr>
          <w:rFonts w:cstheme="minorHAnsi"/>
          <w:b/>
          <w:bCs/>
          <w:color w:val="000000"/>
          <w:shd w:val="clear" w:color="auto" w:fill="FFFFFF"/>
        </w:rPr>
      </w:pPr>
      <w:r w:rsidRPr="006F69E0">
        <w:rPr>
          <w:rFonts w:cstheme="minorHAnsi"/>
          <w:b/>
          <w:bCs/>
          <w:color w:val="000000"/>
          <w:shd w:val="clear" w:color="auto" w:fill="FFFFFF"/>
        </w:rPr>
        <w:lastRenderedPageBreak/>
        <w:t>Section Notes</w:t>
      </w:r>
    </w:p>
    <w:p w14:paraId="539AFB1C" w14:textId="06F982AB" w:rsidR="00D702A4" w:rsidRPr="006F69E0" w:rsidRDefault="00D702A4" w:rsidP="00D702A4">
      <w:pPr>
        <w:pStyle w:val="NormalWeb"/>
        <w:shd w:val="clear" w:color="auto" w:fill="FFFFFF"/>
        <w:spacing w:before="0" w:beforeAutospacing="0" w:after="0" w:afterAutospacing="0"/>
        <w:rPr>
          <w:rFonts w:asciiTheme="minorHAnsi" w:hAnsiTheme="minorHAnsi" w:cstheme="minorHAnsi"/>
          <w:color w:val="000000"/>
          <w:sz w:val="22"/>
          <w:szCs w:val="22"/>
        </w:rPr>
      </w:pPr>
      <w:r w:rsidRPr="006F69E0">
        <w:rPr>
          <w:rFonts w:asciiTheme="minorHAnsi" w:hAnsiTheme="minorHAnsi" w:cstheme="minorHAnsi"/>
          <w:b/>
          <w:bCs/>
          <w:color w:val="000000"/>
          <w:sz w:val="22"/>
          <w:szCs w:val="22"/>
        </w:rPr>
        <w:t>1 </w:t>
      </w:r>
      <w:r w:rsidRPr="006F69E0">
        <w:rPr>
          <w:rFonts w:asciiTheme="minorHAnsi" w:hAnsiTheme="minorHAnsi" w:cstheme="minorHAnsi"/>
          <w:b/>
          <w:bCs/>
          <w:color w:val="000000"/>
          <w:sz w:val="22"/>
          <w:szCs w:val="22"/>
        </w:rPr>
        <w:tab/>
      </w:r>
      <w:r w:rsidRPr="006F69E0">
        <w:rPr>
          <w:rFonts w:asciiTheme="minorHAnsi" w:hAnsiTheme="minorHAnsi" w:cstheme="minorHAnsi"/>
          <w:color w:val="000000"/>
          <w:sz w:val="22"/>
          <w:szCs w:val="22"/>
        </w:rPr>
        <w:t> </w:t>
      </w:r>
      <w:r w:rsidRPr="006F69E0">
        <w:rPr>
          <w:rFonts w:asciiTheme="minorHAnsi" w:hAnsiTheme="minorHAnsi" w:cstheme="minorHAnsi"/>
          <w:b/>
          <w:bCs/>
          <w:color w:val="000000"/>
          <w:sz w:val="22"/>
          <w:szCs w:val="22"/>
        </w:rPr>
        <w:t>Name of instrument</w:t>
      </w:r>
    </w:p>
    <w:p w14:paraId="7BA035FD" w14:textId="77777777" w:rsidR="00D702A4" w:rsidRPr="006F69E0" w:rsidRDefault="00D702A4" w:rsidP="00D702A4">
      <w:pPr>
        <w:pStyle w:val="NormalWeb"/>
        <w:shd w:val="clear" w:color="auto" w:fill="FFFFFF"/>
        <w:spacing w:before="0" w:beforeAutospacing="0" w:after="0" w:afterAutospacing="0"/>
        <w:rPr>
          <w:rFonts w:asciiTheme="minorHAnsi" w:hAnsiTheme="minorHAnsi" w:cstheme="minorHAnsi"/>
          <w:color w:val="000000"/>
          <w:sz w:val="22"/>
          <w:szCs w:val="22"/>
        </w:rPr>
      </w:pPr>
      <w:r w:rsidRPr="006F69E0">
        <w:rPr>
          <w:rFonts w:asciiTheme="minorHAnsi" w:hAnsiTheme="minorHAnsi" w:cstheme="minorHAnsi"/>
          <w:color w:val="000000"/>
          <w:sz w:val="22"/>
          <w:szCs w:val="22"/>
        </w:rPr>
        <w:t>This section names the instrument.</w:t>
      </w:r>
    </w:p>
    <w:p w14:paraId="4C441C6D" w14:textId="77777777" w:rsidR="00D702A4" w:rsidRPr="006F69E0" w:rsidRDefault="00D702A4" w:rsidP="00D702A4">
      <w:pPr>
        <w:pStyle w:val="NormalWeb"/>
        <w:shd w:val="clear" w:color="auto" w:fill="FFFFFF"/>
        <w:spacing w:before="0" w:beforeAutospacing="0" w:after="0" w:afterAutospacing="0"/>
        <w:rPr>
          <w:rFonts w:asciiTheme="minorHAnsi" w:hAnsiTheme="minorHAnsi" w:cstheme="minorHAnsi"/>
          <w:color w:val="000000"/>
          <w:sz w:val="22"/>
          <w:szCs w:val="22"/>
        </w:rPr>
      </w:pPr>
      <w:r w:rsidRPr="006F69E0">
        <w:rPr>
          <w:rFonts w:asciiTheme="minorHAnsi" w:hAnsiTheme="minorHAnsi" w:cstheme="minorHAnsi"/>
          <w:color w:val="000000"/>
          <w:sz w:val="22"/>
          <w:szCs w:val="22"/>
        </w:rPr>
        <w:t> </w:t>
      </w:r>
    </w:p>
    <w:p w14:paraId="6C0362A1" w14:textId="53C4A974" w:rsidR="00D702A4" w:rsidRPr="006F69E0" w:rsidRDefault="00D702A4" w:rsidP="00D702A4">
      <w:pPr>
        <w:pStyle w:val="NormalWeb"/>
        <w:shd w:val="clear" w:color="auto" w:fill="FFFFFF"/>
        <w:spacing w:before="0" w:beforeAutospacing="0" w:after="0" w:afterAutospacing="0"/>
        <w:rPr>
          <w:rFonts w:asciiTheme="minorHAnsi" w:hAnsiTheme="minorHAnsi" w:cstheme="minorHAnsi"/>
          <w:color w:val="000000"/>
          <w:sz w:val="22"/>
          <w:szCs w:val="22"/>
        </w:rPr>
      </w:pPr>
      <w:r w:rsidRPr="006F69E0">
        <w:rPr>
          <w:rFonts w:asciiTheme="minorHAnsi" w:hAnsiTheme="minorHAnsi" w:cstheme="minorHAnsi"/>
          <w:b/>
          <w:bCs/>
          <w:color w:val="000000"/>
          <w:sz w:val="22"/>
          <w:szCs w:val="22"/>
        </w:rPr>
        <w:t>2 </w:t>
      </w:r>
      <w:r w:rsidRPr="006F69E0">
        <w:rPr>
          <w:rFonts w:asciiTheme="minorHAnsi" w:hAnsiTheme="minorHAnsi" w:cstheme="minorHAnsi"/>
          <w:color w:val="000000"/>
          <w:sz w:val="22"/>
          <w:szCs w:val="22"/>
        </w:rPr>
        <w:tab/>
      </w:r>
      <w:r w:rsidRPr="006F69E0">
        <w:rPr>
          <w:rFonts w:asciiTheme="minorHAnsi" w:hAnsiTheme="minorHAnsi" w:cstheme="minorHAnsi"/>
          <w:b/>
          <w:bCs/>
          <w:color w:val="000000"/>
          <w:sz w:val="22"/>
          <w:szCs w:val="22"/>
        </w:rPr>
        <w:t>Commencement</w:t>
      </w:r>
    </w:p>
    <w:p w14:paraId="2FC94875" w14:textId="05B95459" w:rsidR="00D702A4" w:rsidRPr="006F69E0" w:rsidRDefault="00D702A4" w:rsidP="00080EB0">
      <w:pPr>
        <w:rPr>
          <w:rFonts w:cstheme="minorHAnsi"/>
          <w:b/>
          <w:bCs/>
          <w:color w:val="000000"/>
          <w:shd w:val="clear" w:color="auto" w:fill="FFFFFF"/>
        </w:rPr>
      </w:pPr>
      <w:r w:rsidRPr="006F69E0">
        <w:rPr>
          <w:rFonts w:cstheme="minorHAnsi"/>
          <w:color w:val="000000"/>
          <w:shd w:val="clear" w:color="auto" w:fill="FFFFFF"/>
        </w:rPr>
        <w:t>This section provides that the instrument commences on the day after its notification.</w:t>
      </w:r>
    </w:p>
    <w:p w14:paraId="1D622DF4" w14:textId="6F8AD4F8" w:rsidR="00D702A4" w:rsidRPr="006F69E0" w:rsidRDefault="00D702A4" w:rsidP="00D702A4">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6F69E0">
        <w:rPr>
          <w:rFonts w:asciiTheme="minorHAnsi" w:hAnsiTheme="minorHAnsi" w:cstheme="minorHAnsi"/>
          <w:b/>
          <w:bCs/>
          <w:color w:val="000000"/>
          <w:sz w:val="22"/>
          <w:szCs w:val="22"/>
        </w:rPr>
        <w:t>3</w:t>
      </w:r>
      <w:r w:rsidRPr="006F69E0">
        <w:rPr>
          <w:rFonts w:asciiTheme="minorHAnsi" w:hAnsiTheme="minorHAnsi" w:cstheme="minorHAnsi"/>
          <w:b/>
          <w:bCs/>
          <w:color w:val="000000"/>
          <w:sz w:val="22"/>
          <w:szCs w:val="22"/>
        </w:rPr>
        <w:tab/>
        <w:t>Approval</w:t>
      </w:r>
    </w:p>
    <w:p w14:paraId="46711476" w14:textId="1282A339" w:rsidR="006F69E0" w:rsidRPr="000C65BE" w:rsidRDefault="00C925FF" w:rsidP="00080EB0">
      <w:pPr>
        <w:rPr>
          <w:rFonts w:cstheme="minorHAnsi"/>
          <w:color w:val="000000"/>
          <w:shd w:val="clear" w:color="auto" w:fill="FFFFFF"/>
        </w:rPr>
      </w:pPr>
      <w:r w:rsidRPr="006F69E0">
        <w:rPr>
          <w:rFonts w:cstheme="minorHAnsi"/>
          <w:color w:val="000000"/>
          <w:shd w:val="clear" w:color="auto" w:fill="FFFFFF"/>
        </w:rPr>
        <w:t xml:space="preserve">This section provides that the Minster for Transport and </w:t>
      </w:r>
      <w:r w:rsidR="007A60D3">
        <w:rPr>
          <w:rFonts w:cstheme="minorHAnsi"/>
          <w:color w:val="000000"/>
          <w:shd w:val="clear" w:color="auto" w:fill="FFFFFF"/>
        </w:rPr>
        <w:t>C</w:t>
      </w:r>
      <w:r w:rsidRPr="006F69E0">
        <w:rPr>
          <w:rFonts w:cstheme="minorHAnsi"/>
          <w:color w:val="000000"/>
          <w:shd w:val="clear" w:color="auto" w:fill="FFFFFF"/>
        </w:rPr>
        <w:t>ity Services approves the Waste to Energy Code of Practice in Schedule 1.</w:t>
      </w:r>
    </w:p>
    <w:p w14:paraId="3CEF1A70" w14:textId="718996F4" w:rsidR="00C925FF" w:rsidRPr="006F69E0" w:rsidRDefault="00C925FF" w:rsidP="00080EB0">
      <w:pPr>
        <w:rPr>
          <w:rFonts w:cstheme="minorHAnsi"/>
          <w:b/>
          <w:bCs/>
          <w:color w:val="000000"/>
          <w:shd w:val="clear" w:color="auto" w:fill="FFFFFF"/>
        </w:rPr>
      </w:pPr>
      <w:r w:rsidRPr="006F69E0">
        <w:rPr>
          <w:rFonts w:cstheme="minorHAnsi"/>
          <w:b/>
          <w:bCs/>
          <w:color w:val="000000"/>
          <w:shd w:val="clear" w:color="auto" w:fill="FFFFFF"/>
        </w:rPr>
        <w:t>Schedule 1</w:t>
      </w:r>
    </w:p>
    <w:p w14:paraId="4965F350" w14:textId="72CAFB54" w:rsidR="00220579" w:rsidRPr="006F69E0" w:rsidRDefault="00712292" w:rsidP="00080EB0">
      <w:pPr>
        <w:rPr>
          <w:rFonts w:cstheme="minorHAnsi"/>
          <w:color w:val="000000"/>
          <w:shd w:val="clear" w:color="auto" w:fill="FFFFFF"/>
        </w:rPr>
      </w:pPr>
      <w:r w:rsidRPr="006F69E0">
        <w:rPr>
          <w:rFonts w:cstheme="minorHAnsi"/>
          <w:b/>
          <w:bCs/>
          <w:color w:val="000000"/>
          <w:shd w:val="clear" w:color="auto" w:fill="FFFFFF"/>
        </w:rPr>
        <w:t xml:space="preserve">Introduction </w:t>
      </w:r>
      <w:r w:rsidRPr="006F69E0">
        <w:rPr>
          <w:rFonts w:cstheme="minorHAnsi"/>
          <w:color w:val="000000"/>
          <w:shd w:val="clear" w:color="auto" w:fill="FFFFFF"/>
        </w:rPr>
        <w:t>provides context</w:t>
      </w:r>
      <w:r w:rsidRPr="006F69E0">
        <w:rPr>
          <w:rFonts w:cstheme="minorHAnsi"/>
          <w:b/>
          <w:bCs/>
          <w:color w:val="000000"/>
          <w:shd w:val="clear" w:color="auto" w:fill="FFFFFF"/>
        </w:rPr>
        <w:t xml:space="preserve"> </w:t>
      </w:r>
      <w:r w:rsidRPr="006F69E0">
        <w:rPr>
          <w:rFonts w:cstheme="minorHAnsi"/>
          <w:color w:val="000000"/>
          <w:shd w:val="clear" w:color="auto" w:fill="FFFFFF"/>
        </w:rPr>
        <w:t xml:space="preserve">for the </w:t>
      </w:r>
      <w:r w:rsidR="000F302E" w:rsidRPr="006F69E0">
        <w:rPr>
          <w:rFonts w:cstheme="minorHAnsi"/>
          <w:color w:val="000000"/>
          <w:shd w:val="clear" w:color="auto" w:fill="FFFFFF"/>
        </w:rPr>
        <w:t>Code of practice.</w:t>
      </w:r>
    </w:p>
    <w:p w14:paraId="7018A98B" w14:textId="64435514" w:rsidR="000F302E" w:rsidRPr="006F69E0" w:rsidRDefault="000F302E" w:rsidP="00080EB0">
      <w:pPr>
        <w:rPr>
          <w:rFonts w:cstheme="minorHAnsi"/>
          <w:color w:val="000000"/>
          <w:shd w:val="clear" w:color="auto" w:fill="FFFFFF"/>
        </w:rPr>
      </w:pPr>
      <w:r w:rsidRPr="006F69E0">
        <w:rPr>
          <w:rFonts w:cstheme="minorHAnsi"/>
          <w:b/>
          <w:bCs/>
          <w:color w:val="000000"/>
          <w:shd w:val="clear" w:color="auto" w:fill="FFFFFF"/>
        </w:rPr>
        <w:t>Definitions </w:t>
      </w:r>
      <w:r w:rsidRPr="006F69E0">
        <w:rPr>
          <w:rFonts w:cstheme="minorHAnsi"/>
          <w:color w:val="000000"/>
          <w:shd w:val="clear" w:color="auto" w:fill="FFFFFF"/>
        </w:rPr>
        <w:t>provides definitions for terms used within the Code of Practice.</w:t>
      </w:r>
    </w:p>
    <w:p w14:paraId="0623DCF3" w14:textId="072470D9" w:rsidR="000F302E" w:rsidRPr="006F69E0" w:rsidRDefault="000F302E" w:rsidP="00080EB0">
      <w:pPr>
        <w:rPr>
          <w:rFonts w:cstheme="minorHAnsi"/>
          <w:color w:val="000000"/>
          <w:shd w:val="clear" w:color="auto" w:fill="FFFFFF"/>
        </w:rPr>
      </w:pPr>
      <w:r w:rsidRPr="006F69E0">
        <w:rPr>
          <w:rFonts w:cstheme="minorHAnsi"/>
          <w:b/>
          <w:bCs/>
          <w:color w:val="000000"/>
          <w:shd w:val="clear" w:color="auto" w:fill="FFFFFF"/>
        </w:rPr>
        <w:t>Purpose</w:t>
      </w:r>
      <w:r w:rsidRPr="006F69E0">
        <w:rPr>
          <w:rFonts w:cstheme="minorHAnsi"/>
          <w:color w:val="000000"/>
          <w:shd w:val="clear" w:color="auto" w:fill="FFFFFF"/>
        </w:rPr>
        <w:t> outlines the reasons for creating the Code of Practice.</w:t>
      </w:r>
    </w:p>
    <w:p w14:paraId="10A33A19" w14:textId="6BDAA3FE" w:rsidR="000F302E" w:rsidRPr="006F69E0" w:rsidRDefault="000F302E" w:rsidP="000F302E">
      <w:pPr>
        <w:rPr>
          <w:rFonts w:cstheme="minorHAnsi"/>
        </w:rPr>
      </w:pPr>
      <w:r w:rsidRPr="006F69E0">
        <w:rPr>
          <w:rFonts w:cstheme="minorHAnsi"/>
          <w:b/>
          <w:bCs/>
          <w:color w:val="000000"/>
          <w:shd w:val="clear" w:color="auto" w:fill="FFFFFF"/>
        </w:rPr>
        <w:t>Scope </w:t>
      </w:r>
      <w:r w:rsidRPr="006F69E0">
        <w:rPr>
          <w:rFonts w:cstheme="minorHAnsi"/>
          <w:color w:val="000000"/>
          <w:shd w:val="clear" w:color="auto" w:fill="FFFFFF"/>
        </w:rPr>
        <w:t xml:space="preserve">advises that the Code of Practice is limited </w:t>
      </w:r>
      <w:r w:rsidRPr="006F69E0">
        <w:rPr>
          <w:rFonts w:cstheme="minorHAnsi"/>
        </w:rPr>
        <w:t xml:space="preserve">to new facilities proposing waste-to-energy technology with a focus on prohibiting thermal waste-to-energy technologies. It advises that the </w:t>
      </w:r>
      <w:r w:rsidR="0006378B">
        <w:rPr>
          <w:rFonts w:cstheme="minorHAnsi"/>
        </w:rPr>
        <w:t>C</w:t>
      </w:r>
      <w:r w:rsidRPr="006F69E0">
        <w:rPr>
          <w:rFonts w:cstheme="minorHAnsi"/>
        </w:rPr>
        <w:t xml:space="preserve">ode of </w:t>
      </w:r>
      <w:r w:rsidR="0006378B">
        <w:rPr>
          <w:rFonts w:cstheme="minorHAnsi"/>
        </w:rPr>
        <w:t>P</w:t>
      </w:r>
      <w:r w:rsidRPr="006F69E0">
        <w:rPr>
          <w:rFonts w:cstheme="minorHAnsi"/>
        </w:rPr>
        <w:t xml:space="preserve">ractice does not apply to waste-to-energy facilities or activities that were established before the commencement of the Code of Practice. </w:t>
      </w:r>
    </w:p>
    <w:p w14:paraId="1F97A7C7" w14:textId="41F4A50C" w:rsidR="000F302E" w:rsidRPr="006F69E0" w:rsidRDefault="000F302E" w:rsidP="000F302E">
      <w:pPr>
        <w:rPr>
          <w:rFonts w:cstheme="minorHAnsi"/>
        </w:rPr>
      </w:pPr>
      <w:r w:rsidRPr="006F69E0">
        <w:rPr>
          <w:rFonts w:cstheme="minorHAnsi"/>
        </w:rPr>
        <w:t xml:space="preserve">The Code of Practice does not apply to activities such as </w:t>
      </w:r>
      <w:bookmarkStart w:id="1" w:name="_Hlk139888856"/>
      <w:r w:rsidRPr="006F69E0">
        <w:rPr>
          <w:rFonts w:cstheme="minorHAnsi"/>
        </w:rPr>
        <w:t>the treatment of hazardous waste</w:t>
      </w:r>
      <w:bookmarkEnd w:id="1"/>
      <w:r w:rsidRPr="006F69E0">
        <w:rPr>
          <w:rFonts w:cstheme="minorHAnsi"/>
        </w:rPr>
        <w:t xml:space="preserve">, the destruction of </w:t>
      </w:r>
      <w:r w:rsidR="00D63573">
        <w:rPr>
          <w:rFonts w:cstheme="minorHAnsi"/>
        </w:rPr>
        <w:t>clinical</w:t>
      </w:r>
      <w:r w:rsidRPr="006F69E0">
        <w:rPr>
          <w:rFonts w:cstheme="minorHAnsi"/>
        </w:rPr>
        <w:t xml:space="preserve"> waste or diseased animals. These activities are already regulated by the </w:t>
      </w:r>
      <w:r w:rsidRPr="006F69E0">
        <w:rPr>
          <w:rFonts w:cstheme="minorHAnsi"/>
          <w:i/>
          <w:iCs/>
        </w:rPr>
        <w:t>Dangerous Substances Act 2004,</w:t>
      </w:r>
      <w:r w:rsidRPr="006F69E0">
        <w:rPr>
          <w:rFonts w:cstheme="minorHAnsi"/>
        </w:rPr>
        <w:t xml:space="preserve"> the </w:t>
      </w:r>
      <w:r w:rsidRPr="006F69E0">
        <w:rPr>
          <w:rFonts w:cstheme="minorHAnsi"/>
          <w:i/>
          <w:iCs/>
        </w:rPr>
        <w:t>Animal Diseases Act 2005</w:t>
      </w:r>
      <w:r w:rsidR="00D63573">
        <w:rPr>
          <w:rFonts w:cstheme="minorHAnsi"/>
        </w:rPr>
        <w:t xml:space="preserve">, </w:t>
      </w:r>
      <w:r w:rsidR="00457755">
        <w:rPr>
          <w:rFonts w:cstheme="minorHAnsi"/>
        </w:rPr>
        <w:t>and the</w:t>
      </w:r>
      <w:r w:rsidR="00D63573" w:rsidRPr="00D63573">
        <w:rPr>
          <w:rFonts w:cstheme="minorHAnsi"/>
          <w:i/>
          <w:iCs/>
        </w:rPr>
        <w:t xml:space="preserve"> Clinical Waste Act 1990</w:t>
      </w:r>
      <w:r w:rsidRPr="006F69E0">
        <w:rPr>
          <w:rFonts w:cstheme="minorHAnsi"/>
        </w:rPr>
        <w:t>.</w:t>
      </w:r>
      <w:r w:rsidR="00D63573">
        <w:rPr>
          <w:rFonts w:cstheme="minorHAnsi"/>
        </w:rPr>
        <w:t xml:space="preserve"> </w:t>
      </w:r>
    </w:p>
    <w:p w14:paraId="51C38076" w14:textId="5834AD3E" w:rsidR="000F302E" w:rsidRPr="006F69E0" w:rsidRDefault="000F302E" w:rsidP="000F302E">
      <w:pPr>
        <w:rPr>
          <w:rFonts w:cstheme="minorHAnsi"/>
          <w:color w:val="000000"/>
          <w:shd w:val="clear" w:color="auto" w:fill="FFFFFF"/>
        </w:rPr>
      </w:pPr>
      <w:r w:rsidRPr="006F69E0">
        <w:rPr>
          <w:rFonts w:cstheme="minorHAnsi"/>
          <w:b/>
          <w:bCs/>
        </w:rPr>
        <w:t>Application of the Code of Practice</w:t>
      </w:r>
      <w:r w:rsidRPr="006F69E0">
        <w:rPr>
          <w:rFonts w:cstheme="minorHAnsi"/>
        </w:rPr>
        <w:t xml:space="preserve"> </w:t>
      </w:r>
      <w:r w:rsidRPr="006F69E0">
        <w:rPr>
          <w:rFonts w:cstheme="minorHAnsi"/>
          <w:color w:val="000000"/>
          <w:shd w:val="clear" w:color="auto" w:fill="FFFFFF"/>
        </w:rPr>
        <w:t>details who the Code of Practice applies to.</w:t>
      </w:r>
    </w:p>
    <w:p w14:paraId="77E6F844" w14:textId="386C951A" w:rsidR="00011292" w:rsidRPr="006F69E0" w:rsidRDefault="00011292" w:rsidP="000F302E">
      <w:pPr>
        <w:rPr>
          <w:rFonts w:cstheme="minorHAnsi"/>
          <w:b/>
          <w:bCs/>
          <w:color w:val="000000"/>
          <w:shd w:val="clear" w:color="auto" w:fill="FFFFFF"/>
        </w:rPr>
      </w:pPr>
      <w:r w:rsidRPr="006F69E0">
        <w:rPr>
          <w:rFonts w:cstheme="minorHAnsi"/>
          <w:b/>
          <w:bCs/>
          <w:color w:val="000000"/>
          <w:shd w:val="clear" w:color="auto" w:fill="FFFFFF"/>
        </w:rPr>
        <w:t>Requirements of the of Practice</w:t>
      </w:r>
    </w:p>
    <w:p w14:paraId="38A0C5E9" w14:textId="292761E5" w:rsidR="00011292" w:rsidRPr="006F69E0" w:rsidRDefault="00011292" w:rsidP="000F302E">
      <w:pPr>
        <w:rPr>
          <w:rFonts w:cstheme="minorHAnsi"/>
        </w:rPr>
      </w:pPr>
      <w:r w:rsidRPr="006F69E0">
        <w:rPr>
          <w:rFonts w:cstheme="minorHAnsi"/>
          <w:b/>
          <w:bCs/>
          <w:color w:val="000000"/>
          <w:shd w:val="clear" w:color="auto" w:fill="FFFFFF"/>
        </w:rPr>
        <w:t xml:space="preserve">Requirement 1 – Thermal waste-to-energy </w:t>
      </w:r>
      <w:r w:rsidR="00070EE3" w:rsidRPr="00784009">
        <w:rPr>
          <w:rFonts w:cstheme="minorHAnsi"/>
          <w:color w:val="000000"/>
          <w:shd w:val="clear" w:color="auto" w:fill="FFFFFF"/>
        </w:rPr>
        <w:t xml:space="preserve">permits </w:t>
      </w:r>
      <w:r w:rsidR="00D63573" w:rsidRPr="00784009">
        <w:rPr>
          <w:rFonts w:cstheme="minorHAnsi"/>
          <w:color w:val="000000"/>
          <w:shd w:val="clear" w:color="auto" w:fill="FFFFFF"/>
        </w:rPr>
        <w:t>non-thermal means of energy recovery such as anaerobic digestion</w:t>
      </w:r>
      <w:r w:rsidR="00784009">
        <w:rPr>
          <w:rFonts w:cstheme="minorHAnsi"/>
          <w:color w:val="000000"/>
          <w:shd w:val="clear" w:color="auto" w:fill="FFFFFF"/>
        </w:rPr>
        <w:t xml:space="preserve"> and landfill gas capture</w:t>
      </w:r>
      <w:r w:rsidR="00D63573" w:rsidRPr="00784009">
        <w:rPr>
          <w:rFonts w:cstheme="minorHAnsi"/>
          <w:color w:val="000000"/>
          <w:shd w:val="clear" w:color="auto" w:fill="FFFFFF"/>
        </w:rPr>
        <w:t xml:space="preserve">, but </w:t>
      </w:r>
      <w:r w:rsidRPr="00784009">
        <w:rPr>
          <w:rFonts w:cstheme="minorHAnsi"/>
          <w:color w:val="000000"/>
          <w:shd w:val="clear" w:color="auto" w:fill="FFFFFF"/>
        </w:rPr>
        <w:t>prohibits thermal</w:t>
      </w:r>
      <w:r w:rsidRPr="006F69E0">
        <w:rPr>
          <w:rFonts w:cstheme="minorHAnsi"/>
          <w:color w:val="000000"/>
          <w:shd w:val="clear" w:color="auto" w:fill="FFFFFF"/>
        </w:rPr>
        <w:t xml:space="preserve"> treatment of waste in new facilities</w:t>
      </w:r>
      <w:r w:rsidR="004052CD">
        <w:rPr>
          <w:rFonts w:cstheme="minorHAnsi"/>
          <w:color w:val="000000"/>
          <w:shd w:val="clear" w:color="auto" w:fill="FFFFFF"/>
        </w:rPr>
        <w:t>. There is an</w:t>
      </w:r>
      <w:r w:rsidRPr="006F69E0">
        <w:rPr>
          <w:rFonts w:cstheme="minorHAnsi"/>
          <w:color w:val="000000"/>
          <w:shd w:val="clear" w:color="auto" w:fill="FFFFFF"/>
        </w:rPr>
        <w:t xml:space="preserve"> exception </w:t>
      </w:r>
      <w:r w:rsidRPr="006F69E0">
        <w:rPr>
          <w:rFonts w:cstheme="minorHAnsi"/>
        </w:rPr>
        <w:t xml:space="preserve">for the </w:t>
      </w:r>
      <w:r w:rsidR="0001754E">
        <w:rPr>
          <w:rFonts w:cstheme="minorHAnsi"/>
        </w:rPr>
        <w:t xml:space="preserve">treatment of hazardous or toxic waste, and the </w:t>
      </w:r>
      <w:r w:rsidRPr="006F69E0">
        <w:rPr>
          <w:rFonts w:cstheme="minorHAnsi"/>
        </w:rPr>
        <w:t xml:space="preserve">safe disposal of </w:t>
      </w:r>
      <w:r w:rsidR="00070EE3">
        <w:rPr>
          <w:rFonts w:cstheme="minorHAnsi"/>
        </w:rPr>
        <w:t>clinical</w:t>
      </w:r>
      <w:r w:rsidRPr="006F69E0">
        <w:rPr>
          <w:rFonts w:cstheme="minorHAnsi"/>
        </w:rPr>
        <w:t xml:space="preserve"> waste</w:t>
      </w:r>
      <w:r w:rsidR="00070EE3">
        <w:rPr>
          <w:rFonts w:cstheme="minorHAnsi"/>
        </w:rPr>
        <w:t xml:space="preserve"> or diseased animals</w:t>
      </w:r>
      <w:r w:rsidR="0001754E">
        <w:rPr>
          <w:rFonts w:cstheme="minorHAnsi"/>
        </w:rPr>
        <w:t>.</w:t>
      </w:r>
      <w:r w:rsidR="004052CD">
        <w:rPr>
          <w:rFonts w:cstheme="minorHAnsi"/>
        </w:rPr>
        <w:t xml:space="preserve"> </w:t>
      </w:r>
    </w:p>
    <w:p w14:paraId="1338635F" w14:textId="2E039348" w:rsidR="003C3201" w:rsidRPr="006F69E0" w:rsidRDefault="003030E6" w:rsidP="000F302E">
      <w:pPr>
        <w:rPr>
          <w:rFonts w:cstheme="minorHAnsi"/>
        </w:rPr>
      </w:pPr>
      <w:r w:rsidRPr="006F69E0">
        <w:rPr>
          <w:rFonts w:cstheme="minorHAnsi"/>
          <w:b/>
          <w:bCs/>
        </w:rPr>
        <w:t xml:space="preserve">Requirement 2 – Refuse derived fuels (RDF) </w:t>
      </w:r>
      <w:r w:rsidR="004B2747" w:rsidRPr="006F69E0">
        <w:rPr>
          <w:rFonts w:cstheme="minorHAnsi"/>
        </w:rPr>
        <w:t xml:space="preserve">prohibits the </w:t>
      </w:r>
      <w:r w:rsidR="003C3201" w:rsidRPr="006F69E0">
        <w:rPr>
          <w:rFonts w:cstheme="minorHAnsi"/>
        </w:rPr>
        <w:t xml:space="preserve">production of RDF from </w:t>
      </w:r>
      <w:r w:rsidR="005A7A1B">
        <w:rPr>
          <w:rFonts w:cstheme="minorHAnsi"/>
        </w:rPr>
        <w:t>non-</w:t>
      </w:r>
      <w:r w:rsidR="003C3201" w:rsidRPr="006F69E0">
        <w:rPr>
          <w:rFonts w:cstheme="minorHAnsi"/>
        </w:rPr>
        <w:t xml:space="preserve">residual waste and prohibits the thermal treatment of all RDF. </w:t>
      </w:r>
    </w:p>
    <w:p w14:paraId="1C09F772" w14:textId="42E2E3D3" w:rsidR="000F302E" w:rsidRPr="006F69E0" w:rsidRDefault="00592503" w:rsidP="00080EB0">
      <w:pPr>
        <w:rPr>
          <w:rFonts w:cstheme="minorHAnsi"/>
          <w:b/>
          <w:bCs/>
        </w:rPr>
      </w:pPr>
      <w:r w:rsidRPr="006F69E0">
        <w:rPr>
          <w:rFonts w:cstheme="minorHAnsi"/>
          <w:b/>
          <w:bCs/>
        </w:rPr>
        <w:t xml:space="preserve">Offences </w:t>
      </w:r>
      <w:r w:rsidRPr="006F69E0">
        <w:rPr>
          <w:rFonts w:cstheme="minorHAnsi"/>
        </w:rPr>
        <w:t xml:space="preserve">notes that under section 61 of the Act, failure to comply with the Code of Practice is a strict liability offence, </w:t>
      </w:r>
      <w:r w:rsidR="007A60D3">
        <w:rPr>
          <w:rFonts w:cstheme="minorHAnsi"/>
        </w:rPr>
        <w:t xml:space="preserve">and is </w:t>
      </w:r>
      <w:r w:rsidRPr="006F69E0">
        <w:rPr>
          <w:rFonts w:cstheme="minorHAnsi"/>
        </w:rPr>
        <w:t>subject to penalties.</w:t>
      </w:r>
    </w:p>
    <w:sectPr w:rsidR="000F302E" w:rsidRPr="006F69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06C9" w14:textId="77777777" w:rsidR="003214DF" w:rsidRDefault="003214DF" w:rsidP="003214DF">
      <w:pPr>
        <w:spacing w:after="0" w:line="240" w:lineRule="auto"/>
      </w:pPr>
      <w:r>
        <w:separator/>
      </w:r>
    </w:p>
  </w:endnote>
  <w:endnote w:type="continuationSeparator" w:id="0">
    <w:p w14:paraId="53ED7C91" w14:textId="77777777" w:rsidR="003214DF" w:rsidRDefault="003214DF" w:rsidP="0032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89E7" w14:textId="77777777" w:rsidR="003214DF" w:rsidRDefault="0032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4C9A" w14:textId="75E16C63" w:rsidR="003214DF" w:rsidRPr="00E143E2" w:rsidRDefault="00E143E2" w:rsidP="00E143E2">
    <w:pPr>
      <w:pStyle w:val="Footer"/>
      <w:jc w:val="center"/>
      <w:rPr>
        <w:rFonts w:ascii="Arial" w:hAnsi="Arial" w:cs="Arial"/>
        <w:sz w:val="14"/>
      </w:rPr>
    </w:pPr>
    <w:r w:rsidRPr="00E143E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2D44" w14:textId="77777777" w:rsidR="003214DF" w:rsidRDefault="0032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574B" w14:textId="77777777" w:rsidR="003214DF" w:rsidRDefault="003214DF" w:rsidP="003214DF">
      <w:pPr>
        <w:spacing w:after="0" w:line="240" w:lineRule="auto"/>
      </w:pPr>
      <w:r>
        <w:separator/>
      </w:r>
    </w:p>
  </w:footnote>
  <w:footnote w:type="continuationSeparator" w:id="0">
    <w:p w14:paraId="590FC165" w14:textId="77777777" w:rsidR="003214DF" w:rsidRDefault="003214DF" w:rsidP="00321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0B95" w14:textId="77777777" w:rsidR="003214DF" w:rsidRDefault="0032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065D" w14:textId="77777777" w:rsidR="003214DF" w:rsidRDefault="00321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0EC7" w14:textId="77777777" w:rsidR="003214DF" w:rsidRDefault="0032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num w:numId="1" w16cid:durableId="198222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00"/>
    <w:rsid w:val="00011292"/>
    <w:rsid w:val="0001754E"/>
    <w:rsid w:val="0002368B"/>
    <w:rsid w:val="0004595A"/>
    <w:rsid w:val="00045D28"/>
    <w:rsid w:val="00061629"/>
    <w:rsid w:val="0006378B"/>
    <w:rsid w:val="00070EE3"/>
    <w:rsid w:val="00080EB0"/>
    <w:rsid w:val="000B6DF1"/>
    <w:rsid w:val="000C65BE"/>
    <w:rsid w:val="000F302E"/>
    <w:rsid w:val="0019093F"/>
    <w:rsid w:val="001A7B7A"/>
    <w:rsid w:val="001D439E"/>
    <w:rsid w:val="002114E9"/>
    <w:rsid w:val="00220579"/>
    <w:rsid w:val="0022152D"/>
    <w:rsid w:val="003030E6"/>
    <w:rsid w:val="003214DF"/>
    <w:rsid w:val="00334A58"/>
    <w:rsid w:val="00377682"/>
    <w:rsid w:val="003901E8"/>
    <w:rsid w:val="003C3201"/>
    <w:rsid w:val="004052CD"/>
    <w:rsid w:val="00455A0C"/>
    <w:rsid w:val="00457755"/>
    <w:rsid w:val="00463BC0"/>
    <w:rsid w:val="0049607B"/>
    <w:rsid w:val="004B2747"/>
    <w:rsid w:val="00522460"/>
    <w:rsid w:val="0056165C"/>
    <w:rsid w:val="00592503"/>
    <w:rsid w:val="005A7A1B"/>
    <w:rsid w:val="005C072E"/>
    <w:rsid w:val="006C129E"/>
    <w:rsid w:val="006F69E0"/>
    <w:rsid w:val="006F6C7D"/>
    <w:rsid w:val="00712292"/>
    <w:rsid w:val="0076584E"/>
    <w:rsid w:val="007776D9"/>
    <w:rsid w:val="00784009"/>
    <w:rsid w:val="007845C8"/>
    <w:rsid w:val="00793711"/>
    <w:rsid w:val="007A60D3"/>
    <w:rsid w:val="007D6AC5"/>
    <w:rsid w:val="00806115"/>
    <w:rsid w:val="0085730E"/>
    <w:rsid w:val="0089107C"/>
    <w:rsid w:val="0098562E"/>
    <w:rsid w:val="009B58F4"/>
    <w:rsid w:val="009E137F"/>
    <w:rsid w:val="009E2039"/>
    <w:rsid w:val="00A46C09"/>
    <w:rsid w:val="00AF5593"/>
    <w:rsid w:val="00BF4C1C"/>
    <w:rsid w:val="00C02543"/>
    <w:rsid w:val="00C35141"/>
    <w:rsid w:val="00C41694"/>
    <w:rsid w:val="00C925FF"/>
    <w:rsid w:val="00CA5B58"/>
    <w:rsid w:val="00D32938"/>
    <w:rsid w:val="00D63573"/>
    <w:rsid w:val="00D66A00"/>
    <w:rsid w:val="00D702A4"/>
    <w:rsid w:val="00DB334A"/>
    <w:rsid w:val="00E12453"/>
    <w:rsid w:val="00E143E2"/>
    <w:rsid w:val="00E2191E"/>
    <w:rsid w:val="00E61EA2"/>
    <w:rsid w:val="00E75304"/>
    <w:rsid w:val="00EA3C9B"/>
    <w:rsid w:val="00ED7143"/>
    <w:rsid w:val="00F40913"/>
    <w:rsid w:val="00F73E8A"/>
    <w:rsid w:val="00F95D1A"/>
    <w:rsid w:val="00FB2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ACC96"/>
  <w15:chartTrackingRefBased/>
  <w15:docId w15:val="{5897115B-A60F-4831-92BB-E7A1EB49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00"/>
  </w:style>
  <w:style w:type="paragraph" w:styleId="Heading1">
    <w:name w:val="heading 1"/>
    <w:basedOn w:val="Normal"/>
    <w:next w:val="Normal"/>
    <w:link w:val="Heading1Char"/>
    <w:uiPriority w:val="99"/>
    <w:qFormat/>
    <w:rsid w:val="00D66A00"/>
    <w:pPr>
      <w:keepNext/>
      <w:spacing w:before="360" w:after="0" w:line="240" w:lineRule="auto"/>
      <w:ind w:left="851" w:right="565"/>
      <w:outlineLvl w:val="0"/>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6A00"/>
    <w:rPr>
      <w:rFonts w:ascii="Arial" w:eastAsia="Times New Roman" w:hAnsi="Arial" w:cs="Arial"/>
      <w:b/>
      <w:bCs/>
      <w:sz w:val="28"/>
      <w:szCs w:val="28"/>
    </w:rPr>
  </w:style>
  <w:style w:type="paragraph" w:customStyle="1" w:styleId="CS-Paragraphnumbering">
    <w:name w:val="CS - Paragraph numbering"/>
    <w:basedOn w:val="Normal"/>
    <w:rsid w:val="00D702A4"/>
    <w:pPr>
      <w:numPr>
        <w:numId w:val="1"/>
      </w:numPr>
      <w:spacing w:after="120" w:line="276" w:lineRule="auto"/>
      <w:ind w:right="-45"/>
    </w:pPr>
    <w:rPr>
      <w:sz w:val="24"/>
      <w:szCs w:val="24"/>
    </w:rPr>
  </w:style>
  <w:style w:type="paragraph" w:styleId="NormalWeb">
    <w:name w:val="Normal (Web)"/>
    <w:basedOn w:val="Normal"/>
    <w:uiPriority w:val="99"/>
    <w:semiHidden/>
    <w:unhideWhenUsed/>
    <w:rsid w:val="00D702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D439E"/>
    <w:rPr>
      <w:sz w:val="16"/>
      <w:szCs w:val="16"/>
    </w:rPr>
  </w:style>
  <w:style w:type="paragraph" w:styleId="CommentText">
    <w:name w:val="annotation text"/>
    <w:basedOn w:val="Normal"/>
    <w:link w:val="CommentTextChar"/>
    <w:uiPriority w:val="99"/>
    <w:unhideWhenUsed/>
    <w:rsid w:val="001D439E"/>
    <w:pPr>
      <w:spacing w:line="240" w:lineRule="auto"/>
    </w:pPr>
    <w:rPr>
      <w:sz w:val="20"/>
      <w:szCs w:val="20"/>
    </w:rPr>
  </w:style>
  <w:style w:type="character" w:customStyle="1" w:styleId="CommentTextChar">
    <w:name w:val="Comment Text Char"/>
    <w:basedOn w:val="DefaultParagraphFont"/>
    <w:link w:val="CommentText"/>
    <w:uiPriority w:val="99"/>
    <w:rsid w:val="001D439E"/>
    <w:rPr>
      <w:sz w:val="20"/>
      <w:szCs w:val="20"/>
    </w:rPr>
  </w:style>
  <w:style w:type="paragraph" w:styleId="CommentSubject">
    <w:name w:val="annotation subject"/>
    <w:basedOn w:val="CommentText"/>
    <w:next w:val="CommentText"/>
    <w:link w:val="CommentSubjectChar"/>
    <w:uiPriority w:val="99"/>
    <w:semiHidden/>
    <w:unhideWhenUsed/>
    <w:rsid w:val="007A60D3"/>
    <w:rPr>
      <w:b/>
      <w:bCs/>
    </w:rPr>
  </w:style>
  <w:style w:type="character" w:customStyle="1" w:styleId="CommentSubjectChar">
    <w:name w:val="Comment Subject Char"/>
    <w:basedOn w:val="CommentTextChar"/>
    <w:link w:val="CommentSubject"/>
    <w:uiPriority w:val="99"/>
    <w:semiHidden/>
    <w:rsid w:val="007A60D3"/>
    <w:rPr>
      <w:b/>
      <w:bCs/>
      <w:sz w:val="20"/>
      <w:szCs w:val="20"/>
    </w:rPr>
  </w:style>
  <w:style w:type="paragraph" w:styleId="Header">
    <w:name w:val="header"/>
    <w:basedOn w:val="Normal"/>
    <w:link w:val="HeaderChar"/>
    <w:uiPriority w:val="99"/>
    <w:unhideWhenUsed/>
    <w:rsid w:val="00321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4DF"/>
  </w:style>
  <w:style w:type="paragraph" w:styleId="Footer">
    <w:name w:val="footer"/>
    <w:basedOn w:val="Normal"/>
    <w:link w:val="FooterChar"/>
    <w:uiPriority w:val="99"/>
    <w:unhideWhenUsed/>
    <w:rsid w:val="00321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A42226403</value>
    </field>
    <field name="Objective-Title">
      <value order="0">Att B - Explanatory Statement WtE Codeof Practice</value>
    </field>
    <field name="Objective-Description">
      <value order="0"/>
    </field>
    <field name="Objective-CreationStamp">
      <value order="0">2023-06-02T02:29:29Z</value>
    </field>
    <field name="Objective-IsApproved">
      <value order="0">false</value>
    </field>
    <field name="Objective-IsPublished">
      <value order="0">true</value>
    </field>
    <field name="Objective-DatePublished">
      <value order="0">2023-10-03T06:53:57Z</value>
    </field>
    <field name="Objective-ModificationStamp">
      <value order="0">2023-10-03T06:53:57Z</value>
    </field>
    <field name="Objective-Owner">
      <value order="0">Anne Pentony</value>
    </field>
    <field name="Objective-Path">
      <value order="0">Whole of ACT Government:TCCS STRUCTURE - Content Restriction Hierarchy:DIVISION: City Services:BRANCH: Infrastructure Delivery and Waste:SECTION : ACT NoWaste:TEAM: Waste Policy:09. Programs and Projects:2022 to present:2022 - Waste to Energy</value>
    </field>
    <field name="Objective-Parent">
      <value order="0">2022 - Waste to Energy</value>
    </field>
    <field name="Objective-State">
      <value order="0">Published</value>
    </field>
    <field name="Objective-VersionId">
      <value order="0">vA54650982</value>
    </field>
    <field name="Objective-Version">
      <value order="0">7.0</value>
    </field>
    <field name="Objective-VersionNumber">
      <value order="0">10</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3509</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Pentony, Anne</dc:creator>
  <cp:keywords>2</cp:keywords>
  <dc:description/>
  <cp:lastModifiedBy>PCODCS</cp:lastModifiedBy>
  <cp:revision>4</cp:revision>
  <dcterms:created xsi:type="dcterms:W3CDTF">2023-11-12T23:18:00Z</dcterms:created>
  <dcterms:modified xsi:type="dcterms:W3CDTF">2023-11-12T23:18:00Z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A42226403</vt:lpwstr>
  </property>
  <property fmtid="{D5CDD505-2E9C-101B-9397-08002B2CF9AE}" pid="4" name="Objective-Title">
    <vt:lpwstr>Att B - Explanatory Statement WtE Codeof Practice</vt:lpwstr>
  </property>
  <property fmtid="{D5CDD505-2E9C-101B-9397-08002B2CF9AE}" pid="5" name="Objective-Comment">
    <vt:lpwstr/>
  </property>
  <property fmtid="{D5CDD505-2E9C-101B-9397-08002B2CF9AE}" pid="6" name="Objective-CreationStamp">
    <vt:filetime>2023-06-02T02:29:29Z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2023-10-03T06:53:57Z</vt:filetime>
  </property>
  <property fmtid="{D5CDD505-2E9C-101B-9397-08002B2CF9AE}" pid="10" name="Objective-ModificationStamp">
    <vt:filetime>2023-10-03T06:53:57Z</vt:filetime>
  </property>
  <property fmtid="{D5CDD505-2E9C-101B-9397-08002B2CF9AE}" pid="11" name="Objective-Owner">
    <vt:lpwstr>Anne Pentony</vt:lpwstr>
  </property>
  <property fmtid="{D5CDD505-2E9C-101B-9397-08002B2CF9AE}" pid="12" name="Objective-Path">
    <vt:lpwstr>Whole of ACT Government:TCCS STRUCTURE - Content Restriction Hierarchy:DIVISION: City Services:BRANCH: Infrastructure Delivery and Waste:SECTION : ACT NoWaste:TEAM: Waste Policy:09. Programs and Projects:2022 to present:2022 - Waste to Energy:</vt:lpwstr>
  </property>
  <property fmtid="{D5CDD505-2E9C-101B-9397-08002B2CF9AE}" pid="13" name="Objective-Parent">
    <vt:lpwstr>2022 - Waste to Energy</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vA54650982</vt:lpwstr>
  </property>
  <property fmtid="{D5CDD505-2E9C-101B-9397-08002B2CF9AE}" pid="34" name="CHECKEDOUTFROMJMS">
    <vt:lpwstr/>
  </property>
  <property fmtid="{D5CDD505-2E9C-101B-9397-08002B2CF9AE}" pid="35" name="DMSID">
    <vt:lpwstr>11192221</vt:lpwstr>
  </property>
  <property fmtid="{D5CDD505-2E9C-101B-9397-08002B2CF9AE}" pid="36" name="JMSREQUIREDCHECKIN">
    <vt:lpwstr/>
  </property>
</Properties>
</file>