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ECA" w14:textId="32DE6F0B" w:rsidR="00E90DF9" w:rsidRPr="00BB387E" w:rsidRDefault="00E90DF9" w:rsidP="00E90DF9">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24</w:t>
      </w:r>
    </w:p>
    <w:p w14:paraId="4E149149" w14:textId="77777777" w:rsidR="00E90DF9" w:rsidRPr="00BB387E" w:rsidRDefault="00E90DF9" w:rsidP="00E90DF9">
      <w:pPr>
        <w:spacing w:after="0"/>
        <w:jc w:val="center"/>
        <w:rPr>
          <w:rFonts w:ascii="Arial" w:hAnsi="Arial" w:cs="Arial"/>
          <w:b/>
          <w:sz w:val="24"/>
          <w:szCs w:val="24"/>
        </w:rPr>
      </w:pPr>
    </w:p>
    <w:p w14:paraId="06167890" w14:textId="77777777" w:rsidR="00E90DF9" w:rsidRPr="00BB387E" w:rsidRDefault="00E90DF9" w:rsidP="00E90DF9">
      <w:pPr>
        <w:spacing w:after="0"/>
        <w:jc w:val="center"/>
        <w:rPr>
          <w:rFonts w:ascii="Arial" w:hAnsi="Arial" w:cs="Arial"/>
          <w:b/>
          <w:sz w:val="24"/>
          <w:szCs w:val="24"/>
        </w:rPr>
      </w:pPr>
    </w:p>
    <w:p w14:paraId="271BD407" w14:textId="77777777" w:rsidR="00E90DF9" w:rsidRPr="00BB387E" w:rsidRDefault="00E90DF9" w:rsidP="00E90DF9">
      <w:pPr>
        <w:spacing w:after="0"/>
        <w:jc w:val="center"/>
        <w:rPr>
          <w:rFonts w:ascii="Arial" w:hAnsi="Arial" w:cs="Arial"/>
          <w:b/>
          <w:sz w:val="24"/>
          <w:szCs w:val="24"/>
        </w:rPr>
      </w:pPr>
    </w:p>
    <w:p w14:paraId="71A1CE5B" w14:textId="77777777" w:rsidR="00E90DF9" w:rsidRPr="00BB387E" w:rsidRDefault="00E90DF9" w:rsidP="00E90DF9">
      <w:pPr>
        <w:spacing w:after="0"/>
        <w:jc w:val="center"/>
        <w:rPr>
          <w:rFonts w:ascii="Arial" w:hAnsi="Arial" w:cs="Arial"/>
          <w:b/>
          <w:sz w:val="24"/>
          <w:szCs w:val="24"/>
        </w:rPr>
      </w:pPr>
    </w:p>
    <w:p w14:paraId="677673A4" w14:textId="77777777" w:rsidR="00E90DF9" w:rsidRPr="00BB387E" w:rsidRDefault="00E90DF9" w:rsidP="00E90DF9">
      <w:pPr>
        <w:spacing w:after="0"/>
        <w:jc w:val="center"/>
        <w:rPr>
          <w:rFonts w:ascii="Arial" w:hAnsi="Arial" w:cs="Arial"/>
          <w:b/>
          <w:bCs/>
          <w:sz w:val="24"/>
          <w:szCs w:val="24"/>
        </w:rPr>
      </w:pPr>
    </w:p>
    <w:p w14:paraId="463F3AB6" w14:textId="77777777" w:rsidR="00E90DF9" w:rsidRPr="00BB387E" w:rsidRDefault="00E90DF9" w:rsidP="00E90DF9">
      <w:pPr>
        <w:spacing w:after="0"/>
        <w:jc w:val="center"/>
        <w:rPr>
          <w:rFonts w:ascii="Arial" w:hAnsi="Arial" w:cs="Arial"/>
          <w:b/>
          <w:bCs/>
          <w:sz w:val="24"/>
          <w:szCs w:val="24"/>
        </w:rPr>
      </w:pPr>
    </w:p>
    <w:p w14:paraId="02BC33AF" w14:textId="77777777" w:rsidR="00E90DF9" w:rsidRPr="00BB387E" w:rsidRDefault="00E90DF9" w:rsidP="00E90DF9">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091772B4" w14:textId="77777777" w:rsidR="00E90DF9" w:rsidRPr="00BB387E" w:rsidRDefault="00E90DF9" w:rsidP="00E90DF9">
      <w:pPr>
        <w:spacing w:after="0"/>
        <w:jc w:val="center"/>
        <w:rPr>
          <w:rFonts w:ascii="Arial" w:hAnsi="Arial" w:cs="Arial"/>
          <w:b/>
          <w:sz w:val="24"/>
          <w:szCs w:val="24"/>
        </w:rPr>
      </w:pPr>
      <w:r w:rsidRPr="00BB387E">
        <w:rPr>
          <w:rFonts w:ascii="Arial" w:hAnsi="Arial" w:cs="Arial"/>
          <w:b/>
          <w:bCs/>
          <w:sz w:val="24"/>
          <w:szCs w:val="24"/>
        </w:rPr>
        <w:t>AUSTRALIAN CAPITAL TERRITORY</w:t>
      </w:r>
    </w:p>
    <w:p w14:paraId="63982AB9" w14:textId="77777777" w:rsidR="00E90DF9" w:rsidRPr="00BB387E" w:rsidRDefault="00E90DF9" w:rsidP="00E90DF9">
      <w:pPr>
        <w:spacing w:after="0"/>
        <w:jc w:val="center"/>
        <w:rPr>
          <w:rFonts w:ascii="Arial" w:hAnsi="Arial" w:cs="Arial"/>
          <w:b/>
          <w:sz w:val="24"/>
          <w:szCs w:val="24"/>
        </w:rPr>
      </w:pPr>
    </w:p>
    <w:p w14:paraId="5FABE90A" w14:textId="77777777" w:rsidR="00E90DF9" w:rsidRPr="00BB387E" w:rsidRDefault="00E90DF9" w:rsidP="00E90DF9">
      <w:pPr>
        <w:spacing w:after="0"/>
        <w:jc w:val="center"/>
        <w:rPr>
          <w:rFonts w:ascii="Arial" w:hAnsi="Arial" w:cs="Arial"/>
          <w:b/>
          <w:sz w:val="24"/>
          <w:szCs w:val="24"/>
        </w:rPr>
      </w:pPr>
    </w:p>
    <w:p w14:paraId="6118207D" w14:textId="77777777" w:rsidR="00E90DF9" w:rsidRPr="00BB387E" w:rsidRDefault="00E90DF9" w:rsidP="00E90DF9">
      <w:pPr>
        <w:spacing w:after="0"/>
        <w:jc w:val="center"/>
        <w:rPr>
          <w:rFonts w:ascii="Arial" w:hAnsi="Arial" w:cs="Arial"/>
          <w:b/>
          <w:sz w:val="24"/>
          <w:szCs w:val="24"/>
        </w:rPr>
      </w:pPr>
    </w:p>
    <w:p w14:paraId="75A33EE9" w14:textId="5200AC5B" w:rsidR="00E90DF9" w:rsidRPr="00BB387E" w:rsidRDefault="00E90DF9" w:rsidP="00E90DF9">
      <w:pPr>
        <w:spacing w:after="0"/>
        <w:jc w:val="center"/>
        <w:rPr>
          <w:rFonts w:ascii="Arial" w:hAnsi="Arial" w:cs="Arial"/>
          <w:b/>
          <w:sz w:val="24"/>
          <w:szCs w:val="24"/>
        </w:rPr>
      </w:pPr>
      <w:r>
        <w:rPr>
          <w:rFonts w:ascii="Arial" w:hAnsi="Arial" w:cs="Arial"/>
          <w:b/>
          <w:sz w:val="24"/>
          <w:szCs w:val="24"/>
        </w:rPr>
        <w:t>TENTH ASSEMBLY</w:t>
      </w:r>
    </w:p>
    <w:p w14:paraId="12B1793E" w14:textId="77777777" w:rsidR="00E90DF9" w:rsidRPr="00BB387E" w:rsidRDefault="00E90DF9" w:rsidP="00E90DF9">
      <w:pPr>
        <w:spacing w:after="0"/>
        <w:jc w:val="center"/>
        <w:rPr>
          <w:rFonts w:ascii="Arial" w:hAnsi="Arial" w:cs="Arial"/>
          <w:b/>
          <w:sz w:val="24"/>
          <w:szCs w:val="24"/>
        </w:rPr>
      </w:pPr>
    </w:p>
    <w:p w14:paraId="3D84F818" w14:textId="77777777" w:rsidR="00E90DF9" w:rsidRPr="00BB387E" w:rsidRDefault="00E90DF9" w:rsidP="00E90DF9">
      <w:pPr>
        <w:spacing w:after="0"/>
        <w:jc w:val="center"/>
        <w:rPr>
          <w:rFonts w:ascii="Arial" w:hAnsi="Arial" w:cs="Arial"/>
          <w:b/>
          <w:sz w:val="24"/>
          <w:szCs w:val="24"/>
        </w:rPr>
      </w:pPr>
    </w:p>
    <w:p w14:paraId="312E8FE1" w14:textId="77777777" w:rsidR="00E90DF9" w:rsidRPr="00BB387E" w:rsidRDefault="00E90DF9" w:rsidP="00E90DF9">
      <w:pPr>
        <w:spacing w:after="0"/>
        <w:jc w:val="center"/>
        <w:rPr>
          <w:rFonts w:ascii="Arial" w:hAnsi="Arial" w:cs="Arial"/>
          <w:b/>
          <w:sz w:val="24"/>
          <w:szCs w:val="24"/>
        </w:rPr>
      </w:pPr>
    </w:p>
    <w:p w14:paraId="62527870" w14:textId="77777777" w:rsidR="00E90DF9" w:rsidRPr="00BB387E" w:rsidRDefault="00E90DF9" w:rsidP="00E90DF9">
      <w:pPr>
        <w:spacing w:after="0"/>
        <w:jc w:val="center"/>
        <w:rPr>
          <w:rFonts w:ascii="Arial" w:hAnsi="Arial" w:cs="Arial"/>
          <w:b/>
          <w:sz w:val="24"/>
          <w:szCs w:val="24"/>
        </w:rPr>
      </w:pPr>
    </w:p>
    <w:p w14:paraId="10E34864" w14:textId="77777777" w:rsidR="00E90DF9" w:rsidRPr="00BB387E" w:rsidRDefault="00E90DF9" w:rsidP="00E90DF9">
      <w:pPr>
        <w:spacing w:after="0"/>
        <w:jc w:val="center"/>
        <w:rPr>
          <w:rFonts w:ascii="Arial" w:hAnsi="Arial" w:cs="Arial"/>
          <w:b/>
          <w:sz w:val="24"/>
          <w:szCs w:val="24"/>
        </w:rPr>
      </w:pPr>
    </w:p>
    <w:p w14:paraId="7A5CE6C9" w14:textId="77777777" w:rsidR="00E90DF9" w:rsidRPr="00BB387E" w:rsidRDefault="00E90DF9" w:rsidP="00E90DF9">
      <w:pPr>
        <w:spacing w:after="0"/>
        <w:jc w:val="center"/>
        <w:rPr>
          <w:rFonts w:ascii="Arial" w:hAnsi="Arial" w:cs="Arial"/>
          <w:b/>
          <w:sz w:val="24"/>
          <w:szCs w:val="24"/>
        </w:rPr>
      </w:pPr>
    </w:p>
    <w:p w14:paraId="590EB1A4" w14:textId="3B34B65B" w:rsidR="00E90DF9" w:rsidRPr="00E90DF9" w:rsidRDefault="00F54AE4" w:rsidP="00E90DF9">
      <w:pPr>
        <w:spacing w:after="0"/>
        <w:jc w:val="center"/>
        <w:rPr>
          <w:rFonts w:ascii="Arial" w:hAnsi="Arial" w:cs="Arial"/>
          <w:b/>
          <w:bCs/>
          <w:color w:val="FF0000"/>
          <w:sz w:val="24"/>
          <w:szCs w:val="24"/>
        </w:rPr>
      </w:pPr>
      <w:r w:rsidRPr="00F54AE4">
        <w:rPr>
          <w:rFonts w:ascii="Arial" w:hAnsi="Arial" w:cs="Arial"/>
          <w:b/>
          <w:bCs/>
          <w:sz w:val="24"/>
          <w:szCs w:val="24"/>
        </w:rPr>
        <w:t>Crimes (Disclosure) Legislation Amendment Bill 2024</w:t>
      </w:r>
    </w:p>
    <w:p w14:paraId="23C1CDE7" w14:textId="77777777" w:rsidR="00E90DF9" w:rsidRPr="00BB387E" w:rsidRDefault="00E90DF9" w:rsidP="00E90DF9">
      <w:pPr>
        <w:spacing w:after="0"/>
        <w:jc w:val="center"/>
        <w:rPr>
          <w:rFonts w:ascii="Arial" w:hAnsi="Arial" w:cs="Arial"/>
          <w:b/>
          <w:bCs/>
          <w:sz w:val="24"/>
          <w:szCs w:val="24"/>
        </w:rPr>
      </w:pPr>
    </w:p>
    <w:p w14:paraId="5D04CAEB" w14:textId="77777777" w:rsidR="00E90DF9" w:rsidRPr="00BB387E" w:rsidRDefault="00E90DF9" w:rsidP="00E90DF9">
      <w:pPr>
        <w:spacing w:after="0"/>
        <w:jc w:val="center"/>
        <w:rPr>
          <w:rFonts w:ascii="Arial" w:hAnsi="Arial" w:cs="Arial"/>
          <w:b/>
          <w:sz w:val="24"/>
          <w:szCs w:val="24"/>
        </w:rPr>
      </w:pPr>
    </w:p>
    <w:p w14:paraId="664BEC68" w14:textId="77777777" w:rsidR="00E90DF9" w:rsidRDefault="00E90DF9" w:rsidP="00E90DF9">
      <w:pPr>
        <w:spacing w:after="0"/>
        <w:jc w:val="center"/>
        <w:rPr>
          <w:rFonts w:ascii="Arial" w:hAnsi="Arial" w:cs="Arial"/>
          <w:b/>
          <w:bCs/>
          <w:sz w:val="24"/>
          <w:szCs w:val="24"/>
        </w:rPr>
      </w:pPr>
      <w:r w:rsidRPr="00BB387E">
        <w:rPr>
          <w:rFonts w:ascii="Arial" w:hAnsi="Arial" w:cs="Arial"/>
          <w:b/>
          <w:bCs/>
          <w:sz w:val="24"/>
          <w:szCs w:val="24"/>
        </w:rPr>
        <w:t>EXPLANATORY STATEMENT</w:t>
      </w:r>
      <w:r>
        <w:rPr>
          <w:rFonts w:ascii="Arial" w:hAnsi="Arial" w:cs="Arial"/>
          <w:b/>
          <w:bCs/>
          <w:sz w:val="24"/>
          <w:szCs w:val="24"/>
        </w:rPr>
        <w:t xml:space="preserve"> </w:t>
      </w:r>
    </w:p>
    <w:p w14:paraId="09B948FF" w14:textId="77777777" w:rsidR="00E90DF9" w:rsidRDefault="00E90DF9" w:rsidP="00E90DF9">
      <w:pPr>
        <w:spacing w:after="0"/>
        <w:jc w:val="center"/>
        <w:rPr>
          <w:rFonts w:ascii="Arial" w:hAnsi="Arial" w:cs="Arial"/>
          <w:b/>
          <w:bCs/>
          <w:sz w:val="24"/>
          <w:szCs w:val="24"/>
        </w:rPr>
      </w:pPr>
      <w:r>
        <w:rPr>
          <w:rFonts w:ascii="Arial" w:hAnsi="Arial" w:cs="Arial"/>
          <w:b/>
          <w:bCs/>
          <w:sz w:val="24"/>
          <w:szCs w:val="24"/>
        </w:rPr>
        <w:t>and</w:t>
      </w:r>
    </w:p>
    <w:p w14:paraId="243211BD" w14:textId="77777777" w:rsidR="00E90DF9" w:rsidRDefault="00E90DF9" w:rsidP="00E90DF9">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2FDF54DB" w14:textId="77777777" w:rsidR="00E90DF9" w:rsidRPr="00BB387E" w:rsidRDefault="00E90DF9" w:rsidP="00E90DF9">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25C71D31" w14:textId="77777777" w:rsidR="00E90DF9" w:rsidRPr="00BB387E" w:rsidRDefault="00E90DF9" w:rsidP="00E90DF9">
      <w:pPr>
        <w:spacing w:after="0"/>
        <w:jc w:val="center"/>
        <w:rPr>
          <w:rFonts w:ascii="Arial" w:hAnsi="Arial" w:cs="Arial"/>
          <w:b/>
          <w:sz w:val="24"/>
          <w:szCs w:val="24"/>
        </w:rPr>
      </w:pPr>
    </w:p>
    <w:p w14:paraId="62B7AD27" w14:textId="77777777" w:rsidR="00E90DF9" w:rsidRPr="00BB387E" w:rsidRDefault="00E90DF9" w:rsidP="00E90DF9">
      <w:pPr>
        <w:spacing w:after="0"/>
        <w:jc w:val="center"/>
        <w:rPr>
          <w:rFonts w:ascii="Arial" w:hAnsi="Arial" w:cs="Arial"/>
          <w:b/>
          <w:sz w:val="24"/>
          <w:szCs w:val="24"/>
        </w:rPr>
      </w:pPr>
    </w:p>
    <w:p w14:paraId="3B7A8E87" w14:textId="77777777" w:rsidR="00E90DF9" w:rsidRPr="00BB387E" w:rsidRDefault="00E90DF9" w:rsidP="00E90DF9">
      <w:pPr>
        <w:spacing w:after="0"/>
        <w:jc w:val="center"/>
        <w:rPr>
          <w:rFonts w:ascii="Arial" w:hAnsi="Arial" w:cs="Arial"/>
          <w:b/>
          <w:sz w:val="24"/>
          <w:szCs w:val="24"/>
        </w:rPr>
      </w:pPr>
    </w:p>
    <w:p w14:paraId="67BAB751" w14:textId="77777777" w:rsidR="00E90DF9" w:rsidRDefault="00E90DF9" w:rsidP="00E90DF9">
      <w:pPr>
        <w:spacing w:after="0"/>
        <w:jc w:val="center"/>
        <w:rPr>
          <w:rFonts w:ascii="Arial" w:hAnsi="Arial" w:cs="Arial"/>
          <w:b/>
          <w:sz w:val="24"/>
          <w:szCs w:val="24"/>
        </w:rPr>
      </w:pPr>
    </w:p>
    <w:p w14:paraId="3D25356F" w14:textId="77777777" w:rsidR="00E90DF9" w:rsidRDefault="00E90DF9" w:rsidP="00E90DF9">
      <w:pPr>
        <w:spacing w:after="0"/>
        <w:jc w:val="center"/>
        <w:rPr>
          <w:rFonts w:ascii="Arial" w:hAnsi="Arial" w:cs="Arial"/>
          <w:b/>
          <w:sz w:val="24"/>
          <w:szCs w:val="24"/>
        </w:rPr>
      </w:pPr>
    </w:p>
    <w:p w14:paraId="5A9A0527" w14:textId="77777777" w:rsidR="00E90DF9" w:rsidRDefault="00E90DF9" w:rsidP="00E90DF9">
      <w:pPr>
        <w:spacing w:after="0"/>
        <w:jc w:val="center"/>
        <w:rPr>
          <w:rFonts w:ascii="Arial" w:hAnsi="Arial" w:cs="Arial"/>
          <w:b/>
          <w:sz w:val="24"/>
          <w:szCs w:val="24"/>
        </w:rPr>
      </w:pPr>
    </w:p>
    <w:p w14:paraId="4CDC9EA3" w14:textId="77777777" w:rsidR="00E90DF9" w:rsidRPr="00BB387E" w:rsidRDefault="00E90DF9" w:rsidP="00E90DF9">
      <w:pPr>
        <w:spacing w:after="0"/>
        <w:jc w:val="center"/>
        <w:rPr>
          <w:rFonts w:ascii="Arial" w:hAnsi="Arial" w:cs="Arial"/>
          <w:b/>
          <w:sz w:val="24"/>
          <w:szCs w:val="24"/>
        </w:rPr>
      </w:pPr>
    </w:p>
    <w:p w14:paraId="01179C4F" w14:textId="77777777" w:rsidR="00E90DF9" w:rsidRPr="00BB387E" w:rsidRDefault="00E90DF9" w:rsidP="00E90DF9">
      <w:pPr>
        <w:keepNext/>
        <w:widowControl w:val="0"/>
        <w:spacing w:after="0"/>
        <w:jc w:val="center"/>
        <w:outlineLvl w:val="7"/>
        <w:rPr>
          <w:rFonts w:ascii="Arial" w:hAnsi="Arial" w:cs="Arial"/>
          <w:b/>
          <w:bCs/>
          <w:sz w:val="24"/>
          <w:szCs w:val="24"/>
        </w:rPr>
      </w:pPr>
    </w:p>
    <w:p w14:paraId="01D43C2C" w14:textId="77777777" w:rsidR="00E90DF9" w:rsidRPr="00BB387E" w:rsidRDefault="00E90DF9" w:rsidP="00E90DF9">
      <w:pPr>
        <w:keepNext/>
        <w:widowControl w:val="0"/>
        <w:spacing w:after="0"/>
        <w:jc w:val="center"/>
        <w:outlineLvl w:val="7"/>
        <w:rPr>
          <w:rFonts w:ascii="Arial" w:hAnsi="Arial" w:cs="Arial"/>
          <w:b/>
          <w:bCs/>
          <w:sz w:val="24"/>
          <w:szCs w:val="24"/>
        </w:rPr>
      </w:pPr>
    </w:p>
    <w:p w14:paraId="461523AD" w14:textId="77777777" w:rsidR="00E90DF9" w:rsidRPr="00F54AE4" w:rsidRDefault="00E90DF9" w:rsidP="00E90DF9">
      <w:pPr>
        <w:keepNext/>
        <w:widowControl w:val="0"/>
        <w:spacing w:after="0"/>
        <w:ind w:right="686"/>
        <w:jc w:val="right"/>
        <w:outlineLvl w:val="7"/>
        <w:rPr>
          <w:rFonts w:ascii="Arial" w:hAnsi="Arial" w:cs="Arial"/>
          <w:b/>
          <w:bCs/>
          <w:sz w:val="24"/>
          <w:szCs w:val="24"/>
        </w:rPr>
      </w:pPr>
      <w:r w:rsidRPr="00F54AE4">
        <w:rPr>
          <w:rFonts w:ascii="Arial" w:hAnsi="Arial" w:cs="Arial"/>
          <w:b/>
          <w:bCs/>
          <w:sz w:val="24"/>
          <w:szCs w:val="24"/>
        </w:rPr>
        <w:t>Presented by</w:t>
      </w:r>
    </w:p>
    <w:p w14:paraId="340671F6" w14:textId="64DA2D9A" w:rsidR="00E90DF9" w:rsidRPr="00F54AE4" w:rsidRDefault="00F54AE4" w:rsidP="00E90DF9">
      <w:pPr>
        <w:spacing w:after="0"/>
        <w:ind w:right="686"/>
        <w:jc w:val="right"/>
        <w:rPr>
          <w:rFonts w:ascii="Arial" w:hAnsi="Arial" w:cs="Arial"/>
          <w:b/>
          <w:bCs/>
          <w:sz w:val="24"/>
          <w:szCs w:val="24"/>
        </w:rPr>
      </w:pPr>
      <w:r w:rsidRPr="00F54AE4">
        <w:rPr>
          <w:rFonts w:ascii="Arial" w:hAnsi="Arial" w:cs="Arial"/>
          <w:b/>
          <w:bCs/>
          <w:sz w:val="24"/>
          <w:szCs w:val="24"/>
        </w:rPr>
        <w:t>Shane Rattenbury</w:t>
      </w:r>
      <w:r w:rsidR="00E90DF9" w:rsidRPr="00F54AE4">
        <w:rPr>
          <w:rFonts w:ascii="Arial" w:hAnsi="Arial" w:cs="Arial"/>
          <w:b/>
          <w:bCs/>
          <w:sz w:val="24"/>
          <w:szCs w:val="24"/>
        </w:rPr>
        <w:t xml:space="preserve"> MLA</w:t>
      </w:r>
    </w:p>
    <w:p w14:paraId="2B65FA14" w14:textId="7B9F0CC2" w:rsidR="00E90DF9" w:rsidRPr="00F54AE4" w:rsidRDefault="00F54AE4" w:rsidP="00E90DF9">
      <w:pPr>
        <w:spacing w:after="0"/>
        <w:ind w:right="686"/>
        <w:jc w:val="right"/>
        <w:rPr>
          <w:rFonts w:ascii="Arial" w:hAnsi="Arial" w:cs="Arial"/>
          <w:b/>
          <w:bCs/>
          <w:sz w:val="24"/>
          <w:szCs w:val="24"/>
        </w:rPr>
      </w:pPr>
      <w:r w:rsidRPr="00F54AE4">
        <w:rPr>
          <w:rFonts w:ascii="Arial" w:hAnsi="Arial" w:cs="Arial"/>
          <w:b/>
          <w:bCs/>
          <w:sz w:val="24"/>
          <w:szCs w:val="24"/>
        </w:rPr>
        <w:t>Attorney-General</w:t>
      </w:r>
    </w:p>
    <w:p w14:paraId="722CCE31" w14:textId="071D87FD" w:rsidR="00E90DF9" w:rsidRPr="00F54AE4" w:rsidRDefault="00D34B9F" w:rsidP="00E90DF9">
      <w:pPr>
        <w:spacing w:after="0"/>
        <w:ind w:right="686"/>
        <w:jc w:val="right"/>
        <w:rPr>
          <w:rFonts w:ascii="Arial" w:hAnsi="Arial" w:cs="Arial"/>
          <w:b/>
          <w:bCs/>
          <w:sz w:val="24"/>
          <w:szCs w:val="24"/>
        </w:rPr>
      </w:pPr>
      <w:r>
        <w:rPr>
          <w:rFonts w:ascii="Arial" w:hAnsi="Arial" w:cs="Arial"/>
          <w:b/>
          <w:bCs/>
          <w:sz w:val="24"/>
          <w:szCs w:val="24"/>
        </w:rPr>
        <w:t xml:space="preserve">April </w:t>
      </w:r>
      <w:r w:rsidR="00E90DF9" w:rsidRPr="00F54AE4">
        <w:rPr>
          <w:rFonts w:ascii="Arial" w:hAnsi="Arial" w:cs="Arial"/>
          <w:b/>
          <w:bCs/>
          <w:sz w:val="24"/>
          <w:szCs w:val="24"/>
        </w:rPr>
        <w:t>2024</w:t>
      </w:r>
    </w:p>
    <w:p w14:paraId="764EA7E1" w14:textId="77777777" w:rsidR="00E90DF9" w:rsidRPr="008C3B92" w:rsidRDefault="00E90DF9" w:rsidP="00E90DF9">
      <w:pPr>
        <w:spacing w:after="0" w:line="240" w:lineRule="auto"/>
        <w:rPr>
          <w:rFonts w:ascii="Arial" w:hAnsi="Arial" w:cs="Arial"/>
          <w:b/>
          <w:bCs/>
          <w:sz w:val="24"/>
          <w:szCs w:val="24"/>
          <w:u w:val="single"/>
        </w:rPr>
        <w:sectPr w:rsidR="00E90DF9" w:rsidRPr="008C3B92" w:rsidSect="003E6531">
          <w:headerReference w:type="default"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428B67D0" w14:textId="704491D4" w:rsidR="00E90DF9" w:rsidRPr="00BB387E" w:rsidRDefault="00F54AE4" w:rsidP="00E90DF9">
      <w:pPr>
        <w:pStyle w:val="Heading1"/>
        <w:jc w:val="center"/>
      </w:pPr>
      <w:bookmarkStart w:id="0" w:name="_Toc161990732"/>
      <w:r>
        <w:lastRenderedPageBreak/>
        <w:t>Crimes (Disclosure) Legislation Amendment Bill 2024</w:t>
      </w:r>
      <w:bookmarkEnd w:id="0"/>
    </w:p>
    <w:p w14:paraId="791A60D0" w14:textId="77777777" w:rsidR="00E90DF9" w:rsidRDefault="00E90DF9" w:rsidP="00E90DF9">
      <w:pPr>
        <w:spacing w:after="0"/>
        <w:contextualSpacing/>
        <w:rPr>
          <w:rFonts w:ascii="Arial" w:hAnsi="Arial" w:cs="Arial"/>
          <w:bCs/>
          <w:sz w:val="24"/>
          <w:szCs w:val="24"/>
        </w:rPr>
      </w:pPr>
    </w:p>
    <w:sdt>
      <w:sdtPr>
        <w:rPr>
          <w:rFonts w:ascii="Calibri" w:eastAsia="Times New Roman" w:hAnsi="Calibri" w:cs="Times New Roman"/>
          <w:color w:val="auto"/>
          <w:sz w:val="22"/>
          <w:szCs w:val="22"/>
          <w:lang w:val="en-AU"/>
        </w:rPr>
        <w:id w:val="-405761083"/>
        <w:docPartObj>
          <w:docPartGallery w:val="Table of Contents"/>
          <w:docPartUnique/>
        </w:docPartObj>
      </w:sdtPr>
      <w:sdtEndPr>
        <w:rPr>
          <w:b/>
          <w:bCs/>
          <w:noProof/>
        </w:rPr>
      </w:sdtEndPr>
      <w:sdtContent>
        <w:p w14:paraId="147E2BA6" w14:textId="01494BAD" w:rsidR="009D5380" w:rsidRDefault="009D5380">
          <w:pPr>
            <w:pStyle w:val="TOCHeading"/>
          </w:pPr>
          <w:r>
            <w:t>Contents</w:t>
          </w:r>
        </w:p>
        <w:p w14:paraId="528A00AB" w14:textId="6E1603EA" w:rsidR="00186240" w:rsidRDefault="009D5380">
          <w:pPr>
            <w:pStyle w:val="TOC1"/>
            <w:tabs>
              <w:tab w:val="right" w:leader="dot" w:pos="9016"/>
            </w:tabs>
            <w:rPr>
              <w:rFonts w:asciiTheme="minorHAnsi" w:eastAsiaTheme="minorEastAsia" w:hAnsiTheme="minorHAnsi" w:cstheme="minorBidi"/>
              <w:noProof/>
              <w:kern w:val="2"/>
              <w:lang w:eastAsia="en-AU"/>
              <w14:ligatures w14:val="standardContextual"/>
            </w:rPr>
          </w:pPr>
          <w:r>
            <w:fldChar w:fldCharType="begin"/>
          </w:r>
          <w:r>
            <w:instrText xml:space="preserve"> TOC \o "1-3" \h \z \u </w:instrText>
          </w:r>
          <w:r>
            <w:fldChar w:fldCharType="separate"/>
          </w:r>
          <w:hyperlink w:anchor="_Toc161990732" w:history="1">
            <w:r w:rsidR="00186240" w:rsidRPr="00C60C87">
              <w:rPr>
                <w:rStyle w:val="Hyperlink"/>
                <w:noProof/>
              </w:rPr>
              <w:t>Crimes (Disclosure) Legislation Amendment Bill 2024</w:t>
            </w:r>
            <w:r w:rsidR="00186240">
              <w:rPr>
                <w:noProof/>
                <w:webHidden/>
              </w:rPr>
              <w:tab/>
            </w:r>
            <w:r w:rsidR="00186240">
              <w:rPr>
                <w:noProof/>
                <w:webHidden/>
              </w:rPr>
              <w:fldChar w:fldCharType="begin"/>
            </w:r>
            <w:r w:rsidR="00186240">
              <w:rPr>
                <w:noProof/>
                <w:webHidden/>
              </w:rPr>
              <w:instrText xml:space="preserve"> PAGEREF _Toc161990732 \h </w:instrText>
            </w:r>
            <w:r w:rsidR="00186240">
              <w:rPr>
                <w:noProof/>
                <w:webHidden/>
              </w:rPr>
            </w:r>
            <w:r w:rsidR="00186240">
              <w:rPr>
                <w:noProof/>
                <w:webHidden/>
              </w:rPr>
              <w:fldChar w:fldCharType="separate"/>
            </w:r>
            <w:r w:rsidR="00186240">
              <w:rPr>
                <w:noProof/>
                <w:webHidden/>
              </w:rPr>
              <w:t>1</w:t>
            </w:r>
            <w:r w:rsidR="00186240">
              <w:rPr>
                <w:noProof/>
                <w:webHidden/>
              </w:rPr>
              <w:fldChar w:fldCharType="end"/>
            </w:r>
          </w:hyperlink>
        </w:p>
        <w:p w14:paraId="13488C9F" w14:textId="73F45624" w:rsidR="00186240" w:rsidRDefault="00FB041E">
          <w:pPr>
            <w:pStyle w:val="TOC2"/>
            <w:tabs>
              <w:tab w:val="right" w:leader="dot" w:pos="9016"/>
            </w:tabs>
            <w:rPr>
              <w:rFonts w:asciiTheme="minorHAnsi" w:eastAsiaTheme="minorEastAsia" w:hAnsiTheme="minorHAnsi" w:cstheme="minorBidi"/>
              <w:noProof/>
              <w:kern w:val="2"/>
              <w:lang w:eastAsia="en-AU"/>
              <w14:ligatures w14:val="standardContextual"/>
            </w:rPr>
          </w:pPr>
          <w:hyperlink w:anchor="_Toc161990733" w:history="1">
            <w:r w:rsidR="00186240" w:rsidRPr="00C60C87">
              <w:rPr>
                <w:rStyle w:val="Hyperlink"/>
                <w:noProof/>
              </w:rPr>
              <w:t>OVERVIEW OF THE BILL</w:t>
            </w:r>
            <w:r w:rsidR="00186240">
              <w:rPr>
                <w:noProof/>
                <w:webHidden/>
              </w:rPr>
              <w:tab/>
            </w:r>
            <w:r w:rsidR="00186240">
              <w:rPr>
                <w:noProof/>
                <w:webHidden/>
              </w:rPr>
              <w:fldChar w:fldCharType="begin"/>
            </w:r>
            <w:r w:rsidR="00186240">
              <w:rPr>
                <w:noProof/>
                <w:webHidden/>
              </w:rPr>
              <w:instrText xml:space="preserve"> PAGEREF _Toc161990733 \h </w:instrText>
            </w:r>
            <w:r w:rsidR="00186240">
              <w:rPr>
                <w:noProof/>
                <w:webHidden/>
              </w:rPr>
            </w:r>
            <w:r w:rsidR="00186240">
              <w:rPr>
                <w:noProof/>
                <w:webHidden/>
              </w:rPr>
              <w:fldChar w:fldCharType="separate"/>
            </w:r>
            <w:r w:rsidR="00186240">
              <w:rPr>
                <w:noProof/>
                <w:webHidden/>
              </w:rPr>
              <w:t>2</w:t>
            </w:r>
            <w:r w:rsidR="00186240">
              <w:rPr>
                <w:noProof/>
                <w:webHidden/>
              </w:rPr>
              <w:fldChar w:fldCharType="end"/>
            </w:r>
          </w:hyperlink>
        </w:p>
        <w:p w14:paraId="614763D6" w14:textId="0FFE4854" w:rsidR="00186240" w:rsidRDefault="00FB041E">
          <w:pPr>
            <w:pStyle w:val="TOC2"/>
            <w:tabs>
              <w:tab w:val="right" w:leader="dot" w:pos="9016"/>
            </w:tabs>
            <w:rPr>
              <w:rFonts w:asciiTheme="minorHAnsi" w:eastAsiaTheme="minorEastAsia" w:hAnsiTheme="minorHAnsi" w:cstheme="minorBidi"/>
              <w:noProof/>
              <w:kern w:val="2"/>
              <w:lang w:eastAsia="en-AU"/>
              <w14:ligatures w14:val="standardContextual"/>
            </w:rPr>
          </w:pPr>
          <w:hyperlink w:anchor="_Toc161990734" w:history="1">
            <w:r w:rsidR="00186240" w:rsidRPr="00C60C87">
              <w:rPr>
                <w:rStyle w:val="Hyperlink"/>
                <w:noProof/>
              </w:rPr>
              <w:t>CLIMATE IMPACT</w:t>
            </w:r>
            <w:r w:rsidR="00186240">
              <w:rPr>
                <w:noProof/>
                <w:webHidden/>
              </w:rPr>
              <w:tab/>
            </w:r>
            <w:r w:rsidR="00186240">
              <w:rPr>
                <w:noProof/>
                <w:webHidden/>
              </w:rPr>
              <w:fldChar w:fldCharType="begin"/>
            </w:r>
            <w:r w:rsidR="00186240">
              <w:rPr>
                <w:noProof/>
                <w:webHidden/>
              </w:rPr>
              <w:instrText xml:space="preserve"> PAGEREF _Toc161990734 \h </w:instrText>
            </w:r>
            <w:r w:rsidR="00186240">
              <w:rPr>
                <w:noProof/>
                <w:webHidden/>
              </w:rPr>
            </w:r>
            <w:r w:rsidR="00186240">
              <w:rPr>
                <w:noProof/>
                <w:webHidden/>
              </w:rPr>
              <w:fldChar w:fldCharType="separate"/>
            </w:r>
            <w:r w:rsidR="00186240">
              <w:rPr>
                <w:noProof/>
                <w:webHidden/>
              </w:rPr>
              <w:t>4</w:t>
            </w:r>
            <w:r w:rsidR="00186240">
              <w:rPr>
                <w:noProof/>
                <w:webHidden/>
              </w:rPr>
              <w:fldChar w:fldCharType="end"/>
            </w:r>
          </w:hyperlink>
        </w:p>
        <w:p w14:paraId="0ACDEBCD" w14:textId="3B4EE5F1" w:rsidR="00186240" w:rsidRDefault="00FB041E">
          <w:pPr>
            <w:pStyle w:val="TOC2"/>
            <w:tabs>
              <w:tab w:val="right" w:leader="dot" w:pos="9016"/>
            </w:tabs>
            <w:rPr>
              <w:rFonts w:asciiTheme="minorHAnsi" w:eastAsiaTheme="minorEastAsia" w:hAnsiTheme="minorHAnsi" w:cstheme="minorBidi"/>
              <w:noProof/>
              <w:kern w:val="2"/>
              <w:lang w:eastAsia="en-AU"/>
              <w14:ligatures w14:val="standardContextual"/>
            </w:rPr>
          </w:pPr>
          <w:hyperlink w:anchor="_Toc161990735" w:history="1">
            <w:r w:rsidR="00186240" w:rsidRPr="00C60C87">
              <w:rPr>
                <w:rStyle w:val="Hyperlink"/>
                <w:noProof/>
              </w:rPr>
              <w:t>CONSISTENCY WITH HUMAN RIGHTS</w:t>
            </w:r>
            <w:r w:rsidR="00186240">
              <w:rPr>
                <w:noProof/>
                <w:webHidden/>
              </w:rPr>
              <w:tab/>
            </w:r>
            <w:r w:rsidR="00186240">
              <w:rPr>
                <w:noProof/>
                <w:webHidden/>
              </w:rPr>
              <w:fldChar w:fldCharType="begin"/>
            </w:r>
            <w:r w:rsidR="00186240">
              <w:rPr>
                <w:noProof/>
                <w:webHidden/>
              </w:rPr>
              <w:instrText xml:space="preserve"> PAGEREF _Toc161990735 \h </w:instrText>
            </w:r>
            <w:r w:rsidR="00186240">
              <w:rPr>
                <w:noProof/>
                <w:webHidden/>
              </w:rPr>
            </w:r>
            <w:r w:rsidR="00186240">
              <w:rPr>
                <w:noProof/>
                <w:webHidden/>
              </w:rPr>
              <w:fldChar w:fldCharType="separate"/>
            </w:r>
            <w:r w:rsidR="00186240">
              <w:rPr>
                <w:noProof/>
                <w:webHidden/>
              </w:rPr>
              <w:t>4</w:t>
            </w:r>
            <w:r w:rsidR="00186240">
              <w:rPr>
                <w:noProof/>
                <w:webHidden/>
              </w:rPr>
              <w:fldChar w:fldCharType="end"/>
            </w:r>
          </w:hyperlink>
        </w:p>
        <w:p w14:paraId="18DBCFE5" w14:textId="09865F8C" w:rsidR="00186240" w:rsidRDefault="00FB041E">
          <w:pPr>
            <w:pStyle w:val="TOC2"/>
            <w:tabs>
              <w:tab w:val="right" w:leader="dot" w:pos="9016"/>
            </w:tabs>
            <w:rPr>
              <w:rFonts w:asciiTheme="minorHAnsi" w:eastAsiaTheme="minorEastAsia" w:hAnsiTheme="minorHAnsi" w:cstheme="minorBidi"/>
              <w:noProof/>
              <w:kern w:val="2"/>
              <w:lang w:eastAsia="en-AU"/>
              <w14:ligatures w14:val="standardContextual"/>
            </w:rPr>
          </w:pPr>
          <w:hyperlink w:anchor="_Toc161990736" w:history="1">
            <w:r w:rsidR="00186240" w:rsidRPr="00C60C87">
              <w:rPr>
                <w:rStyle w:val="Hyperlink"/>
                <w:rFonts w:cs="Arial"/>
                <w:noProof/>
                <w:lang w:eastAsia="en-AU"/>
              </w:rPr>
              <w:t>CRIMES (DISCLOSURE) LEGISLATION AMENDMENT BILL 2024</w:t>
            </w:r>
            <w:r w:rsidR="00186240">
              <w:rPr>
                <w:noProof/>
                <w:webHidden/>
              </w:rPr>
              <w:tab/>
            </w:r>
            <w:r w:rsidR="00186240">
              <w:rPr>
                <w:noProof/>
                <w:webHidden/>
              </w:rPr>
              <w:fldChar w:fldCharType="begin"/>
            </w:r>
            <w:r w:rsidR="00186240">
              <w:rPr>
                <w:noProof/>
                <w:webHidden/>
              </w:rPr>
              <w:instrText xml:space="preserve"> PAGEREF _Toc161990736 \h </w:instrText>
            </w:r>
            <w:r w:rsidR="00186240">
              <w:rPr>
                <w:noProof/>
                <w:webHidden/>
              </w:rPr>
            </w:r>
            <w:r w:rsidR="00186240">
              <w:rPr>
                <w:noProof/>
                <w:webHidden/>
              </w:rPr>
              <w:fldChar w:fldCharType="separate"/>
            </w:r>
            <w:r w:rsidR="00186240">
              <w:rPr>
                <w:noProof/>
                <w:webHidden/>
              </w:rPr>
              <w:t>14</w:t>
            </w:r>
            <w:r w:rsidR="00186240">
              <w:rPr>
                <w:noProof/>
                <w:webHidden/>
              </w:rPr>
              <w:fldChar w:fldCharType="end"/>
            </w:r>
          </w:hyperlink>
        </w:p>
        <w:p w14:paraId="43C3556A" w14:textId="16334509" w:rsidR="00186240" w:rsidRDefault="00FB041E">
          <w:pPr>
            <w:pStyle w:val="TOC2"/>
            <w:tabs>
              <w:tab w:val="right" w:leader="dot" w:pos="9016"/>
            </w:tabs>
            <w:rPr>
              <w:rFonts w:asciiTheme="minorHAnsi" w:eastAsiaTheme="minorEastAsia" w:hAnsiTheme="minorHAnsi" w:cstheme="minorBidi"/>
              <w:noProof/>
              <w:kern w:val="2"/>
              <w:lang w:eastAsia="en-AU"/>
              <w14:ligatures w14:val="standardContextual"/>
            </w:rPr>
          </w:pPr>
          <w:hyperlink w:anchor="_Toc161990737" w:history="1">
            <w:r w:rsidR="00186240" w:rsidRPr="00C60C87">
              <w:rPr>
                <w:rStyle w:val="Hyperlink"/>
                <w:noProof/>
              </w:rPr>
              <w:t>Detail</w:t>
            </w:r>
            <w:r w:rsidR="00186240">
              <w:rPr>
                <w:noProof/>
                <w:webHidden/>
              </w:rPr>
              <w:tab/>
            </w:r>
            <w:r w:rsidR="00186240">
              <w:rPr>
                <w:noProof/>
                <w:webHidden/>
              </w:rPr>
              <w:fldChar w:fldCharType="begin"/>
            </w:r>
            <w:r w:rsidR="00186240">
              <w:rPr>
                <w:noProof/>
                <w:webHidden/>
              </w:rPr>
              <w:instrText xml:space="preserve"> PAGEREF _Toc161990737 \h </w:instrText>
            </w:r>
            <w:r w:rsidR="00186240">
              <w:rPr>
                <w:noProof/>
                <w:webHidden/>
              </w:rPr>
            </w:r>
            <w:r w:rsidR="00186240">
              <w:rPr>
                <w:noProof/>
                <w:webHidden/>
              </w:rPr>
              <w:fldChar w:fldCharType="separate"/>
            </w:r>
            <w:r w:rsidR="00186240">
              <w:rPr>
                <w:noProof/>
                <w:webHidden/>
              </w:rPr>
              <w:t>15</w:t>
            </w:r>
            <w:r w:rsidR="00186240">
              <w:rPr>
                <w:noProof/>
                <w:webHidden/>
              </w:rPr>
              <w:fldChar w:fldCharType="end"/>
            </w:r>
          </w:hyperlink>
        </w:p>
        <w:p w14:paraId="37B09974" w14:textId="36193D20" w:rsidR="00186240" w:rsidRDefault="00FB041E">
          <w:pPr>
            <w:pStyle w:val="TOC3"/>
            <w:tabs>
              <w:tab w:val="right" w:leader="dot" w:pos="9016"/>
            </w:tabs>
            <w:rPr>
              <w:rFonts w:asciiTheme="minorHAnsi" w:eastAsiaTheme="minorEastAsia" w:hAnsiTheme="minorHAnsi" w:cstheme="minorBidi"/>
              <w:noProof/>
              <w:kern w:val="2"/>
              <w:lang w:eastAsia="en-AU"/>
              <w14:ligatures w14:val="standardContextual"/>
            </w:rPr>
          </w:pPr>
          <w:hyperlink w:anchor="_Toc161990738" w:history="1">
            <w:r w:rsidR="00186240" w:rsidRPr="00C60C87">
              <w:rPr>
                <w:rStyle w:val="Hyperlink"/>
                <w:noProof/>
              </w:rPr>
              <w:t>Part 1 – Preliminary</w:t>
            </w:r>
            <w:r w:rsidR="00186240">
              <w:rPr>
                <w:noProof/>
                <w:webHidden/>
              </w:rPr>
              <w:tab/>
            </w:r>
            <w:r w:rsidR="00186240">
              <w:rPr>
                <w:noProof/>
                <w:webHidden/>
              </w:rPr>
              <w:fldChar w:fldCharType="begin"/>
            </w:r>
            <w:r w:rsidR="00186240">
              <w:rPr>
                <w:noProof/>
                <w:webHidden/>
              </w:rPr>
              <w:instrText xml:space="preserve"> PAGEREF _Toc161990738 \h </w:instrText>
            </w:r>
            <w:r w:rsidR="00186240">
              <w:rPr>
                <w:noProof/>
                <w:webHidden/>
              </w:rPr>
            </w:r>
            <w:r w:rsidR="00186240">
              <w:rPr>
                <w:noProof/>
                <w:webHidden/>
              </w:rPr>
              <w:fldChar w:fldCharType="separate"/>
            </w:r>
            <w:r w:rsidR="00186240">
              <w:rPr>
                <w:noProof/>
                <w:webHidden/>
              </w:rPr>
              <w:t>15</w:t>
            </w:r>
            <w:r w:rsidR="00186240">
              <w:rPr>
                <w:noProof/>
                <w:webHidden/>
              </w:rPr>
              <w:fldChar w:fldCharType="end"/>
            </w:r>
          </w:hyperlink>
        </w:p>
        <w:p w14:paraId="0CFBB7BB" w14:textId="7C42E07B" w:rsidR="00186240" w:rsidRDefault="00FB041E">
          <w:pPr>
            <w:pStyle w:val="TOC3"/>
            <w:tabs>
              <w:tab w:val="right" w:leader="dot" w:pos="9016"/>
            </w:tabs>
            <w:rPr>
              <w:rFonts w:asciiTheme="minorHAnsi" w:eastAsiaTheme="minorEastAsia" w:hAnsiTheme="minorHAnsi" w:cstheme="minorBidi"/>
              <w:noProof/>
              <w:kern w:val="2"/>
              <w:lang w:eastAsia="en-AU"/>
              <w14:ligatures w14:val="standardContextual"/>
            </w:rPr>
          </w:pPr>
          <w:hyperlink w:anchor="_Toc161990739" w:history="1">
            <w:r w:rsidR="00186240" w:rsidRPr="00C60C87">
              <w:rPr>
                <w:rStyle w:val="Hyperlink"/>
                <w:noProof/>
              </w:rPr>
              <w:t>Clause 1 – Name of Act</w:t>
            </w:r>
            <w:r w:rsidR="00186240">
              <w:rPr>
                <w:noProof/>
                <w:webHidden/>
              </w:rPr>
              <w:tab/>
            </w:r>
            <w:r w:rsidR="00186240">
              <w:rPr>
                <w:noProof/>
                <w:webHidden/>
              </w:rPr>
              <w:fldChar w:fldCharType="begin"/>
            </w:r>
            <w:r w:rsidR="00186240">
              <w:rPr>
                <w:noProof/>
                <w:webHidden/>
              </w:rPr>
              <w:instrText xml:space="preserve"> PAGEREF _Toc161990739 \h </w:instrText>
            </w:r>
            <w:r w:rsidR="00186240">
              <w:rPr>
                <w:noProof/>
                <w:webHidden/>
              </w:rPr>
            </w:r>
            <w:r w:rsidR="00186240">
              <w:rPr>
                <w:noProof/>
                <w:webHidden/>
              </w:rPr>
              <w:fldChar w:fldCharType="separate"/>
            </w:r>
            <w:r w:rsidR="00186240">
              <w:rPr>
                <w:noProof/>
                <w:webHidden/>
              </w:rPr>
              <w:t>15</w:t>
            </w:r>
            <w:r w:rsidR="00186240">
              <w:rPr>
                <w:noProof/>
                <w:webHidden/>
              </w:rPr>
              <w:fldChar w:fldCharType="end"/>
            </w:r>
          </w:hyperlink>
        </w:p>
        <w:p w14:paraId="2FC44A71" w14:textId="02878F24" w:rsidR="00186240" w:rsidRDefault="00FB041E">
          <w:pPr>
            <w:pStyle w:val="TOC3"/>
            <w:tabs>
              <w:tab w:val="right" w:leader="dot" w:pos="9016"/>
            </w:tabs>
            <w:rPr>
              <w:rFonts w:asciiTheme="minorHAnsi" w:eastAsiaTheme="minorEastAsia" w:hAnsiTheme="minorHAnsi" w:cstheme="minorBidi"/>
              <w:noProof/>
              <w:kern w:val="2"/>
              <w:lang w:eastAsia="en-AU"/>
              <w14:ligatures w14:val="standardContextual"/>
            </w:rPr>
          </w:pPr>
          <w:hyperlink w:anchor="_Toc161990740" w:history="1">
            <w:r w:rsidR="00186240" w:rsidRPr="00C60C87">
              <w:rPr>
                <w:rStyle w:val="Hyperlink"/>
                <w:noProof/>
              </w:rPr>
              <w:t>Clause 2 – Commencement</w:t>
            </w:r>
            <w:r w:rsidR="00186240">
              <w:rPr>
                <w:noProof/>
                <w:webHidden/>
              </w:rPr>
              <w:tab/>
            </w:r>
            <w:r w:rsidR="00186240">
              <w:rPr>
                <w:noProof/>
                <w:webHidden/>
              </w:rPr>
              <w:fldChar w:fldCharType="begin"/>
            </w:r>
            <w:r w:rsidR="00186240">
              <w:rPr>
                <w:noProof/>
                <w:webHidden/>
              </w:rPr>
              <w:instrText xml:space="preserve"> PAGEREF _Toc161990740 \h </w:instrText>
            </w:r>
            <w:r w:rsidR="00186240">
              <w:rPr>
                <w:noProof/>
                <w:webHidden/>
              </w:rPr>
            </w:r>
            <w:r w:rsidR="00186240">
              <w:rPr>
                <w:noProof/>
                <w:webHidden/>
              </w:rPr>
              <w:fldChar w:fldCharType="separate"/>
            </w:r>
            <w:r w:rsidR="00186240">
              <w:rPr>
                <w:noProof/>
                <w:webHidden/>
              </w:rPr>
              <w:t>15</w:t>
            </w:r>
            <w:r w:rsidR="00186240">
              <w:rPr>
                <w:noProof/>
                <w:webHidden/>
              </w:rPr>
              <w:fldChar w:fldCharType="end"/>
            </w:r>
          </w:hyperlink>
        </w:p>
        <w:p w14:paraId="18688BCC" w14:textId="1DEA72D5" w:rsidR="00186240" w:rsidRDefault="00FB041E">
          <w:pPr>
            <w:pStyle w:val="TOC3"/>
            <w:tabs>
              <w:tab w:val="right" w:leader="dot" w:pos="9016"/>
            </w:tabs>
            <w:rPr>
              <w:rFonts w:asciiTheme="minorHAnsi" w:eastAsiaTheme="minorEastAsia" w:hAnsiTheme="minorHAnsi" w:cstheme="minorBidi"/>
              <w:noProof/>
              <w:kern w:val="2"/>
              <w:lang w:eastAsia="en-AU"/>
              <w14:ligatures w14:val="standardContextual"/>
            </w:rPr>
          </w:pPr>
          <w:hyperlink w:anchor="_Toc161990741" w:history="1">
            <w:r w:rsidR="00186240" w:rsidRPr="00C60C87">
              <w:rPr>
                <w:rStyle w:val="Hyperlink"/>
                <w:noProof/>
              </w:rPr>
              <w:t>Clause 3 – Legislation Amended</w:t>
            </w:r>
            <w:r w:rsidR="00186240">
              <w:rPr>
                <w:noProof/>
                <w:webHidden/>
              </w:rPr>
              <w:tab/>
            </w:r>
            <w:r w:rsidR="00186240">
              <w:rPr>
                <w:noProof/>
                <w:webHidden/>
              </w:rPr>
              <w:fldChar w:fldCharType="begin"/>
            </w:r>
            <w:r w:rsidR="00186240">
              <w:rPr>
                <w:noProof/>
                <w:webHidden/>
              </w:rPr>
              <w:instrText xml:space="preserve"> PAGEREF _Toc161990741 \h </w:instrText>
            </w:r>
            <w:r w:rsidR="00186240">
              <w:rPr>
                <w:noProof/>
                <w:webHidden/>
              </w:rPr>
            </w:r>
            <w:r w:rsidR="00186240">
              <w:rPr>
                <w:noProof/>
                <w:webHidden/>
              </w:rPr>
              <w:fldChar w:fldCharType="separate"/>
            </w:r>
            <w:r w:rsidR="00186240">
              <w:rPr>
                <w:noProof/>
                <w:webHidden/>
              </w:rPr>
              <w:t>15</w:t>
            </w:r>
            <w:r w:rsidR="00186240">
              <w:rPr>
                <w:noProof/>
                <w:webHidden/>
              </w:rPr>
              <w:fldChar w:fldCharType="end"/>
            </w:r>
          </w:hyperlink>
        </w:p>
        <w:p w14:paraId="7DC7D42B" w14:textId="27EEDE5C" w:rsidR="00186240" w:rsidRDefault="00FB041E">
          <w:pPr>
            <w:pStyle w:val="TOC3"/>
            <w:tabs>
              <w:tab w:val="right" w:leader="dot" w:pos="9016"/>
            </w:tabs>
            <w:rPr>
              <w:rFonts w:asciiTheme="minorHAnsi" w:eastAsiaTheme="minorEastAsia" w:hAnsiTheme="minorHAnsi" w:cstheme="minorBidi"/>
              <w:noProof/>
              <w:kern w:val="2"/>
              <w:lang w:eastAsia="en-AU"/>
              <w14:ligatures w14:val="standardContextual"/>
            </w:rPr>
          </w:pPr>
          <w:hyperlink w:anchor="_Toc161990742" w:history="1">
            <w:r w:rsidR="00186240" w:rsidRPr="00C60C87">
              <w:rPr>
                <w:rStyle w:val="Hyperlink"/>
                <w:noProof/>
              </w:rPr>
              <w:t>Part 2 – Court Procedures Act 2004</w:t>
            </w:r>
            <w:r w:rsidR="00186240">
              <w:rPr>
                <w:noProof/>
                <w:webHidden/>
              </w:rPr>
              <w:tab/>
            </w:r>
            <w:r w:rsidR="00186240">
              <w:rPr>
                <w:noProof/>
                <w:webHidden/>
              </w:rPr>
              <w:fldChar w:fldCharType="begin"/>
            </w:r>
            <w:r w:rsidR="00186240">
              <w:rPr>
                <w:noProof/>
                <w:webHidden/>
              </w:rPr>
              <w:instrText xml:space="preserve"> PAGEREF _Toc161990742 \h </w:instrText>
            </w:r>
            <w:r w:rsidR="00186240">
              <w:rPr>
                <w:noProof/>
                <w:webHidden/>
              </w:rPr>
            </w:r>
            <w:r w:rsidR="00186240">
              <w:rPr>
                <w:noProof/>
                <w:webHidden/>
              </w:rPr>
              <w:fldChar w:fldCharType="separate"/>
            </w:r>
            <w:r w:rsidR="00186240">
              <w:rPr>
                <w:noProof/>
                <w:webHidden/>
              </w:rPr>
              <w:t>15</w:t>
            </w:r>
            <w:r w:rsidR="00186240">
              <w:rPr>
                <w:noProof/>
                <w:webHidden/>
              </w:rPr>
              <w:fldChar w:fldCharType="end"/>
            </w:r>
          </w:hyperlink>
        </w:p>
        <w:p w14:paraId="76236543" w14:textId="24AC0D13" w:rsidR="00186240" w:rsidRDefault="00FB041E">
          <w:pPr>
            <w:pStyle w:val="TOC3"/>
            <w:tabs>
              <w:tab w:val="right" w:leader="dot" w:pos="9016"/>
            </w:tabs>
            <w:rPr>
              <w:rFonts w:asciiTheme="minorHAnsi" w:eastAsiaTheme="minorEastAsia" w:hAnsiTheme="minorHAnsi" w:cstheme="minorBidi"/>
              <w:noProof/>
              <w:kern w:val="2"/>
              <w:lang w:eastAsia="en-AU"/>
              <w14:ligatures w14:val="standardContextual"/>
            </w:rPr>
          </w:pPr>
          <w:hyperlink w:anchor="_Toc161990743" w:history="1">
            <w:r w:rsidR="00186240" w:rsidRPr="00C60C87">
              <w:rPr>
                <w:rStyle w:val="Hyperlink"/>
                <w:noProof/>
              </w:rPr>
              <w:t>Clause 4 – New division 8.2A Pre-trial disclosure-general</w:t>
            </w:r>
            <w:r w:rsidR="00186240">
              <w:rPr>
                <w:noProof/>
                <w:webHidden/>
              </w:rPr>
              <w:tab/>
            </w:r>
            <w:r w:rsidR="00186240">
              <w:rPr>
                <w:noProof/>
                <w:webHidden/>
              </w:rPr>
              <w:fldChar w:fldCharType="begin"/>
            </w:r>
            <w:r w:rsidR="00186240">
              <w:rPr>
                <w:noProof/>
                <w:webHidden/>
              </w:rPr>
              <w:instrText xml:space="preserve"> PAGEREF _Toc161990743 \h </w:instrText>
            </w:r>
            <w:r w:rsidR="00186240">
              <w:rPr>
                <w:noProof/>
                <w:webHidden/>
              </w:rPr>
            </w:r>
            <w:r w:rsidR="00186240">
              <w:rPr>
                <w:noProof/>
                <w:webHidden/>
              </w:rPr>
              <w:fldChar w:fldCharType="separate"/>
            </w:r>
            <w:r w:rsidR="00186240">
              <w:rPr>
                <w:noProof/>
                <w:webHidden/>
              </w:rPr>
              <w:t>15</w:t>
            </w:r>
            <w:r w:rsidR="00186240">
              <w:rPr>
                <w:noProof/>
                <w:webHidden/>
              </w:rPr>
              <w:fldChar w:fldCharType="end"/>
            </w:r>
          </w:hyperlink>
        </w:p>
        <w:p w14:paraId="46F0AE0E" w14:textId="61950032" w:rsidR="00186240" w:rsidRDefault="00FB041E">
          <w:pPr>
            <w:pStyle w:val="TOC3"/>
            <w:tabs>
              <w:tab w:val="right" w:leader="dot" w:pos="9016"/>
            </w:tabs>
            <w:rPr>
              <w:rFonts w:asciiTheme="minorHAnsi" w:eastAsiaTheme="minorEastAsia" w:hAnsiTheme="minorHAnsi" w:cstheme="minorBidi"/>
              <w:noProof/>
              <w:kern w:val="2"/>
              <w:lang w:eastAsia="en-AU"/>
              <w14:ligatures w14:val="standardContextual"/>
            </w:rPr>
          </w:pPr>
          <w:hyperlink w:anchor="_Toc161990744" w:history="1">
            <w:r w:rsidR="00186240" w:rsidRPr="00C60C87">
              <w:rPr>
                <w:rStyle w:val="Hyperlink"/>
                <w:noProof/>
              </w:rPr>
              <w:t>Part 3 – Evidence (Miscellaneous Provisions) Act 1991</w:t>
            </w:r>
            <w:r w:rsidR="00186240">
              <w:rPr>
                <w:noProof/>
                <w:webHidden/>
              </w:rPr>
              <w:tab/>
            </w:r>
            <w:r w:rsidR="00186240">
              <w:rPr>
                <w:noProof/>
                <w:webHidden/>
              </w:rPr>
              <w:fldChar w:fldCharType="begin"/>
            </w:r>
            <w:r w:rsidR="00186240">
              <w:rPr>
                <w:noProof/>
                <w:webHidden/>
              </w:rPr>
              <w:instrText xml:space="preserve"> PAGEREF _Toc161990744 \h </w:instrText>
            </w:r>
            <w:r w:rsidR="00186240">
              <w:rPr>
                <w:noProof/>
                <w:webHidden/>
              </w:rPr>
            </w:r>
            <w:r w:rsidR="00186240">
              <w:rPr>
                <w:noProof/>
                <w:webHidden/>
              </w:rPr>
              <w:fldChar w:fldCharType="separate"/>
            </w:r>
            <w:r w:rsidR="00186240">
              <w:rPr>
                <w:noProof/>
                <w:webHidden/>
              </w:rPr>
              <w:t>18</w:t>
            </w:r>
            <w:r w:rsidR="00186240">
              <w:rPr>
                <w:noProof/>
                <w:webHidden/>
              </w:rPr>
              <w:fldChar w:fldCharType="end"/>
            </w:r>
          </w:hyperlink>
        </w:p>
        <w:p w14:paraId="1A522C86" w14:textId="078FAE47" w:rsidR="00186240" w:rsidRDefault="00FB041E">
          <w:pPr>
            <w:pStyle w:val="TOC3"/>
            <w:tabs>
              <w:tab w:val="right" w:leader="dot" w:pos="9016"/>
            </w:tabs>
            <w:rPr>
              <w:rFonts w:asciiTheme="minorHAnsi" w:eastAsiaTheme="minorEastAsia" w:hAnsiTheme="minorHAnsi" w:cstheme="minorBidi"/>
              <w:noProof/>
              <w:kern w:val="2"/>
              <w:lang w:eastAsia="en-AU"/>
              <w14:ligatures w14:val="standardContextual"/>
            </w:rPr>
          </w:pPr>
          <w:hyperlink w:anchor="_Toc161990745" w:history="1">
            <w:r w:rsidR="00186240" w:rsidRPr="00C60C87">
              <w:rPr>
                <w:rStyle w:val="Hyperlink"/>
                <w:noProof/>
              </w:rPr>
              <w:t>Clause 5 – Definitions – div 4.4.3</w:t>
            </w:r>
            <w:r w:rsidR="00186240">
              <w:rPr>
                <w:noProof/>
                <w:webHidden/>
              </w:rPr>
              <w:tab/>
            </w:r>
            <w:r w:rsidR="00186240">
              <w:rPr>
                <w:noProof/>
                <w:webHidden/>
              </w:rPr>
              <w:fldChar w:fldCharType="begin"/>
            </w:r>
            <w:r w:rsidR="00186240">
              <w:rPr>
                <w:noProof/>
                <w:webHidden/>
              </w:rPr>
              <w:instrText xml:space="preserve"> PAGEREF _Toc161990745 \h </w:instrText>
            </w:r>
            <w:r w:rsidR="00186240">
              <w:rPr>
                <w:noProof/>
                <w:webHidden/>
              </w:rPr>
            </w:r>
            <w:r w:rsidR="00186240">
              <w:rPr>
                <w:noProof/>
                <w:webHidden/>
              </w:rPr>
              <w:fldChar w:fldCharType="separate"/>
            </w:r>
            <w:r w:rsidR="00186240">
              <w:rPr>
                <w:noProof/>
                <w:webHidden/>
              </w:rPr>
              <w:t>18</w:t>
            </w:r>
            <w:r w:rsidR="00186240">
              <w:rPr>
                <w:noProof/>
                <w:webHidden/>
              </w:rPr>
              <w:fldChar w:fldCharType="end"/>
            </w:r>
          </w:hyperlink>
        </w:p>
        <w:p w14:paraId="5D82D78F" w14:textId="66FFFE0A" w:rsidR="00186240" w:rsidRDefault="00FB041E">
          <w:pPr>
            <w:pStyle w:val="TOC3"/>
            <w:tabs>
              <w:tab w:val="right" w:leader="dot" w:pos="9016"/>
            </w:tabs>
            <w:rPr>
              <w:rFonts w:asciiTheme="minorHAnsi" w:eastAsiaTheme="minorEastAsia" w:hAnsiTheme="minorHAnsi" w:cstheme="minorBidi"/>
              <w:noProof/>
              <w:kern w:val="2"/>
              <w:lang w:eastAsia="en-AU"/>
              <w14:ligatures w14:val="standardContextual"/>
            </w:rPr>
          </w:pPr>
          <w:hyperlink w:anchor="_Toc161990746" w:history="1">
            <w:r w:rsidR="00186240" w:rsidRPr="00C60C87">
              <w:rPr>
                <w:rStyle w:val="Hyperlink"/>
                <w:noProof/>
              </w:rPr>
              <w:t>Clause 6 – Application for leave to disclosure protected confidence</w:t>
            </w:r>
            <w:r w:rsidR="00186240">
              <w:rPr>
                <w:noProof/>
                <w:webHidden/>
              </w:rPr>
              <w:tab/>
            </w:r>
            <w:r w:rsidR="00186240">
              <w:rPr>
                <w:noProof/>
                <w:webHidden/>
              </w:rPr>
              <w:fldChar w:fldCharType="begin"/>
            </w:r>
            <w:r w:rsidR="00186240">
              <w:rPr>
                <w:noProof/>
                <w:webHidden/>
              </w:rPr>
              <w:instrText xml:space="preserve"> PAGEREF _Toc161990746 \h </w:instrText>
            </w:r>
            <w:r w:rsidR="00186240">
              <w:rPr>
                <w:noProof/>
                <w:webHidden/>
              </w:rPr>
            </w:r>
            <w:r w:rsidR="00186240">
              <w:rPr>
                <w:noProof/>
                <w:webHidden/>
              </w:rPr>
              <w:fldChar w:fldCharType="separate"/>
            </w:r>
            <w:r w:rsidR="00186240">
              <w:rPr>
                <w:noProof/>
                <w:webHidden/>
              </w:rPr>
              <w:t>18</w:t>
            </w:r>
            <w:r w:rsidR="00186240">
              <w:rPr>
                <w:noProof/>
                <w:webHidden/>
              </w:rPr>
              <w:fldChar w:fldCharType="end"/>
            </w:r>
          </w:hyperlink>
        </w:p>
        <w:p w14:paraId="7F9482B4" w14:textId="7FAA3BD8" w:rsidR="00186240" w:rsidRDefault="00FB041E">
          <w:pPr>
            <w:pStyle w:val="TOC3"/>
            <w:tabs>
              <w:tab w:val="right" w:leader="dot" w:pos="9016"/>
            </w:tabs>
            <w:rPr>
              <w:rFonts w:asciiTheme="minorHAnsi" w:eastAsiaTheme="minorEastAsia" w:hAnsiTheme="minorHAnsi" w:cstheme="minorBidi"/>
              <w:noProof/>
              <w:kern w:val="2"/>
              <w:lang w:eastAsia="en-AU"/>
              <w14:ligatures w14:val="standardContextual"/>
            </w:rPr>
          </w:pPr>
          <w:hyperlink w:anchor="_Toc161990747" w:history="1">
            <w:r w:rsidR="00186240" w:rsidRPr="00C60C87">
              <w:rPr>
                <w:rStyle w:val="Hyperlink"/>
                <w:noProof/>
              </w:rPr>
              <w:t>Clause 7 – Threshold test – legitimate forensic purpose</w:t>
            </w:r>
            <w:r w:rsidR="00186240">
              <w:rPr>
                <w:noProof/>
                <w:webHidden/>
              </w:rPr>
              <w:tab/>
            </w:r>
            <w:r w:rsidR="00186240">
              <w:rPr>
                <w:noProof/>
                <w:webHidden/>
              </w:rPr>
              <w:fldChar w:fldCharType="begin"/>
            </w:r>
            <w:r w:rsidR="00186240">
              <w:rPr>
                <w:noProof/>
                <w:webHidden/>
              </w:rPr>
              <w:instrText xml:space="preserve"> PAGEREF _Toc161990747 \h </w:instrText>
            </w:r>
            <w:r w:rsidR="00186240">
              <w:rPr>
                <w:noProof/>
                <w:webHidden/>
              </w:rPr>
            </w:r>
            <w:r w:rsidR="00186240">
              <w:rPr>
                <w:noProof/>
                <w:webHidden/>
              </w:rPr>
              <w:fldChar w:fldCharType="separate"/>
            </w:r>
            <w:r w:rsidR="00186240">
              <w:rPr>
                <w:noProof/>
                <w:webHidden/>
              </w:rPr>
              <w:t>18</w:t>
            </w:r>
            <w:r w:rsidR="00186240">
              <w:rPr>
                <w:noProof/>
                <w:webHidden/>
              </w:rPr>
              <w:fldChar w:fldCharType="end"/>
            </w:r>
          </w:hyperlink>
        </w:p>
        <w:p w14:paraId="7F6739F5" w14:textId="6CB32F49" w:rsidR="00186240" w:rsidRDefault="00FB041E">
          <w:pPr>
            <w:pStyle w:val="TOC3"/>
            <w:tabs>
              <w:tab w:val="right" w:leader="dot" w:pos="9016"/>
            </w:tabs>
            <w:rPr>
              <w:rFonts w:asciiTheme="minorHAnsi" w:eastAsiaTheme="minorEastAsia" w:hAnsiTheme="minorHAnsi" w:cstheme="minorBidi"/>
              <w:noProof/>
              <w:kern w:val="2"/>
              <w:lang w:eastAsia="en-AU"/>
              <w14:ligatures w14:val="standardContextual"/>
            </w:rPr>
          </w:pPr>
          <w:hyperlink w:anchor="_Toc161990748" w:history="1">
            <w:r w:rsidR="00186240" w:rsidRPr="00C60C87">
              <w:rPr>
                <w:rStyle w:val="Hyperlink"/>
                <w:noProof/>
              </w:rPr>
              <w:t>Clause 8 – Preliminary examination of protected confidence evidence</w:t>
            </w:r>
            <w:r w:rsidR="00186240">
              <w:rPr>
                <w:noProof/>
                <w:webHidden/>
              </w:rPr>
              <w:tab/>
            </w:r>
            <w:r w:rsidR="00186240">
              <w:rPr>
                <w:noProof/>
                <w:webHidden/>
              </w:rPr>
              <w:fldChar w:fldCharType="begin"/>
            </w:r>
            <w:r w:rsidR="00186240">
              <w:rPr>
                <w:noProof/>
                <w:webHidden/>
              </w:rPr>
              <w:instrText xml:space="preserve"> PAGEREF _Toc161990748 \h </w:instrText>
            </w:r>
            <w:r w:rsidR="00186240">
              <w:rPr>
                <w:noProof/>
                <w:webHidden/>
              </w:rPr>
            </w:r>
            <w:r w:rsidR="00186240">
              <w:rPr>
                <w:noProof/>
                <w:webHidden/>
              </w:rPr>
              <w:fldChar w:fldCharType="separate"/>
            </w:r>
            <w:r w:rsidR="00186240">
              <w:rPr>
                <w:noProof/>
                <w:webHidden/>
              </w:rPr>
              <w:t>19</w:t>
            </w:r>
            <w:r w:rsidR="00186240">
              <w:rPr>
                <w:noProof/>
                <w:webHidden/>
              </w:rPr>
              <w:fldChar w:fldCharType="end"/>
            </w:r>
          </w:hyperlink>
        </w:p>
        <w:p w14:paraId="362774E6" w14:textId="2BA54D76" w:rsidR="00186240" w:rsidRDefault="00FB041E">
          <w:pPr>
            <w:pStyle w:val="TOC3"/>
            <w:tabs>
              <w:tab w:val="right" w:leader="dot" w:pos="9016"/>
            </w:tabs>
            <w:rPr>
              <w:rFonts w:asciiTheme="minorHAnsi" w:eastAsiaTheme="minorEastAsia" w:hAnsiTheme="minorHAnsi" w:cstheme="minorBidi"/>
              <w:noProof/>
              <w:kern w:val="2"/>
              <w:lang w:eastAsia="en-AU"/>
              <w14:ligatures w14:val="standardContextual"/>
            </w:rPr>
          </w:pPr>
          <w:hyperlink w:anchor="_Toc161990749" w:history="1">
            <w:r w:rsidR="00186240" w:rsidRPr="00C60C87">
              <w:rPr>
                <w:rStyle w:val="Hyperlink"/>
                <w:noProof/>
              </w:rPr>
              <w:t>Clause 9 – Section 79G(6)</w:t>
            </w:r>
            <w:r w:rsidR="00186240">
              <w:rPr>
                <w:noProof/>
                <w:webHidden/>
              </w:rPr>
              <w:tab/>
            </w:r>
            <w:r w:rsidR="00186240">
              <w:rPr>
                <w:noProof/>
                <w:webHidden/>
              </w:rPr>
              <w:fldChar w:fldCharType="begin"/>
            </w:r>
            <w:r w:rsidR="00186240">
              <w:rPr>
                <w:noProof/>
                <w:webHidden/>
              </w:rPr>
              <w:instrText xml:space="preserve"> PAGEREF _Toc161990749 \h </w:instrText>
            </w:r>
            <w:r w:rsidR="00186240">
              <w:rPr>
                <w:noProof/>
                <w:webHidden/>
              </w:rPr>
            </w:r>
            <w:r w:rsidR="00186240">
              <w:rPr>
                <w:noProof/>
                <w:webHidden/>
              </w:rPr>
              <w:fldChar w:fldCharType="separate"/>
            </w:r>
            <w:r w:rsidR="00186240">
              <w:rPr>
                <w:noProof/>
                <w:webHidden/>
              </w:rPr>
              <w:t>19</w:t>
            </w:r>
            <w:r w:rsidR="00186240">
              <w:rPr>
                <w:noProof/>
                <w:webHidden/>
              </w:rPr>
              <w:fldChar w:fldCharType="end"/>
            </w:r>
          </w:hyperlink>
        </w:p>
        <w:p w14:paraId="22BC7000" w14:textId="6C419572" w:rsidR="00186240" w:rsidRDefault="00FB041E">
          <w:pPr>
            <w:pStyle w:val="TOC3"/>
            <w:tabs>
              <w:tab w:val="right" w:leader="dot" w:pos="9016"/>
            </w:tabs>
            <w:rPr>
              <w:rFonts w:asciiTheme="minorHAnsi" w:eastAsiaTheme="minorEastAsia" w:hAnsiTheme="minorHAnsi" w:cstheme="minorBidi"/>
              <w:noProof/>
              <w:kern w:val="2"/>
              <w:lang w:eastAsia="en-AU"/>
              <w14:ligatures w14:val="standardContextual"/>
            </w:rPr>
          </w:pPr>
          <w:hyperlink w:anchor="_Toc161990750" w:history="1">
            <w:r w:rsidR="00186240" w:rsidRPr="00C60C87">
              <w:rPr>
                <w:rStyle w:val="Hyperlink"/>
                <w:noProof/>
              </w:rPr>
              <w:t>Clause 10 – Giving of leave to disclose protected confidence</w:t>
            </w:r>
            <w:r w:rsidR="00186240">
              <w:rPr>
                <w:noProof/>
                <w:webHidden/>
              </w:rPr>
              <w:tab/>
            </w:r>
            <w:r w:rsidR="00186240">
              <w:rPr>
                <w:noProof/>
                <w:webHidden/>
              </w:rPr>
              <w:fldChar w:fldCharType="begin"/>
            </w:r>
            <w:r w:rsidR="00186240">
              <w:rPr>
                <w:noProof/>
                <w:webHidden/>
              </w:rPr>
              <w:instrText xml:space="preserve"> PAGEREF _Toc161990750 \h </w:instrText>
            </w:r>
            <w:r w:rsidR="00186240">
              <w:rPr>
                <w:noProof/>
                <w:webHidden/>
              </w:rPr>
            </w:r>
            <w:r w:rsidR="00186240">
              <w:rPr>
                <w:noProof/>
                <w:webHidden/>
              </w:rPr>
              <w:fldChar w:fldCharType="separate"/>
            </w:r>
            <w:r w:rsidR="00186240">
              <w:rPr>
                <w:noProof/>
                <w:webHidden/>
              </w:rPr>
              <w:t>19</w:t>
            </w:r>
            <w:r w:rsidR="00186240">
              <w:rPr>
                <w:noProof/>
                <w:webHidden/>
              </w:rPr>
              <w:fldChar w:fldCharType="end"/>
            </w:r>
          </w:hyperlink>
        </w:p>
        <w:p w14:paraId="32217EAD" w14:textId="600278D4" w:rsidR="00186240" w:rsidRDefault="00FB041E">
          <w:pPr>
            <w:pStyle w:val="TOC3"/>
            <w:tabs>
              <w:tab w:val="right" w:leader="dot" w:pos="9016"/>
            </w:tabs>
            <w:rPr>
              <w:rFonts w:asciiTheme="minorHAnsi" w:eastAsiaTheme="minorEastAsia" w:hAnsiTheme="minorHAnsi" w:cstheme="minorBidi"/>
              <w:noProof/>
              <w:kern w:val="2"/>
              <w:lang w:eastAsia="en-AU"/>
              <w14:ligatures w14:val="standardContextual"/>
            </w:rPr>
          </w:pPr>
          <w:hyperlink w:anchor="_Toc161990751" w:history="1">
            <w:r w:rsidR="00186240" w:rsidRPr="00C60C87">
              <w:rPr>
                <w:rStyle w:val="Hyperlink"/>
                <w:noProof/>
              </w:rPr>
              <w:t>Clause 11 – New sections 79IA and 79IB</w:t>
            </w:r>
            <w:r w:rsidR="00186240">
              <w:rPr>
                <w:noProof/>
                <w:webHidden/>
              </w:rPr>
              <w:tab/>
            </w:r>
            <w:r w:rsidR="00186240">
              <w:rPr>
                <w:noProof/>
                <w:webHidden/>
              </w:rPr>
              <w:fldChar w:fldCharType="begin"/>
            </w:r>
            <w:r w:rsidR="00186240">
              <w:rPr>
                <w:noProof/>
                <w:webHidden/>
              </w:rPr>
              <w:instrText xml:space="preserve"> PAGEREF _Toc161990751 \h </w:instrText>
            </w:r>
            <w:r w:rsidR="00186240">
              <w:rPr>
                <w:noProof/>
                <w:webHidden/>
              </w:rPr>
            </w:r>
            <w:r w:rsidR="00186240">
              <w:rPr>
                <w:noProof/>
                <w:webHidden/>
              </w:rPr>
              <w:fldChar w:fldCharType="separate"/>
            </w:r>
            <w:r w:rsidR="00186240">
              <w:rPr>
                <w:noProof/>
                <w:webHidden/>
              </w:rPr>
              <w:t>20</w:t>
            </w:r>
            <w:r w:rsidR="00186240">
              <w:rPr>
                <w:noProof/>
                <w:webHidden/>
              </w:rPr>
              <w:fldChar w:fldCharType="end"/>
            </w:r>
          </w:hyperlink>
        </w:p>
        <w:p w14:paraId="4A05820C" w14:textId="5A56D973" w:rsidR="00186240" w:rsidRDefault="00FB041E">
          <w:pPr>
            <w:pStyle w:val="TOC3"/>
            <w:tabs>
              <w:tab w:val="right" w:leader="dot" w:pos="9016"/>
            </w:tabs>
            <w:rPr>
              <w:rFonts w:asciiTheme="minorHAnsi" w:eastAsiaTheme="minorEastAsia" w:hAnsiTheme="minorHAnsi" w:cstheme="minorBidi"/>
              <w:noProof/>
              <w:kern w:val="2"/>
              <w:lang w:eastAsia="en-AU"/>
              <w14:ligatures w14:val="standardContextual"/>
            </w:rPr>
          </w:pPr>
          <w:hyperlink w:anchor="_Toc161990752" w:history="1">
            <w:r w:rsidR="00186240" w:rsidRPr="00C60C87">
              <w:rPr>
                <w:rStyle w:val="Hyperlink"/>
                <w:noProof/>
              </w:rPr>
              <w:t>Clause 12 – New part 12</w:t>
            </w:r>
            <w:r w:rsidR="00186240">
              <w:rPr>
                <w:noProof/>
                <w:webHidden/>
              </w:rPr>
              <w:tab/>
            </w:r>
            <w:r w:rsidR="00186240">
              <w:rPr>
                <w:noProof/>
                <w:webHidden/>
              </w:rPr>
              <w:fldChar w:fldCharType="begin"/>
            </w:r>
            <w:r w:rsidR="00186240">
              <w:rPr>
                <w:noProof/>
                <w:webHidden/>
              </w:rPr>
              <w:instrText xml:space="preserve"> PAGEREF _Toc161990752 \h </w:instrText>
            </w:r>
            <w:r w:rsidR="00186240">
              <w:rPr>
                <w:noProof/>
                <w:webHidden/>
              </w:rPr>
            </w:r>
            <w:r w:rsidR="00186240">
              <w:rPr>
                <w:noProof/>
                <w:webHidden/>
              </w:rPr>
              <w:fldChar w:fldCharType="separate"/>
            </w:r>
            <w:r w:rsidR="00186240">
              <w:rPr>
                <w:noProof/>
                <w:webHidden/>
              </w:rPr>
              <w:t>20</w:t>
            </w:r>
            <w:r w:rsidR="00186240">
              <w:rPr>
                <w:noProof/>
                <w:webHidden/>
              </w:rPr>
              <w:fldChar w:fldCharType="end"/>
            </w:r>
          </w:hyperlink>
        </w:p>
        <w:p w14:paraId="505ADFF9" w14:textId="67E60602" w:rsidR="00186240" w:rsidRDefault="00FB041E">
          <w:pPr>
            <w:pStyle w:val="TOC3"/>
            <w:tabs>
              <w:tab w:val="right" w:leader="dot" w:pos="9016"/>
            </w:tabs>
            <w:rPr>
              <w:rFonts w:asciiTheme="minorHAnsi" w:eastAsiaTheme="minorEastAsia" w:hAnsiTheme="minorHAnsi" w:cstheme="minorBidi"/>
              <w:noProof/>
              <w:kern w:val="2"/>
              <w:lang w:eastAsia="en-AU"/>
              <w14:ligatures w14:val="standardContextual"/>
            </w:rPr>
          </w:pPr>
          <w:hyperlink w:anchor="_Toc161990753" w:history="1">
            <w:r w:rsidR="00186240" w:rsidRPr="00C60C87">
              <w:rPr>
                <w:rStyle w:val="Hyperlink"/>
                <w:noProof/>
              </w:rPr>
              <w:t xml:space="preserve">Clause 13 – Dictionary, new definition of </w:t>
            </w:r>
            <w:r w:rsidR="00186240" w:rsidRPr="00C60C87">
              <w:rPr>
                <w:rStyle w:val="Hyperlink"/>
                <w:i/>
                <w:iCs/>
                <w:noProof/>
              </w:rPr>
              <w:t>counselled person</w:t>
            </w:r>
            <w:r w:rsidR="00186240">
              <w:rPr>
                <w:noProof/>
                <w:webHidden/>
              </w:rPr>
              <w:tab/>
            </w:r>
            <w:r w:rsidR="00186240">
              <w:rPr>
                <w:noProof/>
                <w:webHidden/>
              </w:rPr>
              <w:fldChar w:fldCharType="begin"/>
            </w:r>
            <w:r w:rsidR="00186240">
              <w:rPr>
                <w:noProof/>
                <w:webHidden/>
              </w:rPr>
              <w:instrText xml:space="preserve"> PAGEREF _Toc161990753 \h </w:instrText>
            </w:r>
            <w:r w:rsidR="00186240">
              <w:rPr>
                <w:noProof/>
                <w:webHidden/>
              </w:rPr>
            </w:r>
            <w:r w:rsidR="00186240">
              <w:rPr>
                <w:noProof/>
                <w:webHidden/>
              </w:rPr>
              <w:fldChar w:fldCharType="separate"/>
            </w:r>
            <w:r w:rsidR="00186240">
              <w:rPr>
                <w:noProof/>
                <w:webHidden/>
              </w:rPr>
              <w:t>20</w:t>
            </w:r>
            <w:r w:rsidR="00186240">
              <w:rPr>
                <w:noProof/>
                <w:webHidden/>
              </w:rPr>
              <w:fldChar w:fldCharType="end"/>
            </w:r>
          </w:hyperlink>
        </w:p>
        <w:p w14:paraId="494F3696" w14:textId="393EF412" w:rsidR="00186240" w:rsidRDefault="00FB041E">
          <w:pPr>
            <w:pStyle w:val="TOC3"/>
            <w:tabs>
              <w:tab w:val="right" w:leader="dot" w:pos="9016"/>
            </w:tabs>
            <w:rPr>
              <w:rFonts w:asciiTheme="minorHAnsi" w:eastAsiaTheme="minorEastAsia" w:hAnsiTheme="minorHAnsi" w:cstheme="minorBidi"/>
              <w:noProof/>
              <w:kern w:val="2"/>
              <w:lang w:eastAsia="en-AU"/>
              <w14:ligatures w14:val="standardContextual"/>
            </w:rPr>
          </w:pPr>
          <w:hyperlink w:anchor="_Toc161990754" w:history="1">
            <w:r w:rsidR="00186240" w:rsidRPr="00C60C87">
              <w:rPr>
                <w:rStyle w:val="Hyperlink"/>
                <w:noProof/>
              </w:rPr>
              <w:t>Part 4 – Magistrates Court Act 1930</w:t>
            </w:r>
            <w:r w:rsidR="00186240">
              <w:rPr>
                <w:noProof/>
                <w:webHidden/>
              </w:rPr>
              <w:tab/>
            </w:r>
            <w:r w:rsidR="00186240">
              <w:rPr>
                <w:noProof/>
                <w:webHidden/>
              </w:rPr>
              <w:fldChar w:fldCharType="begin"/>
            </w:r>
            <w:r w:rsidR="00186240">
              <w:rPr>
                <w:noProof/>
                <w:webHidden/>
              </w:rPr>
              <w:instrText xml:space="preserve"> PAGEREF _Toc161990754 \h </w:instrText>
            </w:r>
            <w:r w:rsidR="00186240">
              <w:rPr>
                <w:noProof/>
                <w:webHidden/>
              </w:rPr>
            </w:r>
            <w:r w:rsidR="00186240">
              <w:rPr>
                <w:noProof/>
                <w:webHidden/>
              </w:rPr>
              <w:fldChar w:fldCharType="separate"/>
            </w:r>
            <w:r w:rsidR="00186240">
              <w:rPr>
                <w:noProof/>
                <w:webHidden/>
              </w:rPr>
              <w:t>20</w:t>
            </w:r>
            <w:r w:rsidR="00186240">
              <w:rPr>
                <w:noProof/>
                <w:webHidden/>
              </w:rPr>
              <w:fldChar w:fldCharType="end"/>
            </w:r>
          </w:hyperlink>
        </w:p>
        <w:p w14:paraId="7EEDFE3E" w14:textId="0CB606B2" w:rsidR="00186240" w:rsidRDefault="00FB041E">
          <w:pPr>
            <w:pStyle w:val="TOC3"/>
            <w:tabs>
              <w:tab w:val="right" w:leader="dot" w:pos="9016"/>
            </w:tabs>
            <w:rPr>
              <w:rFonts w:asciiTheme="minorHAnsi" w:eastAsiaTheme="minorEastAsia" w:hAnsiTheme="minorHAnsi" w:cstheme="minorBidi"/>
              <w:noProof/>
              <w:kern w:val="2"/>
              <w:lang w:eastAsia="en-AU"/>
              <w14:ligatures w14:val="standardContextual"/>
            </w:rPr>
          </w:pPr>
          <w:hyperlink w:anchor="_Toc161990755" w:history="1">
            <w:r w:rsidR="00186240" w:rsidRPr="00C60C87">
              <w:rPr>
                <w:rStyle w:val="Hyperlink"/>
                <w:noProof/>
              </w:rPr>
              <w:t>Clause 14 – Section 90</w:t>
            </w:r>
            <w:r w:rsidR="00186240">
              <w:rPr>
                <w:noProof/>
                <w:webHidden/>
              </w:rPr>
              <w:tab/>
            </w:r>
            <w:r w:rsidR="00186240">
              <w:rPr>
                <w:noProof/>
                <w:webHidden/>
              </w:rPr>
              <w:fldChar w:fldCharType="begin"/>
            </w:r>
            <w:r w:rsidR="00186240">
              <w:rPr>
                <w:noProof/>
                <w:webHidden/>
              </w:rPr>
              <w:instrText xml:space="preserve"> PAGEREF _Toc161990755 \h </w:instrText>
            </w:r>
            <w:r w:rsidR="00186240">
              <w:rPr>
                <w:noProof/>
                <w:webHidden/>
              </w:rPr>
            </w:r>
            <w:r w:rsidR="00186240">
              <w:rPr>
                <w:noProof/>
                <w:webHidden/>
              </w:rPr>
              <w:fldChar w:fldCharType="separate"/>
            </w:r>
            <w:r w:rsidR="00186240">
              <w:rPr>
                <w:noProof/>
                <w:webHidden/>
              </w:rPr>
              <w:t>20</w:t>
            </w:r>
            <w:r w:rsidR="00186240">
              <w:rPr>
                <w:noProof/>
                <w:webHidden/>
              </w:rPr>
              <w:fldChar w:fldCharType="end"/>
            </w:r>
          </w:hyperlink>
        </w:p>
        <w:p w14:paraId="0B3F83FE" w14:textId="3B8B2177" w:rsidR="00186240" w:rsidRDefault="00FB041E">
          <w:pPr>
            <w:pStyle w:val="TOC3"/>
            <w:tabs>
              <w:tab w:val="right" w:leader="dot" w:pos="9016"/>
            </w:tabs>
            <w:rPr>
              <w:rFonts w:asciiTheme="minorHAnsi" w:eastAsiaTheme="minorEastAsia" w:hAnsiTheme="minorHAnsi" w:cstheme="minorBidi"/>
              <w:noProof/>
              <w:kern w:val="2"/>
              <w:lang w:eastAsia="en-AU"/>
              <w14:ligatures w14:val="standardContextual"/>
            </w:rPr>
          </w:pPr>
          <w:hyperlink w:anchor="_Toc161990756" w:history="1">
            <w:r w:rsidR="00186240" w:rsidRPr="00C60C87">
              <w:rPr>
                <w:rStyle w:val="Hyperlink"/>
                <w:noProof/>
              </w:rPr>
              <w:t>Clause 15 – Written statements may be admitted in evidence Section 90AA(1)</w:t>
            </w:r>
            <w:r w:rsidR="00186240">
              <w:rPr>
                <w:noProof/>
                <w:webHidden/>
              </w:rPr>
              <w:tab/>
            </w:r>
            <w:r w:rsidR="00186240">
              <w:rPr>
                <w:noProof/>
                <w:webHidden/>
              </w:rPr>
              <w:fldChar w:fldCharType="begin"/>
            </w:r>
            <w:r w:rsidR="00186240">
              <w:rPr>
                <w:noProof/>
                <w:webHidden/>
              </w:rPr>
              <w:instrText xml:space="preserve"> PAGEREF _Toc161990756 \h </w:instrText>
            </w:r>
            <w:r w:rsidR="00186240">
              <w:rPr>
                <w:noProof/>
                <w:webHidden/>
              </w:rPr>
            </w:r>
            <w:r w:rsidR="00186240">
              <w:rPr>
                <w:noProof/>
                <w:webHidden/>
              </w:rPr>
              <w:fldChar w:fldCharType="separate"/>
            </w:r>
            <w:r w:rsidR="00186240">
              <w:rPr>
                <w:noProof/>
                <w:webHidden/>
              </w:rPr>
              <w:t>22</w:t>
            </w:r>
            <w:r w:rsidR="00186240">
              <w:rPr>
                <w:noProof/>
                <w:webHidden/>
              </w:rPr>
              <w:fldChar w:fldCharType="end"/>
            </w:r>
          </w:hyperlink>
        </w:p>
        <w:p w14:paraId="1EB7574E" w14:textId="43917B84" w:rsidR="00186240" w:rsidRDefault="00FB041E">
          <w:pPr>
            <w:pStyle w:val="TOC3"/>
            <w:tabs>
              <w:tab w:val="right" w:leader="dot" w:pos="9016"/>
            </w:tabs>
            <w:rPr>
              <w:rFonts w:asciiTheme="minorHAnsi" w:eastAsiaTheme="minorEastAsia" w:hAnsiTheme="minorHAnsi" w:cstheme="minorBidi"/>
              <w:noProof/>
              <w:kern w:val="2"/>
              <w:lang w:eastAsia="en-AU"/>
              <w14:ligatures w14:val="standardContextual"/>
            </w:rPr>
          </w:pPr>
          <w:hyperlink w:anchor="_Toc161990757" w:history="1">
            <w:r w:rsidR="00186240" w:rsidRPr="00C60C87">
              <w:rPr>
                <w:rStyle w:val="Hyperlink"/>
                <w:rFonts w:cs="Arial"/>
                <w:noProof/>
              </w:rPr>
              <w:t>Clause 16 – New part 3.5A</w:t>
            </w:r>
            <w:r w:rsidR="00186240">
              <w:rPr>
                <w:noProof/>
                <w:webHidden/>
              </w:rPr>
              <w:tab/>
            </w:r>
            <w:r w:rsidR="00186240">
              <w:rPr>
                <w:noProof/>
                <w:webHidden/>
              </w:rPr>
              <w:fldChar w:fldCharType="begin"/>
            </w:r>
            <w:r w:rsidR="00186240">
              <w:rPr>
                <w:noProof/>
                <w:webHidden/>
              </w:rPr>
              <w:instrText xml:space="preserve"> PAGEREF _Toc161990757 \h </w:instrText>
            </w:r>
            <w:r w:rsidR="00186240">
              <w:rPr>
                <w:noProof/>
                <w:webHidden/>
              </w:rPr>
            </w:r>
            <w:r w:rsidR="00186240">
              <w:rPr>
                <w:noProof/>
                <w:webHidden/>
              </w:rPr>
              <w:fldChar w:fldCharType="separate"/>
            </w:r>
            <w:r w:rsidR="00186240">
              <w:rPr>
                <w:noProof/>
                <w:webHidden/>
              </w:rPr>
              <w:t>23</w:t>
            </w:r>
            <w:r w:rsidR="00186240">
              <w:rPr>
                <w:noProof/>
                <w:webHidden/>
              </w:rPr>
              <w:fldChar w:fldCharType="end"/>
            </w:r>
          </w:hyperlink>
        </w:p>
        <w:p w14:paraId="7A9D0F5E" w14:textId="5DA602CB" w:rsidR="00186240" w:rsidRDefault="00FB041E">
          <w:pPr>
            <w:pStyle w:val="TOC3"/>
            <w:tabs>
              <w:tab w:val="right" w:leader="dot" w:pos="9016"/>
            </w:tabs>
            <w:rPr>
              <w:rFonts w:asciiTheme="minorHAnsi" w:eastAsiaTheme="minorEastAsia" w:hAnsiTheme="minorHAnsi" w:cstheme="minorBidi"/>
              <w:noProof/>
              <w:kern w:val="2"/>
              <w:lang w:eastAsia="en-AU"/>
              <w14:ligatures w14:val="standardContextual"/>
            </w:rPr>
          </w:pPr>
          <w:hyperlink w:anchor="_Toc161990758" w:history="1">
            <w:r w:rsidR="00186240" w:rsidRPr="00C60C87">
              <w:rPr>
                <w:rStyle w:val="Hyperlink"/>
                <w:rFonts w:cs="Arial"/>
                <w:noProof/>
              </w:rPr>
              <w:t>Clause 17 – New Chapter</w:t>
            </w:r>
            <w:r w:rsidR="00186240">
              <w:rPr>
                <w:noProof/>
                <w:webHidden/>
              </w:rPr>
              <w:tab/>
            </w:r>
            <w:r w:rsidR="00186240">
              <w:rPr>
                <w:noProof/>
                <w:webHidden/>
              </w:rPr>
              <w:fldChar w:fldCharType="begin"/>
            </w:r>
            <w:r w:rsidR="00186240">
              <w:rPr>
                <w:noProof/>
                <w:webHidden/>
              </w:rPr>
              <w:instrText xml:space="preserve"> PAGEREF _Toc161990758 \h </w:instrText>
            </w:r>
            <w:r w:rsidR="00186240">
              <w:rPr>
                <w:noProof/>
                <w:webHidden/>
              </w:rPr>
            </w:r>
            <w:r w:rsidR="00186240">
              <w:rPr>
                <w:noProof/>
                <w:webHidden/>
              </w:rPr>
              <w:fldChar w:fldCharType="separate"/>
            </w:r>
            <w:r w:rsidR="00186240">
              <w:rPr>
                <w:noProof/>
                <w:webHidden/>
              </w:rPr>
              <w:t>24</w:t>
            </w:r>
            <w:r w:rsidR="00186240">
              <w:rPr>
                <w:noProof/>
                <w:webHidden/>
              </w:rPr>
              <w:fldChar w:fldCharType="end"/>
            </w:r>
          </w:hyperlink>
        </w:p>
        <w:p w14:paraId="475D4AFB" w14:textId="766386A6" w:rsidR="009D5380" w:rsidRDefault="009D5380">
          <w:r>
            <w:rPr>
              <w:b/>
              <w:bCs/>
              <w:noProof/>
            </w:rPr>
            <w:fldChar w:fldCharType="end"/>
          </w:r>
        </w:p>
      </w:sdtContent>
    </w:sdt>
    <w:p w14:paraId="104D1896" w14:textId="77777777" w:rsidR="00821DDE" w:rsidRDefault="00821DDE" w:rsidP="00E90DF9">
      <w:pPr>
        <w:spacing w:after="0"/>
        <w:contextualSpacing/>
        <w:rPr>
          <w:rFonts w:ascii="Arial" w:hAnsi="Arial" w:cs="Arial"/>
          <w:bCs/>
          <w:sz w:val="24"/>
          <w:szCs w:val="24"/>
        </w:rPr>
      </w:pPr>
    </w:p>
    <w:p w14:paraId="5148A85A" w14:textId="77777777" w:rsidR="00821DDE" w:rsidRDefault="00821DDE" w:rsidP="00E90DF9">
      <w:pPr>
        <w:spacing w:after="0"/>
        <w:contextualSpacing/>
        <w:rPr>
          <w:rFonts w:ascii="Arial" w:hAnsi="Arial" w:cs="Arial"/>
          <w:bCs/>
          <w:sz w:val="24"/>
          <w:szCs w:val="24"/>
        </w:rPr>
      </w:pPr>
    </w:p>
    <w:p w14:paraId="04010BFE" w14:textId="033B2D7F" w:rsidR="00E90DF9" w:rsidRPr="00834FC9" w:rsidRDefault="00E90DF9" w:rsidP="00E90DF9">
      <w:pPr>
        <w:spacing w:after="0"/>
        <w:contextualSpacing/>
        <w:rPr>
          <w:rFonts w:ascii="Arial" w:hAnsi="Arial" w:cs="Arial"/>
          <w:bCs/>
          <w:sz w:val="24"/>
          <w:szCs w:val="24"/>
        </w:rPr>
      </w:pPr>
      <w:r w:rsidRPr="00834FC9">
        <w:rPr>
          <w:rFonts w:ascii="Arial" w:hAnsi="Arial" w:cs="Arial"/>
          <w:bCs/>
          <w:sz w:val="24"/>
          <w:szCs w:val="24"/>
        </w:rPr>
        <w:lastRenderedPageBreak/>
        <w:t xml:space="preserve">The </w:t>
      </w:r>
      <w:r w:rsidR="00D34B9F">
        <w:rPr>
          <w:rFonts w:ascii="Arial" w:hAnsi="Arial" w:cs="Arial"/>
          <w:bCs/>
          <w:sz w:val="24"/>
          <w:szCs w:val="24"/>
        </w:rPr>
        <w:t xml:space="preserve">Crimes (Disclosure) Legislation Amendment </w:t>
      </w:r>
      <w:r w:rsidRPr="00834FC9">
        <w:rPr>
          <w:rFonts w:ascii="Arial" w:hAnsi="Arial" w:cs="Arial"/>
          <w:bCs/>
          <w:sz w:val="24"/>
          <w:szCs w:val="24"/>
        </w:rPr>
        <w:t xml:space="preserve">Bill </w:t>
      </w:r>
      <w:r w:rsidR="00D34B9F">
        <w:rPr>
          <w:rFonts w:ascii="Arial" w:hAnsi="Arial" w:cs="Arial"/>
          <w:bCs/>
          <w:sz w:val="24"/>
          <w:szCs w:val="24"/>
        </w:rPr>
        <w:t xml:space="preserve">2024 (the Bill) </w:t>
      </w:r>
      <w:r w:rsidRPr="007C3039">
        <w:rPr>
          <w:rFonts w:ascii="Arial" w:hAnsi="Arial" w:cs="Arial"/>
          <w:b/>
          <w:sz w:val="24"/>
          <w:szCs w:val="24"/>
        </w:rPr>
        <w:t>is</w:t>
      </w:r>
      <w:r w:rsidRPr="00834FC9">
        <w:rPr>
          <w:rFonts w:ascii="Arial" w:hAnsi="Arial" w:cs="Arial"/>
          <w:bCs/>
          <w:sz w:val="24"/>
          <w:szCs w:val="24"/>
        </w:rPr>
        <w:t xml:space="preserve">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3735CFA3" w14:textId="77777777" w:rsidR="00E90DF9" w:rsidRPr="00834FC9" w:rsidRDefault="00E90DF9" w:rsidP="00E90DF9">
      <w:pPr>
        <w:spacing w:after="0"/>
        <w:rPr>
          <w:rFonts w:ascii="Arial" w:hAnsi="Arial" w:cs="Arial"/>
          <w:bCs/>
          <w:sz w:val="24"/>
          <w:szCs w:val="24"/>
          <w:highlight w:val="yellow"/>
        </w:rPr>
      </w:pPr>
    </w:p>
    <w:p w14:paraId="266B7B2E" w14:textId="77777777" w:rsidR="00E90DF9" w:rsidRDefault="00E90DF9" w:rsidP="00E90DF9">
      <w:pPr>
        <w:pStyle w:val="Heading2"/>
      </w:pPr>
      <w:bookmarkStart w:id="1" w:name="_Toc161990733"/>
      <w:r>
        <w:t>OVERVIEW OF THE BILL</w:t>
      </w:r>
      <w:bookmarkEnd w:id="1"/>
    </w:p>
    <w:p w14:paraId="1736109A" w14:textId="1050F22C" w:rsidR="007626C2" w:rsidRDefault="001B4C21" w:rsidP="007C3039">
      <w:pPr>
        <w:spacing w:after="120"/>
        <w:ind w:right="-45"/>
        <w:rPr>
          <w:rFonts w:ascii="Arial" w:hAnsi="Arial" w:cs="Arial"/>
          <w:bCs/>
          <w:i/>
          <w:iCs/>
          <w:sz w:val="24"/>
          <w:szCs w:val="24"/>
        </w:rPr>
      </w:pPr>
      <w:r>
        <w:rPr>
          <w:rFonts w:ascii="Arial" w:hAnsi="Arial" w:cs="Arial"/>
          <w:bCs/>
          <w:sz w:val="24"/>
          <w:szCs w:val="24"/>
        </w:rPr>
        <w:t>The</w:t>
      </w:r>
      <w:r w:rsidRPr="001B4C21">
        <w:rPr>
          <w:rFonts w:ascii="Arial" w:hAnsi="Arial" w:cs="Arial"/>
          <w:bCs/>
          <w:sz w:val="24"/>
          <w:szCs w:val="24"/>
        </w:rPr>
        <w:t xml:space="preserve"> </w:t>
      </w:r>
      <w:r w:rsidR="007C3039" w:rsidRPr="007C3039">
        <w:rPr>
          <w:rFonts w:ascii="Arial" w:hAnsi="Arial" w:cs="Arial"/>
          <w:bCs/>
          <w:sz w:val="24"/>
          <w:szCs w:val="24"/>
        </w:rPr>
        <w:t xml:space="preserve">Bill </w:t>
      </w:r>
      <w:r>
        <w:rPr>
          <w:rFonts w:ascii="Arial" w:hAnsi="Arial" w:cs="Arial"/>
          <w:bCs/>
          <w:sz w:val="24"/>
          <w:szCs w:val="24"/>
        </w:rPr>
        <w:t>aims to</w:t>
      </w:r>
      <w:r w:rsidRPr="001B4C21">
        <w:rPr>
          <w:rFonts w:ascii="Arial" w:hAnsi="Arial" w:cs="Arial"/>
          <w:bCs/>
          <w:sz w:val="24"/>
          <w:szCs w:val="24"/>
        </w:rPr>
        <w:t xml:space="preserve"> </w:t>
      </w:r>
      <w:r w:rsidR="00B232FE">
        <w:rPr>
          <w:rFonts w:ascii="Arial" w:hAnsi="Arial" w:cs="Arial"/>
          <w:bCs/>
          <w:sz w:val="24"/>
          <w:szCs w:val="24"/>
        </w:rPr>
        <w:t>legislate</w:t>
      </w:r>
      <w:r w:rsidR="00B232FE" w:rsidRPr="001B4C21">
        <w:rPr>
          <w:rFonts w:ascii="Arial" w:hAnsi="Arial" w:cs="Arial"/>
          <w:bCs/>
          <w:sz w:val="24"/>
          <w:szCs w:val="24"/>
        </w:rPr>
        <w:t xml:space="preserve"> </w:t>
      </w:r>
      <w:r w:rsidRPr="001B4C21">
        <w:rPr>
          <w:rFonts w:ascii="Arial" w:hAnsi="Arial" w:cs="Arial"/>
          <w:bCs/>
          <w:sz w:val="24"/>
          <w:szCs w:val="24"/>
        </w:rPr>
        <w:t xml:space="preserve">the scope and content of the prosecution’s obligation of disclosure of </w:t>
      </w:r>
      <w:r w:rsidR="007C3039">
        <w:rPr>
          <w:rFonts w:ascii="Arial" w:hAnsi="Arial" w:cs="Arial"/>
          <w:bCs/>
          <w:sz w:val="24"/>
          <w:szCs w:val="24"/>
        </w:rPr>
        <w:t>evidence</w:t>
      </w:r>
      <w:r w:rsidRPr="001B4C21">
        <w:rPr>
          <w:rFonts w:ascii="Arial" w:hAnsi="Arial" w:cs="Arial"/>
          <w:bCs/>
          <w:sz w:val="24"/>
          <w:szCs w:val="24"/>
        </w:rPr>
        <w:t xml:space="preserve"> in criminal proceedings</w:t>
      </w:r>
      <w:r w:rsidR="00762A18">
        <w:rPr>
          <w:rFonts w:ascii="Arial" w:hAnsi="Arial" w:cs="Arial"/>
          <w:bCs/>
          <w:sz w:val="24"/>
          <w:szCs w:val="24"/>
        </w:rPr>
        <w:t xml:space="preserve"> through amendments to</w:t>
      </w:r>
      <w:r w:rsidR="007C3039" w:rsidRPr="007C3039">
        <w:rPr>
          <w:rFonts w:ascii="Arial" w:hAnsi="Arial" w:cs="Arial"/>
          <w:bCs/>
          <w:sz w:val="24"/>
          <w:szCs w:val="24"/>
        </w:rPr>
        <w:t xml:space="preserve"> the </w:t>
      </w:r>
      <w:r w:rsidR="007C3039" w:rsidRPr="007408B9">
        <w:rPr>
          <w:rFonts w:ascii="Arial" w:hAnsi="Arial" w:cs="Arial"/>
          <w:bCs/>
          <w:i/>
          <w:iCs/>
          <w:sz w:val="24"/>
          <w:szCs w:val="24"/>
        </w:rPr>
        <w:t xml:space="preserve">Court Procedures Act 2004 </w:t>
      </w:r>
      <w:r w:rsidR="007C3039" w:rsidRPr="007C3039">
        <w:rPr>
          <w:rFonts w:ascii="Arial" w:hAnsi="Arial" w:cs="Arial"/>
          <w:bCs/>
          <w:sz w:val="24"/>
          <w:szCs w:val="24"/>
        </w:rPr>
        <w:t xml:space="preserve">and the </w:t>
      </w:r>
      <w:r w:rsidR="007C3039" w:rsidRPr="007408B9">
        <w:rPr>
          <w:rFonts w:ascii="Arial" w:hAnsi="Arial" w:cs="Arial"/>
          <w:bCs/>
          <w:i/>
          <w:iCs/>
          <w:sz w:val="24"/>
          <w:szCs w:val="24"/>
        </w:rPr>
        <w:t>Magistrates Court Act 1930.</w:t>
      </w:r>
    </w:p>
    <w:p w14:paraId="20578BEA" w14:textId="4564340F" w:rsidR="009F2794" w:rsidRPr="009F2794" w:rsidRDefault="009F2794" w:rsidP="007C3039">
      <w:pPr>
        <w:spacing w:after="120"/>
        <w:ind w:right="-45"/>
        <w:rPr>
          <w:rFonts w:ascii="Arial" w:hAnsi="Arial" w:cs="Arial"/>
          <w:bCs/>
          <w:sz w:val="24"/>
          <w:szCs w:val="24"/>
        </w:rPr>
      </w:pPr>
      <w:r>
        <w:rPr>
          <w:rFonts w:ascii="Arial" w:hAnsi="Arial" w:cs="Arial"/>
          <w:bCs/>
          <w:sz w:val="24"/>
          <w:szCs w:val="24"/>
        </w:rPr>
        <w:t xml:space="preserve">The </w:t>
      </w:r>
      <w:r w:rsidR="00E05015">
        <w:rPr>
          <w:rFonts w:ascii="Arial" w:hAnsi="Arial" w:cs="Arial"/>
          <w:bCs/>
          <w:sz w:val="24"/>
          <w:szCs w:val="24"/>
        </w:rPr>
        <w:t xml:space="preserve">amendments regarding the prosecution’s disclosure obligation </w:t>
      </w:r>
      <w:r>
        <w:rPr>
          <w:rFonts w:ascii="Arial" w:hAnsi="Arial" w:cs="Arial"/>
          <w:bCs/>
          <w:sz w:val="24"/>
          <w:szCs w:val="24"/>
        </w:rPr>
        <w:t>appl</w:t>
      </w:r>
      <w:r w:rsidR="00C73820">
        <w:rPr>
          <w:rFonts w:ascii="Arial" w:hAnsi="Arial" w:cs="Arial"/>
          <w:bCs/>
          <w:sz w:val="24"/>
          <w:szCs w:val="24"/>
        </w:rPr>
        <w:t>y</w:t>
      </w:r>
      <w:r>
        <w:rPr>
          <w:rFonts w:ascii="Arial" w:hAnsi="Arial" w:cs="Arial"/>
          <w:bCs/>
          <w:sz w:val="24"/>
          <w:szCs w:val="24"/>
        </w:rPr>
        <w:t xml:space="preserve"> only in proceedings where the accused pleads not guilty</w:t>
      </w:r>
      <w:r w:rsidR="00E05015">
        <w:rPr>
          <w:rFonts w:ascii="Arial" w:hAnsi="Arial" w:cs="Arial"/>
          <w:bCs/>
          <w:sz w:val="24"/>
          <w:szCs w:val="24"/>
        </w:rPr>
        <w:t xml:space="preserve"> and only to those proceedings that commence on the same day as the amendments come into force and thereafter. </w:t>
      </w:r>
      <w:r>
        <w:rPr>
          <w:rFonts w:ascii="Arial" w:hAnsi="Arial" w:cs="Arial"/>
          <w:bCs/>
          <w:sz w:val="24"/>
          <w:szCs w:val="24"/>
        </w:rPr>
        <w:t xml:space="preserve">For defendants in criminal proceedings where </w:t>
      </w:r>
      <w:r w:rsidR="00E05015">
        <w:rPr>
          <w:rFonts w:ascii="Arial" w:hAnsi="Arial" w:cs="Arial"/>
          <w:bCs/>
          <w:sz w:val="24"/>
          <w:szCs w:val="24"/>
        </w:rPr>
        <w:t>a</w:t>
      </w:r>
      <w:r>
        <w:rPr>
          <w:rFonts w:ascii="Arial" w:hAnsi="Arial" w:cs="Arial"/>
          <w:bCs/>
          <w:sz w:val="24"/>
          <w:szCs w:val="24"/>
        </w:rPr>
        <w:t xml:space="preserve"> guilty plea is entered, the current provisions of the </w:t>
      </w:r>
      <w:r w:rsidRPr="009F2794">
        <w:rPr>
          <w:rFonts w:ascii="Arial" w:hAnsi="Arial" w:cs="Arial"/>
          <w:bCs/>
          <w:i/>
          <w:iCs/>
          <w:sz w:val="24"/>
          <w:szCs w:val="24"/>
        </w:rPr>
        <w:t>Court Procedures Act</w:t>
      </w:r>
      <w:r>
        <w:rPr>
          <w:rFonts w:ascii="Arial" w:hAnsi="Arial" w:cs="Arial"/>
          <w:bCs/>
          <w:sz w:val="24"/>
          <w:szCs w:val="24"/>
        </w:rPr>
        <w:t xml:space="preserve"> </w:t>
      </w:r>
      <w:r w:rsidRPr="007408B9">
        <w:rPr>
          <w:rFonts w:ascii="Arial" w:hAnsi="Arial" w:cs="Arial"/>
          <w:bCs/>
          <w:i/>
          <w:iCs/>
          <w:sz w:val="24"/>
          <w:szCs w:val="24"/>
        </w:rPr>
        <w:t xml:space="preserve">2004 </w:t>
      </w:r>
      <w:r w:rsidRPr="007C3039">
        <w:rPr>
          <w:rFonts w:ascii="Arial" w:hAnsi="Arial" w:cs="Arial"/>
          <w:bCs/>
          <w:sz w:val="24"/>
          <w:szCs w:val="24"/>
        </w:rPr>
        <w:t xml:space="preserve">and the </w:t>
      </w:r>
      <w:r w:rsidRPr="007408B9">
        <w:rPr>
          <w:rFonts w:ascii="Arial" w:hAnsi="Arial" w:cs="Arial"/>
          <w:bCs/>
          <w:i/>
          <w:iCs/>
          <w:sz w:val="24"/>
          <w:szCs w:val="24"/>
        </w:rPr>
        <w:t>Magistrates Court Act 1930</w:t>
      </w:r>
      <w:r>
        <w:rPr>
          <w:rFonts w:ascii="Arial" w:hAnsi="Arial" w:cs="Arial"/>
          <w:bCs/>
          <w:i/>
          <w:iCs/>
          <w:sz w:val="24"/>
          <w:szCs w:val="24"/>
        </w:rPr>
        <w:t xml:space="preserve"> </w:t>
      </w:r>
      <w:r>
        <w:rPr>
          <w:rFonts w:ascii="Arial" w:hAnsi="Arial" w:cs="Arial"/>
          <w:bCs/>
          <w:sz w:val="24"/>
          <w:szCs w:val="24"/>
        </w:rPr>
        <w:t xml:space="preserve">continue to apply. </w:t>
      </w:r>
      <w:r w:rsidR="00E05015">
        <w:rPr>
          <w:rFonts w:ascii="Arial" w:hAnsi="Arial" w:cs="Arial"/>
          <w:bCs/>
          <w:sz w:val="24"/>
          <w:szCs w:val="24"/>
        </w:rPr>
        <w:t xml:space="preserve"> Where a proceeding is on foot at the time of the amendments coming into effect, the existing provisions, common </w:t>
      </w:r>
      <w:proofErr w:type="gramStart"/>
      <w:r w:rsidR="00E05015">
        <w:rPr>
          <w:rFonts w:ascii="Arial" w:hAnsi="Arial" w:cs="Arial"/>
          <w:bCs/>
          <w:sz w:val="24"/>
          <w:szCs w:val="24"/>
        </w:rPr>
        <w:t>law</w:t>
      </w:r>
      <w:proofErr w:type="gramEnd"/>
      <w:r w:rsidR="00E05015">
        <w:rPr>
          <w:rFonts w:ascii="Arial" w:hAnsi="Arial" w:cs="Arial"/>
          <w:bCs/>
          <w:sz w:val="24"/>
          <w:szCs w:val="24"/>
        </w:rPr>
        <w:t xml:space="preserve"> and prosecution policy will continue to apply.</w:t>
      </w:r>
    </w:p>
    <w:p w14:paraId="3FBD6FAB" w14:textId="48AB265A" w:rsidR="001B4C21" w:rsidRPr="001B4C21" w:rsidRDefault="001B4C21" w:rsidP="00E90DF9">
      <w:pPr>
        <w:spacing w:after="120"/>
        <w:ind w:right="-45"/>
        <w:rPr>
          <w:rFonts w:ascii="Arial" w:hAnsi="Arial" w:cs="Arial"/>
          <w:bCs/>
          <w:sz w:val="24"/>
          <w:szCs w:val="24"/>
        </w:rPr>
      </w:pPr>
      <w:r>
        <w:rPr>
          <w:rFonts w:ascii="Arial" w:hAnsi="Arial" w:cs="Arial"/>
          <w:bCs/>
          <w:sz w:val="24"/>
          <w:szCs w:val="24"/>
        </w:rPr>
        <w:t xml:space="preserve">The Bill will also </w:t>
      </w:r>
      <w:r w:rsidRPr="001B4C21">
        <w:rPr>
          <w:rFonts w:ascii="Arial" w:hAnsi="Arial" w:cs="Arial"/>
          <w:bCs/>
          <w:sz w:val="24"/>
          <w:szCs w:val="24"/>
        </w:rPr>
        <w:t xml:space="preserve">facilitate standing of complainants in sexual assault </w:t>
      </w:r>
      <w:r w:rsidR="00DB757B">
        <w:rPr>
          <w:rFonts w:ascii="Arial" w:hAnsi="Arial" w:cs="Arial"/>
          <w:bCs/>
          <w:sz w:val="24"/>
          <w:szCs w:val="24"/>
        </w:rPr>
        <w:t xml:space="preserve">and family violence </w:t>
      </w:r>
      <w:r w:rsidRPr="001B4C21">
        <w:rPr>
          <w:rFonts w:ascii="Arial" w:hAnsi="Arial" w:cs="Arial"/>
          <w:bCs/>
          <w:sz w:val="24"/>
          <w:szCs w:val="24"/>
        </w:rPr>
        <w:t xml:space="preserve">criminal matters where there is an application regarding disclosing protected confidences of the complainant under s79E of the </w:t>
      </w:r>
      <w:r w:rsidRPr="007408B9">
        <w:rPr>
          <w:rFonts w:ascii="Arial" w:hAnsi="Arial" w:cs="Arial"/>
          <w:bCs/>
          <w:i/>
          <w:iCs/>
          <w:sz w:val="24"/>
          <w:szCs w:val="24"/>
        </w:rPr>
        <w:t>Evidence (Miscellaneous Provisions) Act 1991</w:t>
      </w:r>
      <w:r w:rsidR="00DB757B">
        <w:rPr>
          <w:rFonts w:ascii="Arial" w:hAnsi="Arial" w:cs="Arial"/>
          <w:bCs/>
          <w:sz w:val="24"/>
          <w:szCs w:val="24"/>
        </w:rPr>
        <w:t xml:space="preserve">. This brings the ACT’s protected confidence laws in line with other jurisdictions including New South Wales and </w:t>
      </w:r>
      <w:proofErr w:type="gramStart"/>
      <w:r w:rsidR="00DB757B">
        <w:rPr>
          <w:rFonts w:ascii="Arial" w:hAnsi="Arial" w:cs="Arial"/>
          <w:bCs/>
          <w:sz w:val="24"/>
          <w:szCs w:val="24"/>
        </w:rPr>
        <w:t>Victoria, and</w:t>
      </w:r>
      <w:proofErr w:type="gramEnd"/>
      <w:r w:rsidR="00DB757B">
        <w:rPr>
          <w:rFonts w:ascii="Arial" w:hAnsi="Arial" w:cs="Arial"/>
          <w:bCs/>
          <w:sz w:val="24"/>
          <w:szCs w:val="24"/>
        </w:rPr>
        <w:t xml:space="preserve"> </w:t>
      </w:r>
      <w:r w:rsidR="008028E2">
        <w:rPr>
          <w:rFonts w:ascii="Arial" w:hAnsi="Arial" w:cs="Arial"/>
          <w:bCs/>
          <w:sz w:val="24"/>
          <w:szCs w:val="24"/>
        </w:rPr>
        <w:t>supports victim agency and voice in proceedings dealing with these matters</w:t>
      </w:r>
      <w:r w:rsidRPr="001B4C21">
        <w:rPr>
          <w:rFonts w:ascii="Arial" w:hAnsi="Arial" w:cs="Arial"/>
          <w:bCs/>
          <w:sz w:val="24"/>
          <w:szCs w:val="24"/>
        </w:rPr>
        <w:t>.</w:t>
      </w:r>
    </w:p>
    <w:p w14:paraId="25E5EC3A" w14:textId="77777777" w:rsidR="00E90DF9" w:rsidRDefault="00E90DF9" w:rsidP="00E90DF9">
      <w:pPr>
        <w:rPr>
          <w:rFonts w:ascii="Arial" w:hAnsi="Arial" w:cs="Arial"/>
          <w:b/>
          <w:sz w:val="24"/>
          <w:szCs w:val="24"/>
        </w:rPr>
      </w:pPr>
      <w:r w:rsidRPr="00AC59DF">
        <w:rPr>
          <w:rFonts w:ascii="Arial" w:hAnsi="Arial" w:cs="Arial"/>
          <w:b/>
          <w:sz w:val="24"/>
          <w:szCs w:val="24"/>
        </w:rPr>
        <w:t>CONSULTATION ON THE PROPOSED APPROACH</w:t>
      </w:r>
    </w:p>
    <w:p w14:paraId="0C7FFF00" w14:textId="3855043C" w:rsidR="007626C2" w:rsidRPr="007626C2" w:rsidRDefault="007626C2" w:rsidP="007626C2">
      <w:pPr>
        <w:pStyle w:val="Subheading10"/>
        <w:rPr>
          <w:rFonts w:ascii="Arial" w:eastAsia="Times New Roman" w:hAnsi="Arial" w:cs="Arial"/>
          <w:bCs/>
          <w:szCs w:val="24"/>
        </w:rPr>
      </w:pPr>
      <w:r>
        <w:rPr>
          <w:rFonts w:ascii="Arial" w:eastAsia="Times New Roman" w:hAnsi="Arial" w:cs="Arial"/>
          <w:b w:val="0"/>
          <w:bCs/>
          <w:sz w:val="24"/>
          <w:szCs w:val="24"/>
          <w:u w:val="none"/>
        </w:rPr>
        <w:t xml:space="preserve">In developing this Bill, </w:t>
      </w:r>
      <w:r w:rsidR="00C73820">
        <w:rPr>
          <w:rFonts w:ascii="Arial" w:eastAsia="Times New Roman" w:hAnsi="Arial" w:cs="Arial"/>
          <w:b w:val="0"/>
          <w:bCs/>
          <w:sz w:val="24"/>
          <w:szCs w:val="24"/>
          <w:u w:val="none"/>
        </w:rPr>
        <w:t xml:space="preserve">the </w:t>
      </w:r>
      <w:proofErr w:type="gramStart"/>
      <w:r>
        <w:rPr>
          <w:rFonts w:ascii="Arial" w:eastAsia="Times New Roman" w:hAnsi="Arial" w:cs="Arial"/>
          <w:b w:val="0"/>
          <w:bCs/>
          <w:sz w:val="24"/>
          <w:szCs w:val="24"/>
          <w:u w:val="none"/>
        </w:rPr>
        <w:t>Justice</w:t>
      </w:r>
      <w:proofErr w:type="gramEnd"/>
      <w:r>
        <w:rPr>
          <w:rFonts w:ascii="Arial" w:eastAsia="Times New Roman" w:hAnsi="Arial" w:cs="Arial"/>
          <w:b w:val="0"/>
          <w:bCs/>
          <w:sz w:val="24"/>
          <w:szCs w:val="24"/>
          <w:u w:val="none"/>
        </w:rPr>
        <w:t xml:space="preserve"> and Community Safety Directorate (JACS) consulted with both internal and e</w:t>
      </w:r>
      <w:r w:rsidRPr="007626C2">
        <w:rPr>
          <w:rFonts w:ascii="Arial" w:eastAsia="Times New Roman" w:hAnsi="Arial" w:cs="Arial"/>
          <w:b w:val="0"/>
          <w:bCs/>
          <w:sz w:val="24"/>
          <w:szCs w:val="24"/>
          <w:u w:val="none"/>
        </w:rPr>
        <w:t>xternal stakeholders</w:t>
      </w:r>
      <w:r>
        <w:rPr>
          <w:rFonts w:ascii="Arial" w:eastAsia="Times New Roman" w:hAnsi="Arial" w:cs="Arial"/>
          <w:b w:val="0"/>
          <w:bCs/>
          <w:sz w:val="24"/>
          <w:szCs w:val="24"/>
          <w:u w:val="none"/>
        </w:rPr>
        <w:t xml:space="preserve">, on two occasions. On the first occasion, in December 2023, a group of key justice stakeholders were invited to comment on </w:t>
      </w:r>
      <w:r w:rsidR="00D34B9F">
        <w:rPr>
          <w:rFonts w:ascii="Arial" w:eastAsia="Times New Roman" w:hAnsi="Arial" w:cs="Arial"/>
          <w:b w:val="0"/>
          <w:bCs/>
          <w:sz w:val="24"/>
          <w:szCs w:val="24"/>
          <w:u w:val="none"/>
        </w:rPr>
        <w:t xml:space="preserve">a </w:t>
      </w:r>
      <w:r>
        <w:rPr>
          <w:rFonts w:ascii="Arial" w:eastAsia="Times New Roman" w:hAnsi="Arial" w:cs="Arial"/>
          <w:b w:val="0"/>
          <w:bCs/>
          <w:sz w:val="24"/>
          <w:szCs w:val="24"/>
          <w:u w:val="none"/>
        </w:rPr>
        <w:t xml:space="preserve">Discussion Paper that </w:t>
      </w:r>
      <w:r w:rsidR="00762A18">
        <w:rPr>
          <w:rFonts w:ascii="Arial" w:eastAsia="Times New Roman" w:hAnsi="Arial" w:cs="Arial"/>
          <w:b w:val="0"/>
          <w:bCs/>
          <w:sz w:val="24"/>
          <w:szCs w:val="24"/>
          <w:u w:val="none"/>
        </w:rPr>
        <w:t xml:space="preserve">sought </w:t>
      </w:r>
      <w:r>
        <w:rPr>
          <w:rFonts w:ascii="Arial" w:eastAsia="Times New Roman" w:hAnsi="Arial" w:cs="Arial"/>
          <w:b w:val="0"/>
          <w:bCs/>
          <w:sz w:val="24"/>
          <w:szCs w:val="24"/>
          <w:u w:val="none"/>
        </w:rPr>
        <w:t xml:space="preserve">their views on Recommendations 5 and 8 of the Board of Inquiry Report (BoI Report) into the Criminal Justice System in the ACT. Those stakeholders included: </w:t>
      </w:r>
      <w:r w:rsidRPr="007626C2">
        <w:rPr>
          <w:rFonts w:ascii="Arial" w:eastAsia="Times New Roman" w:hAnsi="Arial" w:cs="Arial"/>
          <w:bCs/>
          <w:szCs w:val="24"/>
        </w:rPr>
        <w:t xml:space="preserve"> </w:t>
      </w:r>
    </w:p>
    <w:p w14:paraId="256647DE" w14:textId="77777777" w:rsidR="007626C2" w:rsidRPr="007626C2" w:rsidRDefault="007626C2" w:rsidP="007626C2">
      <w:pPr>
        <w:pStyle w:val="CS-Paragraphnumbering"/>
        <w:numPr>
          <w:ilvl w:val="2"/>
          <w:numId w:val="5"/>
        </w:numPr>
        <w:rPr>
          <w:rFonts w:ascii="Arial" w:eastAsia="Times New Roman" w:hAnsi="Arial" w:cs="Arial"/>
          <w:bCs/>
        </w:rPr>
      </w:pPr>
      <w:r w:rsidRPr="007626C2">
        <w:rPr>
          <w:rFonts w:ascii="Arial" w:eastAsia="Times New Roman" w:hAnsi="Arial" w:cs="Arial"/>
          <w:bCs/>
        </w:rPr>
        <w:t>ACT Courts and Tribunal</w:t>
      </w:r>
    </w:p>
    <w:p w14:paraId="5FDFD136" w14:textId="77777777" w:rsidR="007626C2" w:rsidRPr="007626C2" w:rsidRDefault="007626C2" w:rsidP="007626C2">
      <w:pPr>
        <w:pStyle w:val="CS-Paragraphnumbering"/>
        <w:numPr>
          <w:ilvl w:val="2"/>
          <w:numId w:val="5"/>
        </w:numPr>
        <w:rPr>
          <w:rFonts w:ascii="Arial" w:eastAsia="Times New Roman" w:hAnsi="Arial" w:cs="Arial"/>
          <w:bCs/>
        </w:rPr>
      </w:pPr>
      <w:r w:rsidRPr="007626C2">
        <w:rPr>
          <w:rFonts w:ascii="Arial" w:eastAsia="Times New Roman" w:hAnsi="Arial" w:cs="Arial"/>
          <w:bCs/>
        </w:rPr>
        <w:t>ACT Director of Public Prosecutions</w:t>
      </w:r>
    </w:p>
    <w:p w14:paraId="2869DBFC" w14:textId="77777777" w:rsidR="007626C2" w:rsidRPr="007626C2" w:rsidRDefault="007626C2" w:rsidP="007626C2">
      <w:pPr>
        <w:pStyle w:val="CS-Paragraphnumbering"/>
        <w:numPr>
          <w:ilvl w:val="2"/>
          <w:numId w:val="5"/>
        </w:numPr>
        <w:rPr>
          <w:rFonts w:ascii="Arial" w:eastAsia="Times New Roman" w:hAnsi="Arial" w:cs="Arial"/>
          <w:bCs/>
        </w:rPr>
      </w:pPr>
      <w:r w:rsidRPr="007626C2">
        <w:rPr>
          <w:rFonts w:ascii="Arial" w:eastAsia="Times New Roman" w:hAnsi="Arial" w:cs="Arial"/>
          <w:bCs/>
        </w:rPr>
        <w:t>ACT Policing</w:t>
      </w:r>
    </w:p>
    <w:p w14:paraId="00292473" w14:textId="77777777" w:rsidR="007626C2" w:rsidRPr="007626C2" w:rsidRDefault="007626C2" w:rsidP="007626C2">
      <w:pPr>
        <w:pStyle w:val="CS-Paragraphnumbering"/>
        <w:numPr>
          <w:ilvl w:val="2"/>
          <w:numId w:val="5"/>
        </w:numPr>
        <w:rPr>
          <w:rFonts w:ascii="Arial" w:eastAsia="Times New Roman" w:hAnsi="Arial" w:cs="Arial"/>
          <w:bCs/>
        </w:rPr>
      </w:pPr>
      <w:r w:rsidRPr="007626C2">
        <w:rPr>
          <w:rFonts w:ascii="Arial" w:eastAsia="Times New Roman" w:hAnsi="Arial" w:cs="Arial"/>
          <w:bCs/>
        </w:rPr>
        <w:t>Aboriginal Legal Service ACT/NSW</w:t>
      </w:r>
    </w:p>
    <w:p w14:paraId="4567F158" w14:textId="77777777" w:rsidR="007626C2" w:rsidRPr="007626C2" w:rsidRDefault="007626C2" w:rsidP="007626C2">
      <w:pPr>
        <w:pStyle w:val="CS-Paragraphnumbering"/>
        <w:numPr>
          <w:ilvl w:val="2"/>
          <w:numId w:val="5"/>
        </w:numPr>
        <w:rPr>
          <w:rFonts w:ascii="Arial" w:eastAsia="Times New Roman" w:hAnsi="Arial" w:cs="Arial"/>
          <w:bCs/>
        </w:rPr>
      </w:pPr>
      <w:r w:rsidRPr="007626C2">
        <w:rPr>
          <w:rFonts w:ascii="Arial" w:eastAsia="Times New Roman" w:hAnsi="Arial" w:cs="Arial"/>
          <w:bCs/>
        </w:rPr>
        <w:t>Women’s Legal Centre</w:t>
      </w:r>
    </w:p>
    <w:p w14:paraId="3FA2A532" w14:textId="77777777" w:rsidR="007626C2" w:rsidRPr="007626C2" w:rsidRDefault="007626C2" w:rsidP="007626C2">
      <w:pPr>
        <w:pStyle w:val="CS-Paragraphnumbering"/>
        <w:numPr>
          <w:ilvl w:val="2"/>
          <w:numId w:val="5"/>
        </w:numPr>
        <w:rPr>
          <w:rFonts w:ascii="Arial" w:eastAsia="Times New Roman" w:hAnsi="Arial" w:cs="Arial"/>
          <w:bCs/>
        </w:rPr>
      </w:pPr>
      <w:r w:rsidRPr="007626C2">
        <w:rPr>
          <w:rFonts w:ascii="Arial" w:eastAsia="Times New Roman" w:hAnsi="Arial" w:cs="Arial"/>
          <w:bCs/>
        </w:rPr>
        <w:t>ACT Law Society</w:t>
      </w:r>
    </w:p>
    <w:p w14:paraId="5DA84A6D" w14:textId="12A69DC7" w:rsidR="007626C2" w:rsidRPr="007626C2" w:rsidRDefault="007626C2" w:rsidP="007626C2">
      <w:pPr>
        <w:pStyle w:val="CS-Paragraphnumbering"/>
        <w:numPr>
          <w:ilvl w:val="2"/>
          <w:numId w:val="5"/>
        </w:numPr>
        <w:rPr>
          <w:rFonts w:ascii="Arial" w:eastAsia="Times New Roman" w:hAnsi="Arial" w:cs="Arial"/>
          <w:bCs/>
        </w:rPr>
      </w:pPr>
      <w:r w:rsidRPr="007626C2">
        <w:rPr>
          <w:rFonts w:ascii="Arial" w:eastAsia="Times New Roman" w:hAnsi="Arial" w:cs="Arial"/>
          <w:bCs/>
        </w:rPr>
        <w:t>ACT Bar Association</w:t>
      </w:r>
    </w:p>
    <w:p w14:paraId="1C3C1A95" w14:textId="34AB3729" w:rsidR="007626C2" w:rsidRPr="007626C2" w:rsidRDefault="007626C2" w:rsidP="007626C2">
      <w:pPr>
        <w:pStyle w:val="CS-Paragraphnumbering"/>
        <w:numPr>
          <w:ilvl w:val="2"/>
          <w:numId w:val="5"/>
        </w:numPr>
        <w:rPr>
          <w:rFonts w:ascii="Arial" w:eastAsia="Times New Roman" w:hAnsi="Arial" w:cs="Arial"/>
          <w:bCs/>
        </w:rPr>
      </w:pPr>
      <w:r w:rsidRPr="007626C2">
        <w:rPr>
          <w:rFonts w:ascii="Arial" w:eastAsia="Times New Roman" w:hAnsi="Arial" w:cs="Arial"/>
          <w:bCs/>
        </w:rPr>
        <w:t>Canberra Rape Crisis Centre</w:t>
      </w:r>
    </w:p>
    <w:p w14:paraId="48D47795" w14:textId="77777777" w:rsidR="007626C2" w:rsidRPr="007626C2" w:rsidRDefault="007626C2" w:rsidP="007626C2">
      <w:pPr>
        <w:pStyle w:val="CS-Paragraphnumbering"/>
        <w:numPr>
          <w:ilvl w:val="2"/>
          <w:numId w:val="5"/>
        </w:numPr>
        <w:rPr>
          <w:rFonts w:ascii="Arial" w:eastAsia="Times New Roman" w:hAnsi="Arial" w:cs="Arial"/>
          <w:bCs/>
        </w:rPr>
      </w:pPr>
      <w:r w:rsidRPr="007626C2">
        <w:rPr>
          <w:rFonts w:ascii="Arial" w:eastAsia="Times New Roman" w:hAnsi="Arial" w:cs="Arial"/>
          <w:bCs/>
        </w:rPr>
        <w:lastRenderedPageBreak/>
        <w:t>Legal Aid ACT</w:t>
      </w:r>
    </w:p>
    <w:p w14:paraId="19FC647A" w14:textId="77777777" w:rsidR="007626C2" w:rsidRDefault="007626C2" w:rsidP="007626C2">
      <w:pPr>
        <w:pStyle w:val="Paragraphtext"/>
        <w:numPr>
          <w:ilvl w:val="2"/>
          <w:numId w:val="5"/>
        </w:numPr>
        <w:spacing w:line="276" w:lineRule="auto"/>
        <w:rPr>
          <w:rFonts w:ascii="Arial" w:eastAsia="Times New Roman" w:hAnsi="Arial" w:cs="Arial"/>
          <w:bCs/>
          <w:color w:val="auto"/>
          <w:szCs w:val="24"/>
        </w:rPr>
      </w:pPr>
      <w:r w:rsidRPr="007626C2">
        <w:rPr>
          <w:rFonts w:ascii="Arial" w:eastAsia="Times New Roman" w:hAnsi="Arial" w:cs="Arial"/>
          <w:bCs/>
          <w:color w:val="auto"/>
          <w:szCs w:val="24"/>
        </w:rPr>
        <w:t>ACT Victims of Crime Commission/Victims Support ACT</w:t>
      </w:r>
    </w:p>
    <w:p w14:paraId="5C9174E3" w14:textId="4DB45B05" w:rsidR="00D34B9F" w:rsidRPr="007626C2" w:rsidRDefault="00D34B9F" w:rsidP="007626C2">
      <w:pPr>
        <w:pStyle w:val="Paragraphtext"/>
        <w:numPr>
          <w:ilvl w:val="2"/>
          <w:numId w:val="5"/>
        </w:numPr>
        <w:spacing w:line="276" w:lineRule="auto"/>
        <w:rPr>
          <w:rFonts w:ascii="Arial" w:eastAsia="Times New Roman" w:hAnsi="Arial" w:cs="Arial"/>
          <w:bCs/>
          <w:color w:val="auto"/>
          <w:szCs w:val="24"/>
        </w:rPr>
      </w:pPr>
      <w:r>
        <w:rPr>
          <w:rFonts w:ascii="Arial" w:eastAsia="Times New Roman" w:hAnsi="Arial" w:cs="Arial"/>
          <w:bCs/>
          <w:color w:val="auto"/>
          <w:szCs w:val="24"/>
        </w:rPr>
        <w:t>Domestic, Family and Sexual Violence Office, Community Services Directorate</w:t>
      </w:r>
      <w:r w:rsidR="00D8448A">
        <w:rPr>
          <w:rFonts w:ascii="Arial" w:eastAsia="Times New Roman" w:hAnsi="Arial" w:cs="Arial"/>
          <w:bCs/>
          <w:color w:val="auto"/>
          <w:szCs w:val="24"/>
        </w:rPr>
        <w:t>.</w:t>
      </w:r>
    </w:p>
    <w:p w14:paraId="32EF6608" w14:textId="2D2D8AC4" w:rsidR="007626C2" w:rsidRDefault="007626C2" w:rsidP="004756E7">
      <w:pPr>
        <w:pStyle w:val="Subheading10"/>
        <w:rPr>
          <w:rFonts w:ascii="Arial" w:eastAsia="Times New Roman" w:hAnsi="Arial" w:cs="Arial"/>
          <w:bCs/>
          <w:sz w:val="24"/>
          <w:szCs w:val="24"/>
        </w:rPr>
      </w:pPr>
      <w:r w:rsidRPr="004756E7">
        <w:rPr>
          <w:rFonts w:ascii="Arial" w:eastAsia="Times New Roman" w:hAnsi="Arial" w:cs="Arial"/>
          <w:b w:val="0"/>
          <w:sz w:val="24"/>
          <w:szCs w:val="24"/>
          <w:u w:val="none"/>
        </w:rPr>
        <w:t>JACS has also consulted with Victim Support ACT (VSACT) on the proposed amendment for complainant standing</w:t>
      </w:r>
      <w:r w:rsidR="005F2E9B">
        <w:rPr>
          <w:rFonts w:ascii="Arial" w:eastAsia="Times New Roman" w:hAnsi="Arial" w:cs="Arial"/>
          <w:b w:val="0"/>
          <w:sz w:val="24"/>
          <w:szCs w:val="24"/>
          <w:u w:val="none"/>
        </w:rPr>
        <w:t>.</w:t>
      </w:r>
    </w:p>
    <w:p w14:paraId="31F0770B" w14:textId="47315845" w:rsidR="00B90824" w:rsidRDefault="00180138" w:rsidP="004756E7">
      <w:pPr>
        <w:pStyle w:val="Subheading10"/>
        <w:rPr>
          <w:rFonts w:ascii="Arial" w:eastAsia="Times New Roman" w:hAnsi="Arial" w:cs="Arial"/>
          <w:b w:val="0"/>
          <w:sz w:val="24"/>
          <w:szCs w:val="24"/>
          <w:u w:val="none"/>
        </w:rPr>
      </w:pPr>
      <w:r>
        <w:rPr>
          <w:rFonts w:ascii="Arial" w:eastAsia="Times New Roman" w:hAnsi="Arial" w:cs="Arial"/>
          <w:b w:val="0"/>
          <w:sz w:val="24"/>
          <w:szCs w:val="24"/>
          <w:u w:val="none"/>
        </w:rPr>
        <w:t>Based on stakeholder feedback, the Bill</w:t>
      </w:r>
      <w:r w:rsidR="00C73820">
        <w:rPr>
          <w:rFonts w:ascii="Arial" w:eastAsia="Times New Roman" w:hAnsi="Arial" w:cs="Arial"/>
          <w:b w:val="0"/>
          <w:sz w:val="24"/>
          <w:szCs w:val="24"/>
          <w:u w:val="none"/>
        </w:rPr>
        <w:t xml:space="preserve"> has been drafted</w:t>
      </w:r>
      <w:r>
        <w:rPr>
          <w:rFonts w:ascii="Arial" w:eastAsia="Times New Roman" w:hAnsi="Arial" w:cs="Arial"/>
          <w:b w:val="0"/>
          <w:sz w:val="24"/>
          <w:szCs w:val="24"/>
          <w:u w:val="none"/>
        </w:rPr>
        <w:t xml:space="preserve"> </w:t>
      </w:r>
      <w:r w:rsidR="00D34B9F">
        <w:rPr>
          <w:rFonts w:ascii="Arial" w:eastAsia="Times New Roman" w:hAnsi="Arial" w:cs="Arial"/>
          <w:b w:val="0"/>
          <w:sz w:val="24"/>
          <w:szCs w:val="24"/>
          <w:u w:val="none"/>
        </w:rPr>
        <w:t>to</w:t>
      </w:r>
      <w:r>
        <w:rPr>
          <w:rFonts w:ascii="Arial" w:eastAsia="Times New Roman" w:hAnsi="Arial" w:cs="Arial"/>
          <w:b w:val="0"/>
          <w:sz w:val="24"/>
          <w:szCs w:val="24"/>
          <w:u w:val="none"/>
        </w:rPr>
        <w:t xml:space="preserve"> </w:t>
      </w:r>
      <w:r w:rsidRPr="00180138">
        <w:rPr>
          <w:rFonts w:ascii="Arial" w:eastAsia="Times New Roman" w:hAnsi="Arial" w:cs="Arial"/>
          <w:b w:val="0"/>
          <w:sz w:val="24"/>
          <w:szCs w:val="24"/>
          <w:u w:val="none"/>
        </w:rPr>
        <w:t>set clear obligations for disclosure of evidence before and during criminal proceedings</w:t>
      </w:r>
      <w:r>
        <w:rPr>
          <w:rFonts w:ascii="Arial" w:eastAsia="Times New Roman" w:hAnsi="Arial" w:cs="Arial"/>
          <w:b w:val="0"/>
          <w:sz w:val="24"/>
          <w:szCs w:val="24"/>
          <w:u w:val="none"/>
        </w:rPr>
        <w:t xml:space="preserve"> for prosecution</w:t>
      </w:r>
      <w:r w:rsidRPr="00180138">
        <w:rPr>
          <w:rFonts w:ascii="Arial" w:eastAsia="Times New Roman" w:hAnsi="Arial" w:cs="Arial"/>
          <w:b w:val="0"/>
          <w:sz w:val="24"/>
          <w:szCs w:val="24"/>
          <w:u w:val="none"/>
        </w:rPr>
        <w:t>, achieve improved understanding of the prosecutor’s obligations under the legislation and assign specific powers to courts to enforce the disclosure obligation rules.</w:t>
      </w:r>
      <w:r>
        <w:rPr>
          <w:rFonts w:ascii="Arial" w:eastAsia="Times New Roman" w:hAnsi="Arial" w:cs="Arial"/>
          <w:b w:val="0"/>
          <w:sz w:val="24"/>
          <w:szCs w:val="24"/>
          <w:u w:val="none"/>
        </w:rPr>
        <w:t xml:space="preserve"> </w:t>
      </w:r>
    </w:p>
    <w:p w14:paraId="5EF14BB9" w14:textId="5FD3D98E" w:rsidR="00180138" w:rsidRDefault="00180138" w:rsidP="004756E7">
      <w:pPr>
        <w:pStyle w:val="Subheading10"/>
        <w:rPr>
          <w:rFonts w:ascii="Arial" w:eastAsia="Times New Roman" w:hAnsi="Arial" w:cs="Arial"/>
          <w:b w:val="0"/>
          <w:sz w:val="24"/>
          <w:szCs w:val="24"/>
          <w:u w:val="none"/>
        </w:rPr>
      </w:pPr>
      <w:bookmarkStart w:id="2" w:name="_Hlk158898242"/>
      <w:proofErr w:type="gramStart"/>
      <w:r w:rsidRPr="00180138">
        <w:rPr>
          <w:rFonts w:ascii="Arial" w:eastAsia="Times New Roman" w:hAnsi="Arial" w:cs="Arial"/>
          <w:b w:val="0"/>
          <w:sz w:val="24"/>
          <w:szCs w:val="24"/>
          <w:u w:val="none"/>
        </w:rPr>
        <w:t>The majority of</w:t>
      </w:r>
      <w:proofErr w:type="gramEnd"/>
      <w:r w:rsidRPr="00180138">
        <w:rPr>
          <w:rFonts w:ascii="Arial" w:eastAsia="Times New Roman" w:hAnsi="Arial" w:cs="Arial"/>
          <w:b w:val="0"/>
          <w:sz w:val="24"/>
          <w:szCs w:val="24"/>
          <w:u w:val="none"/>
        </w:rPr>
        <w:t xml:space="preserve"> stakeholders supported </w:t>
      </w:r>
      <w:r w:rsidR="00B90824">
        <w:rPr>
          <w:rFonts w:ascii="Arial" w:eastAsia="Times New Roman" w:hAnsi="Arial" w:cs="Arial"/>
          <w:b w:val="0"/>
          <w:sz w:val="24"/>
          <w:szCs w:val="24"/>
          <w:u w:val="none"/>
        </w:rPr>
        <w:t>a</w:t>
      </w:r>
      <w:r w:rsidRPr="00180138">
        <w:rPr>
          <w:rFonts w:ascii="Arial" w:eastAsia="Times New Roman" w:hAnsi="Arial" w:cs="Arial"/>
          <w:b w:val="0"/>
          <w:sz w:val="24"/>
          <w:szCs w:val="24"/>
          <w:u w:val="none"/>
        </w:rPr>
        <w:t xml:space="preserve"> detailed model of disclosure obligations to reduce ambiguity, add clarity and promote standard processes and timeframes for disclosure.</w:t>
      </w:r>
      <w:r w:rsidR="00B90824">
        <w:rPr>
          <w:rFonts w:ascii="Arial" w:eastAsia="Times New Roman" w:hAnsi="Arial" w:cs="Arial"/>
          <w:b w:val="0"/>
          <w:sz w:val="24"/>
          <w:szCs w:val="24"/>
          <w:u w:val="none"/>
        </w:rPr>
        <w:t xml:space="preserve"> </w:t>
      </w:r>
      <w:r w:rsidR="00B90824" w:rsidRPr="00B90824">
        <w:rPr>
          <w:rFonts w:ascii="Arial" w:eastAsia="Times New Roman" w:hAnsi="Arial" w:cs="Arial"/>
          <w:b w:val="0"/>
          <w:sz w:val="24"/>
          <w:szCs w:val="24"/>
          <w:u w:val="none"/>
        </w:rPr>
        <w:t xml:space="preserve">Stakeholders have called for detailed disclosure rules outlined in </w:t>
      </w:r>
      <w:r w:rsidR="00E459A8">
        <w:rPr>
          <w:rFonts w:ascii="Arial" w:eastAsia="Times New Roman" w:hAnsi="Arial" w:cs="Arial"/>
          <w:b w:val="0"/>
          <w:sz w:val="24"/>
          <w:szCs w:val="24"/>
          <w:u w:val="none"/>
        </w:rPr>
        <w:t xml:space="preserve">primary </w:t>
      </w:r>
      <w:r w:rsidR="00B90824" w:rsidRPr="00B90824">
        <w:rPr>
          <w:rFonts w:ascii="Arial" w:eastAsia="Times New Roman" w:hAnsi="Arial" w:cs="Arial"/>
          <w:b w:val="0"/>
          <w:sz w:val="24"/>
          <w:szCs w:val="24"/>
          <w:u w:val="none"/>
        </w:rPr>
        <w:t xml:space="preserve">legislation and clear powers for courts to </w:t>
      </w:r>
      <w:r w:rsidR="00E459A8">
        <w:rPr>
          <w:rFonts w:ascii="Arial" w:eastAsia="Times New Roman" w:hAnsi="Arial" w:cs="Arial"/>
          <w:b w:val="0"/>
          <w:sz w:val="24"/>
          <w:szCs w:val="24"/>
          <w:u w:val="none"/>
        </w:rPr>
        <w:t>oversee compliance with the</w:t>
      </w:r>
      <w:r w:rsidR="00E459A8" w:rsidRPr="00B90824">
        <w:rPr>
          <w:rFonts w:ascii="Arial" w:eastAsia="Times New Roman" w:hAnsi="Arial" w:cs="Arial"/>
          <w:b w:val="0"/>
          <w:sz w:val="24"/>
          <w:szCs w:val="24"/>
          <w:u w:val="none"/>
        </w:rPr>
        <w:t xml:space="preserve"> </w:t>
      </w:r>
      <w:r w:rsidR="00B90824" w:rsidRPr="00B90824">
        <w:rPr>
          <w:rFonts w:ascii="Arial" w:eastAsia="Times New Roman" w:hAnsi="Arial" w:cs="Arial"/>
          <w:b w:val="0"/>
          <w:sz w:val="24"/>
          <w:szCs w:val="24"/>
          <w:u w:val="none"/>
        </w:rPr>
        <w:t>rules, either through excluding evidence, limiting its use, adjourning matters, or in the most extreme cases, dismissal of charges.</w:t>
      </w:r>
      <w:r w:rsidR="00B90824">
        <w:rPr>
          <w:rFonts w:ascii="Arial" w:eastAsia="Times New Roman" w:hAnsi="Arial" w:cs="Arial"/>
          <w:b w:val="0"/>
          <w:sz w:val="24"/>
          <w:szCs w:val="24"/>
          <w:u w:val="none"/>
        </w:rPr>
        <w:t xml:space="preserve"> Furthermore, stakeholders were strongly supportive of establishing timeframes for disclosure in the Bill, arguing that legislating timeframes would support fairness in pre-trial and trial stages of the process, ensuring procedural fairness for the defendant. </w:t>
      </w:r>
      <w:r w:rsidR="00C57DA4">
        <w:rPr>
          <w:rFonts w:ascii="Arial" w:eastAsia="Times New Roman" w:hAnsi="Arial" w:cs="Arial"/>
          <w:b w:val="0"/>
          <w:sz w:val="24"/>
          <w:szCs w:val="24"/>
          <w:u w:val="none"/>
        </w:rPr>
        <w:t>Stakeholders called for the amendments to</w:t>
      </w:r>
      <w:r w:rsidR="00B90824">
        <w:rPr>
          <w:rFonts w:ascii="Arial" w:eastAsia="Times New Roman" w:hAnsi="Arial" w:cs="Arial"/>
          <w:b w:val="0"/>
          <w:sz w:val="24"/>
          <w:szCs w:val="24"/>
          <w:u w:val="none"/>
        </w:rPr>
        <w:t xml:space="preserve"> </w:t>
      </w:r>
      <w:proofErr w:type="gramStart"/>
      <w:r w:rsidR="00B90824">
        <w:rPr>
          <w:rFonts w:ascii="Arial" w:eastAsia="Times New Roman" w:hAnsi="Arial" w:cs="Arial"/>
          <w:b w:val="0"/>
          <w:sz w:val="24"/>
          <w:szCs w:val="24"/>
          <w:u w:val="none"/>
        </w:rPr>
        <w:t>also further strengthen oversight of the courts</w:t>
      </w:r>
      <w:proofErr w:type="gramEnd"/>
      <w:r w:rsidR="00B90824">
        <w:rPr>
          <w:rFonts w:ascii="Arial" w:eastAsia="Times New Roman" w:hAnsi="Arial" w:cs="Arial"/>
          <w:b w:val="0"/>
          <w:sz w:val="24"/>
          <w:szCs w:val="24"/>
          <w:u w:val="none"/>
        </w:rPr>
        <w:t xml:space="preserve"> in setting timelines. </w:t>
      </w:r>
      <w:bookmarkEnd w:id="2"/>
      <w:r w:rsidR="00D34B9F">
        <w:rPr>
          <w:rFonts w:ascii="Arial" w:eastAsia="Times New Roman" w:hAnsi="Arial" w:cs="Arial"/>
          <w:b w:val="0"/>
          <w:sz w:val="24"/>
          <w:szCs w:val="24"/>
          <w:u w:val="none"/>
        </w:rPr>
        <w:t xml:space="preserve">This feedback has been incorporated into the Bill. </w:t>
      </w:r>
    </w:p>
    <w:p w14:paraId="3587EF9D" w14:textId="4500DF42" w:rsidR="00C57DA4" w:rsidRDefault="00D34B9F" w:rsidP="004756E7">
      <w:pPr>
        <w:pStyle w:val="Subheading10"/>
        <w:rPr>
          <w:rFonts w:ascii="Arial" w:eastAsia="Times New Roman" w:hAnsi="Arial" w:cs="Arial"/>
          <w:b w:val="0"/>
          <w:sz w:val="24"/>
          <w:szCs w:val="24"/>
          <w:u w:val="none"/>
        </w:rPr>
      </w:pPr>
      <w:r>
        <w:rPr>
          <w:rFonts w:ascii="Arial" w:eastAsia="Times New Roman" w:hAnsi="Arial" w:cs="Arial"/>
          <w:b w:val="0"/>
          <w:sz w:val="24"/>
          <w:szCs w:val="24"/>
          <w:u w:val="none"/>
        </w:rPr>
        <w:t>The Bill’s amendments</w:t>
      </w:r>
      <w:r w:rsidR="00C57DA4">
        <w:rPr>
          <w:rFonts w:ascii="Arial" w:eastAsia="Times New Roman" w:hAnsi="Arial" w:cs="Arial"/>
          <w:b w:val="0"/>
          <w:sz w:val="24"/>
          <w:szCs w:val="24"/>
          <w:u w:val="none"/>
        </w:rPr>
        <w:t xml:space="preserve"> include new detailed provisions that clearly articulate the rules for disclosure, including: </w:t>
      </w:r>
    </w:p>
    <w:p w14:paraId="79FE5413" w14:textId="62D5B424" w:rsidR="00D34B9F" w:rsidRDefault="00C57DA4" w:rsidP="00280B4E">
      <w:pPr>
        <w:pStyle w:val="Subheading10"/>
        <w:numPr>
          <w:ilvl w:val="0"/>
          <w:numId w:val="12"/>
        </w:numPr>
        <w:rPr>
          <w:rFonts w:ascii="Arial" w:eastAsia="Times New Roman" w:hAnsi="Arial" w:cs="Arial"/>
          <w:b w:val="0"/>
          <w:sz w:val="24"/>
          <w:szCs w:val="24"/>
          <w:u w:val="none"/>
        </w:rPr>
      </w:pPr>
      <w:r w:rsidRPr="00C57DA4">
        <w:rPr>
          <w:rFonts w:ascii="Arial" w:eastAsia="Times New Roman" w:hAnsi="Arial" w:cs="Arial"/>
          <w:b w:val="0"/>
          <w:sz w:val="24"/>
          <w:szCs w:val="24"/>
          <w:u w:val="none"/>
        </w:rPr>
        <w:t>A legislated duty of disclosure for the prosecution, with a robust and objective disclosure regime</w:t>
      </w:r>
      <w:r w:rsidR="00D34B9F">
        <w:rPr>
          <w:rFonts w:ascii="Arial" w:eastAsia="Times New Roman" w:hAnsi="Arial" w:cs="Arial"/>
          <w:b w:val="0"/>
          <w:sz w:val="24"/>
          <w:szCs w:val="24"/>
          <w:u w:val="none"/>
        </w:rPr>
        <w:t>.</w:t>
      </w:r>
    </w:p>
    <w:p w14:paraId="5657F8CC" w14:textId="375B20F0" w:rsidR="00D34B9F" w:rsidRDefault="00D34B9F" w:rsidP="00D34B9F">
      <w:pPr>
        <w:pStyle w:val="Subheading10"/>
        <w:numPr>
          <w:ilvl w:val="1"/>
          <w:numId w:val="12"/>
        </w:numPr>
        <w:rPr>
          <w:rFonts w:ascii="Arial" w:eastAsia="Times New Roman" w:hAnsi="Arial" w:cs="Arial"/>
          <w:b w:val="0"/>
          <w:sz w:val="24"/>
          <w:szCs w:val="24"/>
          <w:u w:val="none"/>
        </w:rPr>
      </w:pPr>
      <w:r>
        <w:rPr>
          <w:rFonts w:ascii="Arial" w:eastAsia="Times New Roman" w:hAnsi="Arial" w:cs="Arial"/>
          <w:b w:val="0"/>
          <w:sz w:val="24"/>
          <w:szCs w:val="24"/>
          <w:u w:val="none"/>
        </w:rPr>
        <w:t xml:space="preserve">This </w:t>
      </w:r>
      <w:r w:rsidR="00C57DA4" w:rsidRPr="00D34B9F">
        <w:rPr>
          <w:rFonts w:ascii="Arial" w:eastAsia="Times New Roman" w:hAnsi="Arial" w:cs="Arial"/>
          <w:b w:val="0"/>
          <w:sz w:val="24"/>
          <w:szCs w:val="24"/>
          <w:u w:val="none"/>
        </w:rPr>
        <w:t xml:space="preserve">includes a requirement on prosecutors to disclose </w:t>
      </w:r>
      <w:r w:rsidR="000F3A94" w:rsidRPr="00D34B9F">
        <w:rPr>
          <w:rFonts w:ascii="Arial" w:eastAsia="Times New Roman" w:hAnsi="Arial" w:cs="Arial"/>
          <w:b w:val="0"/>
          <w:sz w:val="24"/>
          <w:szCs w:val="24"/>
          <w:u w:val="none"/>
        </w:rPr>
        <w:t xml:space="preserve">all </w:t>
      </w:r>
      <w:r w:rsidR="00C57DA4" w:rsidRPr="00D34B9F">
        <w:rPr>
          <w:rFonts w:ascii="Arial" w:eastAsia="Times New Roman" w:hAnsi="Arial" w:cs="Arial"/>
          <w:b w:val="0"/>
          <w:sz w:val="24"/>
          <w:szCs w:val="24"/>
          <w:u w:val="none"/>
        </w:rPr>
        <w:t>evidence</w:t>
      </w:r>
      <w:r w:rsidR="000F3A94" w:rsidRPr="00D34B9F">
        <w:rPr>
          <w:rFonts w:ascii="Arial" w:eastAsia="Times New Roman" w:hAnsi="Arial" w:cs="Arial"/>
          <w:b w:val="0"/>
          <w:sz w:val="24"/>
          <w:szCs w:val="24"/>
          <w:u w:val="none"/>
        </w:rPr>
        <w:t xml:space="preserve"> available to them.</w:t>
      </w:r>
    </w:p>
    <w:p w14:paraId="1BE7CCB7" w14:textId="56A01ADD" w:rsidR="00D34B9F" w:rsidRPr="00D34B9F" w:rsidRDefault="00D34B9F" w:rsidP="00280B4E">
      <w:pPr>
        <w:pStyle w:val="Subheading10"/>
        <w:numPr>
          <w:ilvl w:val="1"/>
          <w:numId w:val="12"/>
        </w:numPr>
        <w:rPr>
          <w:rFonts w:ascii="Arial" w:eastAsia="Times New Roman" w:hAnsi="Arial" w:cs="Arial"/>
          <w:b w:val="0"/>
          <w:sz w:val="24"/>
          <w:szCs w:val="24"/>
          <w:u w:val="none"/>
        </w:rPr>
      </w:pPr>
      <w:r>
        <w:rPr>
          <w:rFonts w:ascii="Arial" w:eastAsia="Times New Roman" w:hAnsi="Arial" w:cs="Arial"/>
          <w:b w:val="0"/>
          <w:sz w:val="24"/>
          <w:szCs w:val="24"/>
          <w:u w:val="none"/>
        </w:rPr>
        <w:t xml:space="preserve">A </w:t>
      </w:r>
      <w:r w:rsidR="00C57DA4" w:rsidRPr="00D34B9F">
        <w:rPr>
          <w:rFonts w:ascii="Arial" w:eastAsia="Times New Roman" w:hAnsi="Arial" w:cs="Arial"/>
          <w:b w:val="0"/>
          <w:sz w:val="24"/>
          <w:szCs w:val="24"/>
          <w:u w:val="none"/>
        </w:rPr>
        <w:t>requirement for ongoing disclosure as new evidence becomes available to the prosecutor after the brief of evidence has been served</w:t>
      </w:r>
      <w:r>
        <w:rPr>
          <w:rFonts w:ascii="Arial" w:eastAsia="Times New Roman" w:hAnsi="Arial" w:cs="Arial"/>
          <w:b w:val="0"/>
          <w:sz w:val="24"/>
          <w:szCs w:val="24"/>
          <w:u w:val="none"/>
        </w:rPr>
        <w:t>.</w:t>
      </w:r>
    </w:p>
    <w:p w14:paraId="3F659F0D" w14:textId="321E9F25" w:rsidR="00C57DA4" w:rsidRPr="00D34B9F" w:rsidRDefault="00D34B9F" w:rsidP="00280B4E">
      <w:pPr>
        <w:pStyle w:val="Subheading10"/>
        <w:numPr>
          <w:ilvl w:val="1"/>
          <w:numId w:val="12"/>
        </w:numPr>
        <w:rPr>
          <w:rFonts w:ascii="Arial" w:eastAsia="Times New Roman" w:hAnsi="Arial" w:cs="Arial"/>
          <w:b w:val="0"/>
          <w:sz w:val="24"/>
          <w:szCs w:val="24"/>
          <w:u w:val="none"/>
        </w:rPr>
      </w:pPr>
      <w:r>
        <w:rPr>
          <w:rFonts w:ascii="Arial" w:eastAsia="Times New Roman" w:hAnsi="Arial" w:cs="Arial"/>
          <w:b w:val="0"/>
          <w:sz w:val="24"/>
          <w:szCs w:val="24"/>
          <w:u w:val="none"/>
        </w:rPr>
        <w:t>The pr</w:t>
      </w:r>
      <w:r w:rsidR="00957C95">
        <w:rPr>
          <w:rFonts w:ascii="Arial" w:eastAsia="Times New Roman" w:hAnsi="Arial" w:cs="Arial"/>
          <w:b w:val="0"/>
          <w:sz w:val="24"/>
          <w:szCs w:val="24"/>
          <w:u w:val="none"/>
        </w:rPr>
        <w:t>o</w:t>
      </w:r>
      <w:r>
        <w:rPr>
          <w:rFonts w:ascii="Arial" w:eastAsia="Times New Roman" w:hAnsi="Arial" w:cs="Arial"/>
          <w:b w:val="0"/>
          <w:sz w:val="24"/>
          <w:szCs w:val="24"/>
          <w:u w:val="none"/>
        </w:rPr>
        <w:t xml:space="preserve">vision of </w:t>
      </w:r>
      <w:r w:rsidR="00C57DA4" w:rsidRPr="00D34B9F">
        <w:rPr>
          <w:rFonts w:ascii="Arial" w:eastAsia="Times New Roman" w:hAnsi="Arial" w:cs="Arial"/>
          <w:b w:val="0"/>
          <w:sz w:val="24"/>
          <w:szCs w:val="24"/>
          <w:u w:val="none"/>
        </w:rPr>
        <w:t xml:space="preserve">details on what matters should be disclosed in </w:t>
      </w:r>
      <w:r>
        <w:rPr>
          <w:rFonts w:ascii="Arial" w:eastAsia="Times New Roman" w:hAnsi="Arial" w:cs="Arial"/>
          <w:b w:val="0"/>
          <w:sz w:val="24"/>
          <w:szCs w:val="24"/>
          <w:u w:val="none"/>
        </w:rPr>
        <w:t xml:space="preserve">a </w:t>
      </w:r>
      <w:r w:rsidR="00C57DA4" w:rsidRPr="00D34B9F">
        <w:rPr>
          <w:rFonts w:ascii="Arial" w:eastAsia="Times New Roman" w:hAnsi="Arial" w:cs="Arial"/>
          <w:b w:val="0"/>
          <w:sz w:val="24"/>
          <w:szCs w:val="24"/>
          <w:u w:val="none"/>
        </w:rPr>
        <w:t xml:space="preserve">brief of evidence and any exceptions to </w:t>
      </w:r>
      <w:r>
        <w:rPr>
          <w:rFonts w:ascii="Arial" w:eastAsia="Times New Roman" w:hAnsi="Arial" w:cs="Arial"/>
          <w:b w:val="0"/>
          <w:sz w:val="24"/>
          <w:szCs w:val="24"/>
          <w:u w:val="none"/>
        </w:rPr>
        <w:t xml:space="preserve">these </w:t>
      </w:r>
      <w:r w:rsidR="00C57DA4" w:rsidRPr="00D34B9F">
        <w:rPr>
          <w:rFonts w:ascii="Arial" w:eastAsia="Times New Roman" w:hAnsi="Arial" w:cs="Arial"/>
          <w:b w:val="0"/>
          <w:sz w:val="24"/>
          <w:szCs w:val="24"/>
          <w:u w:val="none"/>
        </w:rPr>
        <w:t>requirements.</w:t>
      </w:r>
    </w:p>
    <w:p w14:paraId="539949D2" w14:textId="0055169C" w:rsidR="00C57DA4" w:rsidRPr="00D34B9F" w:rsidRDefault="00C57DA4" w:rsidP="00280B4E">
      <w:pPr>
        <w:pStyle w:val="Subheading10"/>
        <w:numPr>
          <w:ilvl w:val="0"/>
          <w:numId w:val="12"/>
        </w:numPr>
        <w:rPr>
          <w:rFonts w:ascii="Arial" w:eastAsia="Times New Roman" w:hAnsi="Arial" w:cs="Arial"/>
          <w:b w:val="0"/>
          <w:sz w:val="24"/>
          <w:szCs w:val="24"/>
          <w:u w:val="none"/>
        </w:rPr>
      </w:pPr>
      <w:r w:rsidRPr="00C57DA4">
        <w:rPr>
          <w:rFonts w:ascii="Arial" w:eastAsia="Times New Roman" w:hAnsi="Arial" w:cs="Arial"/>
          <w:b w:val="0"/>
          <w:sz w:val="24"/>
          <w:szCs w:val="24"/>
          <w:u w:val="none"/>
        </w:rPr>
        <w:t xml:space="preserve">Timeframes for disclosure of briefs of evidence, so that briefs of evidence must be served by a specific timeframe before a hearing (unless court approval has been obtained). </w:t>
      </w:r>
      <w:r w:rsidR="00280B4E">
        <w:rPr>
          <w:rFonts w:ascii="Arial" w:eastAsia="Times New Roman" w:hAnsi="Arial" w:cs="Arial"/>
          <w:b w:val="0"/>
          <w:sz w:val="24"/>
          <w:szCs w:val="24"/>
          <w:u w:val="none"/>
        </w:rPr>
        <w:t xml:space="preserve">The </w:t>
      </w:r>
      <w:r w:rsidRPr="00D34B9F">
        <w:rPr>
          <w:rFonts w:ascii="Arial" w:eastAsia="Times New Roman" w:hAnsi="Arial" w:cs="Arial"/>
          <w:b w:val="0"/>
          <w:sz w:val="24"/>
          <w:szCs w:val="24"/>
          <w:u w:val="none"/>
        </w:rPr>
        <w:t xml:space="preserve">Bill introduces a </w:t>
      </w:r>
      <w:r w:rsidR="009A7EE8">
        <w:rPr>
          <w:rFonts w:ascii="Arial" w:eastAsia="Times New Roman" w:hAnsi="Arial" w:cs="Arial"/>
          <w:b w:val="0"/>
          <w:sz w:val="24"/>
          <w:szCs w:val="24"/>
          <w:u w:val="none"/>
        </w:rPr>
        <w:t>timeframe</w:t>
      </w:r>
      <w:r w:rsidRPr="00D34B9F">
        <w:rPr>
          <w:rFonts w:ascii="Arial" w:eastAsia="Times New Roman" w:hAnsi="Arial" w:cs="Arial"/>
          <w:b w:val="0"/>
          <w:sz w:val="24"/>
          <w:szCs w:val="24"/>
          <w:u w:val="none"/>
        </w:rPr>
        <w:t xml:space="preserve"> for disclosure of evidence</w:t>
      </w:r>
      <w:r w:rsidR="00D34B9F">
        <w:rPr>
          <w:rFonts w:ascii="Arial" w:eastAsia="Times New Roman" w:hAnsi="Arial" w:cs="Arial"/>
          <w:b w:val="0"/>
          <w:sz w:val="24"/>
          <w:szCs w:val="24"/>
          <w:u w:val="none"/>
        </w:rPr>
        <w:t xml:space="preserve"> </w:t>
      </w:r>
      <w:r w:rsidR="009A7EE8">
        <w:rPr>
          <w:rFonts w:ascii="Arial" w:eastAsia="Times New Roman" w:hAnsi="Arial" w:cs="Arial"/>
          <w:b w:val="0"/>
          <w:sz w:val="24"/>
          <w:szCs w:val="24"/>
          <w:u w:val="none"/>
        </w:rPr>
        <w:t>to be afforded to the defendant with such timeframe anchored 28</w:t>
      </w:r>
      <w:r w:rsidR="00C73820">
        <w:rPr>
          <w:rFonts w:ascii="Arial" w:eastAsia="Times New Roman" w:hAnsi="Arial" w:cs="Arial"/>
          <w:b w:val="0"/>
          <w:sz w:val="24"/>
          <w:szCs w:val="24"/>
          <w:u w:val="none"/>
        </w:rPr>
        <w:t> </w:t>
      </w:r>
      <w:r w:rsidR="009A7EE8">
        <w:rPr>
          <w:rFonts w:ascii="Arial" w:eastAsia="Times New Roman" w:hAnsi="Arial" w:cs="Arial"/>
          <w:b w:val="0"/>
          <w:sz w:val="24"/>
          <w:szCs w:val="24"/>
          <w:u w:val="none"/>
        </w:rPr>
        <w:t>days before the hearing date</w:t>
      </w:r>
      <w:r w:rsidR="000F3A94" w:rsidRPr="00D34B9F">
        <w:rPr>
          <w:rFonts w:ascii="Arial" w:eastAsia="Times New Roman" w:hAnsi="Arial" w:cs="Arial"/>
          <w:b w:val="0"/>
          <w:sz w:val="24"/>
          <w:szCs w:val="24"/>
          <w:u w:val="none"/>
        </w:rPr>
        <w:t xml:space="preserve">, unless otherwise determined by the court. </w:t>
      </w:r>
    </w:p>
    <w:p w14:paraId="293088EF" w14:textId="5B510C27" w:rsidR="00C57DA4" w:rsidRDefault="00C57DA4" w:rsidP="00280B4E">
      <w:pPr>
        <w:pStyle w:val="Subheading10"/>
        <w:numPr>
          <w:ilvl w:val="0"/>
          <w:numId w:val="12"/>
        </w:numPr>
        <w:rPr>
          <w:rFonts w:ascii="Arial" w:eastAsia="Times New Roman" w:hAnsi="Arial" w:cs="Arial"/>
          <w:b w:val="0"/>
          <w:sz w:val="24"/>
          <w:szCs w:val="24"/>
          <w:u w:val="none"/>
        </w:rPr>
      </w:pPr>
      <w:r w:rsidRPr="00C57DA4">
        <w:rPr>
          <w:rFonts w:ascii="Arial" w:eastAsia="Times New Roman" w:hAnsi="Arial" w:cs="Arial"/>
          <w:b w:val="0"/>
          <w:sz w:val="24"/>
          <w:szCs w:val="24"/>
          <w:u w:val="none"/>
        </w:rPr>
        <w:t xml:space="preserve">Strong accountability mechanisms such as court-imposed sanctions for breaches. </w:t>
      </w:r>
    </w:p>
    <w:p w14:paraId="50ED2DAE" w14:textId="4F4C17D3" w:rsidR="009A7EE8" w:rsidRDefault="009A7EE8" w:rsidP="007408B9">
      <w:pPr>
        <w:pStyle w:val="Subheading10"/>
        <w:numPr>
          <w:ilvl w:val="1"/>
          <w:numId w:val="12"/>
        </w:numPr>
        <w:rPr>
          <w:rFonts w:ascii="Arial" w:eastAsia="Times New Roman" w:hAnsi="Arial" w:cs="Arial"/>
          <w:b w:val="0"/>
          <w:sz w:val="24"/>
          <w:szCs w:val="24"/>
          <w:u w:val="none"/>
        </w:rPr>
      </w:pPr>
      <w:r>
        <w:rPr>
          <w:rFonts w:ascii="Arial" w:eastAsia="Times New Roman" w:hAnsi="Arial" w:cs="Arial"/>
          <w:b w:val="0"/>
          <w:sz w:val="24"/>
          <w:szCs w:val="24"/>
          <w:u w:val="none"/>
        </w:rPr>
        <w:lastRenderedPageBreak/>
        <w:t xml:space="preserve">The </w:t>
      </w:r>
      <w:r w:rsidR="00C57DA4">
        <w:rPr>
          <w:rFonts w:ascii="Arial" w:eastAsia="Times New Roman" w:hAnsi="Arial" w:cs="Arial"/>
          <w:b w:val="0"/>
          <w:sz w:val="24"/>
          <w:szCs w:val="24"/>
          <w:u w:val="none"/>
        </w:rPr>
        <w:t xml:space="preserve">Bill </w:t>
      </w:r>
      <w:r w:rsidR="00C57DA4" w:rsidRPr="00C57DA4">
        <w:rPr>
          <w:rFonts w:ascii="Arial" w:eastAsia="Times New Roman" w:hAnsi="Arial" w:cs="Arial"/>
          <w:b w:val="0"/>
          <w:sz w:val="24"/>
          <w:szCs w:val="24"/>
          <w:u w:val="none"/>
        </w:rPr>
        <w:t>provide</w:t>
      </w:r>
      <w:r w:rsidR="00C57DA4">
        <w:rPr>
          <w:rFonts w:ascii="Arial" w:eastAsia="Times New Roman" w:hAnsi="Arial" w:cs="Arial"/>
          <w:b w:val="0"/>
          <w:sz w:val="24"/>
          <w:szCs w:val="24"/>
          <w:u w:val="none"/>
        </w:rPr>
        <w:t>s</w:t>
      </w:r>
      <w:r w:rsidR="00C57DA4" w:rsidRPr="00C57DA4">
        <w:rPr>
          <w:rFonts w:ascii="Arial" w:eastAsia="Times New Roman" w:hAnsi="Arial" w:cs="Arial"/>
          <w:b w:val="0"/>
          <w:sz w:val="24"/>
          <w:szCs w:val="24"/>
          <w:u w:val="none"/>
        </w:rPr>
        <w:t xml:space="preserve"> the court with clear powers </w:t>
      </w:r>
      <w:r w:rsidR="00E459A8">
        <w:rPr>
          <w:rFonts w:ascii="Arial" w:eastAsia="Times New Roman" w:hAnsi="Arial" w:cs="Arial"/>
          <w:b w:val="0"/>
          <w:sz w:val="24"/>
          <w:szCs w:val="24"/>
          <w:u w:val="none"/>
        </w:rPr>
        <w:t>with respect to</w:t>
      </w:r>
      <w:r w:rsidR="00C57DA4" w:rsidRPr="00C57DA4">
        <w:rPr>
          <w:rFonts w:ascii="Arial" w:eastAsia="Times New Roman" w:hAnsi="Arial" w:cs="Arial"/>
          <w:b w:val="0"/>
          <w:sz w:val="24"/>
          <w:szCs w:val="24"/>
          <w:u w:val="none"/>
        </w:rPr>
        <w:t xml:space="preserve"> the disclosure obligations</w:t>
      </w:r>
      <w:r w:rsidR="000F3A94">
        <w:rPr>
          <w:rFonts w:ascii="Arial" w:eastAsia="Times New Roman" w:hAnsi="Arial" w:cs="Arial"/>
          <w:b w:val="0"/>
          <w:sz w:val="24"/>
          <w:szCs w:val="24"/>
          <w:u w:val="none"/>
        </w:rPr>
        <w:t xml:space="preserve">. The court may refuse to admit evidence </w:t>
      </w:r>
      <w:r>
        <w:rPr>
          <w:rFonts w:ascii="Arial" w:eastAsia="Times New Roman" w:hAnsi="Arial" w:cs="Arial"/>
          <w:b w:val="0"/>
          <w:sz w:val="24"/>
          <w:szCs w:val="24"/>
          <w:u w:val="none"/>
        </w:rPr>
        <w:t>if not previously disclosed to the defendant or</w:t>
      </w:r>
      <w:r w:rsidR="000F3A94">
        <w:rPr>
          <w:rFonts w:ascii="Arial" w:eastAsia="Times New Roman" w:hAnsi="Arial" w:cs="Arial"/>
          <w:b w:val="0"/>
          <w:sz w:val="24"/>
          <w:szCs w:val="24"/>
          <w:u w:val="none"/>
        </w:rPr>
        <w:t xml:space="preserve"> grant an adjournment to </w:t>
      </w:r>
      <w:r>
        <w:rPr>
          <w:rFonts w:ascii="Arial" w:eastAsia="Times New Roman" w:hAnsi="Arial" w:cs="Arial"/>
          <w:b w:val="0"/>
          <w:sz w:val="24"/>
          <w:szCs w:val="24"/>
          <w:u w:val="none"/>
        </w:rPr>
        <w:t>them if the</w:t>
      </w:r>
      <w:r w:rsidR="000F3A94">
        <w:rPr>
          <w:rFonts w:ascii="Arial" w:eastAsia="Times New Roman" w:hAnsi="Arial" w:cs="Arial"/>
          <w:b w:val="0"/>
          <w:sz w:val="24"/>
          <w:szCs w:val="24"/>
          <w:u w:val="none"/>
        </w:rPr>
        <w:t xml:space="preserve"> evidence would prejudice the case of the party.</w:t>
      </w:r>
    </w:p>
    <w:p w14:paraId="1CE4140F" w14:textId="6BB92F3C" w:rsidR="00C57DA4" w:rsidRPr="009A7EE8" w:rsidRDefault="008D249C" w:rsidP="007408B9">
      <w:pPr>
        <w:pStyle w:val="Subheading10"/>
        <w:numPr>
          <w:ilvl w:val="1"/>
          <w:numId w:val="12"/>
        </w:numPr>
        <w:rPr>
          <w:rFonts w:ascii="Arial" w:eastAsia="Times New Roman" w:hAnsi="Arial" w:cs="Arial"/>
          <w:b w:val="0"/>
          <w:sz w:val="24"/>
          <w:szCs w:val="24"/>
          <w:u w:val="none"/>
        </w:rPr>
      </w:pPr>
      <w:r w:rsidRPr="009A7EE8">
        <w:rPr>
          <w:rFonts w:ascii="Arial" w:eastAsia="Times New Roman" w:hAnsi="Arial" w:cs="Arial"/>
          <w:b w:val="0"/>
          <w:sz w:val="24"/>
          <w:szCs w:val="24"/>
          <w:u w:val="none"/>
        </w:rPr>
        <w:t xml:space="preserve">Under the Bill, evidence that was not disclosed by prosecution in </w:t>
      </w:r>
      <w:r w:rsidR="00762A18">
        <w:rPr>
          <w:rFonts w:ascii="Arial" w:eastAsia="Times New Roman" w:hAnsi="Arial" w:cs="Arial"/>
          <w:b w:val="0"/>
          <w:sz w:val="24"/>
          <w:szCs w:val="24"/>
          <w:u w:val="none"/>
        </w:rPr>
        <w:t xml:space="preserve">the </w:t>
      </w:r>
      <w:r w:rsidRPr="009A7EE8">
        <w:rPr>
          <w:rFonts w:ascii="Arial" w:eastAsia="Times New Roman" w:hAnsi="Arial" w:cs="Arial"/>
          <w:b w:val="0"/>
          <w:sz w:val="24"/>
          <w:szCs w:val="24"/>
          <w:u w:val="none"/>
        </w:rPr>
        <w:t xml:space="preserve">brief of evidence will generally not be admitted, and the court will be able to refuse </w:t>
      </w:r>
      <w:r w:rsidR="00E459A8">
        <w:rPr>
          <w:rFonts w:ascii="Arial" w:eastAsia="Times New Roman" w:hAnsi="Arial" w:cs="Arial"/>
          <w:b w:val="0"/>
          <w:sz w:val="24"/>
          <w:szCs w:val="24"/>
          <w:u w:val="none"/>
        </w:rPr>
        <w:t xml:space="preserve">to admit </w:t>
      </w:r>
      <w:r w:rsidRPr="009A7EE8">
        <w:rPr>
          <w:rFonts w:ascii="Arial" w:eastAsia="Times New Roman" w:hAnsi="Arial" w:cs="Arial"/>
          <w:b w:val="0"/>
          <w:sz w:val="24"/>
          <w:szCs w:val="24"/>
          <w:u w:val="none"/>
        </w:rPr>
        <w:t xml:space="preserve">evidence unless the defendant consents to its use or the court considers it is in the interest of justice to admit the evidence. </w:t>
      </w:r>
    </w:p>
    <w:p w14:paraId="16704417" w14:textId="29AFBE4F" w:rsidR="008D249C" w:rsidRPr="008D249C" w:rsidRDefault="008D249C" w:rsidP="007408B9">
      <w:pPr>
        <w:pStyle w:val="Subheading10"/>
        <w:numPr>
          <w:ilvl w:val="1"/>
          <w:numId w:val="12"/>
        </w:numPr>
        <w:rPr>
          <w:rFonts w:ascii="Arial" w:eastAsia="Times New Roman" w:hAnsi="Arial" w:cs="Arial"/>
          <w:b w:val="0"/>
          <w:sz w:val="24"/>
          <w:szCs w:val="24"/>
          <w:u w:val="none"/>
        </w:rPr>
      </w:pPr>
      <w:r w:rsidRPr="008D249C">
        <w:rPr>
          <w:rFonts w:ascii="Arial" w:eastAsia="Times New Roman" w:hAnsi="Arial" w:cs="Arial"/>
          <w:b w:val="0"/>
          <w:sz w:val="24"/>
          <w:szCs w:val="24"/>
          <w:u w:val="none"/>
        </w:rPr>
        <w:t>If the court agrees to admit the evidence, the court may do so on terms and conditions that it considers to be just and reasonable.</w:t>
      </w:r>
    </w:p>
    <w:p w14:paraId="5DDA8C5B" w14:textId="0E8307EF" w:rsidR="00E05015" w:rsidRPr="002E6170" w:rsidRDefault="00180138" w:rsidP="00E05015">
      <w:pPr>
        <w:pStyle w:val="Subheading10"/>
        <w:rPr>
          <w:rFonts w:ascii="Arial" w:hAnsi="Arial" w:cs="Arial"/>
          <w:iCs/>
          <w:sz w:val="24"/>
          <w:szCs w:val="24"/>
        </w:rPr>
      </w:pPr>
      <w:r w:rsidRPr="00180138">
        <w:rPr>
          <w:rFonts w:ascii="Arial" w:eastAsia="Times New Roman" w:hAnsi="Arial" w:cs="Arial"/>
          <w:b w:val="0"/>
          <w:sz w:val="24"/>
          <w:szCs w:val="24"/>
          <w:u w:val="none"/>
        </w:rPr>
        <w:t xml:space="preserve">Following the draft Bill development, </w:t>
      </w:r>
      <w:r w:rsidRPr="00E05015">
        <w:rPr>
          <w:rFonts w:ascii="Arial" w:eastAsia="Times New Roman" w:hAnsi="Arial" w:cs="Arial"/>
          <w:b w:val="0"/>
          <w:sz w:val="24"/>
          <w:szCs w:val="24"/>
          <w:u w:val="none"/>
        </w:rPr>
        <w:t xml:space="preserve">between </w:t>
      </w:r>
      <w:r w:rsidR="002E6170" w:rsidRPr="00E05015">
        <w:rPr>
          <w:rFonts w:ascii="Arial" w:eastAsia="Times New Roman" w:hAnsi="Arial" w:cs="Arial"/>
          <w:b w:val="0"/>
          <w:sz w:val="24"/>
          <w:szCs w:val="24"/>
          <w:u w:val="none"/>
        </w:rPr>
        <w:t>6</w:t>
      </w:r>
      <w:r w:rsidR="009A7EE8" w:rsidRPr="00E05015">
        <w:rPr>
          <w:rFonts w:ascii="Arial" w:eastAsia="Times New Roman" w:hAnsi="Arial" w:cs="Arial"/>
          <w:b w:val="0"/>
          <w:sz w:val="24"/>
          <w:szCs w:val="24"/>
          <w:u w:val="none"/>
        </w:rPr>
        <w:t xml:space="preserve"> March</w:t>
      </w:r>
      <w:r w:rsidRPr="00E05015">
        <w:rPr>
          <w:rFonts w:ascii="Arial" w:eastAsia="Times New Roman" w:hAnsi="Arial" w:cs="Arial"/>
          <w:b w:val="0"/>
          <w:sz w:val="24"/>
          <w:szCs w:val="24"/>
          <w:u w:val="none"/>
        </w:rPr>
        <w:t xml:space="preserve"> and </w:t>
      </w:r>
      <w:r w:rsidR="009A7EE8" w:rsidRPr="00E05015">
        <w:rPr>
          <w:rFonts w:ascii="Arial" w:eastAsia="Times New Roman" w:hAnsi="Arial" w:cs="Arial"/>
          <w:b w:val="0"/>
          <w:sz w:val="24"/>
          <w:szCs w:val="24"/>
          <w:u w:val="none"/>
        </w:rPr>
        <w:t>1</w:t>
      </w:r>
      <w:r w:rsidR="000A3A75" w:rsidRPr="00E05015">
        <w:rPr>
          <w:rFonts w:ascii="Arial" w:eastAsia="Times New Roman" w:hAnsi="Arial" w:cs="Arial"/>
          <w:b w:val="0"/>
          <w:sz w:val="24"/>
          <w:szCs w:val="24"/>
          <w:u w:val="none"/>
        </w:rPr>
        <w:t>3</w:t>
      </w:r>
      <w:r w:rsidRPr="00E05015">
        <w:rPr>
          <w:rFonts w:ascii="Arial" w:eastAsia="Times New Roman" w:hAnsi="Arial" w:cs="Arial"/>
          <w:b w:val="0"/>
          <w:sz w:val="24"/>
          <w:szCs w:val="24"/>
          <w:u w:val="none"/>
        </w:rPr>
        <w:t xml:space="preserve"> March 2024</w:t>
      </w:r>
      <w:r w:rsidR="009A7EE8" w:rsidRPr="00E05015">
        <w:rPr>
          <w:rFonts w:ascii="Arial" w:eastAsia="Times New Roman" w:hAnsi="Arial" w:cs="Arial"/>
          <w:b w:val="0"/>
          <w:sz w:val="24"/>
          <w:szCs w:val="24"/>
          <w:u w:val="none"/>
        </w:rPr>
        <w:t>,</w:t>
      </w:r>
      <w:r>
        <w:rPr>
          <w:rFonts w:ascii="Arial" w:eastAsia="Times New Roman" w:hAnsi="Arial" w:cs="Arial"/>
          <w:b w:val="0"/>
          <w:sz w:val="24"/>
          <w:szCs w:val="24"/>
          <w:u w:val="none"/>
        </w:rPr>
        <w:t xml:space="preserve"> </w:t>
      </w:r>
      <w:r w:rsidRPr="00180138">
        <w:rPr>
          <w:rFonts w:ascii="Arial" w:eastAsia="Times New Roman" w:hAnsi="Arial" w:cs="Arial"/>
          <w:b w:val="0"/>
          <w:sz w:val="24"/>
          <w:szCs w:val="24"/>
          <w:u w:val="none"/>
        </w:rPr>
        <w:t xml:space="preserve">JACS undertook </w:t>
      </w:r>
      <w:r w:rsidR="009A7EE8">
        <w:rPr>
          <w:rFonts w:ascii="Arial" w:eastAsia="Times New Roman" w:hAnsi="Arial" w:cs="Arial"/>
          <w:b w:val="0"/>
          <w:sz w:val="24"/>
          <w:szCs w:val="24"/>
          <w:u w:val="none"/>
        </w:rPr>
        <w:t xml:space="preserve">further consultation </w:t>
      </w:r>
      <w:r>
        <w:rPr>
          <w:rFonts w:ascii="Arial" w:eastAsia="Times New Roman" w:hAnsi="Arial" w:cs="Arial"/>
          <w:b w:val="0"/>
          <w:sz w:val="24"/>
          <w:szCs w:val="24"/>
          <w:u w:val="none"/>
        </w:rPr>
        <w:t>with key justice stakeholders</w:t>
      </w:r>
      <w:r w:rsidR="009A7EE8">
        <w:rPr>
          <w:rFonts w:ascii="Arial" w:eastAsia="Times New Roman" w:hAnsi="Arial" w:cs="Arial"/>
          <w:b w:val="0"/>
          <w:sz w:val="24"/>
          <w:szCs w:val="24"/>
          <w:u w:val="none"/>
        </w:rPr>
        <w:t xml:space="preserve"> seeking their views on the draft of the Bill</w:t>
      </w:r>
      <w:r>
        <w:rPr>
          <w:rFonts w:ascii="Arial" w:eastAsia="Times New Roman" w:hAnsi="Arial" w:cs="Arial"/>
          <w:b w:val="0"/>
          <w:sz w:val="24"/>
          <w:szCs w:val="24"/>
          <w:u w:val="none"/>
        </w:rPr>
        <w:t xml:space="preserve">. Noting a relatively short consultation period, the same </w:t>
      </w:r>
      <w:r w:rsidR="00762A18">
        <w:rPr>
          <w:rFonts w:ascii="Arial" w:eastAsia="Times New Roman" w:hAnsi="Arial" w:cs="Arial"/>
          <w:b w:val="0"/>
          <w:sz w:val="24"/>
          <w:szCs w:val="24"/>
          <w:u w:val="none"/>
        </w:rPr>
        <w:t xml:space="preserve">key justice </w:t>
      </w:r>
      <w:r>
        <w:rPr>
          <w:rFonts w:ascii="Arial" w:eastAsia="Times New Roman" w:hAnsi="Arial" w:cs="Arial"/>
          <w:b w:val="0"/>
          <w:sz w:val="24"/>
          <w:szCs w:val="24"/>
          <w:u w:val="none"/>
        </w:rPr>
        <w:t xml:space="preserve">stakeholders who were invited to provide feedback to the Discussion Paper were invited to comment on the draft Bill. </w:t>
      </w:r>
    </w:p>
    <w:p w14:paraId="09FF3D0B" w14:textId="77777777" w:rsidR="00C10BDB" w:rsidRPr="002E6170" w:rsidRDefault="00C10BDB" w:rsidP="002E6170">
      <w:pPr>
        <w:pStyle w:val="ListParagraph"/>
        <w:rPr>
          <w:rFonts w:ascii="Arial" w:hAnsi="Arial" w:cs="Arial"/>
          <w:iCs/>
          <w:sz w:val="24"/>
          <w:szCs w:val="24"/>
        </w:rPr>
      </w:pPr>
    </w:p>
    <w:p w14:paraId="092EB66D" w14:textId="77777777" w:rsidR="00C10BDB" w:rsidRPr="00C10BDB" w:rsidRDefault="00C10BDB" w:rsidP="00C10BDB">
      <w:pPr>
        <w:pStyle w:val="Heading2"/>
      </w:pPr>
      <w:bookmarkStart w:id="3" w:name="_Toc161990734"/>
      <w:r w:rsidRPr="00C10BDB">
        <w:t>CLIMATE IMPACT</w:t>
      </w:r>
      <w:bookmarkEnd w:id="3"/>
    </w:p>
    <w:p w14:paraId="5823F917" w14:textId="40075CCA" w:rsidR="00C10BDB" w:rsidRPr="00C10BDB" w:rsidRDefault="00C10BDB" w:rsidP="00C10BDB">
      <w:pPr>
        <w:rPr>
          <w:rFonts w:ascii="Arial" w:hAnsi="Arial" w:cs="Arial"/>
          <w:sz w:val="24"/>
          <w:szCs w:val="24"/>
        </w:rPr>
      </w:pPr>
      <w:r w:rsidRPr="00C10BDB">
        <w:rPr>
          <w:rFonts w:ascii="Arial" w:hAnsi="Arial" w:cs="Arial"/>
          <w:sz w:val="24"/>
          <w:szCs w:val="24"/>
        </w:rPr>
        <w:t>This proposal is not expected to have a direct impact on climate change.</w:t>
      </w:r>
    </w:p>
    <w:p w14:paraId="1E002791" w14:textId="77777777" w:rsidR="00E90DF9" w:rsidRDefault="00E90DF9" w:rsidP="00E90DF9">
      <w:pPr>
        <w:pStyle w:val="Heading2"/>
      </w:pPr>
      <w:bookmarkStart w:id="4" w:name="_Toc161990735"/>
      <w:r>
        <w:t xml:space="preserve">CONSISTENCY WITH </w:t>
      </w:r>
      <w:r w:rsidRPr="008C225D">
        <w:t>HUMAN RIGHTS</w:t>
      </w:r>
      <w:bookmarkEnd w:id="4"/>
    </w:p>
    <w:p w14:paraId="3AA827AB" w14:textId="77777777" w:rsidR="00E90DF9" w:rsidRDefault="00E90DF9" w:rsidP="00E90DF9">
      <w:pPr>
        <w:rPr>
          <w:rFonts w:ascii="Arial" w:hAnsi="Arial" w:cs="Arial"/>
          <w:b/>
          <w:bCs/>
          <w:iCs/>
          <w:sz w:val="24"/>
          <w:szCs w:val="24"/>
        </w:rPr>
      </w:pPr>
      <w:r w:rsidRPr="00414921">
        <w:rPr>
          <w:rFonts w:ascii="Arial" w:hAnsi="Arial" w:cs="Arial"/>
          <w:b/>
          <w:bCs/>
          <w:iCs/>
          <w:sz w:val="24"/>
          <w:szCs w:val="24"/>
        </w:rPr>
        <w:t xml:space="preserve">Rights </w:t>
      </w:r>
      <w:proofErr w:type="gramStart"/>
      <w:r w:rsidRPr="00414921">
        <w:rPr>
          <w:rFonts w:ascii="Arial" w:hAnsi="Arial" w:cs="Arial"/>
          <w:b/>
          <w:bCs/>
          <w:iCs/>
          <w:sz w:val="24"/>
          <w:szCs w:val="24"/>
        </w:rPr>
        <w:t>engaged</w:t>
      </w:r>
      <w:proofErr w:type="gramEnd"/>
    </w:p>
    <w:p w14:paraId="0D78970E" w14:textId="55E191DF" w:rsidR="00F57AB6" w:rsidRPr="00E7550B" w:rsidRDefault="00F57AB6" w:rsidP="00E90DF9">
      <w:pPr>
        <w:rPr>
          <w:rFonts w:ascii="Arial" w:hAnsi="Arial" w:cs="Arial"/>
          <w:sz w:val="24"/>
          <w:szCs w:val="24"/>
        </w:rPr>
      </w:pPr>
      <w:r w:rsidRPr="00E7550B">
        <w:rPr>
          <w:rFonts w:ascii="Arial" w:hAnsi="Arial" w:cs="Arial"/>
          <w:sz w:val="24"/>
          <w:szCs w:val="24"/>
        </w:rPr>
        <w:t>This Bill engages</w:t>
      </w:r>
      <w:r w:rsidR="00B232FE">
        <w:rPr>
          <w:rFonts w:ascii="Arial" w:hAnsi="Arial" w:cs="Arial"/>
          <w:sz w:val="24"/>
          <w:szCs w:val="24"/>
        </w:rPr>
        <w:t xml:space="preserve"> </w:t>
      </w:r>
      <w:r w:rsidR="007C020C">
        <w:rPr>
          <w:rFonts w:ascii="Arial" w:hAnsi="Arial" w:cs="Arial"/>
          <w:sz w:val="24"/>
          <w:szCs w:val="24"/>
        </w:rPr>
        <w:t>the</w:t>
      </w:r>
      <w:r w:rsidRPr="00E7550B">
        <w:rPr>
          <w:rFonts w:ascii="Arial" w:hAnsi="Arial" w:cs="Arial"/>
          <w:sz w:val="24"/>
          <w:szCs w:val="24"/>
        </w:rPr>
        <w:t xml:space="preserve"> </w:t>
      </w:r>
      <w:r w:rsidR="00F73E87">
        <w:rPr>
          <w:rFonts w:ascii="Arial" w:hAnsi="Arial" w:cs="Arial"/>
          <w:sz w:val="24"/>
          <w:szCs w:val="24"/>
        </w:rPr>
        <w:t>r</w:t>
      </w:r>
      <w:r w:rsidRPr="00E7550B">
        <w:rPr>
          <w:rFonts w:ascii="Arial" w:hAnsi="Arial" w:cs="Arial"/>
          <w:sz w:val="24"/>
          <w:szCs w:val="24"/>
        </w:rPr>
        <w:t xml:space="preserve">ight to </w:t>
      </w:r>
      <w:r w:rsidR="00F73E87">
        <w:rPr>
          <w:rFonts w:ascii="Arial" w:hAnsi="Arial" w:cs="Arial"/>
          <w:sz w:val="24"/>
          <w:szCs w:val="24"/>
        </w:rPr>
        <w:t>f</w:t>
      </w:r>
      <w:r w:rsidRPr="00E7550B">
        <w:rPr>
          <w:rFonts w:ascii="Arial" w:hAnsi="Arial" w:cs="Arial"/>
          <w:sz w:val="24"/>
          <w:szCs w:val="24"/>
        </w:rPr>
        <w:t xml:space="preserve">air </w:t>
      </w:r>
      <w:r w:rsidR="00F73E87">
        <w:rPr>
          <w:rFonts w:ascii="Arial" w:hAnsi="Arial" w:cs="Arial"/>
          <w:sz w:val="24"/>
          <w:szCs w:val="24"/>
        </w:rPr>
        <w:t>t</w:t>
      </w:r>
      <w:r w:rsidRPr="00E7550B">
        <w:rPr>
          <w:rFonts w:ascii="Arial" w:hAnsi="Arial" w:cs="Arial"/>
          <w:sz w:val="24"/>
          <w:szCs w:val="24"/>
        </w:rPr>
        <w:t>rial (</w:t>
      </w:r>
      <w:r w:rsidR="00F73E87">
        <w:rPr>
          <w:rFonts w:ascii="Arial" w:hAnsi="Arial" w:cs="Arial"/>
          <w:sz w:val="24"/>
          <w:szCs w:val="24"/>
        </w:rPr>
        <w:t xml:space="preserve">section </w:t>
      </w:r>
      <w:r w:rsidRPr="00E7550B">
        <w:rPr>
          <w:rFonts w:ascii="Arial" w:hAnsi="Arial" w:cs="Arial"/>
          <w:sz w:val="24"/>
          <w:szCs w:val="24"/>
        </w:rPr>
        <w:t>21)</w:t>
      </w:r>
      <w:r w:rsidR="00F73E87">
        <w:rPr>
          <w:rFonts w:ascii="Arial" w:hAnsi="Arial" w:cs="Arial"/>
          <w:sz w:val="24"/>
          <w:szCs w:val="24"/>
        </w:rPr>
        <w:t>,</w:t>
      </w:r>
      <w:r w:rsidRPr="00E7550B">
        <w:rPr>
          <w:rFonts w:ascii="Arial" w:hAnsi="Arial" w:cs="Arial"/>
          <w:sz w:val="24"/>
          <w:szCs w:val="24"/>
        </w:rPr>
        <w:t xml:space="preserve"> </w:t>
      </w:r>
      <w:r w:rsidR="00F73E87">
        <w:rPr>
          <w:rFonts w:ascii="Arial" w:hAnsi="Arial" w:cs="Arial"/>
          <w:sz w:val="24"/>
          <w:szCs w:val="24"/>
        </w:rPr>
        <w:t>r</w:t>
      </w:r>
      <w:r w:rsidRPr="00E7550B">
        <w:rPr>
          <w:rFonts w:ascii="Arial" w:hAnsi="Arial" w:cs="Arial"/>
          <w:sz w:val="24"/>
          <w:szCs w:val="24"/>
        </w:rPr>
        <w:t xml:space="preserve">ights in </w:t>
      </w:r>
      <w:r w:rsidR="00F73E87">
        <w:rPr>
          <w:rFonts w:ascii="Arial" w:hAnsi="Arial" w:cs="Arial"/>
          <w:sz w:val="24"/>
          <w:szCs w:val="24"/>
        </w:rPr>
        <w:t>c</w:t>
      </w:r>
      <w:r w:rsidRPr="00E7550B">
        <w:rPr>
          <w:rFonts w:ascii="Arial" w:hAnsi="Arial" w:cs="Arial"/>
          <w:sz w:val="24"/>
          <w:szCs w:val="24"/>
        </w:rPr>
        <w:t xml:space="preserve">riminal </w:t>
      </w:r>
      <w:r w:rsidR="00F73E87">
        <w:rPr>
          <w:rFonts w:ascii="Arial" w:hAnsi="Arial" w:cs="Arial"/>
          <w:sz w:val="24"/>
          <w:szCs w:val="24"/>
        </w:rPr>
        <w:t>p</w:t>
      </w:r>
      <w:r w:rsidRPr="00E7550B">
        <w:rPr>
          <w:rFonts w:ascii="Arial" w:hAnsi="Arial" w:cs="Arial"/>
          <w:sz w:val="24"/>
          <w:szCs w:val="24"/>
        </w:rPr>
        <w:t>roceedings</w:t>
      </w:r>
      <w:r w:rsidR="00E7550B">
        <w:rPr>
          <w:rFonts w:ascii="Arial" w:hAnsi="Arial" w:cs="Arial"/>
          <w:sz w:val="24"/>
          <w:szCs w:val="24"/>
        </w:rPr>
        <w:t xml:space="preserve"> (</w:t>
      </w:r>
      <w:r w:rsidR="00F73E87">
        <w:rPr>
          <w:rFonts w:ascii="Arial" w:hAnsi="Arial" w:cs="Arial"/>
          <w:sz w:val="24"/>
          <w:szCs w:val="24"/>
        </w:rPr>
        <w:t xml:space="preserve">section </w:t>
      </w:r>
      <w:r w:rsidR="00E7550B">
        <w:rPr>
          <w:rFonts w:ascii="Arial" w:hAnsi="Arial" w:cs="Arial"/>
          <w:sz w:val="24"/>
          <w:szCs w:val="24"/>
        </w:rPr>
        <w:t>22)</w:t>
      </w:r>
      <w:r w:rsidR="00F73E87">
        <w:rPr>
          <w:rFonts w:ascii="Arial" w:hAnsi="Arial" w:cs="Arial"/>
          <w:sz w:val="24"/>
          <w:szCs w:val="24"/>
        </w:rPr>
        <w:t xml:space="preserve"> and right to privacy (section 12)</w:t>
      </w:r>
      <w:r w:rsidRPr="00E7550B">
        <w:rPr>
          <w:rFonts w:ascii="Arial" w:hAnsi="Arial" w:cs="Arial"/>
          <w:sz w:val="24"/>
          <w:szCs w:val="24"/>
        </w:rPr>
        <w:t>.</w:t>
      </w:r>
    </w:p>
    <w:p w14:paraId="774721D1" w14:textId="77777777" w:rsidR="00E90DF9" w:rsidRDefault="00E90DF9" w:rsidP="00E90DF9">
      <w:pPr>
        <w:rPr>
          <w:rFonts w:ascii="Arial" w:hAnsi="Arial" w:cs="Arial"/>
          <w:b/>
          <w:bCs/>
          <w:i/>
          <w:sz w:val="24"/>
          <w:szCs w:val="24"/>
        </w:rPr>
      </w:pPr>
      <w:r w:rsidRPr="00BC3EF0">
        <w:rPr>
          <w:rFonts w:ascii="Arial" w:hAnsi="Arial" w:cs="Arial"/>
          <w:b/>
          <w:bCs/>
          <w:i/>
          <w:sz w:val="24"/>
          <w:szCs w:val="24"/>
        </w:rPr>
        <w:t>Rights Promoted</w:t>
      </w:r>
    </w:p>
    <w:p w14:paraId="58815D67" w14:textId="1DBDAE36" w:rsidR="0025691C" w:rsidRDefault="0025691C" w:rsidP="0025691C">
      <w:pPr>
        <w:rPr>
          <w:rFonts w:ascii="Arial" w:hAnsi="Arial" w:cs="Arial"/>
          <w:sz w:val="24"/>
          <w:szCs w:val="24"/>
        </w:rPr>
      </w:pPr>
      <w:r w:rsidRPr="0025691C">
        <w:rPr>
          <w:rFonts w:ascii="Arial" w:hAnsi="Arial" w:cs="Arial"/>
          <w:sz w:val="24"/>
          <w:szCs w:val="24"/>
        </w:rPr>
        <w:t>This Bill promotes a right to fair trial</w:t>
      </w:r>
      <w:r>
        <w:rPr>
          <w:rFonts w:ascii="Arial" w:hAnsi="Arial" w:cs="Arial"/>
          <w:sz w:val="24"/>
          <w:szCs w:val="24"/>
        </w:rPr>
        <w:t xml:space="preserve"> (s21</w:t>
      </w:r>
      <w:r w:rsidR="00957C95">
        <w:rPr>
          <w:rFonts w:ascii="Arial" w:hAnsi="Arial" w:cs="Arial"/>
          <w:sz w:val="24"/>
          <w:szCs w:val="24"/>
        </w:rPr>
        <w:t xml:space="preserve">of the </w:t>
      </w:r>
      <w:r w:rsidRPr="000A3C9A">
        <w:rPr>
          <w:rFonts w:ascii="Arial" w:hAnsi="Arial" w:cs="Arial"/>
          <w:i/>
          <w:iCs/>
          <w:sz w:val="24"/>
          <w:szCs w:val="24"/>
        </w:rPr>
        <w:t>Human Rights Act 2004</w:t>
      </w:r>
      <w:r>
        <w:rPr>
          <w:rFonts w:ascii="Arial" w:hAnsi="Arial" w:cs="Arial"/>
          <w:sz w:val="24"/>
          <w:szCs w:val="24"/>
        </w:rPr>
        <w:t>)</w:t>
      </w:r>
      <w:r w:rsidRPr="0025691C">
        <w:rPr>
          <w:rFonts w:ascii="Arial" w:hAnsi="Arial" w:cs="Arial"/>
          <w:sz w:val="24"/>
          <w:szCs w:val="24"/>
        </w:rPr>
        <w:t xml:space="preserve">. By </w:t>
      </w:r>
      <w:r>
        <w:rPr>
          <w:rFonts w:ascii="Arial" w:hAnsi="Arial" w:cs="Arial"/>
          <w:sz w:val="24"/>
          <w:szCs w:val="24"/>
        </w:rPr>
        <w:t>legislating a</w:t>
      </w:r>
      <w:r w:rsidRPr="0025691C">
        <w:rPr>
          <w:rFonts w:ascii="Arial" w:hAnsi="Arial" w:cs="Arial"/>
          <w:sz w:val="24"/>
          <w:szCs w:val="24"/>
        </w:rPr>
        <w:t xml:space="preserve"> duty of disclosure for the prosecution, with a robust and objective disclosure regime</w:t>
      </w:r>
      <w:r>
        <w:rPr>
          <w:rFonts w:ascii="Arial" w:hAnsi="Arial" w:cs="Arial"/>
          <w:sz w:val="24"/>
          <w:szCs w:val="24"/>
        </w:rPr>
        <w:t>, the Bill will ensure that the rights and obligations of the prosecution towards the defendant in criminal proceedings are recognised by law.</w:t>
      </w:r>
    </w:p>
    <w:p w14:paraId="0B153A17" w14:textId="3AD44ED7" w:rsidR="000A3C9A" w:rsidRDefault="00F73E87" w:rsidP="0025691C">
      <w:pPr>
        <w:rPr>
          <w:rFonts w:ascii="Arial" w:hAnsi="Arial" w:cs="Arial"/>
          <w:sz w:val="24"/>
          <w:szCs w:val="24"/>
        </w:rPr>
      </w:pPr>
      <w:r>
        <w:rPr>
          <w:rFonts w:ascii="Arial" w:hAnsi="Arial" w:cs="Arial"/>
          <w:sz w:val="24"/>
          <w:szCs w:val="24"/>
        </w:rPr>
        <w:t>The l</w:t>
      </w:r>
      <w:r w:rsidR="00A432A7">
        <w:rPr>
          <w:rFonts w:ascii="Arial" w:hAnsi="Arial" w:cs="Arial"/>
          <w:sz w:val="24"/>
          <w:szCs w:val="24"/>
        </w:rPr>
        <w:t>egislated duty of disclosure in</w:t>
      </w:r>
      <w:r>
        <w:rPr>
          <w:rFonts w:ascii="Arial" w:hAnsi="Arial" w:cs="Arial"/>
          <w:sz w:val="24"/>
          <w:szCs w:val="24"/>
        </w:rPr>
        <w:t>troduced by</w:t>
      </w:r>
      <w:r w:rsidR="00A432A7">
        <w:rPr>
          <w:rFonts w:ascii="Arial" w:hAnsi="Arial" w:cs="Arial"/>
          <w:sz w:val="24"/>
          <w:szCs w:val="24"/>
        </w:rPr>
        <w:t xml:space="preserve"> the </w:t>
      </w:r>
      <w:r w:rsidR="0025691C">
        <w:rPr>
          <w:rFonts w:ascii="Arial" w:hAnsi="Arial" w:cs="Arial"/>
          <w:sz w:val="24"/>
          <w:szCs w:val="24"/>
        </w:rPr>
        <w:t>Bill will also promote</w:t>
      </w:r>
      <w:r w:rsidR="00DF4CE6">
        <w:rPr>
          <w:rFonts w:ascii="Arial" w:hAnsi="Arial" w:cs="Arial"/>
          <w:sz w:val="24"/>
          <w:szCs w:val="24"/>
        </w:rPr>
        <w:t xml:space="preserve"> a</w:t>
      </w:r>
      <w:r w:rsidR="0025691C">
        <w:rPr>
          <w:rFonts w:ascii="Arial" w:hAnsi="Arial" w:cs="Arial"/>
          <w:sz w:val="24"/>
          <w:szCs w:val="24"/>
        </w:rPr>
        <w:t xml:space="preserve"> defendant’s rights in criminal proceedings (</w:t>
      </w:r>
      <w:r w:rsidR="00BE4F06">
        <w:rPr>
          <w:rFonts w:ascii="Arial" w:hAnsi="Arial" w:cs="Arial"/>
          <w:sz w:val="24"/>
          <w:szCs w:val="24"/>
        </w:rPr>
        <w:t>s22</w:t>
      </w:r>
      <w:r w:rsidR="00957C95">
        <w:rPr>
          <w:rFonts w:ascii="Arial" w:hAnsi="Arial" w:cs="Arial"/>
          <w:sz w:val="24"/>
          <w:szCs w:val="24"/>
        </w:rPr>
        <w:t xml:space="preserve"> of the</w:t>
      </w:r>
      <w:r w:rsidR="007C020C">
        <w:rPr>
          <w:rFonts w:ascii="Arial" w:hAnsi="Arial" w:cs="Arial"/>
          <w:sz w:val="24"/>
          <w:szCs w:val="24"/>
        </w:rPr>
        <w:t xml:space="preserve"> </w:t>
      </w:r>
      <w:r w:rsidR="0025691C" w:rsidRPr="000A3C9A">
        <w:rPr>
          <w:rFonts w:ascii="Arial" w:hAnsi="Arial" w:cs="Arial"/>
          <w:i/>
          <w:iCs/>
          <w:sz w:val="24"/>
          <w:szCs w:val="24"/>
        </w:rPr>
        <w:t>Human Rights Act 2004</w:t>
      </w:r>
      <w:r w:rsidR="0025691C">
        <w:rPr>
          <w:rFonts w:ascii="Arial" w:hAnsi="Arial" w:cs="Arial"/>
          <w:sz w:val="24"/>
          <w:szCs w:val="24"/>
        </w:rPr>
        <w:t>)</w:t>
      </w:r>
      <w:r w:rsidR="0025691C" w:rsidRPr="0025691C">
        <w:rPr>
          <w:rFonts w:ascii="Arial" w:hAnsi="Arial" w:cs="Arial"/>
          <w:sz w:val="24"/>
          <w:szCs w:val="24"/>
        </w:rPr>
        <w:t>.</w:t>
      </w:r>
      <w:r w:rsidR="0025691C">
        <w:rPr>
          <w:rFonts w:ascii="Arial" w:hAnsi="Arial" w:cs="Arial"/>
          <w:sz w:val="24"/>
          <w:szCs w:val="24"/>
        </w:rPr>
        <w:t xml:space="preserve"> </w:t>
      </w:r>
      <w:r w:rsidR="00A432A7">
        <w:rPr>
          <w:rFonts w:ascii="Arial" w:hAnsi="Arial" w:cs="Arial"/>
          <w:sz w:val="24"/>
          <w:szCs w:val="24"/>
        </w:rPr>
        <w:t>Specifically, t</w:t>
      </w:r>
      <w:r w:rsidR="0025691C">
        <w:rPr>
          <w:rFonts w:ascii="Arial" w:hAnsi="Arial" w:cs="Arial"/>
          <w:sz w:val="24"/>
          <w:szCs w:val="24"/>
        </w:rPr>
        <w:t>he Bill will further facilitate</w:t>
      </w:r>
      <w:r w:rsidR="00A432A7">
        <w:rPr>
          <w:rFonts w:ascii="Arial" w:hAnsi="Arial" w:cs="Arial"/>
          <w:sz w:val="24"/>
          <w:szCs w:val="24"/>
        </w:rPr>
        <w:t xml:space="preserve"> that </w:t>
      </w:r>
      <w:r w:rsidR="00DF4CE6">
        <w:rPr>
          <w:rFonts w:ascii="Arial" w:hAnsi="Arial" w:cs="Arial"/>
          <w:sz w:val="24"/>
          <w:szCs w:val="24"/>
        </w:rPr>
        <w:t>a</w:t>
      </w:r>
      <w:r w:rsidR="00A432A7">
        <w:rPr>
          <w:rFonts w:ascii="Arial" w:hAnsi="Arial" w:cs="Arial"/>
          <w:sz w:val="24"/>
          <w:szCs w:val="24"/>
        </w:rPr>
        <w:t xml:space="preserve"> defendant is informed </w:t>
      </w:r>
      <w:r w:rsidR="0025691C" w:rsidRPr="0025691C">
        <w:rPr>
          <w:rFonts w:ascii="Arial" w:hAnsi="Arial" w:cs="Arial"/>
          <w:sz w:val="24"/>
          <w:szCs w:val="24"/>
        </w:rPr>
        <w:t>promptly and in detail, about the nature and reason for the charge</w:t>
      </w:r>
      <w:r w:rsidR="00A432A7">
        <w:rPr>
          <w:rFonts w:ascii="Arial" w:hAnsi="Arial" w:cs="Arial"/>
          <w:sz w:val="24"/>
          <w:szCs w:val="24"/>
        </w:rPr>
        <w:t xml:space="preserve"> (s22</w:t>
      </w:r>
      <w:r w:rsidR="009A7EE8">
        <w:rPr>
          <w:rFonts w:ascii="Arial" w:hAnsi="Arial" w:cs="Arial"/>
          <w:sz w:val="24"/>
          <w:szCs w:val="24"/>
        </w:rPr>
        <w:t>(</w:t>
      </w:r>
      <w:r w:rsidR="00A432A7">
        <w:rPr>
          <w:rFonts w:ascii="Arial" w:hAnsi="Arial" w:cs="Arial"/>
          <w:sz w:val="24"/>
          <w:szCs w:val="24"/>
        </w:rPr>
        <w:t>a</w:t>
      </w:r>
      <w:r w:rsidR="009A7EE8">
        <w:rPr>
          <w:rFonts w:ascii="Arial" w:hAnsi="Arial" w:cs="Arial"/>
          <w:sz w:val="24"/>
          <w:szCs w:val="24"/>
        </w:rPr>
        <w:t>)</w:t>
      </w:r>
      <w:r w:rsidR="00A432A7">
        <w:rPr>
          <w:rFonts w:ascii="Arial" w:hAnsi="Arial" w:cs="Arial"/>
          <w:sz w:val="24"/>
          <w:szCs w:val="24"/>
        </w:rPr>
        <w:t xml:space="preserve">). </w:t>
      </w:r>
    </w:p>
    <w:p w14:paraId="648AACFD" w14:textId="186C4784" w:rsidR="00BE4F06" w:rsidRDefault="00A432A7" w:rsidP="0025691C">
      <w:pPr>
        <w:rPr>
          <w:rFonts w:ascii="Arial" w:hAnsi="Arial" w:cs="Arial"/>
          <w:sz w:val="24"/>
          <w:szCs w:val="24"/>
        </w:rPr>
      </w:pPr>
      <w:r>
        <w:rPr>
          <w:rFonts w:ascii="Arial" w:hAnsi="Arial" w:cs="Arial"/>
          <w:sz w:val="24"/>
          <w:szCs w:val="24"/>
        </w:rPr>
        <w:t>Introducing timelines for disclosure into the</w:t>
      </w:r>
      <w:r w:rsidR="009A7EE8">
        <w:rPr>
          <w:rFonts w:ascii="Arial" w:hAnsi="Arial" w:cs="Arial"/>
          <w:sz w:val="24"/>
          <w:szCs w:val="24"/>
        </w:rPr>
        <w:t xml:space="preserve"> two relevant Acts </w:t>
      </w:r>
      <w:r>
        <w:rPr>
          <w:rFonts w:ascii="Arial" w:hAnsi="Arial" w:cs="Arial"/>
          <w:sz w:val="24"/>
          <w:szCs w:val="24"/>
        </w:rPr>
        <w:t xml:space="preserve">will ensure that the defendant has </w:t>
      </w:r>
      <w:r w:rsidR="0025691C" w:rsidRPr="0025691C">
        <w:rPr>
          <w:rFonts w:ascii="Arial" w:hAnsi="Arial" w:cs="Arial"/>
          <w:sz w:val="24"/>
          <w:szCs w:val="24"/>
        </w:rPr>
        <w:t>adequate time and facilities to prepare their defence and to communicate with lawyers or advisors chosen by them</w:t>
      </w:r>
      <w:r>
        <w:rPr>
          <w:rFonts w:ascii="Arial" w:hAnsi="Arial" w:cs="Arial"/>
          <w:sz w:val="24"/>
          <w:szCs w:val="24"/>
        </w:rPr>
        <w:t xml:space="preserve"> (s22</w:t>
      </w:r>
      <w:r w:rsidR="009A7EE8">
        <w:rPr>
          <w:rFonts w:ascii="Arial" w:hAnsi="Arial" w:cs="Arial"/>
          <w:sz w:val="24"/>
          <w:szCs w:val="24"/>
        </w:rPr>
        <w:t>(</w:t>
      </w:r>
      <w:r>
        <w:rPr>
          <w:rFonts w:ascii="Arial" w:hAnsi="Arial" w:cs="Arial"/>
          <w:sz w:val="24"/>
          <w:szCs w:val="24"/>
        </w:rPr>
        <w:t>b</w:t>
      </w:r>
      <w:r w:rsidR="009A7EE8">
        <w:rPr>
          <w:rFonts w:ascii="Arial" w:hAnsi="Arial" w:cs="Arial"/>
          <w:sz w:val="24"/>
          <w:szCs w:val="24"/>
        </w:rPr>
        <w:t>)</w:t>
      </w:r>
      <w:r>
        <w:rPr>
          <w:rFonts w:ascii="Arial" w:hAnsi="Arial" w:cs="Arial"/>
          <w:sz w:val="24"/>
          <w:szCs w:val="24"/>
        </w:rPr>
        <w:t>)</w:t>
      </w:r>
      <w:r w:rsidR="00BE4F06">
        <w:rPr>
          <w:rFonts w:ascii="Arial" w:hAnsi="Arial" w:cs="Arial"/>
          <w:sz w:val="24"/>
          <w:szCs w:val="24"/>
        </w:rPr>
        <w:t xml:space="preserve">. </w:t>
      </w:r>
    </w:p>
    <w:p w14:paraId="4B0C1BD3" w14:textId="2AF27698" w:rsidR="0025691C" w:rsidRDefault="00F73E87" w:rsidP="0025691C">
      <w:pPr>
        <w:rPr>
          <w:rFonts w:ascii="Arial" w:hAnsi="Arial" w:cs="Arial"/>
          <w:sz w:val="24"/>
          <w:szCs w:val="24"/>
        </w:rPr>
      </w:pPr>
      <w:r>
        <w:rPr>
          <w:rFonts w:ascii="Arial" w:hAnsi="Arial" w:cs="Arial"/>
          <w:sz w:val="24"/>
          <w:szCs w:val="24"/>
        </w:rPr>
        <w:t>The court will have</w:t>
      </w:r>
      <w:r w:rsidR="00A432A7">
        <w:rPr>
          <w:rFonts w:ascii="Arial" w:hAnsi="Arial" w:cs="Arial"/>
          <w:sz w:val="24"/>
          <w:szCs w:val="24"/>
        </w:rPr>
        <w:t xml:space="preserve"> o</w:t>
      </w:r>
      <w:r w:rsidR="00A432A7" w:rsidRPr="00C57DA4">
        <w:rPr>
          <w:rFonts w:ascii="Arial" w:hAnsi="Arial" w:cs="Arial"/>
          <w:sz w:val="24"/>
          <w:szCs w:val="24"/>
        </w:rPr>
        <w:t>versight of disclosure, and the clear powers to enforce the</w:t>
      </w:r>
      <w:r>
        <w:rPr>
          <w:rFonts w:ascii="Arial" w:hAnsi="Arial" w:cs="Arial"/>
          <w:sz w:val="24"/>
          <w:szCs w:val="24"/>
        </w:rPr>
        <w:t xml:space="preserve"> disclosure requirements. </w:t>
      </w:r>
    </w:p>
    <w:p w14:paraId="3A5F6BF6" w14:textId="71B78E5B" w:rsidR="00BE4F06" w:rsidRDefault="00F73E87" w:rsidP="0025691C">
      <w:pPr>
        <w:rPr>
          <w:rFonts w:ascii="Arial" w:hAnsi="Arial" w:cs="Arial"/>
          <w:sz w:val="24"/>
          <w:szCs w:val="24"/>
        </w:rPr>
      </w:pPr>
      <w:r>
        <w:rPr>
          <w:rFonts w:ascii="Arial" w:hAnsi="Arial" w:cs="Arial"/>
          <w:sz w:val="24"/>
          <w:szCs w:val="24"/>
        </w:rPr>
        <w:lastRenderedPageBreak/>
        <w:t>U</w:t>
      </w:r>
      <w:r w:rsidR="00BE4F06">
        <w:rPr>
          <w:rFonts w:ascii="Arial" w:hAnsi="Arial" w:cs="Arial"/>
          <w:sz w:val="24"/>
          <w:szCs w:val="24"/>
        </w:rPr>
        <w:t xml:space="preserve">nder the </w:t>
      </w:r>
      <w:r w:rsidR="00BE4F06" w:rsidRPr="000A3C9A">
        <w:rPr>
          <w:rFonts w:ascii="Arial" w:hAnsi="Arial" w:cs="Arial"/>
          <w:i/>
          <w:iCs/>
          <w:sz w:val="24"/>
          <w:szCs w:val="24"/>
        </w:rPr>
        <w:t>Human Rights Act</w:t>
      </w:r>
      <w:r w:rsidR="009A7EE8">
        <w:rPr>
          <w:rFonts w:ascii="Arial" w:hAnsi="Arial" w:cs="Arial"/>
          <w:i/>
          <w:iCs/>
          <w:sz w:val="24"/>
          <w:szCs w:val="24"/>
        </w:rPr>
        <w:t xml:space="preserve"> 2004</w:t>
      </w:r>
      <w:r w:rsidR="00BE4F06">
        <w:rPr>
          <w:rFonts w:ascii="Arial" w:hAnsi="Arial" w:cs="Arial"/>
          <w:sz w:val="24"/>
          <w:szCs w:val="24"/>
        </w:rPr>
        <w:t xml:space="preserve">, everyone charged with a criminal offence is entitled to the minimum guarantee </w:t>
      </w:r>
      <w:r w:rsidR="00BE4F06" w:rsidRPr="00BE4F06">
        <w:rPr>
          <w:rFonts w:ascii="Arial" w:hAnsi="Arial" w:cs="Arial"/>
          <w:sz w:val="24"/>
          <w:szCs w:val="24"/>
        </w:rPr>
        <w:t>to examine prosecution witnesses, or have them examined, and to obtain the attendance and examination of witnesses on their behalf under the same conditions as prosecution witnesses</w:t>
      </w:r>
      <w:r w:rsidR="00BE4F06">
        <w:rPr>
          <w:rFonts w:ascii="Arial" w:hAnsi="Arial" w:cs="Arial"/>
          <w:sz w:val="24"/>
          <w:szCs w:val="24"/>
        </w:rPr>
        <w:t xml:space="preserve"> (s22</w:t>
      </w:r>
      <w:r w:rsidR="009A7EE8">
        <w:rPr>
          <w:rFonts w:ascii="Arial" w:hAnsi="Arial" w:cs="Arial"/>
          <w:sz w:val="24"/>
          <w:szCs w:val="24"/>
        </w:rPr>
        <w:t>(</w:t>
      </w:r>
      <w:r w:rsidR="00BE4F06">
        <w:rPr>
          <w:rFonts w:ascii="Arial" w:hAnsi="Arial" w:cs="Arial"/>
          <w:sz w:val="24"/>
          <w:szCs w:val="24"/>
        </w:rPr>
        <w:t>e</w:t>
      </w:r>
      <w:r w:rsidR="009A7EE8">
        <w:rPr>
          <w:rFonts w:ascii="Arial" w:hAnsi="Arial" w:cs="Arial"/>
          <w:sz w:val="24"/>
          <w:szCs w:val="24"/>
        </w:rPr>
        <w:t>)</w:t>
      </w:r>
      <w:r w:rsidR="00BE4F06">
        <w:rPr>
          <w:rFonts w:ascii="Arial" w:hAnsi="Arial" w:cs="Arial"/>
          <w:sz w:val="24"/>
          <w:szCs w:val="24"/>
        </w:rPr>
        <w:t xml:space="preserve">). The Bill will </w:t>
      </w:r>
      <w:r>
        <w:rPr>
          <w:rFonts w:ascii="Arial" w:hAnsi="Arial" w:cs="Arial"/>
          <w:sz w:val="24"/>
          <w:szCs w:val="24"/>
        </w:rPr>
        <w:t>promote</w:t>
      </w:r>
      <w:r w:rsidR="00BE4F06">
        <w:rPr>
          <w:rFonts w:ascii="Arial" w:hAnsi="Arial" w:cs="Arial"/>
          <w:sz w:val="24"/>
          <w:szCs w:val="24"/>
        </w:rPr>
        <w:t xml:space="preserve"> this right by the defendant having all evidence available to them in a timely manner, to be able to request and prepare for examination of witnesses. Furthermore, the legislated duty of ongoing disclosure throughout the court process will ensure that the defendant is informed as new evidence becomes available, enabling them to further scrutinise the evidence and examine new witnesses as they come forward. </w:t>
      </w:r>
    </w:p>
    <w:p w14:paraId="3674B2EA" w14:textId="5FED8CBF" w:rsidR="007E13B5" w:rsidRPr="0025691C" w:rsidRDefault="007E13B5" w:rsidP="0025691C">
      <w:pPr>
        <w:rPr>
          <w:rFonts w:ascii="Arial" w:hAnsi="Arial" w:cs="Arial"/>
          <w:sz w:val="24"/>
          <w:szCs w:val="24"/>
        </w:rPr>
      </w:pPr>
      <w:r>
        <w:rPr>
          <w:rFonts w:ascii="Arial" w:hAnsi="Arial" w:cs="Arial"/>
          <w:sz w:val="24"/>
          <w:szCs w:val="24"/>
        </w:rPr>
        <w:t xml:space="preserve">The Bill will promote the right to privacy </w:t>
      </w:r>
      <w:r w:rsidR="00884307">
        <w:rPr>
          <w:rFonts w:ascii="Arial" w:hAnsi="Arial" w:cs="Arial"/>
          <w:sz w:val="24"/>
          <w:szCs w:val="24"/>
        </w:rPr>
        <w:t xml:space="preserve">(s 12 of the </w:t>
      </w:r>
      <w:r w:rsidR="00884307" w:rsidRPr="000A3C9A">
        <w:rPr>
          <w:rFonts w:ascii="Arial" w:hAnsi="Arial" w:cs="Arial"/>
          <w:i/>
          <w:iCs/>
          <w:sz w:val="24"/>
          <w:szCs w:val="24"/>
        </w:rPr>
        <w:t xml:space="preserve">Human Rights Act </w:t>
      </w:r>
      <w:r w:rsidR="00884307" w:rsidRPr="00884307">
        <w:rPr>
          <w:rFonts w:ascii="Arial" w:hAnsi="Arial" w:cs="Arial"/>
          <w:sz w:val="24"/>
          <w:szCs w:val="24"/>
        </w:rPr>
        <w:t>2004</w:t>
      </w:r>
      <w:r w:rsidR="00884307">
        <w:rPr>
          <w:rFonts w:ascii="Arial" w:hAnsi="Arial" w:cs="Arial"/>
          <w:sz w:val="24"/>
          <w:szCs w:val="24"/>
        </w:rPr>
        <w:t xml:space="preserve">) </w:t>
      </w:r>
      <w:r w:rsidRPr="00884307">
        <w:rPr>
          <w:rFonts w:ascii="Arial" w:hAnsi="Arial" w:cs="Arial"/>
          <w:sz w:val="24"/>
          <w:szCs w:val="24"/>
        </w:rPr>
        <w:t>by</w:t>
      </w:r>
      <w:r>
        <w:rPr>
          <w:rFonts w:ascii="Arial" w:hAnsi="Arial" w:cs="Arial"/>
          <w:sz w:val="24"/>
          <w:szCs w:val="24"/>
        </w:rPr>
        <w:t xml:space="preserve"> ensuring a counselled person can put forward their views to the court on an application to release a protected confidence. The option of the counselled person providing a statement of harms to the court, which is not to be released to the parties, further promotes this right to privacy. </w:t>
      </w:r>
    </w:p>
    <w:p w14:paraId="54FE1438" w14:textId="77777777" w:rsidR="00E90DF9" w:rsidRDefault="00E90DF9" w:rsidP="00E90DF9">
      <w:pPr>
        <w:rPr>
          <w:rFonts w:ascii="Arial" w:hAnsi="Arial" w:cs="Arial"/>
          <w:b/>
          <w:bCs/>
          <w:i/>
          <w:sz w:val="24"/>
          <w:szCs w:val="24"/>
        </w:rPr>
      </w:pPr>
      <w:r w:rsidRPr="00BC3EF0">
        <w:rPr>
          <w:rFonts w:ascii="Arial" w:hAnsi="Arial" w:cs="Arial"/>
          <w:b/>
          <w:bCs/>
          <w:i/>
          <w:sz w:val="24"/>
          <w:szCs w:val="24"/>
        </w:rPr>
        <w:t>Rights Limited</w:t>
      </w:r>
    </w:p>
    <w:p w14:paraId="550CAC0E" w14:textId="2016C266" w:rsidR="00F73E87" w:rsidRPr="000A3C9A" w:rsidRDefault="00F73E87" w:rsidP="00E90DF9">
      <w:pPr>
        <w:rPr>
          <w:rFonts w:ascii="Arial" w:hAnsi="Arial" w:cs="Arial"/>
          <w:iCs/>
          <w:sz w:val="24"/>
          <w:szCs w:val="24"/>
          <w:u w:val="single"/>
        </w:rPr>
      </w:pPr>
      <w:r>
        <w:rPr>
          <w:rFonts w:ascii="Arial" w:hAnsi="Arial" w:cs="Arial"/>
          <w:iCs/>
          <w:sz w:val="24"/>
          <w:szCs w:val="24"/>
          <w:u w:val="single"/>
        </w:rPr>
        <w:t>Right to fair trial</w:t>
      </w:r>
    </w:p>
    <w:p w14:paraId="39978987" w14:textId="77777777" w:rsidR="00E90DF9" w:rsidRPr="00414921" w:rsidRDefault="00E90DF9" w:rsidP="00E90DF9">
      <w:pPr>
        <w:pStyle w:val="ListParagraph"/>
        <w:numPr>
          <w:ilvl w:val="0"/>
          <w:numId w:val="1"/>
        </w:numPr>
        <w:rPr>
          <w:rFonts w:ascii="Arial" w:hAnsi="Arial" w:cs="Arial"/>
          <w:b/>
          <w:bCs/>
          <w:i/>
          <w:sz w:val="24"/>
          <w:szCs w:val="24"/>
        </w:rPr>
      </w:pPr>
      <w:r w:rsidRPr="00414921">
        <w:rPr>
          <w:rFonts w:ascii="Arial" w:hAnsi="Arial" w:cs="Arial"/>
          <w:b/>
          <w:bCs/>
          <w:i/>
          <w:sz w:val="24"/>
          <w:szCs w:val="24"/>
        </w:rPr>
        <w:t>Nature of the right and the limitation (s28(a) and</w:t>
      </w:r>
      <w:r>
        <w:rPr>
          <w:rFonts w:ascii="Arial" w:hAnsi="Arial" w:cs="Arial"/>
          <w:b/>
          <w:bCs/>
          <w:i/>
          <w:sz w:val="24"/>
          <w:szCs w:val="24"/>
        </w:rPr>
        <w:t xml:space="preserve"> </w:t>
      </w:r>
      <w:r w:rsidRPr="00414921">
        <w:rPr>
          <w:rFonts w:ascii="Arial" w:hAnsi="Arial" w:cs="Arial"/>
          <w:b/>
          <w:bCs/>
          <w:i/>
          <w:sz w:val="24"/>
          <w:szCs w:val="24"/>
        </w:rPr>
        <w:t>(c))</w:t>
      </w:r>
    </w:p>
    <w:p w14:paraId="504F4153" w14:textId="1E76B33B" w:rsidR="008D7C89" w:rsidRPr="000A3C9A" w:rsidRDefault="00F73E87" w:rsidP="000A3C9A">
      <w:pPr>
        <w:rPr>
          <w:rFonts w:ascii="Arial" w:hAnsi="Arial" w:cs="Arial"/>
          <w:sz w:val="24"/>
          <w:szCs w:val="24"/>
        </w:rPr>
      </w:pPr>
      <w:r w:rsidRPr="000A3C9A">
        <w:rPr>
          <w:rFonts w:ascii="Arial" w:hAnsi="Arial" w:cs="Arial"/>
          <w:sz w:val="24"/>
          <w:szCs w:val="24"/>
        </w:rPr>
        <w:t>The Bill limits the</w:t>
      </w:r>
      <w:r w:rsidR="008D7C89" w:rsidRPr="000A3C9A">
        <w:rPr>
          <w:rFonts w:ascii="Arial" w:hAnsi="Arial" w:cs="Arial"/>
          <w:sz w:val="24"/>
          <w:szCs w:val="24"/>
        </w:rPr>
        <w:t xml:space="preserve"> right to fair trial </w:t>
      </w:r>
      <w:r w:rsidRPr="000A3C9A">
        <w:rPr>
          <w:rFonts w:ascii="Arial" w:hAnsi="Arial" w:cs="Arial"/>
          <w:sz w:val="24"/>
          <w:szCs w:val="24"/>
        </w:rPr>
        <w:t>for</w:t>
      </w:r>
      <w:r w:rsidR="00CF7E6F" w:rsidRPr="000A3C9A">
        <w:rPr>
          <w:rFonts w:ascii="Arial" w:hAnsi="Arial" w:cs="Arial"/>
          <w:sz w:val="24"/>
          <w:szCs w:val="24"/>
        </w:rPr>
        <w:t xml:space="preserve"> </w:t>
      </w:r>
      <w:r w:rsidR="009E74EA">
        <w:rPr>
          <w:rFonts w:ascii="Arial" w:hAnsi="Arial" w:cs="Arial"/>
          <w:sz w:val="24"/>
          <w:szCs w:val="24"/>
        </w:rPr>
        <w:t>complainants</w:t>
      </w:r>
      <w:r w:rsidRPr="000A3C9A">
        <w:rPr>
          <w:rFonts w:ascii="Arial" w:hAnsi="Arial" w:cs="Arial"/>
          <w:sz w:val="24"/>
          <w:szCs w:val="24"/>
        </w:rPr>
        <w:t xml:space="preserve"> and </w:t>
      </w:r>
      <w:r w:rsidR="00CF7E6F" w:rsidRPr="000A3C9A">
        <w:rPr>
          <w:rFonts w:ascii="Arial" w:hAnsi="Arial" w:cs="Arial"/>
          <w:sz w:val="24"/>
          <w:szCs w:val="24"/>
        </w:rPr>
        <w:t>victim survivor</w:t>
      </w:r>
      <w:r w:rsidRPr="000A3C9A">
        <w:rPr>
          <w:rFonts w:ascii="Arial" w:hAnsi="Arial" w:cs="Arial"/>
          <w:sz w:val="24"/>
          <w:szCs w:val="24"/>
        </w:rPr>
        <w:t>s by enabling the court to decide to exclude/dismiss some of the evidence due to prosecution failing to provide it in a timely manner.</w:t>
      </w:r>
    </w:p>
    <w:p w14:paraId="38DB061E" w14:textId="64D98353" w:rsidR="00E90DF9" w:rsidRDefault="00F73E87" w:rsidP="005D6777">
      <w:pPr>
        <w:rPr>
          <w:rFonts w:ascii="Arial" w:hAnsi="Arial" w:cs="Arial"/>
          <w:i/>
          <w:color w:val="FF0000"/>
          <w:sz w:val="24"/>
          <w:szCs w:val="24"/>
        </w:rPr>
      </w:pPr>
      <w:r w:rsidRPr="000A3C9A">
        <w:rPr>
          <w:rFonts w:ascii="Arial" w:hAnsi="Arial" w:cs="Arial"/>
          <w:sz w:val="24"/>
          <w:szCs w:val="24"/>
        </w:rPr>
        <w:t>I</w:t>
      </w:r>
      <w:r w:rsidR="00F34C75" w:rsidRPr="000A3C9A">
        <w:rPr>
          <w:rFonts w:ascii="Arial" w:hAnsi="Arial" w:cs="Arial"/>
          <w:sz w:val="24"/>
          <w:szCs w:val="24"/>
        </w:rPr>
        <w:t>ntroducing timeframes for disclosure of evidence and legislating the right of the court to dismiss evidence that is not provided in a timely manner</w:t>
      </w:r>
      <w:r w:rsidR="00206049" w:rsidRPr="000A3C9A">
        <w:rPr>
          <w:rFonts w:ascii="Arial" w:hAnsi="Arial" w:cs="Arial"/>
          <w:sz w:val="24"/>
          <w:szCs w:val="24"/>
        </w:rPr>
        <w:t xml:space="preserve"> by the prosecution</w:t>
      </w:r>
      <w:r w:rsidR="00F34C75" w:rsidRPr="000A3C9A">
        <w:rPr>
          <w:rFonts w:ascii="Arial" w:hAnsi="Arial" w:cs="Arial"/>
          <w:sz w:val="24"/>
          <w:szCs w:val="24"/>
        </w:rPr>
        <w:t>, potentially could allow for key evidence in the claimant’s case to be dismissed. However</w:t>
      </w:r>
      <w:r w:rsidR="009A7EE8">
        <w:rPr>
          <w:rFonts w:ascii="Arial" w:hAnsi="Arial" w:cs="Arial"/>
          <w:sz w:val="24"/>
          <w:szCs w:val="24"/>
        </w:rPr>
        <w:t>, the way in which the Bill is worded provides the Court with the discretion to allow for an adjournment to allow the defendant time to consider the evidence and otherwise allow for its admission. Further, the Bill</w:t>
      </w:r>
      <w:r w:rsidR="00CF7E6F" w:rsidRPr="000A3C9A">
        <w:rPr>
          <w:rFonts w:ascii="Arial" w:hAnsi="Arial" w:cs="Arial"/>
          <w:sz w:val="24"/>
          <w:szCs w:val="24"/>
        </w:rPr>
        <w:t xml:space="preserve"> </w:t>
      </w:r>
      <w:r w:rsidR="00F34C75" w:rsidRPr="000A3C9A">
        <w:rPr>
          <w:rFonts w:ascii="Arial" w:hAnsi="Arial" w:cs="Arial"/>
          <w:sz w:val="24"/>
          <w:szCs w:val="24"/>
        </w:rPr>
        <w:t xml:space="preserve">also </w:t>
      </w:r>
      <w:r w:rsidR="008D249C" w:rsidRPr="000A3C9A">
        <w:rPr>
          <w:rFonts w:ascii="Arial" w:hAnsi="Arial" w:cs="Arial"/>
          <w:sz w:val="24"/>
          <w:szCs w:val="24"/>
        </w:rPr>
        <w:t>enables</w:t>
      </w:r>
      <w:r w:rsidR="00CF7E6F" w:rsidRPr="000A3C9A">
        <w:rPr>
          <w:rFonts w:ascii="Arial" w:hAnsi="Arial" w:cs="Arial"/>
          <w:sz w:val="24"/>
          <w:szCs w:val="24"/>
        </w:rPr>
        <w:t xml:space="preserve"> courts</w:t>
      </w:r>
      <w:r w:rsidR="00F34C75" w:rsidRPr="000A3C9A">
        <w:rPr>
          <w:rFonts w:ascii="Arial" w:hAnsi="Arial" w:cs="Arial"/>
          <w:sz w:val="24"/>
          <w:szCs w:val="24"/>
        </w:rPr>
        <w:t xml:space="preserve"> to set their own timelines for disclosure that could allow additional time </w:t>
      </w:r>
      <w:r w:rsidR="008D7C89" w:rsidRPr="000A3C9A">
        <w:rPr>
          <w:rFonts w:ascii="Arial" w:hAnsi="Arial" w:cs="Arial"/>
          <w:sz w:val="24"/>
          <w:szCs w:val="24"/>
        </w:rPr>
        <w:t>for</w:t>
      </w:r>
      <w:r w:rsidR="00F34C75" w:rsidRPr="000A3C9A">
        <w:rPr>
          <w:rFonts w:ascii="Arial" w:hAnsi="Arial" w:cs="Arial"/>
          <w:sz w:val="24"/>
          <w:szCs w:val="24"/>
        </w:rPr>
        <w:t xml:space="preserve"> prosecution to disclose, if required. </w:t>
      </w:r>
    </w:p>
    <w:p w14:paraId="45867F3F" w14:textId="77777777" w:rsidR="00E90DF9" w:rsidRPr="00414921" w:rsidRDefault="00E90DF9" w:rsidP="00E90DF9">
      <w:pPr>
        <w:pStyle w:val="ListParagraph"/>
        <w:numPr>
          <w:ilvl w:val="0"/>
          <w:numId w:val="1"/>
        </w:numPr>
        <w:rPr>
          <w:rFonts w:ascii="Arial" w:hAnsi="Arial" w:cs="Arial"/>
          <w:b/>
          <w:bCs/>
          <w:i/>
          <w:sz w:val="24"/>
          <w:szCs w:val="24"/>
        </w:rPr>
      </w:pPr>
      <w:r w:rsidRPr="00414921">
        <w:rPr>
          <w:rFonts w:ascii="Arial" w:hAnsi="Arial" w:cs="Arial"/>
          <w:b/>
          <w:bCs/>
          <w:i/>
          <w:sz w:val="24"/>
          <w:szCs w:val="24"/>
        </w:rPr>
        <w:t>Legitimate purpose (s28(b))</w:t>
      </w:r>
    </w:p>
    <w:p w14:paraId="53CC5F44" w14:textId="77777777" w:rsidR="00E90DF9" w:rsidRDefault="00E90DF9" w:rsidP="00E90DF9">
      <w:pPr>
        <w:pStyle w:val="ListParagraph"/>
        <w:ind w:left="360"/>
        <w:rPr>
          <w:rFonts w:ascii="Arial" w:hAnsi="Arial" w:cs="Arial"/>
          <w:i/>
          <w:color w:val="FF0000"/>
          <w:sz w:val="24"/>
          <w:szCs w:val="24"/>
        </w:rPr>
      </w:pPr>
    </w:p>
    <w:p w14:paraId="0DC27CF2" w14:textId="124B110B" w:rsidR="008B444D" w:rsidRPr="008B444D" w:rsidRDefault="008727C1" w:rsidP="007C020C">
      <w:r w:rsidRPr="007C020C">
        <w:rPr>
          <w:rFonts w:ascii="Arial" w:hAnsi="Arial" w:cs="Arial"/>
          <w:sz w:val="24"/>
          <w:szCs w:val="24"/>
        </w:rPr>
        <w:t xml:space="preserve">The </w:t>
      </w:r>
      <w:r w:rsidR="0096564D" w:rsidRPr="007C020C">
        <w:rPr>
          <w:rFonts w:ascii="Arial" w:hAnsi="Arial" w:cs="Arial"/>
          <w:sz w:val="24"/>
          <w:szCs w:val="24"/>
        </w:rPr>
        <w:t>overall objective of the Bill</w:t>
      </w:r>
      <w:r w:rsidRPr="007C020C">
        <w:rPr>
          <w:rFonts w:ascii="Arial" w:hAnsi="Arial" w:cs="Arial"/>
          <w:sz w:val="24"/>
          <w:szCs w:val="24"/>
        </w:rPr>
        <w:t xml:space="preserve"> is to set clear obligations for disclosure of evidence before and during criminal proceedings, achieve improved understanding of the prosecutor’s obligations under the legislation and assign specific powers to courts to enforce the disclosure obligation rules. </w:t>
      </w:r>
    </w:p>
    <w:p w14:paraId="630C85B5" w14:textId="77777777" w:rsidR="00E90DF9" w:rsidRPr="00414921" w:rsidRDefault="00E90DF9" w:rsidP="005D6777">
      <w:pPr>
        <w:pStyle w:val="ListParagraph"/>
        <w:keepNext/>
        <w:numPr>
          <w:ilvl w:val="0"/>
          <w:numId w:val="1"/>
        </w:numPr>
        <w:ind w:left="357" w:hanging="357"/>
        <w:rPr>
          <w:rFonts w:ascii="Arial" w:hAnsi="Arial" w:cs="Arial"/>
          <w:b/>
          <w:bCs/>
          <w:i/>
          <w:sz w:val="24"/>
          <w:szCs w:val="24"/>
        </w:rPr>
      </w:pPr>
      <w:r w:rsidRPr="00414921">
        <w:rPr>
          <w:rFonts w:ascii="Arial" w:hAnsi="Arial" w:cs="Arial"/>
          <w:b/>
          <w:bCs/>
          <w:i/>
          <w:sz w:val="24"/>
          <w:szCs w:val="24"/>
        </w:rPr>
        <w:t>Rational connection between the limitation and the purpose (s28(d))</w:t>
      </w:r>
    </w:p>
    <w:p w14:paraId="75B05E36" w14:textId="77777777" w:rsidR="00C359AC" w:rsidRPr="008E6549" w:rsidRDefault="00C359AC" w:rsidP="005D6777">
      <w:pPr>
        <w:pStyle w:val="ListParagraph"/>
        <w:keepNext/>
        <w:ind w:left="357"/>
        <w:rPr>
          <w:rFonts w:ascii="Arial" w:hAnsi="Arial" w:cs="Arial"/>
          <w:sz w:val="24"/>
          <w:szCs w:val="24"/>
          <w:lang w:eastAsia="en-US"/>
        </w:rPr>
      </w:pPr>
    </w:p>
    <w:p w14:paraId="4BB0CCF4" w14:textId="7E04EF50" w:rsidR="00DD5478" w:rsidRPr="008F7A66" w:rsidRDefault="00DD5478" w:rsidP="00DD5478">
      <w:pPr>
        <w:rPr>
          <w:rFonts w:ascii="Arial" w:hAnsi="Arial" w:cs="Arial"/>
          <w:sz w:val="24"/>
          <w:szCs w:val="24"/>
        </w:rPr>
      </w:pPr>
      <w:r>
        <w:rPr>
          <w:rFonts w:ascii="Arial" w:hAnsi="Arial" w:cs="Arial"/>
          <w:sz w:val="24"/>
          <w:szCs w:val="24"/>
        </w:rPr>
        <w:t>T</w:t>
      </w:r>
      <w:r w:rsidRPr="008F7A66">
        <w:rPr>
          <w:rFonts w:ascii="Arial" w:hAnsi="Arial" w:cs="Arial"/>
          <w:sz w:val="24"/>
          <w:szCs w:val="24"/>
        </w:rPr>
        <w:t>he Board of Inquiry into the Criminal Justice System in the ACT (the Inquiry</w:t>
      </w:r>
      <w:r w:rsidR="000A3C9A">
        <w:rPr>
          <w:rFonts w:ascii="Arial" w:hAnsi="Arial" w:cs="Arial"/>
          <w:sz w:val="24"/>
          <w:szCs w:val="24"/>
        </w:rPr>
        <w:t>)</w:t>
      </w:r>
      <w:r w:rsidRPr="008F7A66">
        <w:rPr>
          <w:rFonts w:ascii="Arial" w:hAnsi="Arial" w:cs="Arial"/>
          <w:sz w:val="24"/>
          <w:szCs w:val="24"/>
        </w:rPr>
        <w:t xml:space="preserve"> was established to ensure that the Territory’s framework for progressing criminal investigations and prosecutions is robust, fair and respects the rights of those involved.</w:t>
      </w:r>
      <w:r>
        <w:rPr>
          <w:rFonts w:ascii="Arial" w:hAnsi="Arial" w:cs="Arial"/>
          <w:sz w:val="24"/>
          <w:szCs w:val="24"/>
        </w:rPr>
        <w:t xml:space="preserve"> </w:t>
      </w:r>
      <w:r w:rsidRPr="00AB214D">
        <w:rPr>
          <w:rFonts w:ascii="Arial" w:hAnsi="Arial" w:cs="Arial"/>
          <w:sz w:val="24"/>
          <w:szCs w:val="24"/>
        </w:rPr>
        <w:t xml:space="preserve">The Inquiry Final Report contained 10 recommendations in total. </w:t>
      </w:r>
      <w:r w:rsidRPr="00AB214D">
        <w:rPr>
          <w:rFonts w:ascii="Arial" w:hAnsi="Arial" w:cs="Arial"/>
          <w:sz w:val="24"/>
          <w:szCs w:val="24"/>
        </w:rPr>
        <w:lastRenderedPageBreak/>
        <w:t xml:space="preserve">Recommendation 8 was that the ACT Government, in consultation with stakeholders, enact legislation to codify the scope and content of the obligation of disclosure owed by the Prosecution in criminal proceedings. </w:t>
      </w:r>
    </w:p>
    <w:p w14:paraId="58B39C22" w14:textId="42BDB982" w:rsidR="00DD5478" w:rsidRPr="008F7A66" w:rsidRDefault="00DD5478" w:rsidP="00DD5478">
      <w:pPr>
        <w:rPr>
          <w:rFonts w:ascii="Arial" w:hAnsi="Arial" w:cs="Arial"/>
          <w:sz w:val="24"/>
          <w:szCs w:val="24"/>
        </w:rPr>
      </w:pPr>
      <w:r w:rsidRPr="00AB214D">
        <w:rPr>
          <w:rFonts w:ascii="Arial" w:hAnsi="Arial" w:cs="Arial"/>
          <w:sz w:val="24"/>
          <w:szCs w:val="24"/>
        </w:rPr>
        <w:t xml:space="preserve">Currently in the ACT, the content of a prosecutor’s duty of disclosure derives mainly from the Prosecution Policy, while the duty of disclosure is codified in </w:t>
      </w:r>
      <w:proofErr w:type="gramStart"/>
      <w:r w:rsidR="00DF4CE6">
        <w:rPr>
          <w:rFonts w:ascii="Arial" w:hAnsi="Arial" w:cs="Arial"/>
          <w:sz w:val="24"/>
          <w:szCs w:val="24"/>
        </w:rPr>
        <w:t xml:space="preserve">the </w:t>
      </w:r>
      <w:r w:rsidRPr="00AB214D">
        <w:rPr>
          <w:rFonts w:ascii="Arial" w:hAnsi="Arial" w:cs="Arial"/>
          <w:sz w:val="24"/>
          <w:szCs w:val="24"/>
        </w:rPr>
        <w:t>majority of</w:t>
      </w:r>
      <w:proofErr w:type="gramEnd"/>
      <w:r w:rsidRPr="00AB214D">
        <w:rPr>
          <w:rFonts w:ascii="Arial" w:hAnsi="Arial" w:cs="Arial"/>
          <w:sz w:val="24"/>
          <w:szCs w:val="24"/>
        </w:rPr>
        <w:t xml:space="preserve"> jurisdictions in Australia. The Inquiry Final Report concluded that “</w:t>
      </w:r>
      <w:r w:rsidRPr="00AB214D">
        <w:rPr>
          <w:rFonts w:ascii="Arial" w:hAnsi="Arial" w:cs="Arial"/>
          <w:i/>
          <w:iCs/>
          <w:sz w:val="24"/>
          <w:szCs w:val="24"/>
        </w:rPr>
        <w:t>codification recognises the importance of the duty to the proper administration of justice. It guarantees a clear statement of the scope and content of the duty. It ensures observance by all prosecutors. It facilitates oversight by the court to determine disputes which may arise in relation to disclosure</w:t>
      </w:r>
      <w:r w:rsidRPr="00AB214D">
        <w:rPr>
          <w:rFonts w:ascii="Arial" w:hAnsi="Arial" w:cs="Arial"/>
          <w:sz w:val="24"/>
          <w:szCs w:val="24"/>
        </w:rPr>
        <w:t>.”</w:t>
      </w:r>
      <w:r>
        <w:rPr>
          <w:rStyle w:val="FootnoteReference"/>
          <w:rFonts w:ascii="Arial" w:hAnsi="Arial"/>
          <w:sz w:val="24"/>
          <w:szCs w:val="24"/>
        </w:rPr>
        <w:footnoteReference w:id="2"/>
      </w:r>
      <w:r w:rsidRPr="00AB214D">
        <w:rPr>
          <w:rFonts w:ascii="Arial" w:hAnsi="Arial" w:cs="Arial"/>
          <w:sz w:val="24"/>
          <w:szCs w:val="24"/>
        </w:rPr>
        <w:t xml:space="preserve">  </w:t>
      </w:r>
    </w:p>
    <w:p w14:paraId="7D79A8FA" w14:textId="0382911D" w:rsidR="00DD5478" w:rsidRPr="008F7A66" w:rsidRDefault="00DD5478" w:rsidP="00DD5478">
      <w:pPr>
        <w:rPr>
          <w:rFonts w:ascii="Arial" w:hAnsi="Arial" w:cs="Arial"/>
          <w:sz w:val="24"/>
          <w:szCs w:val="24"/>
        </w:rPr>
      </w:pPr>
      <w:r w:rsidRPr="00AB214D">
        <w:rPr>
          <w:rFonts w:ascii="Arial" w:hAnsi="Arial" w:cs="Arial"/>
          <w:sz w:val="24"/>
          <w:szCs w:val="24"/>
        </w:rPr>
        <w:t xml:space="preserve">This finding was supported by relevant justice stakeholders in the ACT during consultation held to examine the scope and content of legislated duty of disclosure by the Prosecution in the ACT. Stakeholders agreed that even when policies and procedures are adequate, legislating is the preferred method of regulating disclosure. </w:t>
      </w:r>
    </w:p>
    <w:p w14:paraId="27467EC1" w14:textId="2B6AAAF7" w:rsidR="00DD5478" w:rsidRPr="007C020C" w:rsidRDefault="00DD5478" w:rsidP="007C020C">
      <w:pPr>
        <w:rPr>
          <w:rFonts w:ascii="Arial" w:hAnsi="Arial" w:cs="Arial"/>
          <w:sz w:val="24"/>
          <w:szCs w:val="24"/>
        </w:rPr>
      </w:pPr>
      <w:r w:rsidRPr="008F7A66">
        <w:rPr>
          <w:rFonts w:ascii="Arial" w:hAnsi="Arial" w:cs="Arial"/>
          <w:sz w:val="24"/>
          <w:szCs w:val="24"/>
        </w:rPr>
        <w:t xml:space="preserve">This will be achieved via </w:t>
      </w:r>
      <w:r w:rsidR="00957C95">
        <w:rPr>
          <w:rFonts w:ascii="Arial" w:hAnsi="Arial" w:cs="Arial"/>
          <w:sz w:val="24"/>
          <w:szCs w:val="24"/>
        </w:rPr>
        <w:t xml:space="preserve">the </w:t>
      </w:r>
      <w:r w:rsidRPr="008F7A66">
        <w:rPr>
          <w:rFonts w:ascii="Arial" w:hAnsi="Arial" w:cs="Arial"/>
          <w:sz w:val="24"/>
          <w:szCs w:val="24"/>
        </w:rPr>
        <w:t>following Bill features:</w:t>
      </w:r>
    </w:p>
    <w:p w14:paraId="5679777F" w14:textId="77777777" w:rsidR="00DD5478" w:rsidRPr="0096564D" w:rsidRDefault="00DD5478" w:rsidP="00DD5478">
      <w:pPr>
        <w:pStyle w:val="ListParagraph"/>
        <w:numPr>
          <w:ilvl w:val="0"/>
          <w:numId w:val="10"/>
        </w:numPr>
        <w:rPr>
          <w:rFonts w:ascii="Arial" w:hAnsi="Arial" w:cs="Arial"/>
          <w:sz w:val="24"/>
          <w:szCs w:val="24"/>
          <w:lang w:eastAsia="en-US"/>
        </w:rPr>
      </w:pPr>
      <w:r w:rsidRPr="0096564D">
        <w:rPr>
          <w:rFonts w:ascii="Arial" w:hAnsi="Arial" w:cs="Arial"/>
          <w:sz w:val="24"/>
          <w:szCs w:val="24"/>
          <w:lang w:eastAsia="en-US"/>
        </w:rPr>
        <w:t xml:space="preserve">A legislated duty of disclosure for the prosecution that starts pre-trial and is ongoing throughout the judicial process. </w:t>
      </w:r>
    </w:p>
    <w:p w14:paraId="0CEA249F" w14:textId="77777777" w:rsidR="00DD5478" w:rsidRPr="0096564D" w:rsidRDefault="00DD5478" w:rsidP="00DD5478">
      <w:pPr>
        <w:pStyle w:val="ListParagraph"/>
        <w:numPr>
          <w:ilvl w:val="0"/>
          <w:numId w:val="10"/>
        </w:numPr>
        <w:rPr>
          <w:rFonts w:ascii="Arial" w:hAnsi="Arial" w:cs="Arial"/>
          <w:sz w:val="24"/>
          <w:szCs w:val="24"/>
          <w:lang w:eastAsia="en-US"/>
        </w:rPr>
      </w:pPr>
      <w:r w:rsidRPr="0096564D">
        <w:rPr>
          <w:rFonts w:ascii="Arial" w:hAnsi="Arial" w:cs="Arial"/>
          <w:sz w:val="24"/>
          <w:szCs w:val="24"/>
          <w:lang w:eastAsia="en-US"/>
        </w:rPr>
        <w:t xml:space="preserve">Timeframes for disclosure of briefs of evidence, so that briefs of evidence must be served by a specific timeframe before a hearing or in accordance with a timetable set by the court. </w:t>
      </w:r>
    </w:p>
    <w:p w14:paraId="6DEEA222" w14:textId="7A68ED6F" w:rsidR="00DD5478" w:rsidRDefault="00DD5478" w:rsidP="007C020C">
      <w:pPr>
        <w:pStyle w:val="ListParagraph"/>
        <w:numPr>
          <w:ilvl w:val="0"/>
          <w:numId w:val="10"/>
        </w:numPr>
        <w:rPr>
          <w:rFonts w:ascii="Arial" w:hAnsi="Arial" w:cs="Arial"/>
          <w:sz w:val="24"/>
          <w:szCs w:val="24"/>
          <w:lang w:eastAsia="en-US"/>
        </w:rPr>
      </w:pPr>
      <w:r w:rsidRPr="0096564D">
        <w:rPr>
          <w:rFonts w:ascii="Arial" w:hAnsi="Arial" w:cs="Arial"/>
          <w:sz w:val="24"/>
          <w:szCs w:val="24"/>
          <w:lang w:eastAsia="en-US"/>
        </w:rPr>
        <w:t>Court-imposed sanctions for non-compliance with disclosure requirements, including ability to refuse evidence or grant adjournment.</w:t>
      </w:r>
    </w:p>
    <w:p w14:paraId="40CAA1AF" w14:textId="77777777" w:rsidR="007C020C" w:rsidRPr="007C020C" w:rsidRDefault="007C020C" w:rsidP="007C020C">
      <w:pPr>
        <w:pStyle w:val="ListParagraph"/>
        <w:ind w:left="1080"/>
        <w:rPr>
          <w:rFonts w:ascii="Arial" w:hAnsi="Arial" w:cs="Arial"/>
          <w:sz w:val="24"/>
          <w:szCs w:val="24"/>
          <w:lang w:eastAsia="en-US"/>
        </w:rPr>
      </w:pPr>
    </w:p>
    <w:p w14:paraId="1A72D195" w14:textId="7E67C49C" w:rsidR="008727C1" w:rsidRDefault="008727C1" w:rsidP="000A3C9A">
      <w:pPr>
        <w:rPr>
          <w:rFonts w:ascii="Arial" w:hAnsi="Arial" w:cs="Arial"/>
          <w:sz w:val="24"/>
          <w:szCs w:val="24"/>
        </w:rPr>
      </w:pPr>
      <w:r>
        <w:rPr>
          <w:rFonts w:ascii="Arial" w:hAnsi="Arial" w:cs="Arial"/>
          <w:sz w:val="24"/>
          <w:szCs w:val="24"/>
        </w:rPr>
        <w:t>The Bill establishes</w:t>
      </w:r>
      <w:r w:rsidRPr="008B444D">
        <w:rPr>
          <w:rFonts w:ascii="Arial" w:hAnsi="Arial" w:cs="Arial"/>
          <w:sz w:val="24"/>
          <w:szCs w:val="24"/>
        </w:rPr>
        <w:t xml:space="preserve"> a detailed model of </w:t>
      </w:r>
      <w:r>
        <w:rPr>
          <w:rFonts w:ascii="Arial" w:hAnsi="Arial" w:cs="Arial"/>
          <w:sz w:val="24"/>
          <w:szCs w:val="24"/>
        </w:rPr>
        <w:t xml:space="preserve">evidence </w:t>
      </w:r>
      <w:r w:rsidRPr="008B444D">
        <w:rPr>
          <w:rFonts w:ascii="Arial" w:hAnsi="Arial" w:cs="Arial"/>
          <w:sz w:val="24"/>
          <w:szCs w:val="24"/>
        </w:rPr>
        <w:t xml:space="preserve">disclosure obligations </w:t>
      </w:r>
      <w:r>
        <w:rPr>
          <w:rFonts w:ascii="Arial" w:hAnsi="Arial" w:cs="Arial"/>
          <w:sz w:val="24"/>
          <w:szCs w:val="24"/>
        </w:rPr>
        <w:t>on the part of the prosecution in criminal proceedings</w:t>
      </w:r>
      <w:r w:rsidR="00F639A7">
        <w:rPr>
          <w:rFonts w:ascii="Arial" w:hAnsi="Arial" w:cs="Arial"/>
          <w:sz w:val="24"/>
          <w:szCs w:val="24"/>
        </w:rPr>
        <w:t>, with the courts empowered to admit or reject evidence</w:t>
      </w:r>
      <w:r>
        <w:rPr>
          <w:rFonts w:ascii="Arial" w:hAnsi="Arial" w:cs="Arial"/>
          <w:sz w:val="24"/>
          <w:szCs w:val="24"/>
        </w:rPr>
        <w:t>.</w:t>
      </w:r>
    </w:p>
    <w:p w14:paraId="111D33BF" w14:textId="1A5E041C" w:rsidR="00F639A7" w:rsidRDefault="00F639A7" w:rsidP="000A3C9A">
      <w:pPr>
        <w:rPr>
          <w:rFonts w:ascii="Arial" w:hAnsi="Arial" w:cs="Arial"/>
          <w:sz w:val="24"/>
          <w:szCs w:val="24"/>
        </w:rPr>
      </w:pPr>
      <w:r>
        <w:rPr>
          <w:rFonts w:ascii="Arial" w:hAnsi="Arial" w:cs="Arial"/>
          <w:sz w:val="24"/>
          <w:szCs w:val="24"/>
        </w:rPr>
        <w:t>Currently i</w:t>
      </w:r>
      <w:r w:rsidRPr="001F4595">
        <w:rPr>
          <w:rFonts w:ascii="Arial" w:hAnsi="Arial" w:cs="Arial"/>
          <w:sz w:val="24"/>
          <w:szCs w:val="24"/>
        </w:rPr>
        <w:t xml:space="preserve">n the ACT, the content of a prosecutor’s duty of disclosure derives </w:t>
      </w:r>
      <w:r>
        <w:rPr>
          <w:rFonts w:ascii="Arial" w:hAnsi="Arial" w:cs="Arial"/>
          <w:sz w:val="24"/>
          <w:szCs w:val="24"/>
        </w:rPr>
        <w:t xml:space="preserve">mainly </w:t>
      </w:r>
      <w:r w:rsidRPr="001F4595">
        <w:rPr>
          <w:rFonts w:ascii="Arial" w:hAnsi="Arial" w:cs="Arial"/>
          <w:sz w:val="24"/>
          <w:szCs w:val="24"/>
        </w:rPr>
        <w:t>from the Prosecution Policy</w:t>
      </w:r>
      <w:r w:rsidR="00C359AC">
        <w:rPr>
          <w:rFonts w:ascii="Arial" w:hAnsi="Arial" w:cs="Arial"/>
          <w:sz w:val="24"/>
          <w:szCs w:val="24"/>
        </w:rPr>
        <w:t xml:space="preserve"> and inferred within the relevant Acts</w:t>
      </w:r>
      <w:r>
        <w:rPr>
          <w:rFonts w:ascii="Arial" w:hAnsi="Arial" w:cs="Arial"/>
          <w:sz w:val="24"/>
          <w:szCs w:val="24"/>
        </w:rPr>
        <w:t xml:space="preserve">. While the Prosecution Policy outlines the disclosure requirements for prosecutions in the ACT, the Inquiry concluded that this approach suffers from weaknesses, including that </w:t>
      </w:r>
      <w:r w:rsidRPr="00F639A7">
        <w:rPr>
          <w:rFonts w:ascii="Arial" w:hAnsi="Arial" w:cs="Arial"/>
          <w:sz w:val="24"/>
          <w:szCs w:val="24"/>
        </w:rPr>
        <w:t xml:space="preserve">considerations of relevance </w:t>
      </w:r>
      <w:r>
        <w:rPr>
          <w:rFonts w:ascii="Arial" w:hAnsi="Arial" w:cs="Arial"/>
          <w:sz w:val="24"/>
          <w:szCs w:val="24"/>
        </w:rPr>
        <w:t xml:space="preserve">are </w:t>
      </w:r>
      <w:r w:rsidRPr="00F639A7">
        <w:rPr>
          <w:rFonts w:ascii="Arial" w:hAnsi="Arial" w:cs="Arial"/>
          <w:sz w:val="24"/>
          <w:szCs w:val="24"/>
        </w:rPr>
        <w:t xml:space="preserve">being prioritised above considerations of fairness. </w:t>
      </w:r>
    </w:p>
    <w:p w14:paraId="4CA2A9CA" w14:textId="77777777" w:rsidR="00EB1AEA" w:rsidRDefault="00F639A7" w:rsidP="000A3C9A">
      <w:pPr>
        <w:rPr>
          <w:rFonts w:ascii="Arial" w:hAnsi="Arial" w:cs="Arial"/>
          <w:sz w:val="24"/>
          <w:szCs w:val="24"/>
        </w:rPr>
      </w:pPr>
      <w:r>
        <w:rPr>
          <w:rFonts w:ascii="Arial" w:hAnsi="Arial" w:cs="Arial"/>
          <w:sz w:val="24"/>
          <w:szCs w:val="24"/>
        </w:rPr>
        <w:t>The Inquiry Report recommended that these that should be rectified by legislating the duty of disclosure for prosecution. This legislative change, the Report found, should facilitate</w:t>
      </w:r>
      <w:r w:rsidRPr="00F639A7">
        <w:rPr>
          <w:rFonts w:ascii="Arial" w:hAnsi="Arial" w:cs="Arial"/>
          <w:sz w:val="24"/>
          <w:szCs w:val="24"/>
        </w:rPr>
        <w:t xml:space="preserve"> oversight by the court to determine disputes which may arise in relation to disclosure.</w:t>
      </w:r>
      <w:r>
        <w:rPr>
          <w:rFonts w:ascii="Arial" w:hAnsi="Arial" w:cs="Arial"/>
          <w:sz w:val="24"/>
          <w:szCs w:val="24"/>
        </w:rPr>
        <w:t xml:space="preserve"> </w:t>
      </w:r>
    </w:p>
    <w:p w14:paraId="4B0DA32C" w14:textId="16732969" w:rsidR="008727C1" w:rsidRDefault="00F639A7" w:rsidP="000A3C9A">
      <w:pPr>
        <w:rPr>
          <w:rFonts w:ascii="Arial" w:hAnsi="Arial" w:cs="Arial"/>
          <w:sz w:val="24"/>
          <w:szCs w:val="24"/>
        </w:rPr>
      </w:pPr>
      <w:r>
        <w:rPr>
          <w:rFonts w:ascii="Arial" w:hAnsi="Arial" w:cs="Arial"/>
          <w:sz w:val="24"/>
          <w:szCs w:val="24"/>
        </w:rPr>
        <w:t xml:space="preserve">This recommendation was supported by majority of justice stakeholders in the ACT. </w:t>
      </w:r>
    </w:p>
    <w:p w14:paraId="51F9984F" w14:textId="56CEC833" w:rsidR="00F73E87" w:rsidRPr="000A3C9A" w:rsidRDefault="00F639A7" w:rsidP="000A3C9A">
      <w:pPr>
        <w:rPr>
          <w:rFonts w:ascii="Arial" w:hAnsi="Arial" w:cs="Arial"/>
          <w:sz w:val="24"/>
          <w:szCs w:val="24"/>
        </w:rPr>
      </w:pPr>
      <w:r w:rsidRPr="007408B9">
        <w:rPr>
          <w:rFonts w:ascii="Arial" w:hAnsi="Arial" w:cs="Arial"/>
          <w:sz w:val="24"/>
          <w:szCs w:val="24"/>
        </w:rPr>
        <w:lastRenderedPageBreak/>
        <w:t xml:space="preserve">Specifically, under the new legislation, </w:t>
      </w:r>
      <w:r w:rsidRPr="000A3C9A">
        <w:rPr>
          <w:rFonts w:ascii="Arial" w:hAnsi="Arial" w:cs="Arial"/>
          <w:sz w:val="24"/>
          <w:szCs w:val="24"/>
        </w:rPr>
        <w:t>c</w:t>
      </w:r>
      <w:r w:rsidR="00F73E87" w:rsidRPr="000A3C9A">
        <w:rPr>
          <w:rFonts w:ascii="Arial" w:hAnsi="Arial" w:cs="Arial"/>
          <w:sz w:val="24"/>
          <w:szCs w:val="24"/>
        </w:rPr>
        <w:t xml:space="preserve">ourts will be </w:t>
      </w:r>
      <w:r w:rsidR="007C020C">
        <w:rPr>
          <w:rFonts w:ascii="Arial" w:hAnsi="Arial" w:cs="Arial"/>
          <w:sz w:val="24"/>
          <w:szCs w:val="24"/>
        </w:rPr>
        <w:t xml:space="preserve">expressly provided with the ability to </w:t>
      </w:r>
      <w:r w:rsidR="00F73E87" w:rsidRPr="000A3C9A">
        <w:rPr>
          <w:rFonts w:ascii="Arial" w:hAnsi="Arial" w:cs="Arial"/>
          <w:sz w:val="24"/>
          <w:szCs w:val="24"/>
        </w:rPr>
        <w:t>enforce the rules either through excluding evidence a</w:t>
      </w:r>
      <w:r w:rsidR="007C020C">
        <w:rPr>
          <w:rFonts w:ascii="Arial" w:hAnsi="Arial" w:cs="Arial"/>
          <w:sz w:val="24"/>
          <w:szCs w:val="24"/>
        </w:rPr>
        <w:t xml:space="preserve">nd/or </w:t>
      </w:r>
      <w:r w:rsidR="00F73E87" w:rsidRPr="000A3C9A">
        <w:rPr>
          <w:rFonts w:ascii="Arial" w:hAnsi="Arial" w:cs="Arial"/>
          <w:sz w:val="24"/>
          <w:szCs w:val="24"/>
        </w:rPr>
        <w:t>adjourning matters. Legislated timeframes will support fairness in pre-trial and trial stages of the process, ensuring procedural fairness for the defendant.</w:t>
      </w:r>
      <w:r w:rsidR="00D06737" w:rsidRPr="000A3C9A">
        <w:rPr>
          <w:rFonts w:ascii="Arial" w:hAnsi="Arial" w:cs="Arial"/>
          <w:sz w:val="24"/>
          <w:szCs w:val="24"/>
        </w:rPr>
        <w:t xml:space="preserve"> There is no evidence to suggest that the current practice that relies solely on prosecution policy provides more fairness for the victim/plaintiff. </w:t>
      </w:r>
      <w:r w:rsidR="00EB1AEA" w:rsidRPr="000A3C9A">
        <w:rPr>
          <w:rFonts w:ascii="Arial" w:hAnsi="Arial" w:cs="Arial"/>
          <w:sz w:val="24"/>
          <w:szCs w:val="24"/>
        </w:rPr>
        <w:t xml:space="preserve">Under the legislative change, disputes that may arise in relation to disclosure will be settled by the courts. Courts will be able to make decisions in individual cases where prosecution has not obeyed their disclosure duties and decide to include or reject evidence on terms that are just and reasonable. </w:t>
      </w:r>
    </w:p>
    <w:p w14:paraId="30AEBBAB" w14:textId="77777777" w:rsidR="00E90DF9" w:rsidRDefault="00E90DF9" w:rsidP="00E90DF9">
      <w:pPr>
        <w:pStyle w:val="ListParagraph"/>
        <w:numPr>
          <w:ilvl w:val="0"/>
          <w:numId w:val="1"/>
        </w:numPr>
        <w:rPr>
          <w:rFonts w:ascii="Arial" w:hAnsi="Arial" w:cs="Arial"/>
          <w:b/>
          <w:bCs/>
          <w:i/>
          <w:sz w:val="24"/>
          <w:szCs w:val="24"/>
        </w:rPr>
      </w:pPr>
      <w:r w:rsidRPr="00414921">
        <w:rPr>
          <w:rFonts w:ascii="Arial" w:hAnsi="Arial" w:cs="Arial"/>
          <w:b/>
          <w:bCs/>
          <w:i/>
          <w:sz w:val="24"/>
          <w:szCs w:val="24"/>
        </w:rPr>
        <w:t>Proportionality (s28 (e))</w:t>
      </w:r>
    </w:p>
    <w:p w14:paraId="3A624D3D" w14:textId="77777777" w:rsidR="00E90DF9" w:rsidRPr="00414921" w:rsidRDefault="00E90DF9" w:rsidP="00E90DF9">
      <w:pPr>
        <w:pStyle w:val="ListParagraph"/>
        <w:ind w:left="360"/>
        <w:rPr>
          <w:rFonts w:ascii="Arial" w:hAnsi="Arial" w:cs="Arial"/>
          <w:b/>
          <w:bCs/>
          <w:i/>
          <w:sz w:val="24"/>
          <w:szCs w:val="24"/>
        </w:rPr>
      </w:pPr>
    </w:p>
    <w:p w14:paraId="39523C81" w14:textId="33241D82" w:rsidR="00F73E87" w:rsidRDefault="00F73E87" w:rsidP="000A3C9A">
      <w:r w:rsidRPr="000A3C9A">
        <w:rPr>
          <w:rFonts w:ascii="Arial" w:hAnsi="Arial" w:cs="Arial"/>
          <w:sz w:val="24"/>
          <w:szCs w:val="24"/>
        </w:rPr>
        <w:t>Achieving the legitimate purpose of this Bill (improving procedural fairness for the defendant) requires balancing the right to fair trial for both the defendant and complainant / victim survivor.</w:t>
      </w:r>
    </w:p>
    <w:p w14:paraId="7ACFA5C3" w14:textId="604F69C2" w:rsidR="00EB1AEA" w:rsidRDefault="00CF7E6F" w:rsidP="007408B9">
      <w:pPr>
        <w:rPr>
          <w:rFonts w:ascii="Arial" w:hAnsi="Arial" w:cs="Arial"/>
          <w:sz w:val="24"/>
          <w:szCs w:val="24"/>
        </w:rPr>
      </w:pPr>
      <w:r w:rsidRPr="00CF7E6F">
        <w:rPr>
          <w:rFonts w:ascii="Arial" w:hAnsi="Arial" w:cs="Arial"/>
          <w:sz w:val="24"/>
          <w:szCs w:val="24"/>
        </w:rPr>
        <w:t xml:space="preserve">The Bill is the least restrictive means to achieve the </w:t>
      </w:r>
      <w:r w:rsidR="008727C1">
        <w:rPr>
          <w:rFonts w:ascii="Arial" w:hAnsi="Arial" w:cs="Arial"/>
          <w:sz w:val="24"/>
          <w:szCs w:val="24"/>
        </w:rPr>
        <w:t>legitimate purpose</w:t>
      </w:r>
      <w:r w:rsidRPr="00CF7E6F">
        <w:rPr>
          <w:rFonts w:ascii="Arial" w:hAnsi="Arial" w:cs="Arial"/>
          <w:sz w:val="24"/>
          <w:szCs w:val="24"/>
        </w:rPr>
        <w:t xml:space="preserve">. </w:t>
      </w:r>
      <w:r w:rsidR="00C359AC">
        <w:rPr>
          <w:rFonts w:ascii="Arial" w:hAnsi="Arial" w:cs="Arial"/>
          <w:sz w:val="24"/>
          <w:szCs w:val="24"/>
        </w:rPr>
        <w:t xml:space="preserve">A less restrictive approach already exists and </w:t>
      </w:r>
      <w:r w:rsidR="00AB3CF9">
        <w:rPr>
          <w:rFonts w:ascii="Arial" w:hAnsi="Arial" w:cs="Arial"/>
          <w:sz w:val="24"/>
          <w:szCs w:val="24"/>
        </w:rPr>
        <w:t xml:space="preserve">is </w:t>
      </w:r>
      <w:r w:rsidR="00C359AC">
        <w:rPr>
          <w:rFonts w:ascii="Arial" w:hAnsi="Arial" w:cs="Arial"/>
          <w:sz w:val="24"/>
          <w:szCs w:val="24"/>
        </w:rPr>
        <w:t>applied in the ACT</w:t>
      </w:r>
      <w:r w:rsidR="000A3C9A">
        <w:rPr>
          <w:rFonts w:ascii="Arial" w:hAnsi="Arial" w:cs="Arial"/>
          <w:sz w:val="24"/>
          <w:szCs w:val="24"/>
        </w:rPr>
        <w:t xml:space="preserve"> </w:t>
      </w:r>
      <w:r w:rsidR="00A84A81">
        <w:rPr>
          <w:rFonts w:ascii="Arial" w:hAnsi="Arial" w:cs="Arial"/>
          <w:sz w:val="24"/>
          <w:szCs w:val="24"/>
        </w:rPr>
        <w:t xml:space="preserve">via the prosecution’s duty of disclosure forming an integral part of the </w:t>
      </w:r>
      <w:r w:rsidR="00AB3CF9">
        <w:rPr>
          <w:rFonts w:ascii="Arial" w:hAnsi="Arial" w:cs="Arial"/>
          <w:sz w:val="24"/>
          <w:szCs w:val="24"/>
        </w:rPr>
        <w:t>Director of Public Prosecution’s</w:t>
      </w:r>
      <w:r w:rsidR="00A84A81">
        <w:rPr>
          <w:rFonts w:ascii="Arial" w:hAnsi="Arial" w:cs="Arial"/>
          <w:sz w:val="24"/>
          <w:szCs w:val="24"/>
        </w:rPr>
        <w:t xml:space="preserve"> Prosecution Policy (Chapter 4: Disclosure). </w:t>
      </w:r>
      <w:r w:rsidR="00A6029D">
        <w:rPr>
          <w:rFonts w:ascii="Arial" w:hAnsi="Arial" w:cs="Arial"/>
          <w:sz w:val="24"/>
          <w:szCs w:val="24"/>
        </w:rPr>
        <w:t xml:space="preserve">However, due to the Board of Inquiry recommendation and stakeholder feedback this approach is no longer considered an effective means to achieve the legitimate purpose of this Bill. </w:t>
      </w:r>
    </w:p>
    <w:p w14:paraId="05009C3E" w14:textId="24A516EA" w:rsidR="005A51A1" w:rsidRDefault="00A84A81" w:rsidP="007B27FE">
      <w:pPr>
        <w:rPr>
          <w:rFonts w:ascii="Arial" w:hAnsi="Arial" w:cs="Arial"/>
          <w:sz w:val="24"/>
          <w:szCs w:val="24"/>
        </w:rPr>
      </w:pPr>
      <w:r>
        <w:rPr>
          <w:rFonts w:ascii="Arial" w:hAnsi="Arial" w:cs="Arial"/>
          <w:sz w:val="24"/>
          <w:szCs w:val="24"/>
        </w:rPr>
        <w:t xml:space="preserve">Stakeholders were consulted on whether the existing prosecution policy is a sufficient policy tool for </w:t>
      </w:r>
      <w:r w:rsidR="005A51A1">
        <w:rPr>
          <w:rFonts w:ascii="Arial" w:hAnsi="Arial" w:cs="Arial"/>
          <w:sz w:val="24"/>
          <w:szCs w:val="24"/>
        </w:rPr>
        <w:t xml:space="preserve">meeting disclosure obligations as outlined in Recommendation 8 of the </w:t>
      </w:r>
      <w:r w:rsidR="00EB1AEA">
        <w:rPr>
          <w:rFonts w:ascii="Arial" w:hAnsi="Arial" w:cs="Arial"/>
          <w:sz w:val="24"/>
          <w:szCs w:val="24"/>
        </w:rPr>
        <w:t xml:space="preserve">Inquiry </w:t>
      </w:r>
      <w:r w:rsidR="005A51A1">
        <w:rPr>
          <w:rFonts w:ascii="Arial" w:hAnsi="Arial" w:cs="Arial"/>
          <w:sz w:val="24"/>
          <w:szCs w:val="24"/>
        </w:rPr>
        <w:t xml:space="preserve">Report. </w:t>
      </w:r>
      <w:proofErr w:type="gramStart"/>
      <w:r w:rsidR="00957C95">
        <w:rPr>
          <w:rFonts w:ascii="Arial" w:hAnsi="Arial" w:cs="Arial"/>
          <w:sz w:val="24"/>
          <w:szCs w:val="24"/>
        </w:rPr>
        <w:t>The m</w:t>
      </w:r>
      <w:r w:rsidR="005A51A1">
        <w:rPr>
          <w:rFonts w:ascii="Arial" w:hAnsi="Arial" w:cs="Arial"/>
          <w:sz w:val="24"/>
          <w:szCs w:val="24"/>
        </w:rPr>
        <w:t>ajority of</w:t>
      </w:r>
      <w:proofErr w:type="gramEnd"/>
      <w:r w:rsidR="005A51A1">
        <w:rPr>
          <w:rFonts w:ascii="Arial" w:hAnsi="Arial" w:cs="Arial"/>
          <w:sz w:val="24"/>
          <w:szCs w:val="24"/>
        </w:rPr>
        <w:t xml:space="preserve"> stakeholders were supportive of legislating duty of disclosure instead of continuing with the current approach</w:t>
      </w:r>
      <w:r w:rsidR="00C359AC">
        <w:rPr>
          <w:rFonts w:ascii="Arial" w:hAnsi="Arial" w:cs="Arial"/>
          <w:sz w:val="24"/>
          <w:szCs w:val="24"/>
        </w:rPr>
        <w:t xml:space="preserve"> as better clarity will be afforded to all those involved in criminal proceedings</w:t>
      </w:r>
      <w:r w:rsidR="005A51A1">
        <w:rPr>
          <w:rFonts w:ascii="Arial" w:hAnsi="Arial" w:cs="Arial"/>
          <w:sz w:val="24"/>
          <w:szCs w:val="24"/>
        </w:rPr>
        <w:t xml:space="preserve">. </w:t>
      </w:r>
      <w:r w:rsidR="00EB1AEA">
        <w:rPr>
          <w:rFonts w:ascii="Arial" w:hAnsi="Arial" w:cs="Arial"/>
          <w:sz w:val="24"/>
          <w:szCs w:val="24"/>
        </w:rPr>
        <w:t>Stakeholders agreed that even when policies and procedures are adequate, legislation is the preferred mechanism of achieving the stated objective.</w:t>
      </w:r>
    </w:p>
    <w:p w14:paraId="54C89677" w14:textId="3085C6FB" w:rsidR="00F73E87" w:rsidRDefault="00F73E87" w:rsidP="007B27FE">
      <w:pPr>
        <w:rPr>
          <w:rFonts w:ascii="Arial" w:hAnsi="Arial" w:cs="Arial"/>
          <w:sz w:val="24"/>
          <w:szCs w:val="24"/>
        </w:rPr>
      </w:pPr>
      <w:r>
        <w:rPr>
          <w:rFonts w:ascii="Arial" w:hAnsi="Arial" w:cs="Arial"/>
          <w:sz w:val="24"/>
          <w:szCs w:val="24"/>
        </w:rPr>
        <w:t>ACT Courts are well positioned to determine what evidence must be admissible in proceedings to ensure fair trial.</w:t>
      </w:r>
    </w:p>
    <w:p w14:paraId="7D7B4EA7" w14:textId="6682FCA1" w:rsidR="00F73E87" w:rsidRDefault="00F73E87" w:rsidP="007C020C">
      <w:pPr>
        <w:rPr>
          <w:rFonts w:ascii="Arial" w:hAnsi="Arial" w:cs="Arial"/>
          <w:sz w:val="24"/>
          <w:szCs w:val="24"/>
        </w:rPr>
      </w:pPr>
      <w:r w:rsidRPr="007B27FE">
        <w:rPr>
          <w:rFonts w:ascii="Arial" w:hAnsi="Arial" w:cs="Arial"/>
          <w:sz w:val="24"/>
          <w:szCs w:val="24"/>
        </w:rPr>
        <w:t xml:space="preserve">Furthermore, under the current legislation and rules, courts are already empowered to set timelines and accept or admit evidence applying </w:t>
      </w:r>
      <w:r w:rsidR="00957C95">
        <w:rPr>
          <w:rFonts w:ascii="Arial" w:hAnsi="Arial" w:cs="Arial"/>
          <w:sz w:val="24"/>
          <w:szCs w:val="24"/>
        </w:rPr>
        <w:t xml:space="preserve">the </w:t>
      </w:r>
      <w:r w:rsidRPr="007B27FE">
        <w:rPr>
          <w:rFonts w:ascii="Arial" w:hAnsi="Arial" w:cs="Arial"/>
          <w:sz w:val="24"/>
          <w:szCs w:val="24"/>
        </w:rPr>
        <w:t>following legislative provisions:</w:t>
      </w:r>
    </w:p>
    <w:p w14:paraId="33172B56" w14:textId="77777777" w:rsidR="007C020C" w:rsidRPr="007B27FE" w:rsidRDefault="007C020C" w:rsidP="007C020C">
      <w:pPr>
        <w:pStyle w:val="ListParagraph"/>
        <w:numPr>
          <w:ilvl w:val="2"/>
          <w:numId w:val="8"/>
        </w:numPr>
        <w:rPr>
          <w:rFonts w:ascii="Arial" w:hAnsi="Arial" w:cs="Arial"/>
          <w:i/>
          <w:iCs/>
          <w:sz w:val="24"/>
          <w:szCs w:val="24"/>
          <w:lang w:eastAsia="en-US"/>
        </w:rPr>
      </w:pPr>
      <w:r w:rsidRPr="007B27FE">
        <w:rPr>
          <w:rFonts w:ascii="Arial" w:hAnsi="Arial" w:cs="Arial"/>
          <w:i/>
          <w:iCs/>
          <w:sz w:val="24"/>
          <w:szCs w:val="24"/>
          <w:lang w:eastAsia="en-US"/>
        </w:rPr>
        <w:t xml:space="preserve">Court Procedure Act 2004 </w:t>
      </w:r>
    </w:p>
    <w:p w14:paraId="1AE65F9B" w14:textId="77777777" w:rsidR="007C020C" w:rsidRDefault="007C020C" w:rsidP="007C020C">
      <w:pPr>
        <w:pStyle w:val="ListParagraph"/>
        <w:numPr>
          <w:ilvl w:val="3"/>
          <w:numId w:val="8"/>
        </w:numPr>
        <w:rPr>
          <w:rFonts w:ascii="Arial" w:hAnsi="Arial" w:cs="Arial"/>
          <w:sz w:val="24"/>
          <w:szCs w:val="24"/>
          <w:lang w:eastAsia="en-US"/>
        </w:rPr>
      </w:pPr>
      <w:r>
        <w:rPr>
          <w:rFonts w:ascii="Arial" w:hAnsi="Arial" w:cs="Arial"/>
          <w:sz w:val="24"/>
          <w:szCs w:val="24"/>
          <w:lang w:eastAsia="en-US"/>
        </w:rPr>
        <w:t>s</w:t>
      </w:r>
      <w:r w:rsidRPr="00CB6D7D">
        <w:rPr>
          <w:rFonts w:ascii="Arial" w:hAnsi="Arial" w:cs="Arial"/>
          <w:sz w:val="24"/>
          <w:szCs w:val="24"/>
          <w:lang w:eastAsia="en-US"/>
        </w:rPr>
        <w:t>78 Mandatory pre-trial disclosure—expert evidence (before the date set for the trial and in accordance with a timetable set by the court)</w:t>
      </w:r>
    </w:p>
    <w:p w14:paraId="12EE7D3A" w14:textId="77777777" w:rsidR="007C020C" w:rsidRPr="00CB6D7D" w:rsidRDefault="007C020C" w:rsidP="007C020C">
      <w:pPr>
        <w:pStyle w:val="ListParagraph"/>
        <w:numPr>
          <w:ilvl w:val="3"/>
          <w:numId w:val="8"/>
        </w:numPr>
        <w:rPr>
          <w:rFonts w:ascii="Arial" w:hAnsi="Arial" w:cs="Arial"/>
          <w:sz w:val="24"/>
          <w:szCs w:val="24"/>
          <w:lang w:eastAsia="en-US"/>
        </w:rPr>
      </w:pPr>
      <w:r>
        <w:rPr>
          <w:rFonts w:ascii="Arial" w:hAnsi="Arial" w:cs="Arial"/>
          <w:sz w:val="24"/>
          <w:szCs w:val="24"/>
          <w:lang w:eastAsia="en-US"/>
        </w:rPr>
        <w:t>s</w:t>
      </w:r>
      <w:r w:rsidRPr="00206049">
        <w:rPr>
          <w:rFonts w:ascii="Arial" w:hAnsi="Arial" w:cs="Arial"/>
          <w:sz w:val="24"/>
          <w:szCs w:val="24"/>
          <w:lang w:eastAsia="en-US"/>
        </w:rPr>
        <w:t>79C Sanctions for non-compliance with pre-trial disclosure requirements (court can refuse to admit evidence, grant adjournment)</w:t>
      </w:r>
    </w:p>
    <w:p w14:paraId="7E85681B" w14:textId="37D3D9E0" w:rsidR="00F73E87" w:rsidRPr="00CB6D7D" w:rsidRDefault="00F73E87" w:rsidP="00F73E87">
      <w:pPr>
        <w:pStyle w:val="ListParagraph"/>
        <w:numPr>
          <w:ilvl w:val="2"/>
          <w:numId w:val="8"/>
        </w:numPr>
        <w:rPr>
          <w:rFonts w:ascii="Arial" w:hAnsi="Arial" w:cs="Arial"/>
          <w:sz w:val="24"/>
          <w:szCs w:val="24"/>
          <w:lang w:eastAsia="en-US"/>
        </w:rPr>
      </w:pPr>
      <w:r w:rsidRPr="007B27FE">
        <w:rPr>
          <w:rFonts w:ascii="Arial" w:hAnsi="Arial" w:cs="Arial"/>
          <w:i/>
          <w:iCs/>
          <w:sz w:val="24"/>
          <w:szCs w:val="24"/>
          <w:lang w:eastAsia="en-US"/>
        </w:rPr>
        <w:t>Court Procedure Rules 2006</w:t>
      </w:r>
    </w:p>
    <w:p w14:paraId="5EF7D55C" w14:textId="77777777" w:rsidR="00F73E87" w:rsidRPr="00CB6D7D" w:rsidRDefault="00F73E87" w:rsidP="00F73E87">
      <w:pPr>
        <w:pStyle w:val="ListParagraph"/>
        <w:numPr>
          <w:ilvl w:val="3"/>
          <w:numId w:val="8"/>
        </w:numPr>
        <w:rPr>
          <w:rFonts w:ascii="Arial" w:hAnsi="Arial" w:cs="Arial"/>
          <w:sz w:val="24"/>
          <w:szCs w:val="24"/>
          <w:lang w:eastAsia="en-US"/>
        </w:rPr>
      </w:pPr>
      <w:r>
        <w:rPr>
          <w:rFonts w:ascii="Arial" w:hAnsi="Arial" w:cs="Arial"/>
          <w:sz w:val="24"/>
          <w:szCs w:val="24"/>
          <w:lang w:eastAsia="en-US"/>
        </w:rPr>
        <w:t>s</w:t>
      </w:r>
      <w:r w:rsidRPr="00CB6D7D">
        <w:rPr>
          <w:rFonts w:ascii="Arial" w:hAnsi="Arial" w:cs="Arial"/>
          <w:sz w:val="24"/>
          <w:szCs w:val="24"/>
          <w:lang w:eastAsia="en-US"/>
        </w:rPr>
        <w:t>4305 Prosecution evidence to be given to accused</w:t>
      </w:r>
      <w:r>
        <w:rPr>
          <w:rFonts w:ascii="Arial" w:hAnsi="Arial" w:cs="Arial"/>
          <w:sz w:val="24"/>
          <w:szCs w:val="24"/>
          <w:lang w:eastAsia="en-US"/>
        </w:rPr>
        <w:t xml:space="preserve"> </w:t>
      </w:r>
      <w:r w:rsidRPr="00CB6D7D">
        <w:rPr>
          <w:rFonts w:ascii="Arial" w:hAnsi="Arial" w:cs="Arial"/>
          <w:sz w:val="24"/>
          <w:szCs w:val="24"/>
          <w:lang w:eastAsia="en-US"/>
        </w:rPr>
        <w:t>– prosecution evidence in committal proceedings (28 days or other period ordered by the court)</w:t>
      </w:r>
    </w:p>
    <w:p w14:paraId="23710EFE" w14:textId="77777777" w:rsidR="00F73E87" w:rsidRPr="007B27FE" w:rsidRDefault="00F73E87" w:rsidP="00F73E87">
      <w:pPr>
        <w:pStyle w:val="ListParagraph"/>
        <w:numPr>
          <w:ilvl w:val="2"/>
          <w:numId w:val="8"/>
        </w:numPr>
        <w:rPr>
          <w:rFonts w:ascii="Arial" w:hAnsi="Arial" w:cs="Arial"/>
          <w:i/>
          <w:iCs/>
          <w:sz w:val="24"/>
          <w:szCs w:val="24"/>
          <w:lang w:eastAsia="en-US"/>
        </w:rPr>
      </w:pPr>
      <w:r w:rsidRPr="007B27FE">
        <w:rPr>
          <w:rFonts w:ascii="Arial" w:hAnsi="Arial" w:cs="Arial"/>
          <w:i/>
          <w:iCs/>
          <w:sz w:val="24"/>
          <w:szCs w:val="24"/>
          <w:lang w:eastAsia="en-US"/>
        </w:rPr>
        <w:lastRenderedPageBreak/>
        <w:t>Evidence Act 2011</w:t>
      </w:r>
    </w:p>
    <w:p w14:paraId="4358FB78" w14:textId="77777777" w:rsidR="00F73E87" w:rsidRPr="008B444D" w:rsidRDefault="00F73E87" w:rsidP="00F73E87">
      <w:pPr>
        <w:pStyle w:val="ListParagraph"/>
        <w:numPr>
          <w:ilvl w:val="3"/>
          <w:numId w:val="8"/>
        </w:numPr>
        <w:spacing w:after="120"/>
        <w:ind w:left="1378" w:hanging="357"/>
        <w:rPr>
          <w:rFonts w:ascii="Arial" w:hAnsi="Arial" w:cs="Arial"/>
          <w:sz w:val="24"/>
          <w:szCs w:val="24"/>
          <w:lang w:eastAsia="en-US"/>
        </w:rPr>
      </w:pPr>
      <w:r>
        <w:rPr>
          <w:rFonts w:ascii="Arial" w:hAnsi="Arial" w:cs="Arial"/>
          <w:sz w:val="24"/>
          <w:szCs w:val="24"/>
          <w:lang w:eastAsia="en-US"/>
        </w:rPr>
        <w:t>s</w:t>
      </w:r>
      <w:r w:rsidRPr="00206049">
        <w:rPr>
          <w:rFonts w:ascii="Arial" w:hAnsi="Arial" w:cs="Arial"/>
          <w:sz w:val="24"/>
          <w:szCs w:val="24"/>
          <w:lang w:eastAsia="en-US"/>
        </w:rPr>
        <w:t>169 Failure to comply with requests (court can make orders incl</w:t>
      </w:r>
      <w:r>
        <w:rPr>
          <w:rFonts w:ascii="Arial" w:hAnsi="Arial" w:cs="Arial"/>
          <w:sz w:val="24"/>
          <w:szCs w:val="24"/>
          <w:lang w:eastAsia="en-US"/>
        </w:rPr>
        <w:t>uding</w:t>
      </w:r>
      <w:r w:rsidRPr="00206049">
        <w:rPr>
          <w:rFonts w:ascii="Arial" w:hAnsi="Arial" w:cs="Arial"/>
          <w:sz w:val="24"/>
          <w:szCs w:val="24"/>
          <w:lang w:eastAsia="en-US"/>
        </w:rPr>
        <w:t xml:space="preserve"> not to admit evidence, to adjourn proceedings or impose costs)</w:t>
      </w:r>
      <w:r>
        <w:rPr>
          <w:rFonts w:ascii="Arial" w:hAnsi="Arial" w:cs="Arial"/>
          <w:sz w:val="24"/>
          <w:szCs w:val="24"/>
          <w:lang w:eastAsia="en-US"/>
        </w:rPr>
        <w:t>.</w:t>
      </w:r>
    </w:p>
    <w:p w14:paraId="4BAE8C02" w14:textId="1C4E9ED6" w:rsidR="007B27FE" w:rsidRDefault="00F73E87" w:rsidP="007B27FE">
      <w:pPr>
        <w:rPr>
          <w:rFonts w:ascii="Arial" w:hAnsi="Arial" w:cs="Arial"/>
          <w:sz w:val="24"/>
          <w:szCs w:val="24"/>
        </w:rPr>
      </w:pPr>
      <w:r w:rsidRPr="007B27FE">
        <w:rPr>
          <w:rFonts w:ascii="Arial" w:hAnsi="Arial" w:cs="Arial"/>
          <w:sz w:val="24"/>
          <w:szCs w:val="24"/>
        </w:rPr>
        <w:t xml:space="preserve">Courts are also able to issue their own practice directions, which are not expected to be impacted by this Bill. This Bill will explicitly allow courts to continue to issue their own practice directions </w:t>
      </w:r>
      <w:r w:rsidR="007C020C" w:rsidRPr="007B27FE">
        <w:rPr>
          <w:rFonts w:ascii="Arial" w:hAnsi="Arial" w:cs="Arial"/>
          <w:sz w:val="24"/>
          <w:szCs w:val="24"/>
        </w:rPr>
        <w:t>regard</w:t>
      </w:r>
      <w:r w:rsidR="00DF7DE1">
        <w:rPr>
          <w:rFonts w:ascii="Arial" w:hAnsi="Arial" w:cs="Arial"/>
          <w:sz w:val="24"/>
          <w:szCs w:val="24"/>
        </w:rPr>
        <w:t>ing</w:t>
      </w:r>
      <w:r w:rsidRPr="007B27FE">
        <w:rPr>
          <w:rFonts w:ascii="Arial" w:hAnsi="Arial" w:cs="Arial"/>
          <w:sz w:val="24"/>
          <w:szCs w:val="24"/>
        </w:rPr>
        <w:t xml:space="preserve"> </w:t>
      </w:r>
      <w:r w:rsidR="007C020C">
        <w:rPr>
          <w:rFonts w:ascii="Arial" w:hAnsi="Arial" w:cs="Arial"/>
          <w:sz w:val="24"/>
          <w:szCs w:val="24"/>
        </w:rPr>
        <w:t xml:space="preserve">disclosable </w:t>
      </w:r>
      <w:r w:rsidRPr="007B27FE">
        <w:rPr>
          <w:rFonts w:ascii="Arial" w:hAnsi="Arial" w:cs="Arial"/>
          <w:sz w:val="24"/>
          <w:szCs w:val="24"/>
        </w:rPr>
        <w:t>evidence.</w:t>
      </w:r>
    </w:p>
    <w:p w14:paraId="3D8DA4C3" w14:textId="36B13B73" w:rsidR="00753E92" w:rsidRDefault="005A51A1" w:rsidP="005D6777">
      <w:pPr>
        <w:rPr>
          <w:rFonts w:ascii="Arial" w:hAnsi="Arial" w:cs="Arial"/>
          <w:i/>
          <w:color w:val="FF0000"/>
          <w:sz w:val="24"/>
          <w:szCs w:val="24"/>
        </w:rPr>
      </w:pPr>
      <w:r>
        <w:rPr>
          <w:rFonts w:ascii="Arial" w:hAnsi="Arial" w:cs="Arial"/>
          <w:sz w:val="24"/>
          <w:szCs w:val="24"/>
        </w:rPr>
        <w:t xml:space="preserve">It is therefore considered that there are no less restrictive reasonably available ways of achieving the policy objective of this Bill. </w:t>
      </w:r>
    </w:p>
    <w:p w14:paraId="68466110" w14:textId="257D9146" w:rsidR="00F73E87" w:rsidRPr="007C020C" w:rsidRDefault="00F73E87" w:rsidP="007C020C">
      <w:pPr>
        <w:rPr>
          <w:rFonts w:ascii="Arial" w:hAnsi="Arial" w:cs="Arial"/>
          <w:iCs/>
          <w:sz w:val="24"/>
          <w:szCs w:val="24"/>
          <w:u w:val="single"/>
        </w:rPr>
      </w:pPr>
      <w:r w:rsidRPr="007C020C">
        <w:rPr>
          <w:rFonts w:ascii="Arial" w:hAnsi="Arial" w:cs="Arial"/>
          <w:iCs/>
          <w:sz w:val="24"/>
          <w:szCs w:val="24"/>
          <w:u w:val="single"/>
        </w:rPr>
        <w:t>Right to privacy</w:t>
      </w:r>
    </w:p>
    <w:p w14:paraId="46EEDE10" w14:textId="77777777" w:rsidR="007E602E" w:rsidRDefault="007E602E" w:rsidP="007C020C">
      <w:pPr>
        <w:pStyle w:val="ListParagraph"/>
        <w:numPr>
          <w:ilvl w:val="0"/>
          <w:numId w:val="15"/>
        </w:numPr>
        <w:rPr>
          <w:rFonts w:ascii="Arial" w:hAnsi="Arial" w:cs="Arial"/>
          <w:b/>
          <w:bCs/>
          <w:i/>
          <w:sz w:val="24"/>
          <w:szCs w:val="24"/>
        </w:rPr>
      </w:pPr>
      <w:bookmarkStart w:id="5" w:name="OLE_LINK1"/>
      <w:r w:rsidRPr="00414921">
        <w:rPr>
          <w:rFonts w:ascii="Arial" w:hAnsi="Arial" w:cs="Arial"/>
          <w:b/>
          <w:bCs/>
          <w:i/>
          <w:sz w:val="24"/>
          <w:szCs w:val="24"/>
        </w:rPr>
        <w:t>Nature of the right and the limitation (s28(a) and</w:t>
      </w:r>
      <w:r>
        <w:rPr>
          <w:rFonts w:ascii="Arial" w:hAnsi="Arial" w:cs="Arial"/>
          <w:b/>
          <w:bCs/>
          <w:i/>
          <w:sz w:val="24"/>
          <w:szCs w:val="24"/>
        </w:rPr>
        <w:t xml:space="preserve"> </w:t>
      </w:r>
      <w:r w:rsidRPr="00414921">
        <w:rPr>
          <w:rFonts w:ascii="Arial" w:hAnsi="Arial" w:cs="Arial"/>
          <w:b/>
          <w:bCs/>
          <w:i/>
          <w:sz w:val="24"/>
          <w:szCs w:val="24"/>
        </w:rPr>
        <w:t>(c))</w:t>
      </w:r>
    </w:p>
    <w:p w14:paraId="5FC32FB9" w14:textId="77777777" w:rsidR="00C359AC" w:rsidRDefault="00C359AC" w:rsidP="007B27FE">
      <w:pPr>
        <w:pStyle w:val="ListParagraph"/>
        <w:ind w:left="360"/>
        <w:rPr>
          <w:rFonts w:ascii="Arial" w:hAnsi="Arial" w:cs="Arial"/>
          <w:b/>
          <w:bCs/>
          <w:i/>
          <w:sz w:val="24"/>
          <w:szCs w:val="24"/>
        </w:rPr>
      </w:pPr>
    </w:p>
    <w:p w14:paraId="60B6C76F" w14:textId="373D0BED" w:rsidR="00EE5317" w:rsidRDefault="00396052" w:rsidP="007E602E">
      <w:pPr>
        <w:rPr>
          <w:rFonts w:ascii="Arial" w:hAnsi="Arial" w:cs="Arial"/>
          <w:sz w:val="24"/>
          <w:szCs w:val="24"/>
        </w:rPr>
      </w:pPr>
      <w:r>
        <w:rPr>
          <w:rFonts w:ascii="Arial" w:hAnsi="Arial" w:cs="Arial"/>
          <w:sz w:val="24"/>
          <w:szCs w:val="24"/>
        </w:rPr>
        <w:t>The Bill</w:t>
      </w:r>
      <w:r w:rsidR="00C359AC">
        <w:rPr>
          <w:rFonts w:ascii="Arial" w:hAnsi="Arial" w:cs="Arial"/>
          <w:sz w:val="24"/>
          <w:szCs w:val="24"/>
        </w:rPr>
        <w:t xml:space="preserve"> has the potential to limit</w:t>
      </w:r>
      <w:r>
        <w:rPr>
          <w:rFonts w:ascii="Arial" w:hAnsi="Arial" w:cs="Arial"/>
          <w:sz w:val="24"/>
          <w:szCs w:val="24"/>
        </w:rPr>
        <w:t xml:space="preserve"> the right to privacy (s12, Privacy and reputation</w:t>
      </w:r>
      <w:r w:rsidRPr="00EC7627">
        <w:rPr>
          <w:rFonts w:ascii="Arial" w:hAnsi="Arial" w:cs="Arial"/>
          <w:i/>
          <w:iCs/>
          <w:sz w:val="24"/>
          <w:szCs w:val="24"/>
        </w:rPr>
        <w:t xml:space="preserve"> Human Rights Act</w:t>
      </w:r>
      <w:r>
        <w:rPr>
          <w:rFonts w:ascii="Arial" w:hAnsi="Arial" w:cs="Arial"/>
          <w:i/>
          <w:iCs/>
          <w:sz w:val="24"/>
          <w:szCs w:val="24"/>
        </w:rPr>
        <w:t xml:space="preserve"> 2004</w:t>
      </w:r>
      <w:r>
        <w:rPr>
          <w:rFonts w:ascii="Arial" w:hAnsi="Arial" w:cs="Arial"/>
          <w:sz w:val="24"/>
          <w:szCs w:val="24"/>
        </w:rPr>
        <w:t>)</w:t>
      </w:r>
      <w:r w:rsidR="00861A1D">
        <w:rPr>
          <w:rFonts w:ascii="Arial" w:hAnsi="Arial" w:cs="Arial"/>
          <w:sz w:val="24"/>
          <w:szCs w:val="24"/>
        </w:rPr>
        <w:t>, as evidence presented in criminal proceedings can include private and personal information both about the victim/plaintiff</w:t>
      </w:r>
      <w:r w:rsidR="00EE5317">
        <w:rPr>
          <w:rFonts w:ascii="Arial" w:hAnsi="Arial" w:cs="Arial"/>
          <w:sz w:val="24"/>
          <w:szCs w:val="24"/>
        </w:rPr>
        <w:t xml:space="preserve">, </w:t>
      </w:r>
      <w:r w:rsidR="00861A1D">
        <w:rPr>
          <w:rFonts w:ascii="Arial" w:hAnsi="Arial" w:cs="Arial"/>
          <w:sz w:val="24"/>
          <w:szCs w:val="24"/>
        </w:rPr>
        <w:t>the defendant</w:t>
      </w:r>
      <w:r w:rsidR="00EE5317">
        <w:rPr>
          <w:rFonts w:ascii="Arial" w:hAnsi="Arial" w:cs="Arial"/>
          <w:sz w:val="24"/>
          <w:szCs w:val="24"/>
        </w:rPr>
        <w:t xml:space="preserve"> and any </w:t>
      </w:r>
      <w:r w:rsidR="00C359AC">
        <w:rPr>
          <w:rFonts w:ascii="Arial" w:hAnsi="Arial" w:cs="Arial"/>
          <w:sz w:val="24"/>
          <w:szCs w:val="24"/>
        </w:rPr>
        <w:t xml:space="preserve">relevant </w:t>
      </w:r>
      <w:r w:rsidR="00EE5317">
        <w:rPr>
          <w:rFonts w:ascii="Arial" w:hAnsi="Arial" w:cs="Arial"/>
          <w:sz w:val="24"/>
          <w:szCs w:val="24"/>
        </w:rPr>
        <w:t>witnesses</w:t>
      </w:r>
      <w:r w:rsidR="00C359AC">
        <w:rPr>
          <w:rFonts w:ascii="Arial" w:hAnsi="Arial" w:cs="Arial"/>
          <w:sz w:val="24"/>
          <w:szCs w:val="24"/>
        </w:rPr>
        <w:t xml:space="preserve"> involved. </w:t>
      </w:r>
    </w:p>
    <w:p w14:paraId="4DBADA54" w14:textId="38A607C6" w:rsidR="00C359AC" w:rsidRDefault="007E602E" w:rsidP="007C020C">
      <w:pPr>
        <w:pStyle w:val="ListParagraph"/>
        <w:numPr>
          <w:ilvl w:val="0"/>
          <w:numId w:val="15"/>
        </w:numPr>
        <w:rPr>
          <w:rFonts w:ascii="Arial" w:hAnsi="Arial" w:cs="Arial"/>
          <w:b/>
          <w:bCs/>
          <w:i/>
          <w:sz w:val="24"/>
          <w:szCs w:val="24"/>
        </w:rPr>
      </w:pPr>
      <w:r w:rsidRPr="00414921">
        <w:rPr>
          <w:rFonts w:ascii="Arial" w:hAnsi="Arial" w:cs="Arial"/>
          <w:b/>
          <w:bCs/>
          <w:i/>
          <w:sz w:val="24"/>
          <w:szCs w:val="24"/>
        </w:rPr>
        <w:t>Legitimate purpose (s28(b))</w:t>
      </w:r>
    </w:p>
    <w:p w14:paraId="1126AD63" w14:textId="77777777" w:rsidR="00EE5317" w:rsidRPr="007B27FE" w:rsidRDefault="00EE5317" w:rsidP="007B27FE">
      <w:pPr>
        <w:pStyle w:val="ListParagraph"/>
        <w:ind w:left="360"/>
        <w:rPr>
          <w:rFonts w:ascii="Arial" w:hAnsi="Arial" w:cs="Arial"/>
          <w:b/>
          <w:bCs/>
          <w:i/>
          <w:sz w:val="24"/>
          <w:szCs w:val="24"/>
        </w:rPr>
      </w:pPr>
    </w:p>
    <w:p w14:paraId="75D6134C" w14:textId="2A35FFA3" w:rsidR="005905AA" w:rsidRPr="007B27FE" w:rsidRDefault="00A6029D" w:rsidP="005905AA">
      <w:pPr>
        <w:rPr>
          <w:rFonts w:ascii="Arial" w:hAnsi="Arial" w:cs="Arial"/>
          <w:sz w:val="24"/>
          <w:szCs w:val="24"/>
        </w:rPr>
      </w:pPr>
      <w:r w:rsidRPr="008F7A66">
        <w:rPr>
          <w:rFonts w:ascii="Arial" w:hAnsi="Arial" w:cs="Arial"/>
          <w:sz w:val="24"/>
          <w:szCs w:val="24"/>
        </w:rPr>
        <w:t xml:space="preserve">The overall objective of the Bill is to set clear obligations for disclosure of evidence before and during criminal proceedings, achieve improved understanding of the prosecutor’s obligations under the legislation and assign specific powers to courts to enforce the disclosure obligation rules. </w:t>
      </w:r>
    </w:p>
    <w:p w14:paraId="5D3BF4A7" w14:textId="6D43E5ED" w:rsidR="00C359AC" w:rsidRDefault="007E602E" w:rsidP="007C020C">
      <w:pPr>
        <w:pStyle w:val="ListParagraph"/>
        <w:numPr>
          <w:ilvl w:val="0"/>
          <w:numId w:val="15"/>
        </w:numPr>
        <w:rPr>
          <w:rFonts w:ascii="Arial" w:hAnsi="Arial" w:cs="Arial"/>
          <w:b/>
          <w:bCs/>
          <w:i/>
          <w:sz w:val="24"/>
          <w:szCs w:val="24"/>
        </w:rPr>
      </w:pPr>
      <w:r w:rsidRPr="00414921">
        <w:rPr>
          <w:rFonts w:ascii="Arial" w:hAnsi="Arial" w:cs="Arial"/>
          <w:b/>
          <w:bCs/>
          <w:i/>
          <w:sz w:val="24"/>
          <w:szCs w:val="24"/>
        </w:rPr>
        <w:t>Rational connection between the limitation and the purpose (s28(d))</w:t>
      </w:r>
    </w:p>
    <w:p w14:paraId="3DD4876F" w14:textId="77777777" w:rsidR="00772A2E" w:rsidRPr="007B27FE" w:rsidRDefault="00772A2E" w:rsidP="007B27FE">
      <w:pPr>
        <w:pStyle w:val="ListParagraph"/>
        <w:ind w:left="360"/>
        <w:rPr>
          <w:rFonts w:ascii="Arial" w:hAnsi="Arial" w:cs="Arial"/>
          <w:b/>
          <w:bCs/>
          <w:i/>
          <w:sz w:val="24"/>
          <w:szCs w:val="24"/>
        </w:rPr>
      </w:pPr>
    </w:p>
    <w:p w14:paraId="20D6AEC0" w14:textId="55986F15" w:rsidR="00772A2E" w:rsidRDefault="00772A2E" w:rsidP="00772A2E">
      <w:pPr>
        <w:rPr>
          <w:rFonts w:ascii="Arial" w:hAnsi="Arial" w:cs="Arial"/>
          <w:sz w:val="24"/>
          <w:szCs w:val="24"/>
        </w:rPr>
      </w:pPr>
      <w:r>
        <w:rPr>
          <w:rFonts w:ascii="Arial" w:hAnsi="Arial" w:cs="Arial"/>
          <w:sz w:val="24"/>
          <w:szCs w:val="24"/>
        </w:rPr>
        <w:t>The Bill establishes</w:t>
      </w:r>
      <w:r w:rsidRPr="008B444D">
        <w:rPr>
          <w:rFonts w:ascii="Arial" w:hAnsi="Arial" w:cs="Arial"/>
          <w:sz w:val="24"/>
          <w:szCs w:val="24"/>
        </w:rPr>
        <w:t xml:space="preserve"> a detailed model of </w:t>
      </w:r>
      <w:r>
        <w:rPr>
          <w:rFonts w:ascii="Arial" w:hAnsi="Arial" w:cs="Arial"/>
          <w:sz w:val="24"/>
          <w:szCs w:val="24"/>
        </w:rPr>
        <w:t xml:space="preserve">evidence </w:t>
      </w:r>
      <w:r w:rsidRPr="008B444D">
        <w:rPr>
          <w:rFonts w:ascii="Arial" w:hAnsi="Arial" w:cs="Arial"/>
          <w:sz w:val="24"/>
          <w:szCs w:val="24"/>
        </w:rPr>
        <w:t xml:space="preserve">disclosure obligations </w:t>
      </w:r>
      <w:r>
        <w:rPr>
          <w:rFonts w:ascii="Arial" w:hAnsi="Arial" w:cs="Arial"/>
          <w:sz w:val="24"/>
          <w:szCs w:val="24"/>
        </w:rPr>
        <w:t xml:space="preserve">on the part of the prosecution in criminal proceedings, with the courts empowered to admit or reject evidence. The Bill amends </w:t>
      </w:r>
      <w:r w:rsidRPr="00D75FF4">
        <w:rPr>
          <w:rFonts w:ascii="Arial" w:hAnsi="Arial" w:cs="Arial"/>
          <w:i/>
          <w:iCs/>
          <w:sz w:val="24"/>
          <w:szCs w:val="24"/>
        </w:rPr>
        <w:t>Magistrates Court Act 1930</w:t>
      </w:r>
      <w:r>
        <w:rPr>
          <w:rFonts w:ascii="Arial" w:hAnsi="Arial" w:cs="Arial"/>
          <w:sz w:val="24"/>
          <w:szCs w:val="24"/>
        </w:rPr>
        <w:t xml:space="preserve"> and the </w:t>
      </w:r>
      <w:r w:rsidRPr="00D75FF4">
        <w:rPr>
          <w:rFonts w:ascii="Arial" w:hAnsi="Arial" w:cs="Arial"/>
          <w:i/>
          <w:iCs/>
          <w:sz w:val="24"/>
          <w:szCs w:val="24"/>
        </w:rPr>
        <w:t>Court Procedures Act 2004</w:t>
      </w:r>
      <w:r>
        <w:rPr>
          <w:rFonts w:ascii="Arial" w:hAnsi="Arial" w:cs="Arial"/>
          <w:sz w:val="24"/>
          <w:szCs w:val="24"/>
        </w:rPr>
        <w:t xml:space="preserve">. </w:t>
      </w:r>
    </w:p>
    <w:p w14:paraId="436B6DBB" w14:textId="5D3AE7CB" w:rsidR="00772A2E" w:rsidRPr="007C020C" w:rsidRDefault="00DD5478" w:rsidP="007B27FE">
      <w:pPr>
        <w:rPr>
          <w:rFonts w:ascii="Arial" w:hAnsi="Arial" w:cs="Arial"/>
          <w:sz w:val="24"/>
          <w:szCs w:val="24"/>
        </w:rPr>
      </w:pPr>
      <w:r>
        <w:rPr>
          <w:rFonts w:ascii="Arial" w:hAnsi="Arial" w:cs="Arial"/>
          <w:sz w:val="24"/>
          <w:szCs w:val="24"/>
        </w:rPr>
        <w:t>The evidence base underpinning this approach is outlined in the rational connection section for the right to fair trial limitation above.</w:t>
      </w:r>
    </w:p>
    <w:p w14:paraId="26D77323" w14:textId="77777777" w:rsidR="007E602E" w:rsidRDefault="007E602E" w:rsidP="007C020C">
      <w:pPr>
        <w:pStyle w:val="ListParagraph"/>
        <w:numPr>
          <w:ilvl w:val="0"/>
          <w:numId w:val="15"/>
        </w:numPr>
        <w:rPr>
          <w:rFonts w:ascii="Arial" w:hAnsi="Arial" w:cs="Arial"/>
          <w:b/>
          <w:bCs/>
          <w:i/>
          <w:sz w:val="24"/>
          <w:szCs w:val="24"/>
        </w:rPr>
      </w:pPr>
      <w:r w:rsidRPr="00414921">
        <w:rPr>
          <w:rFonts w:ascii="Arial" w:hAnsi="Arial" w:cs="Arial"/>
          <w:b/>
          <w:bCs/>
          <w:i/>
          <w:sz w:val="24"/>
          <w:szCs w:val="24"/>
        </w:rPr>
        <w:t>Proportionality (s28 (e))</w:t>
      </w:r>
    </w:p>
    <w:p w14:paraId="6CF97672" w14:textId="77777777" w:rsidR="00C359AC" w:rsidRDefault="00C359AC" w:rsidP="007B27FE">
      <w:pPr>
        <w:pStyle w:val="ListParagraph"/>
        <w:ind w:left="360"/>
        <w:rPr>
          <w:rFonts w:ascii="Arial" w:hAnsi="Arial" w:cs="Arial"/>
          <w:b/>
          <w:bCs/>
          <w:i/>
          <w:sz w:val="24"/>
          <w:szCs w:val="24"/>
        </w:rPr>
      </w:pPr>
    </w:p>
    <w:p w14:paraId="56473268" w14:textId="77777777" w:rsidR="00A6029D" w:rsidRDefault="00A6029D" w:rsidP="00A6029D">
      <w:pPr>
        <w:rPr>
          <w:rFonts w:ascii="Arial" w:hAnsi="Arial" w:cs="Arial"/>
          <w:sz w:val="24"/>
          <w:szCs w:val="24"/>
        </w:rPr>
      </w:pPr>
      <w:r>
        <w:rPr>
          <w:rFonts w:ascii="Arial" w:hAnsi="Arial" w:cs="Arial"/>
          <w:sz w:val="24"/>
          <w:szCs w:val="24"/>
        </w:rPr>
        <w:t xml:space="preserve">This Bill </w:t>
      </w:r>
      <w:r w:rsidRPr="0025691C">
        <w:rPr>
          <w:rFonts w:ascii="Arial" w:hAnsi="Arial" w:cs="Arial"/>
          <w:sz w:val="24"/>
          <w:szCs w:val="24"/>
        </w:rPr>
        <w:t>promotes a right to fair trial</w:t>
      </w:r>
      <w:r>
        <w:rPr>
          <w:rFonts w:ascii="Arial" w:hAnsi="Arial" w:cs="Arial"/>
          <w:sz w:val="24"/>
          <w:szCs w:val="24"/>
        </w:rPr>
        <w:t xml:space="preserve"> (s21, </w:t>
      </w:r>
      <w:r w:rsidRPr="00EC7627">
        <w:rPr>
          <w:rFonts w:ascii="Arial" w:hAnsi="Arial" w:cs="Arial"/>
          <w:i/>
          <w:iCs/>
          <w:sz w:val="24"/>
          <w:szCs w:val="24"/>
        </w:rPr>
        <w:t>Human Rights Act 2004</w:t>
      </w:r>
      <w:r>
        <w:rPr>
          <w:rFonts w:ascii="Arial" w:hAnsi="Arial" w:cs="Arial"/>
          <w:sz w:val="24"/>
          <w:szCs w:val="24"/>
        </w:rPr>
        <w:t>)</w:t>
      </w:r>
      <w:r w:rsidRPr="0025691C">
        <w:rPr>
          <w:rFonts w:ascii="Arial" w:hAnsi="Arial" w:cs="Arial"/>
          <w:sz w:val="24"/>
          <w:szCs w:val="24"/>
        </w:rPr>
        <w:t xml:space="preserve">. By </w:t>
      </w:r>
      <w:r>
        <w:rPr>
          <w:rFonts w:ascii="Arial" w:hAnsi="Arial" w:cs="Arial"/>
          <w:sz w:val="24"/>
          <w:szCs w:val="24"/>
        </w:rPr>
        <w:t>legislating a</w:t>
      </w:r>
      <w:r w:rsidRPr="0025691C">
        <w:rPr>
          <w:rFonts w:ascii="Arial" w:hAnsi="Arial" w:cs="Arial"/>
          <w:sz w:val="24"/>
          <w:szCs w:val="24"/>
        </w:rPr>
        <w:t xml:space="preserve"> duty of disclosure for the prosecution, with a robust and objective disclosure regime</w:t>
      </w:r>
      <w:r>
        <w:rPr>
          <w:rFonts w:ascii="Arial" w:hAnsi="Arial" w:cs="Arial"/>
          <w:sz w:val="24"/>
          <w:szCs w:val="24"/>
        </w:rPr>
        <w:t xml:space="preserve">, the Bill will ensure that the rights and obligations of the prosecution towards the defendant in criminal proceedings are recognised by law. </w:t>
      </w:r>
    </w:p>
    <w:p w14:paraId="0465AAC8" w14:textId="77777777" w:rsidR="00A6029D" w:rsidRDefault="00A6029D" w:rsidP="00A6029D">
      <w:pPr>
        <w:rPr>
          <w:rFonts w:ascii="Arial" w:hAnsi="Arial" w:cs="Arial"/>
          <w:sz w:val="24"/>
          <w:szCs w:val="24"/>
        </w:rPr>
      </w:pPr>
      <w:r>
        <w:rPr>
          <w:rFonts w:ascii="Arial" w:hAnsi="Arial" w:cs="Arial"/>
          <w:sz w:val="24"/>
          <w:szCs w:val="24"/>
        </w:rPr>
        <w:t>While evidence disclosed in criminal proceedings can impact an individual’s right to privacy, t</w:t>
      </w:r>
      <w:r w:rsidRPr="00EE5317">
        <w:rPr>
          <w:rFonts w:ascii="Arial" w:hAnsi="Arial" w:cs="Arial"/>
          <w:sz w:val="24"/>
          <w:szCs w:val="24"/>
        </w:rPr>
        <w:t>he principle of open justice is fundamental to ensuring that courts remain transparent and accountable for their decisions.</w:t>
      </w:r>
    </w:p>
    <w:p w14:paraId="3CD44901" w14:textId="1C61579E" w:rsidR="00D53AF8" w:rsidRDefault="002E6170" w:rsidP="006A799F">
      <w:pPr>
        <w:rPr>
          <w:rFonts w:ascii="Arial" w:hAnsi="Arial" w:cs="Arial"/>
          <w:sz w:val="24"/>
          <w:szCs w:val="24"/>
        </w:rPr>
      </w:pPr>
      <w:r>
        <w:rPr>
          <w:rFonts w:ascii="Arial" w:hAnsi="Arial" w:cs="Arial"/>
          <w:sz w:val="24"/>
          <w:szCs w:val="24"/>
        </w:rPr>
        <w:lastRenderedPageBreak/>
        <w:t>To ensure the protection of privacy of personal details by witnesses or others involved in court proceedings, the Bill</w:t>
      </w:r>
      <w:r w:rsidR="22E32E37" w:rsidRPr="4C838B24">
        <w:rPr>
          <w:rFonts w:ascii="Arial" w:hAnsi="Arial" w:cs="Arial"/>
          <w:sz w:val="24"/>
          <w:szCs w:val="24"/>
        </w:rPr>
        <w:t>,</w:t>
      </w:r>
      <w:r>
        <w:rPr>
          <w:rFonts w:ascii="Arial" w:hAnsi="Arial" w:cs="Arial"/>
          <w:sz w:val="24"/>
          <w:szCs w:val="24"/>
        </w:rPr>
        <w:t xml:space="preserve"> </w:t>
      </w:r>
      <w:r w:rsidRPr="00886EB1">
        <w:rPr>
          <w:rFonts w:ascii="Arial" w:hAnsi="Arial" w:cs="Arial"/>
          <w:sz w:val="24"/>
          <w:szCs w:val="24"/>
        </w:rPr>
        <w:t>under section</w:t>
      </w:r>
      <w:r w:rsidR="5473BD2E" w:rsidRPr="00886EB1">
        <w:rPr>
          <w:rFonts w:ascii="Arial" w:hAnsi="Arial" w:cs="Arial"/>
          <w:sz w:val="24"/>
          <w:szCs w:val="24"/>
        </w:rPr>
        <w:t>s</w:t>
      </w:r>
      <w:r w:rsidRPr="00886EB1">
        <w:rPr>
          <w:rFonts w:ascii="Arial" w:hAnsi="Arial" w:cs="Arial"/>
          <w:sz w:val="24"/>
          <w:szCs w:val="24"/>
        </w:rPr>
        <w:t xml:space="preserve"> </w:t>
      </w:r>
      <w:r w:rsidR="4B3F3400" w:rsidRPr="00886EB1">
        <w:rPr>
          <w:rFonts w:ascii="Arial" w:hAnsi="Arial" w:cs="Arial"/>
          <w:sz w:val="24"/>
          <w:szCs w:val="24"/>
        </w:rPr>
        <w:t>76E</w:t>
      </w:r>
      <w:r w:rsidRPr="00886EB1">
        <w:rPr>
          <w:rFonts w:ascii="Arial" w:hAnsi="Arial" w:cs="Arial"/>
          <w:sz w:val="24"/>
          <w:szCs w:val="24"/>
        </w:rPr>
        <w:t xml:space="preserve"> </w:t>
      </w:r>
      <w:r w:rsidR="4B3F3400" w:rsidRPr="00886EB1">
        <w:rPr>
          <w:rFonts w:ascii="Arial" w:hAnsi="Arial" w:cs="Arial"/>
          <w:sz w:val="24"/>
          <w:szCs w:val="24"/>
        </w:rPr>
        <w:t>and 90AAA</w:t>
      </w:r>
      <w:r w:rsidRPr="00886EB1">
        <w:rPr>
          <w:rFonts w:ascii="Arial" w:hAnsi="Arial" w:cs="Arial"/>
          <w:sz w:val="24"/>
          <w:szCs w:val="24"/>
        </w:rPr>
        <w:t xml:space="preserve"> includes provisions about person</w:t>
      </w:r>
      <w:r w:rsidR="006A799F" w:rsidRPr="00886EB1">
        <w:rPr>
          <w:rFonts w:ascii="Arial" w:hAnsi="Arial" w:cs="Arial"/>
          <w:sz w:val="24"/>
          <w:szCs w:val="24"/>
        </w:rPr>
        <w:t xml:space="preserve">al </w:t>
      </w:r>
      <w:r w:rsidR="6184FF34" w:rsidRPr="00886EB1">
        <w:rPr>
          <w:rFonts w:ascii="Arial" w:hAnsi="Arial" w:cs="Arial"/>
          <w:sz w:val="24"/>
          <w:szCs w:val="24"/>
        </w:rPr>
        <w:t xml:space="preserve">contact </w:t>
      </w:r>
      <w:r w:rsidR="006A799F" w:rsidRPr="00886EB1">
        <w:rPr>
          <w:rFonts w:ascii="Arial" w:hAnsi="Arial" w:cs="Arial"/>
          <w:sz w:val="24"/>
          <w:szCs w:val="24"/>
        </w:rPr>
        <w:t xml:space="preserve">details not to be provided, including any address or </w:t>
      </w:r>
      <w:r w:rsidR="00804CF2" w:rsidRPr="00886EB1">
        <w:rPr>
          <w:rFonts w:ascii="Arial" w:hAnsi="Arial" w:cs="Arial"/>
          <w:sz w:val="24"/>
          <w:szCs w:val="24"/>
        </w:rPr>
        <w:t>contact details</w:t>
      </w:r>
      <w:r w:rsidR="006A799F" w:rsidRPr="00886EB1">
        <w:rPr>
          <w:rFonts w:ascii="Arial" w:hAnsi="Arial" w:cs="Arial"/>
          <w:sz w:val="24"/>
          <w:szCs w:val="24"/>
        </w:rPr>
        <w:t xml:space="preserve">, </w:t>
      </w:r>
      <w:r w:rsidR="00727E14" w:rsidRPr="00886EB1">
        <w:rPr>
          <w:rFonts w:ascii="Arial" w:hAnsi="Arial" w:cs="Arial"/>
          <w:sz w:val="24"/>
          <w:szCs w:val="24"/>
        </w:rPr>
        <w:t xml:space="preserve">or </w:t>
      </w:r>
      <w:r w:rsidR="005370CE" w:rsidRPr="00886EB1">
        <w:rPr>
          <w:rFonts w:ascii="Arial" w:hAnsi="Arial" w:cs="Arial"/>
          <w:sz w:val="24"/>
          <w:szCs w:val="24"/>
        </w:rPr>
        <w:t xml:space="preserve">allowing address and contact details to be worked out. </w:t>
      </w:r>
      <w:r w:rsidR="00B16BDC" w:rsidRPr="00886EB1">
        <w:rPr>
          <w:rFonts w:ascii="Arial" w:hAnsi="Arial" w:cs="Arial"/>
          <w:sz w:val="24"/>
          <w:szCs w:val="24"/>
        </w:rPr>
        <w:t>This will not</w:t>
      </w:r>
      <w:r w:rsidR="00AB3CF9">
        <w:rPr>
          <w:rFonts w:ascii="Arial" w:hAnsi="Arial" w:cs="Arial"/>
          <w:sz w:val="24"/>
          <w:szCs w:val="24"/>
        </w:rPr>
        <w:t xml:space="preserve"> </w:t>
      </w:r>
      <w:r w:rsidR="00B16BDC" w:rsidRPr="00886EB1">
        <w:rPr>
          <w:rFonts w:ascii="Arial" w:hAnsi="Arial" w:cs="Arial"/>
          <w:sz w:val="24"/>
          <w:szCs w:val="24"/>
        </w:rPr>
        <w:t xml:space="preserve">apply </w:t>
      </w:r>
      <w:r w:rsidR="00AB3CF9">
        <w:rPr>
          <w:rFonts w:ascii="Arial" w:hAnsi="Arial" w:cs="Arial"/>
          <w:sz w:val="24"/>
          <w:szCs w:val="24"/>
        </w:rPr>
        <w:t xml:space="preserve">only </w:t>
      </w:r>
      <w:r w:rsidR="00B16BDC" w:rsidRPr="00886EB1">
        <w:rPr>
          <w:rFonts w:ascii="Arial" w:hAnsi="Arial" w:cs="Arial"/>
          <w:sz w:val="24"/>
          <w:szCs w:val="24"/>
        </w:rPr>
        <w:t xml:space="preserve">when </w:t>
      </w:r>
      <w:r w:rsidR="006A799F" w:rsidRPr="00886EB1">
        <w:rPr>
          <w:rFonts w:ascii="Arial" w:hAnsi="Arial" w:cs="Arial"/>
          <w:sz w:val="24"/>
          <w:szCs w:val="24"/>
        </w:rPr>
        <w:t xml:space="preserve">the court </w:t>
      </w:r>
      <w:r w:rsidR="00122495" w:rsidRPr="00886EB1">
        <w:rPr>
          <w:rFonts w:ascii="Arial" w:hAnsi="Arial" w:cs="Arial"/>
          <w:sz w:val="24"/>
          <w:szCs w:val="24"/>
        </w:rPr>
        <w:t>is satisfied that</w:t>
      </w:r>
      <w:r w:rsidR="00220695" w:rsidRPr="00886EB1">
        <w:rPr>
          <w:rFonts w:ascii="Arial" w:hAnsi="Arial" w:cs="Arial"/>
          <w:sz w:val="24"/>
          <w:szCs w:val="24"/>
        </w:rPr>
        <w:t xml:space="preserve"> it is in the interest of justice to</w:t>
      </w:r>
      <w:r w:rsidR="005F7832" w:rsidRPr="00886EB1">
        <w:rPr>
          <w:rFonts w:ascii="Arial" w:hAnsi="Arial" w:cs="Arial"/>
          <w:sz w:val="24"/>
          <w:szCs w:val="24"/>
        </w:rPr>
        <w:t xml:space="preserve"> </w:t>
      </w:r>
      <w:r w:rsidR="00A9769B" w:rsidRPr="00886EB1">
        <w:rPr>
          <w:rFonts w:ascii="Arial" w:hAnsi="Arial" w:cs="Arial"/>
          <w:sz w:val="24"/>
          <w:szCs w:val="24"/>
        </w:rPr>
        <w:t>disclose,</w:t>
      </w:r>
      <w:r w:rsidR="00E45E5B" w:rsidRPr="00886EB1">
        <w:rPr>
          <w:rFonts w:ascii="Arial" w:hAnsi="Arial" w:cs="Arial"/>
          <w:sz w:val="24"/>
          <w:szCs w:val="24"/>
        </w:rPr>
        <w:t xml:space="preserve"> and </w:t>
      </w:r>
      <w:r w:rsidR="002D67D8" w:rsidRPr="00886EB1">
        <w:rPr>
          <w:rFonts w:ascii="Arial" w:hAnsi="Arial" w:cs="Arial"/>
          <w:sz w:val="24"/>
          <w:szCs w:val="24"/>
        </w:rPr>
        <w:t>the court expects that the disclosure of contact details is not likely to create a reasonably foreseeable risk</w:t>
      </w:r>
      <w:r w:rsidR="00286391" w:rsidRPr="00886EB1">
        <w:rPr>
          <w:rFonts w:ascii="Arial" w:hAnsi="Arial" w:cs="Arial"/>
          <w:sz w:val="24"/>
          <w:szCs w:val="24"/>
        </w:rPr>
        <w:t xml:space="preserve"> to</w:t>
      </w:r>
      <w:r w:rsidR="0044028F" w:rsidRPr="00886EB1">
        <w:rPr>
          <w:rFonts w:ascii="Arial" w:hAnsi="Arial" w:cs="Arial"/>
          <w:sz w:val="24"/>
          <w:szCs w:val="24"/>
        </w:rPr>
        <w:t xml:space="preserve"> </w:t>
      </w:r>
      <w:r w:rsidR="009E15F9" w:rsidRPr="00886EB1">
        <w:rPr>
          <w:rFonts w:ascii="Arial" w:hAnsi="Arial" w:cs="Arial"/>
          <w:sz w:val="24"/>
          <w:szCs w:val="24"/>
        </w:rPr>
        <w:t>the welfare or safety of the person in question</w:t>
      </w:r>
      <w:r w:rsidR="006A799F" w:rsidRPr="00886EB1">
        <w:rPr>
          <w:rFonts w:ascii="Arial" w:hAnsi="Arial" w:cs="Arial"/>
          <w:sz w:val="24"/>
          <w:szCs w:val="24"/>
        </w:rPr>
        <w:t>.</w:t>
      </w:r>
      <w:r w:rsidR="00FE3E7B" w:rsidRPr="00886EB1">
        <w:rPr>
          <w:rFonts w:ascii="Arial" w:hAnsi="Arial" w:cs="Arial"/>
          <w:sz w:val="24"/>
          <w:szCs w:val="24"/>
        </w:rPr>
        <w:t xml:space="preserve"> </w:t>
      </w:r>
      <w:r w:rsidR="00EE32BF" w:rsidRPr="00886EB1">
        <w:rPr>
          <w:rFonts w:ascii="Arial" w:hAnsi="Arial" w:cs="Arial"/>
          <w:sz w:val="24"/>
          <w:szCs w:val="24"/>
        </w:rPr>
        <w:t xml:space="preserve">In situations where such risk exists, the </w:t>
      </w:r>
      <w:r w:rsidR="00563790" w:rsidRPr="00886EB1">
        <w:rPr>
          <w:rFonts w:ascii="Arial" w:hAnsi="Arial" w:cs="Arial"/>
          <w:sz w:val="24"/>
          <w:szCs w:val="24"/>
        </w:rPr>
        <w:t>address and contact details will only be disclosed if the court determines that</w:t>
      </w:r>
      <w:r w:rsidR="00D53AF8" w:rsidRPr="00886EB1">
        <w:rPr>
          <w:rFonts w:ascii="Arial" w:hAnsi="Arial" w:cs="Arial"/>
          <w:sz w:val="24"/>
          <w:szCs w:val="24"/>
        </w:rPr>
        <w:t xml:space="preserve"> the interest of justice outweighs the risk.</w:t>
      </w:r>
      <w:r w:rsidR="006A799F">
        <w:rPr>
          <w:rFonts w:ascii="Arial" w:hAnsi="Arial" w:cs="Arial"/>
          <w:sz w:val="24"/>
          <w:szCs w:val="24"/>
        </w:rPr>
        <w:t xml:space="preserve"> </w:t>
      </w:r>
    </w:p>
    <w:p w14:paraId="0A5910CC" w14:textId="19B12B3B" w:rsidR="006A799F" w:rsidRPr="007C020C" w:rsidRDefault="006A799F" w:rsidP="006A799F">
      <w:pPr>
        <w:rPr>
          <w:rFonts w:ascii="Arial" w:hAnsi="Arial" w:cs="Arial"/>
          <w:sz w:val="24"/>
          <w:szCs w:val="24"/>
        </w:rPr>
      </w:pPr>
      <w:r>
        <w:rPr>
          <w:rFonts w:ascii="Arial" w:hAnsi="Arial" w:cs="Arial"/>
          <w:sz w:val="24"/>
          <w:szCs w:val="24"/>
        </w:rPr>
        <w:t>This section will operate in parallel to the Prosecution Policy of the ACT Office of Director of Public Prosecution. Under that policy, which is a statutory document, “</w:t>
      </w:r>
      <w:r w:rsidRPr="008F7A66">
        <w:rPr>
          <w:rFonts w:ascii="Arial" w:hAnsi="Arial" w:cs="Arial"/>
          <w:i/>
          <w:iCs/>
          <w:sz w:val="24"/>
          <w:szCs w:val="24"/>
        </w:rPr>
        <w:t>in fulfilling its disclosure obligations the prosecution must have regard to the protection of the privacy of victims and other witnesses. The prosecution will not disclose the address or telephone number of any person unless that information is relevant to a fact in issue and disclosure is not likely to present a risk to the safety of any person</w:t>
      </w:r>
      <w:r>
        <w:rPr>
          <w:rFonts w:ascii="Arial" w:hAnsi="Arial" w:cs="Arial"/>
          <w:sz w:val="24"/>
          <w:szCs w:val="24"/>
        </w:rPr>
        <w:t>”</w:t>
      </w:r>
      <w:r w:rsidRPr="00753E92">
        <w:rPr>
          <w:rFonts w:ascii="Arial" w:hAnsi="Arial" w:cs="Arial"/>
          <w:sz w:val="24"/>
          <w:szCs w:val="24"/>
        </w:rPr>
        <w:t>.</w:t>
      </w:r>
      <w:r>
        <w:rPr>
          <w:rFonts w:ascii="Arial" w:hAnsi="Arial" w:cs="Arial"/>
          <w:sz w:val="24"/>
          <w:szCs w:val="24"/>
        </w:rPr>
        <w:t xml:space="preserve"> Provisions of the Prosecution Policy pertaining to privacy will not be impacted by this Bill. </w:t>
      </w:r>
    </w:p>
    <w:p w14:paraId="77409AFE" w14:textId="38ED6A7B" w:rsidR="00A6029D" w:rsidRPr="000B6100" w:rsidRDefault="00A6029D" w:rsidP="00A6029D">
      <w:pPr>
        <w:rPr>
          <w:rFonts w:ascii="Arial" w:hAnsi="Arial" w:cs="Arial"/>
          <w:sz w:val="24"/>
          <w:szCs w:val="24"/>
        </w:rPr>
      </w:pPr>
      <w:r>
        <w:rPr>
          <w:rFonts w:ascii="Arial" w:hAnsi="Arial" w:cs="Arial"/>
          <w:sz w:val="24"/>
          <w:szCs w:val="24"/>
        </w:rPr>
        <w:t xml:space="preserve">Specific provisions of the Bill address </w:t>
      </w:r>
      <w:r w:rsidRPr="005905AA">
        <w:rPr>
          <w:rFonts w:ascii="Arial" w:hAnsi="Arial" w:cs="Arial"/>
          <w:sz w:val="24"/>
          <w:szCs w:val="24"/>
        </w:rPr>
        <w:t>material covered by immunity or publication restriction</w:t>
      </w:r>
      <w:r>
        <w:rPr>
          <w:rFonts w:ascii="Arial" w:hAnsi="Arial" w:cs="Arial"/>
          <w:sz w:val="24"/>
          <w:szCs w:val="24"/>
        </w:rPr>
        <w:t>, wh</w:t>
      </w:r>
      <w:r w:rsidR="00DF7DE1">
        <w:rPr>
          <w:rFonts w:ascii="Arial" w:hAnsi="Arial" w:cs="Arial"/>
          <w:sz w:val="24"/>
          <w:szCs w:val="24"/>
        </w:rPr>
        <w:t>ich</w:t>
      </w:r>
      <w:r>
        <w:rPr>
          <w:rFonts w:ascii="Arial" w:hAnsi="Arial" w:cs="Arial"/>
          <w:sz w:val="24"/>
          <w:szCs w:val="24"/>
        </w:rPr>
        <w:t xml:space="preserve"> is an important safeguard. Under the Bill, there will be no requirement for</w:t>
      </w:r>
      <w:r w:rsidRPr="000B6100">
        <w:rPr>
          <w:rFonts w:ascii="Arial" w:hAnsi="Arial" w:cs="Arial"/>
          <w:sz w:val="24"/>
          <w:szCs w:val="24"/>
        </w:rPr>
        <w:t xml:space="preserve"> disclosure of anything tha</w:t>
      </w:r>
      <w:r>
        <w:rPr>
          <w:rFonts w:ascii="Arial" w:hAnsi="Arial" w:cs="Arial"/>
          <w:sz w:val="24"/>
          <w:szCs w:val="24"/>
        </w:rPr>
        <w:t>t:</w:t>
      </w:r>
    </w:p>
    <w:p w14:paraId="0486F84A" w14:textId="77777777" w:rsidR="00A6029D" w:rsidRPr="008F7A66" w:rsidRDefault="00A6029D" w:rsidP="00A6029D">
      <w:pPr>
        <w:pStyle w:val="ListParagraph"/>
        <w:numPr>
          <w:ilvl w:val="0"/>
          <w:numId w:val="11"/>
        </w:numPr>
        <w:rPr>
          <w:rFonts w:ascii="Arial" w:hAnsi="Arial" w:cs="Arial"/>
          <w:sz w:val="24"/>
          <w:szCs w:val="24"/>
        </w:rPr>
      </w:pPr>
      <w:r w:rsidRPr="008F7A66">
        <w:rPr>
          <w:rFonts w:ascii="Arial" w:hAnsi="Arial" w:cs="Arial"/>
          <w:sz w:val="24"/>
          <w:szCs w:val="24"/>
        </w:rPr>
        <w:t>is the subject of a claim of privilege or public interest immunity; or</w:t>
      </w:r>
    </w:p>
    <w:p w14:paraId="48EFE5A8" w14:textId="7D021DA5" w:rsidR="00A6029D" w:rsidRPr="00DA19D4" w:rsidRDefault="00A6029D">
      <w:pPr>
        <w:pStyle w:val="ListParagraph"/>
        <w:numPr>
          <w:ilvl w:val="0"/>
          <w:numId w:val="11"/>
        </w:numPr>
        <w:rPr>
          <w:rFonts w:ascii="Arial" w:hAnsi="Arial" w:cs="Arial"/>
          <w:sz w:val="24"/>
          <w:szCs w:val="24"/>
        </w:rPr>
      </w:pPr>
      <w:r w:rsidRPr="00DA19D4">
        <w:rPr>
          <w:rFonts w:ascii="Arial" w:hAnsi="Arial" w:cs="Arial"/>
          <w:sz w:val="24"/>
          <w:szCs w:val="24"/>
        </w:rPr>
        <w:t>is the subject of an immunity conferred by a law applying in the ACT</w:t>
      </w:r>
      <w:r w:rsidR="00644D36" w:rsidRPr="00DA19D4">
        <w:rPr>
          <w:rFonts w:ascii="Arial" w:hAnsi="Arial" w:cs="Arial"/>
          <w:sz w:val="24"/>
          <w:szCs w:val="24"/>
        </w:rPr>
        <w:t xml:space="preserve"> or elsewhere</w:t>
      </w:r>
      <w:r w:rsidR="00AE12F1" w:rsidRPr="00DA19D4">
        <w:rPr>
          <w:rFonts w:ascii="Arial" w:hAnsi="Arial" w:cs="Arial"/>
          <w:sz w:val="24"/>
          <w:szCs w:val="24"/>
        </w:rPr>
        <w:t xml:space="preserve"> (for example</w:t>
      </w:r>
      <w:r w:rsidR="00D1166C" w:rsidRPr="00DA19D4">
        <w:rPr>
          <w:rFonts w:ascii="Arial" w:hAnsi="Arial" w:cs="Arial"/>
          <w:sz w:val="24"/>
          <w:szCs w:val="24"/>
        </w:rPr>
        <w:t xml:space="preserve"> </w:t>
      </w:r>
      <w:r w:rsidR="00DA19D4" w:rsidRPr="00DA19D4">
        <w:rPr>
          <w:rFonts w:ascii="Arial" w:hAnsi="Arial" w:cs="Arial"/>
          <w:sz w:val="24"/>
          <w:szCs w:val="24"/>
        </w:rPr>
        <w:t xml:space="preserve">the identity of people who provide information or assistance to law enforcement and regulatory agencies on the basis that their identities will be kept confidential, or </w:t>
      </w:r>
      <w:r w:rsidR="007B27FE">
        <w:rPr>
          <w:rFonts w:ascii="Arial" w:hAnsi="Arial" w:cs="Arial"/>
          <w:sz w:val="24"/>
          <w:szCs w:val="24"/>
        </w:rPr>
        <w:t xml:space="preserve">where disclosure </w:t>
      </w:r>
      <w:r w:rsidR="00DA19D4" w:rsidRPr="00DA19D4">
        <w:rPr>
          <w:rFonts w:ascii="Arial" w:hAnsi="Arial" w:cs="Arial"/>
          <w:sz w:val="24"/>
          <w:szCs w:val="24"/>
        </w:rPr>
        <w:t>might reveal confidential methods of investigation undertaken by law enforcement and regulatory agencies);</w:t>
      </w:r>
      <w:r w:rsidRPr="00DA19D4">
        <w:rPr>
          <w:rFonts w:ascii="Arial" w:hAnsi="Arial" w:cs="Arial"/>
          <w:sz w:val="24"/>
          <w:szCs w:val="24"/>
        </w:rPr>
        <w:t xml:space="preserve"> or</w:t>
      </w:r>
    </w:p>
    <w:p w14:paraId="033E2173" w14:textId="3B1A484A" w:rsidR="007B27FE" w:rsidRDefault="00A6029D" w:rsidP="00E02292">
      <w:pPr>
        <w:pStyle w:val="ListParagraph"/>
        <w:numPr>
          <w:ilvl w:val="0"/>
          <w:numId w:val="11"/>
        </w:numPr>
        <w:rPr>
          <w:rFonts w:ascii="Arial" w:hAnsi="Arial" w:cs="Arial"/>
          <w:sz w:val="24"/>
          <w:szCs w:val="24"/>
        </w:rPr>
      </w:pPr>
      <w:r w:rsidRPr="008F7A66">
        <w:rPr>
          <w:rFonts w:ascii="Arial" w:hAnsi="Arial" w:cs="Arial"/>
          <w:sz w:val="24"/>
          <w:szCs w:val="24"/>
        </w:rPr>
        <w:t xml:space="preserve">would contravene a prohibition or restriction under a law applying in the ACT </w:t>
      </w:r>
      <w:r w:rsidR="00644D36">
        <w:rPr>
          <w:rFonts w:ascii="Arial" w:hAnsi="Arial" w:cs="Arial"/>
          <w:sz w:val="24"/>
          <w:szCs w:val="24"/>
        </w:rPr>
        <w:t xml:space="preserve">or elsewhere </w:t>
      </w:r>
      <w:r w:rsidRPr="008F7A66">
        <w:rPr>
          <w:rFonts w:ascii="Arial" w:hAnsi="Arial" w:cs="Arial"/>
          <w:sz w:val="24"/>
          <w:szCs w:val="24"/>
        </w:rPr>
        <w:t>on the disclosure of the thing to the accused person.</w:t>
      </w:r>
    </w:p>
    <w:p w14:paraId="08DD7085" w14:textId="77777777" w:rsidR="007C020C" w:rsidRPr="007C020C" w:rsidRDefault="007C020C" w:rsidP="007C020C">
      <w:pPr>
        <w:pStyle w:val="ListParagraph"/>
        <w:rPr>
          <w:rFonts w:ascii="Arial" w:hAnsi="Arial" w:cs="Arial"/>
          <w:sz w:val="24"/>
          <w:szCs w:val="24"/>
        </w:rPr>
      </w:pPr>
    </w:p>
    <w:p w14:paraId="10DF0657" w14:textId="3F54D0FA" w:rsidR="00E02292" w:rsidRDefault="00E02292" w:rsidP="00E02292">
      <w:pPr>
        <w:rPr>
          <w:rFonts w:ascii="Arial" w:hAnsi="Arial" w:cs="Arial"/>
          <w:sz w:val="24"/>
          <w:szCs w:val="24"/>
        </w:rPr>
      </w:pPr>
      <w:r>
        <w:rPr>
          <w:rFonts w:ascii="Arial" w:hAnsi="Arial" w:cs="Arial"/>
          <w:sz w:val="24"/>
          <w:szCs w:val="24"/>
        </w:rPr>
        <w:t>Achieving the legitimate purpose of this Bill (improving procedural fairness for the defendant) requires balancing the right to fair trial for both the defendant and complainant / victim survivor. While it is recognised that evidence disclos</w:t>
      </w:r>
      <w:r w:rsidR="00D1289B">
        <w:rPr>
          <w:rFonts w:ascii="Arial" w:hAnsi="Arial" w:cs="Arial"/>
          <w:sz w:val="24"/>
          <w:szCs w:val="24"/>
        </w:rPr>
        <w:t>ed</w:t>
      </w:r>
      <w:r>
        <w:rPr>
          <w:rFonts w:ascii="Arial" w:hAnsi="Arial" w:cs="Arial"/>
          <w:sz w:val="24"/>
          <w:szCs w:val="24"/>
        </w:rPr>
        <w:t xml:space="preserve"> in criminal proceedings can impact </w:t>
      </w:r>
      <w:r w:rsidR="004B516E">
        <w:rPr>
          <w:rFonts w:ascii="Arial" w:hAnsi="Arial" w:cs="Arial"/>
          <w:sz w:val="24"/>
          <w:szCs w:val="24"/>
        </w:rPr>
        <w:t xml:space="preserve">an </w:t>
      </w:r>
      <w:r>
        <w:rPr>
          <w:rFonts w:ascii="Arial" w:hAnsi="Arial" w:cs="Arial"/>
          <w:sz w:val="24"/>
          <w:szCs w:val="24"/>
        </w:rPr>
        <w:t>individual</w:t>
      </w:r>
      <w:r w:rsidR="004B516E">
        <w:rPr>
          <w:rFonts w:ascii="Arial" w:hAnsi="Arial" w:cs="Arial"/>
          <w:sz w:val="24"/>
          <w:szCs w:val="24"/>
        </w:rPr>
        <w:t>’s</w:t>
      </w:r>
      <w:r>
        <w:rPr>
          <w:rFonts w:ascii="Arial" w:hAnsi="Arial" w:cs="Arial"/>
          <w:sz w:val="24"/>
          <w:szCs w:val="24"/>
        </w:rPr>
        <w:t xml:space="preserve"> right to privacy, t</w:t>
      </w:r>
      <w:r w:rsidRPr="00EE5317">
        <w:rPr>
          <w:rFonts w:ascii="Arial" w:hAnsi="Arial" w:cs="Arial"/>
          <w:sz w:val="24"/>
          <w:szCs w:val="24"/>
        </w:rPr>
        <w:t>he principle of open justice is fundamental to ensuring that courts remain transparent and accountable for their decisions.</w:t>
      </w:r>
    </w:p>
    <w:p w14:paraId="1AA1977C" w14:textId="55A27FF1" w:rsidR="00DD5478" w:rsidRDefault="00DD5478" w:rsidP="00E02292">
      <w:pPr>
        <w:rPr>
          <w:rFonts w:ascii="Arial" w:hAnsi="Arial" w:cs="Arial"/>
          <w:sz w:val="24"/>
          <w:szCs w:val="24"/>
        </w:rPr>
      </w:pPr>
      <w:r>
        <w:rPr>
          <w:rFonts w:ascii="Arial" w:hAnsi="Arial" w:cs="Arial"/>
          <w:sz w:val="24"/>
          <w:szCs w:val="24"/>
        </w:rPr>
        <w:t>It is otherwise standard practice for witnesses including the complainant/victim survivor are</w:t>
      </w:r>
      <w:r w:rsidRPr="00326D54">
        <w:rPr>
          <w:rFonts w:ascii="Arial" w:hAnsi="Arial" w:cs="Arial"/>
          <w:sz w:val="24"/>
          <w:szCs w:val="24"/>
        </w:rPr>
        <w:t xml:space="preserve"> prepared and advised on what to expect during the court process </w:t>
      </w:r>
      <w:r>
        <w:rPr>
          <w:rFonts w:ascii="Arial" w:hAnsi="Arial" w:cs="Arial"/>
          <w:sz w:val="24"/>
          <w:szCs w:val="24"/>
        </w:rPr>
        <w:t>at which time</w:t>
      </w:r>
      <w:r w:rsidRPr="00326D54">
        <w:rPr>
          <w:rFonts w:ascii="Arial" w:hAnsi="Arial" w:cs="Arial"/>
          <w:sz w:val="24"/>
          <w:szCs w:val="24"/>
        </w:rPr>
        <w:t xml:space="preserve"> </w:t>
      </w:r>
      <w:r>
        <w:rPr>
          <w:rFonts w:ascii="Arial" w:hAnsi="Arial" w:cs="Arial"/>
          <w:sz w:val="24"/>
          <w:szCs w:val="24"/>
        </w:rPr>
        <w:t xml:space="preserve">any additional </w:t>
      </w:r>
      <w:r w:rsidRPr="00326D54">
        <w:rPr>
          <w:rFonts w:ascii="Arial" w:hAnsi="Arial" w:cs="Arial"/>
          <w:sz w:val="24"/>
          <w:szCs w:val="24"/>
        </w:rPr>
        <w:t>concerns regarding privacy and safety can be discussed</w:t>
      </w:r>
      <w:r>
        <w:rPr>
          <w:rFonts w:ascii="Arial" w:hAnsi="Arial" w:cs="Arial"/>
          <w:sz w:val="24"/>
          <w:szCs w:val="24"/>
        </w:rPr>
        <w:t xml:space="preserve"> and mitigated. </w:t>
      </w:r>
    </w:p>
    <w:p w14:paraId="5C0407D2" w14:textId="53B3E66F" w:rsidR="00DD5478" w:rsidRDefault="00DD5478" w:rsidP="00E02292">
      <w:pPr>
        <w:rPr>
          <w:rFonts w:ascii="Arial" w:hAnsi="Arial" w:cs="Arial"/>
          <w:sz w:val="24"/>
          <w:szCs w:val="24"/>
        </w:rPr>
      </w:pPr>
      <w:r>
        <w:rPr>
          <w:rFonts w:ascii="Arial" w:hAnsi="Arial" w:cs="Arial"/>
          <w:sz w:val="24"/>
          <w:szCs w:val="24"/>
        </w:rPr>
        <w:t xml:space="preserve">There are </w:t>
      </w:r>
      <w:r w:rsidR="004B516E">
        <w:rPr>
          <w:rFonts w:ascii="Arial" w:hAnsi="Arial" w:cs="Arial"/>
          <w:sz w:val="24"/>
          <w:szCs w:val="24"/>
        </w:rPr>
        <w:t xml:space="preserve">other </w:t>
      </w:r>
      <w:r>
        <w:rPr>
          <w:rFonts w:ascii="Arial" w:hAnsi="Arial" w:cs="Arial"/>
          <w:sz w:val="24"/>
          <w:szCs w:val="24"/>
        </w:rPr>
        <w:t>safeguards to protect</w:t>
      </w:r>
      <w:r w:rsidR="004B516E">
        <w:rPr>
          <w:rFonts w:ascii="Arial" w:hAnsi="Arial" w:cs="Arial"/>
          <w:sz w:val="24"/>
          <w:szCs w:val="24"/>
        </w:rPr>
        <w:t xml:space="preserve"> people’s</w:t>
      </w:r>
      <w:r>
        <w:rPr>
          <w:rFonts w:ascii="Arial" w:hAnsi="Arial" w:cs="Arial"/>
          <w:sz w:val="24"/>
          <w:szCs w:val="24"/>
        </w:rPr>
        <w:t xml:space="preserve"> privacy already in the ACT statute book.</w:t>
      </w:r>
    </w:p>
    <w:p w14:paraId="753D562E" w14:textId="13EE13E3" w:rsidR="00DD5478" w:rsidRDefault="007C020C" w:rsidP="00DD5478">
      <w:pPr>
        <w:rPr>
          <w:rFonts w:ascii="Arial" w:hAnsi="Arial" w:cs="Arial"/>
          <w:sz w:val="24"/>
          <w:szCs w:val="24"/>
        </w:rPr>
      </w:pPr>
      <w:r>
        <w:rPr>
          <w:rFonts w:ascii="Arial" w:hAnsi="Arial" w:cs="Arial"/>
          <w:sz w:val="24"/>
          <w:szCs w:val="24"/>
        </w:rPr>
        <w:lastRenderedPageBreak/>
        <w:t>Pursuant to section 310(1) of the</w:t>
      </w:r>
      <w:r w:rsidR="00DD5478">
        <w:rPr>
          <w:rFonts w:ascii="Arial" w:hAnsi="Arial" w:cs="Arial"/>
          <w:sz w:val="24"/>
          <w:szCs w:val="24"/>
        </w:rPr>
        <w:t xml:space="preserve"> </w:t>
      </w:r>
      <w:r w:rsidR="00DD5478" w:rsidRPr="008F7A66">
        <w:rPr>
          <w:rFonts w:ascii="Arial" w:hAnsi="Arial" w:cs="Arial"/>
          <w:i/>
          <w:iCs/>
          <w:sz w:val="24"/>
          <w:szCs w:val="24"/>
        </w:rPr>
        <w:t>Magistrates Court Act 1930</w:t>
      </w:r>
      <w:r w:rsidR="00DD5478">
        <w:rPr>
          <w:rFonts w:ascii="Arial" w:hAnsi="Arial" w:cs="Arial"/>
          <w:sz w:val="24"/>
          <w:szCs w:val="24"/>
        </w:rPr>
        <w:t>, t</w:t>
      </w:r>
      <w:r w:rsidR="00DD5478" w:rsidRPr="00A80635">
        <w:rPr>
          <w:rFonts w:ascii="Arial" w:hAnsi="Arial" w:cs="Arial"/>
          <w:sz w:val="24"/>
          <w:szCs w:val="24"/>
        </w:rPr>
        <w:t>he hearing of a proceeding before the Magistrates Court must be in public</w:t>
      </w:r>
      <w:r w:rsidR="00DD5478">
        <w:rPr>
          <w:rFonts w:ascii="Arial" w:hAnsi="Arial" w:cs="Arial"/>
          <w:sz w:val="24"/>
          <w:szCs w:val="24"/>
        </w:rPr>
        <w:t xml:space="preserve">, but the magistrate has a discretion, by order, </w:t>
      </w:r>
      <w:r w:rsidR="00DD5478" w:rsidRPr="00A80635">
        <w:rPr>
          <w:rFonts w:ascii="Arial" w:hAnsi="Arial" w:cs="Arial"/>
          <w:sz w:val="24"/>
          <w:szCs w:val="24"/>
        </w:rPr>
        <w:t>that the hearing or part of the hearing take place in private and give directions about the people who may be present</w:t>
      </w:r>
      <w:r w:rsidR="00DD5478">
        <w:rPr>
          <w:rFonts w:ascii="Arial" w:hAnsi="Arial" w:cs="Arial"/>
          <w:sz w:val="24"/>
          <w:szCs w:val="24"/>
        </w:rPr>
        <w:t xml:space="preserve">. </w:t>
      </w:r>
      <w:r w:rsidR="00DD5478" w:rsidRPr="00C31407">
        <w:rPr>
          <w:rFonts w:ascii="Arial" w:hAnsi="Arial" w:cs="Arial"/>
          <w:sz w:val="24"/>
          <w:szCs w:val="24"/>
        </w:rPr>
        <w:t>Magistrate</w:t>
      </w:r>
      <w:r w:rsidR="00DF7DE1">
        <w:rPr>
          <w:rFonts w:ascii="Arial" w:hAnsi="Arial" w:cs="Arial"/>
          <w:sz w:val="24"/>
          <w:szCs w:val="24"/>
        </w:rPr>
        <w:t>s</w:t>
      </w:r>
      <w:r w:rsidR="00DD5478" w:rsidRPr="00C31407">
        <w:rPr>
          <w:rFonts w:ascii="Arial" w:hAnsi="Arial" w:cs="Arial"/>
          <w:sz w:val="24"/>
          <w:szCs w:val="24"/>
        </w:rPr>
        <w:t xml:space="preserve"> can also give directions prohibiting or restricting the publication of evidence given at the hearing, whether in public or in private, or of matters contained in documents lodged with the court or received in evidence by the court for the purposes of the proceeding; and give directions prohibiting or restricting the disclosure to some or all of the parties to the proceeding of evidence</w:t>
      </w:r>
      <w:r w:rsidR="00DD5478" w:rsidRPr="00A80635">
        <w:rPr>
          <w:rFonts w:ascii="Arial" w:hAnsi="Arial" w:cs="Arial"/>
          <w:sz w:val="24"/>
          <w:szCs w:val="24"/>
        </w:rPr>
        <w:t xml:space="preserve"> given at the hearing, or of a matter contained in a document lodged with the court or received in evidence by the court for the purposes of the proceeding.</w:t>
      </w:r>
      <w:r w:rsidR="00DD5478">
        <w:rPr>
          <w:rFonts w:ascii="Arial" w:hAnsi="Arial" w:cs="Arial"/>
          <w:sz w:val="24"/>
          <w:szCs w:val="24"/>
        </w:rPr>
        <w:t xml:space="preserve"> This Bill does not amend any of these provisions. </w:t>
      </w:r>
    </w:p>
    <w:p w14:paraId="36A01779" w14:textId="77777777" w:rsidR="005D6777" w:rsidRDefault="005D6777" w:rsidP="00DD5478">
      <w:pPr>
        <w:rPr>
          <w:rFonts w:ascii="Arial" w:hAnsi="Arial" w:cs="Arial"/>
          <w:sz w:val="24"/>
          <w:szCs w:val="24"/>
        </w:rPr>
      </w:pPr>
    </w:p>
    <w:p w14:paraId="0BD943DF" w14:textId="77777777" w:rsidR="00E2743B" w:rsidRPr="00DC64C0" w:rsidRDefault="00E2743B">
      <w:pPr>
        <w:spacing w:after="160" w:line="259" w:lineRule="auto"/>
        <w:rPr>
          <w:rFonts w:ascii="Arial" w:hAnsi="Arial" w:cs="Arial"/>
          <w:iCs/>
          <w:sz w:val="24"/>
          <w:szCs w:val="24"/>
          <w:u w:val="single"/>
        </w:rPr>
      </w:pPr>
      <w:r w:rsidRPr="00DC64C0">
        <w:rPr>
          <w:rFonts w:ascii="Arial" w:hAnsi="Arial" w:cs="Arial"/>
          <w:iCs/>
          <w:sz w:val="24"/>
          <w:szCs w:val="24"/>
          <w:u w:val="single"/>
        </w:rPr>
        <w:t xml:space="preserve">Complainant Standing Amendment </w:t>
      </w:r>
    </w:p>
    <w:p w14:paraId="65B31AC7" w14:textId="221D2D98" w:rsidR="000B6368" w:rsidRDefault="000B6368" w:rsidP="00886EB1">
      <w:pPr>
        <w:pStyle w:val="ListParagraph"/>
        <w:numPr>
          <w:ilvl w:val="0"/>
          <w:numId w:val="13"/>
        </w:numPr>
        <w:rPr>
          <w:rFonts w:ascii="Arial" w:hAnsi="Arial" w:cs="Arial"/>
          <w:b/>
          <w:bCs/>
          <w:i/>
          <w:sz w:val="24"/>
          <w:szCs w:val="24"/>
        </w:rPr>
      </w:pPr>
      <w:r w:rsidRPr="00414921">
        <w:rPr>
          <w:rFonts w:ascii="Arial" w:hAnsi="Arial" w:cs="Arial"/>
          <w:b/>
          <w:bCs/>
          <w:i/>
          <w:sz w:val="24"/>
          <w:szCs w:val="24"/>
        </w:rPr>
        <w:t>Nature of the right and the limitation (s28(a) and</w:t>
      </w:r>
      <w:r>
        <w:rPr>
          <w:rFonts w:ascii="Arial" w:hAnsi="Arial" w:cs="Arial"/>
          <w:b/>
          <w:bCs/>
          <w:i/>
          <w:sz w:val="24"/>
          <w:szCs w:val="24"/>
        </w:rPr>
        <w:t xml:space="preserve"> </w:t>
      </w:r>
      <w:r w:rsidRPr="00414921">
        <w:rPr>
          <w:rFonts w:ascii="Arial" w:hAnsi="Arial" w:cs="Arial"/>
          <w:b/>
          <w:bCs/>
          <w:i/>
          <w:sz w:val="24"/>
          <w:szCs w:val="24"/>
        </w:rPr>
        <w:t>(c))</w:t>
      </w:r>
    </w:p>
    <w:p w14:paraId="22B534EA" w14:textId="77777777" w:rsidR="00886EB1" w:rsidRPr="00886EB1" w:rsidRDefault="00886EB1" w:rsidP="00886EB1">
      <w:pPr>
        <w:pStyle w:val="ListParagraph"/>
        <w:ind w:left="360"/>
        <w:rPr>
          <w:rFonts w:ascii="Arial" w:hAnsi="Arial" w:cs="Arial"/>
          <w:b/>
          <w:bCs/>
          <w:i/>
          <w:sz w:val="24"/>
          <w:szCs w:val="24"/>
        </w:rPr>
      </w:pPr>
    </w:p>
    <w:p w14:paraId="46EE3DCD" w14:textId="3232140B" w:rsidR="00DD5478" w:rsidRDefault="000B6368" w:rsidP="005D58D4">
      <w:pPr>
        <w:spacing w:after="160" w:line="259" w:lineRule="auto"/>
        <w:rPr>
          <w:rFonts w:ascii="Arial" w:hAnsi="Arial" w:cs="Arial"/>
          <w:iCs/>
          <w:sz w:val="24"/>
          <w:szCs w:val="24"/>
        </w:rPr>
      </w:pPr>
      <w:r>
        <w:rPr>
          <w:rFonts w:ascii="Arial" w:hAnsi="Arial" w:cs="Arial"/>
          <w:iCs/>
          <w:sz w:val="24"/>
          <w:szCs w:val="24"/>
        </w:rPr>
        <w:t>The amendment to provide for complainant standing engages and limit</w:t>
      </w:r>
      <w:r w:rsidR="007D591B">
        <w:rPr>
          <w:rFonts w:ascii="Arial" w:hAnsi="Arial" w:cs="Arial"/>
          <w:iCs/>
          <w:sz w:val="24"/>
          <w:szCs w:val="24"/>
        </w:rPr>
        <w:t>s the right to a fair trial</w:t>
      </w:r>
      <w:r>
        <w:rPr>
          <w:rFonts w:ascii="Arial" w:hAnsi="Arial" w:cs="Arial"/>
          <w:iCs/>
          <w:sz w:val="24"/>
          <w:szCs w:val="24"/>
        </w:rPr>
        <w:t xml:space="preserve"> </w:t>
      </w:r>
      <w:r w:rsidR="005D58D4">
        <w:rPr>
          <w:rFonts w:ascii="Arial" w:hAnsi="Arial" w:cs="Arial"/>
          <w:iCs/>
          <w:sz w:val="24"/>
          <w:szCs w:val="24"/>
        </w:rPr>
        <w:t xml:space="preserve">(section 21 of the </w:t>
      </w:r>
      <w:r w:rsidR="00F06A5E" w:rsidRPr="000A3C9A">
        <w:rPr>
          <w:rFonts w:ascii="Arial" w:hAnsi="Arial" w:cs="Arial"/>
          <w:i/>
          <w:iCs/>
          <w:sz w:val="24"/>
          <w:szCs w:val="24"/>
        </w:rPr>
        <w:t>Human Rights Act 2004</w:t>
      </w:r>
      <w:r w:rsidR="005D58D4">
        <w:rPr>
          <w:rFonts w:ascii="Arial" w:hAnsi="Arial" w:cs="Arial"/>
          <w:iCs/>
          <w:sz w:val="24"/>
          <w:szCs w:val="24"/>
        </w:rPr>
        <w:t xml:space="preserve">) as it has the </w:t>
      </w:r>
      <w:r w:rsidRPr="00DC64C0">
        <w:rPr>
          <w:rFonts w:ascii="Arial" w:hAnsi="Arial" w:cs="Arial"/>
          <w:iCs/>
          <w:sz w:val="24"/>
          <w:szCs w:val="24"/>
        </w:rPr>
        <w:t xml:space="preserve">potential </w:t>
      </w:r>
      <w:r w:rsidR="005D58D4">
        <w:rPr>
          <w:rFonts w:ascii="Arial" w:hAnsi="Arial" w:cs="Arial"/>
          <w:iCs/>
          <w:sz w:val="24"/>
          <w:szCs w:val="24"/>
        </w:rPr>
        <w:t xml:space="preserve">for </w:t>
      </w:r>
      <w:r w:rsidRPr="00DC64C0">
        <w:rPr>
          <w:rFonts w:ascii="Arial" w:hAnsi="Arial" w:cs="Arial"/>
          <w:iCs/>
          <w:sz w:val="24"/>
          <w:szCs w:val="24"/>
        </w:rPr>
        <w:t>a statement</w:t>
      </w:r>
      <w:r w:rsidR="00601C05">
        <w:rPr>
          <w:rFonts w:ascii="Arial" w:hAnsi="Arial" w:cs="Arial"/>
          <w:iCs/>
          <w:sz w:val="24"/>
          <w:szCs w:val="24"/>
        </w:rPr>
        <w:t xml:space="preserve"> of harms</w:t>
      </w:r>
      <w:r w:rsidRPr="00DC64C0">
        <w:rPr>
          <w:rFonts w:ascii="Arial" w:hAnsi="Arial" w:cs="Arial"/>
          <w:iCs/>
          <w:sz w:val="24"/>
          <w:szCs w:val="24"/>
        </w:rPr>
        <w:t xml:space="preserve"> </w:t>
      </w:r>
      <w:r w:rsidR="005D58D4">
        <w:rPr>
          <w:rFonts w:ascii="Arial" w:hAnsi="Arial" w:cs="Arial"/>
          <w:iCs/>
          <w:sz w:val="24"/>
          <w:szCs w:val="24"/>
        </w:rPr>
        <w:t xml:space="preserve">to be provided to the court but not to the defence or prosecution who are the parties to the proceeding. </w:t>
      </w:r>
      <w:r w:rsidR="00601C05">
        <w:rPr>
          <w:rFonts w:ascii="Arial" w:hAnsi="Arial" w:cs="Arial"/>
          <w:iCs/>
          <w:sz w:val="24"/>
          <w:szCs w:val="24"/>
        </w:rPr>
        <w:t xml:space="preserve">This is known as the ‘confidential statement’. </w:t>
      </w:r>
    </w:p>
    <w:p w14:paraId="730D370C" w14:textId="346847D1" w:rsidR="000B6368" w:rsidRDefault="005D58D4" w:rsidP="005D58D4">
      <w:pPr>
        <w:spacing w:after="160" w:line="259" w:lineRule="auto"/>
        <w:rPr>
          <w:rFonts w:ascii="Arial" w:hAnsi="Arial" w:cs="Arial"/>
          <w:iCs/>
          <w:sz w:val="24"/>
          <w:szCs w:val="24"/>
        </w:rPr>
      </w:pPr>
      <w:r>
        <w:rPr>
          <w:rFonts w:ascii="Arial" w:hAnsi="Arial" w:cs="Arial"/>
          <w:iCs/>
          <w:sz w:val="24"/>
          <w:szCs w:val="24"/>
        </w:rPr>
        <w:t xml:space="preserve">Section 21 (1) of the </w:t>
      </w:r>
      <w:r w:rsidR="00F06A5E" w:rsidRPr="000A3C9A">
        <w:rPr>
          <w:rFonts w:ascii="Arial" w:hAnsi="Arial" w:cs="Arial"/>
          <w:i/>
          <w:iCs/>
          <w:sz w:val="24"/>
          <w:szCs w:val="24"/>
        </w:rPr>
        <w:t>Human Rights Act 2004</w:t>
      </w:r>
      <w:r w:rsidR="00F06A5E">
        <w:rPr>
          <w:rFonts w:ascii="Arial" w:hAnsi="Arial" w:cs="Arial"/>
          <w:i/>
          <w:iCs/>
          <w:sz w:val="24"/>
          <w:szCs w:val="24"/>
        </w:rPr>
        <w:t xml:space="preserve"> </w:t>
      </w:r>
      <w:r>
        <w:rPr>
          <w:rFonts w:ascii="Arial" w:hAnsi="Arial" w:cs="Arial"/>
          <w:iCs/>
          <w:sz w:val="24"/>
          <w:szCs w:val="24"/>
        </w:rPr>
        <w:t xml:space="preserve">provides that criminal charges are to be heard in a public hearing, which ensures transparency and impartiality of proceedings. </w:t>
      </w:r>
      <w:r w:rsidR="00DC64C0">
        <w:rPr>
          <w:rFonts w:ascii="Arial" w:hAnsi="Arial" w:cs="Arial"/>
          <w:iCs/>
          <w:sz w:val="24"/>
          <w:szCs w:val="24"/>
        </w:rPr>
        <w:t>However,</w:t>
      </w:r>
      <w:r>
        <w:rPr>
          <w:rFonts w:ascii="Arial" w:hAnsi="Arial" w:cs="Arial"/>
          <w:iCs/>
          <w:sz w:val="24"/>
          <w:szCs w:val="24"/>
        </w:rPr>
        <w:t xml:space="preserve"> there are some circumstances where part of proceedings may be held in private to protect the interest of the private lives of the parties (</w:t>
      </w:r>
      <w:r w:rsidR="00F06A5E" w:rsidRPr="000A3C9A">
        <w:rPr>
          <w:rFonts w:ascii="Arial" w:hAnsi="Arial" w:cs="Arial"/>
          <w:i/>
          <w:iCs/>
          <w:sz w:val="24"/>
          <w:szCs w:val="24"/>
        </w:rPr>
        <w:t>Human Rights Act 2004</w:t>
      </w:r>
      <w:r w:rsidR="00F06A5E">
        <w:rPr>
          <w:rFonts w:ascii="Arial" w:hAnsi="Arial" w:cs="Arial"/>
          <w:i/>
          <w:iCs/>
          <w:sz w:val="24"/>
          <w:szCs w:val="24"/>
        </w:rPr>
        <w:t xml:space="preserve">, </w:t>
      </w:r>
      <w:r>
        <w:rPr>
          <w:rFonts w:ascii="Arial" w:hAnsi="Arial" w:cs="Arial"/>
          <w:iCs/>
          <w:sz w:val="24"/>
          <w:szCs w:val="24"/>
        </w:rPr>
        <w:t xml:space="preserve">s 21 (2) (b)). </w:t>
      </w:r>
    </w:p>
    <w:p w14:paraId="76218B21" w14:textId="43203DD1" w:rsidR="000B6368" w:rsidRPr="00DC64C0" w:rsidRDefault="000B6368" w:rsidP="00DC64C0">
      <w:pPr>
        <w:pStyle w:val="ListParagraph"/>
        <w:numPr>
          <w:ilvl w:val="0"/>
          <w:numId w:val="13"/>
        </w:numPr>
        <w:spacing w:after="160" w:line="259" w:lineRule="auto"/>
        <w:rPr>
          <w:rFonts w:ascii="Arial" w:hAnsi="Arial" w:cs="Arial"/>
          <w:b/>
          <w:bCs/>
          <w:i/>
          <w:sz w:val="24"/>
          <w:szCs w:val="24"/>
        </w:rPr>
      </w:pPr>
      <w:r w:rsidRPr="00DC64C0">
        <w:rPr>
          <w:rFonts w:ascii="Arial" w:hAnsi="Arial" w:cs="Arial"/>
          <w:b/>
          <w:bCs/>
          <w:i/>
          <w:sz w:val="24"/>
          <w:szCs w:val="24"/>
        </w:rPr>
        <w:t>Legitimate purpose (s28(b))</w:t>
      </w:r>
    </w:p>
    <w:p w14:paraId="2C919EC1" w14:textId="776A087F" w:rsidR="00E2743B" w:rsidRPr="005D58D4" w:rsidRDefault="005D58D4" w:rsidP="00DC64C0">
      <w:pPr>
        <w:rPr>
          <w:rFonts w:ascii="Arial" w:hAnsi="Arial" w:cs="Arial"/>
          <w:sz w:val="24"/>
          <w:szCs w:val="24"/>
        </w:rPr>
      </w:pPr>
      <w:r w:rsidRPr="00DC64C0">
        <w:rPr>
          <w:rFonts w:ascii="Arial" w:hAnsi="Arial" w:cs="Arial"/>
          <w:sz w:val="24"/>
          <w:szCs w:val="24"/>
        </w:rPr>
        <w:t xml:space="preserve">The legitimate </w:t>
      </w:r>
      <w:r w:rsidR="008D0A7E">
        <w:rPr>
          <w:rFonts w:ascii="Arial" w:hAnsi="Arial" w:cs="Arial"/>
          <w:sz w:val="24"/>
          <w:szCs w:val="24"/>
        </w:rPr>
        <w:t>purpose</w:t>
      </w:r>
      <w:r w:rsidRPr="00DC64C0">
        <w:rPr>
          <w:rFonts w:ascii="Arial" w:hAnsi="Arial" w:cs="Arial"/>
          <w:sz w:val="24"/>
          <w:szCs w:val="24"/>
        </w:rPr>
        <w:t xml:space="preserve"> is to allow the court to </w:t>
      </w:r>
      <w:proofErr w:type="gramStart"/>
      <w:r w:rsidRPr="00DC64C0">
        <w:rPr>
          <w:rFonts w:ascii="Arial" w:hAnsi="Arial" w:cs="Arial"/>
          <w:sz w:val="24"/>
          <w:szCs w:val="24"/>
        </w:rPr>
        <w:t>take into account</w:t>
      </w:r>
      <w:proofErr w:type="gramEnd"/>
      <w:r w:rsidRPr="00DC64C0">
        <w:rPr>
          <w:rFonts w:ascii="Arial" w:hAnsi="Arial" w:cs="Arial"/>
          <w:sz w:val="24"/>
          <w:szCs w:val="24"/>
        </w:rPr>
        <w:t xml:space="preserve"> the </w:t>
      </w:r>
      <w:r w:rsidR="00B069C8">
        <w:rPr>
          <w:rFonts w:ascii="Arial" w:hAnsi="Arial" w:cs="Arial"/>
          <w:sz w:val="24"/>
          <w:szCs w:val="24"/>
        </w:rPr>
        <w:t>counselled persons</w:t>
      </w:r>
      <w:r w:rsidRPr="00DC64C0">
        <w:rPr>
          <w:rFonts w:ascii="Arial" w:hAnsi="Arial" w:cs="Arial"/>
          <w:sz w:val="24"/>
          <w:szCs w:val="24"/>
        </w:rPr>
        <w:t xml:space="preserve"> </w:t>
      </w:r>
      <w:r w:rsidR="008D0A7E">
        <w:rPr>
          <w:rFonts w:ascii="Arial" w:hAnsi="Arial" w:cs="Arial"/>
          <w:sz w:val="24"/>
          <w:szCs w:val="24"/>
        </w:rPr>
        <w:t>views before making a decision about disclosure of a protected confidence</w:t>
      </w:r>
      <w:r w:rsidRPr="00DC64C0">
        <w:rPr>
          <w:rFonts w:ascii="Arial" w:hAnsi="Arial" w:cs="Arial"/>
          <w:sz w:val="24"/>
          <w:szCs w:val="24"/>
        </w:rPr>
        <w:t xml:space="preserve">, while </w:t>
      </w:r>
      <w:r w:rsidRPr="005D58D4">
        <w:rPr>
          <w:rFonts w:ascii="Arial" w:hAnsi="Arial" w:cs="Arial"/>
          <w:sz w:val="24"/>
          <w:szCs w:val="24"/>
        </w:rPr>
        <w:t>minimising the</w:t>
      </w:r>
      <w:r w:rsidRPr="00DC64C0">
        <w:rPr>
          <w:rFonts w:ascii="Arial" w:hAnsi="Arial" w:cs="Arial"/>
          <w:sz w:val="24"/>
          <w:szCs w:val="24"/>
        </w:rPr>
        <w:t xml:space="preserve"> potential for unnecessary distress or re</w:t>
      </w:r>
      <w:r w:rsidR="004B516E">
        <w:rPr>
          <w:rFonts w:ascii="Arial" w:hAnsi="Arial" w:cs="Arial"/>
          <w:sz w:val="24"/>
          <w:szCs w:val="24"/>
        </w:rPr>
        <w:t>-</w:t>
      </w:r>
      <w:r w:rsidRPr="00DC64C0">
        <w:rPr>
          <w:rFonts w:ascii="Arial" w:hAnsi="Arial" w:cs="Arial"/>
          <w:sz w:val="24"/>
          <w:szCs w:val="24"/>
        </w:rPr>
        <w:t xml:space="preserve">traumatisation, so that victim-survivors </w:t>
      </w:r>
      <w:r w:rsidR="00B069C8">
        <w:rPr>
          <w:rFonts w:ascii="Arial" w:hAnsi="Arial" w:cs="Arial"/>
          <w:sz w:val="24"/>
          <w:szCs w:val="24"/>
        </w:rPr>
        <w:t xml:space="preserve">of sexual assault and family violence </w:t>
      </w:r>
      <w:r w:rsidRPr="00DC64C0">
        <w:rPr>
          <w:rFonts w:ascii="Arial" w:hAnsi="Arial" w:cs="Arial"/>
          <w:sz w:val="24"/>
          <w:szCs w:val="24"/>
        </w:rPr>
        <w:t xml:space="preserve">are not discouraged from engaging in the criminal justice system. </w:t>
      </w:r>
      <w:r>
        <w:rPr>
          <w:rFonts w:ascii="Arial" w:hAnsi="Arial" w:cs="Arial"/>
          <w:sz w:val="24"/>
          <w:szCs w:val="24"/>
        </w:rPr>
        <w:t xml:space="preserve">This promotes victim-survivor agency. </w:t>
      </w:r>
    </w:p>
    <w:p w14:paraId="1B967F05" w14:textId="3BDA8586" w:rsidR="000B6368" w:rsidRPr="00DC64C0" w:rsidRDefault="000B6368" w:rsidP="00DC64C0">
      <w:pPr>
        <w:pStyle w:val="ListParagraph"/>
        <w:numPr>
          <w:ilvl w:val="0"/>
          <w:numId w:val="13"/>
        </w:numPr>
        <w:spacing w:after="160" w:line="259" w:lineRule="auto"/>
        <w:rPr>
          <w:rFonts w:ascii="Arial" w:hAnsi="Arial" w:cs="Arial"/>
          <w:iCs/>
          <w:sz w:val="24"/>
          <w:szCs w:val="24"/>
        </w:rPr>
      </w:pPr>
      <w:r w:rsidRPr="00DC64C0">
        <w:rPr>
          <w:rFonts w:ascii="Arial" w:hAnsi="Arial" w:cs="Arial"/>
          <w:b/>
          <w:bCs/>
          <w:i/>
          <w:sz w:val="24"/>
          <w:szCs w:val="24"/>
        </w:rPr>
        <w:t>Rational connection between the limitation and the purpose (s28(d))</w:t>
      </w:r>
    </w:p>
    <w:p w14:paraId="69E2C9DE" w14:textId="38B90F7E" w:rsidR="008D0A7E" w:rsidRDefault="008D0A7E">
      <w:pPr>
        <w:spacing w:after="160" w:line="259" w:lineRule="auto"/>
        <w:rPr>
          <w:rFonts w:ascii="Arial" w:hAnsi="Arial" w:cs="Arial"/>
          <w:iCs/>
          <w:sz w:val="24"/>
          <w:szCs w:val="24"/>
        </w:rPr>
      </w:pPr>
      <w:r>
        <w:rPr>
          <w:rFonts w:ascii="Arial" w:hAnsi="Arial" w:cs="Arial"/>
          <w:iCs/>
          <w:sz w:val="24"/>
          <w:szCs w:val="24"/>
        </w:rPr>
        <w:t>T</w:t>
      </w:r>
      <w:r w:rsidRPr="005D58D4">
        <w:rPr>
          <w:rFonts w:ascii="Arial" w:hAnsi="Arial" w:cs="Arial"/>
          <w:iCs/>
          <w:sz w:val="24"/>
          <w:szCs w:val="24"/>
        </w:rPr>
        <w:t>his amendment ensure</w:t>
      </w:r>
      <w:r>
        <w:rPr>
          <w:rFonts w:ascii="Arial" w:hAnsi="Arial" w:cs="Arial"/>
          <w:iCs/>
          <w:sz w:val="24"/>
          <w:szCs w:val="24"/>
        </w:rPr>
        <w:t>s</w:t>
      </w:r>
      <w:r w:rsidRPr="005D58D4">
        <w:rPr>
          <w:rFonts w:ascii="Arial" w:hAnsi="Arial" w:cs="Arial"/>
          <w:iCs/>
          <w:sz w:val="24"/>
          <w:szCs w:val="24"/>
        </w:rPr>
        <w:t xml:space="preserve"> that complainants can share their experiences with counsellors in</w:t>
      </w:r>
      <w:r w:rsidR="004B516E">
        <w:rPr>
          <w:rFonts w:ascii="Arial" w:hAnsi="Arial" w:cs="Arial"/>
          <w:iCs/>
          <w:sz w:val="24"/>
          <w:szCs w:val="24"/>
        </w:rPr>
        <w:t xml:space="preserve"> a</w:t>
      </w:r>
      <w:r w:rsidRPr="005D58D4">
        <w:rPr>
          <w:rFonts w:ascii="Arial" w:hAnsi="Arial" w:cs="Arial"/>
          <w:iCs/>
          <w:sz w:val="24"/>
          <w:szCs w:val="24"/>
        </w:rPr>
        <w:t xml:space="preserve"> safe and meaningful way, with the ability to inform the court of the </w:t>
      </w:r>
      <w:r w:rsidR="00B069C8">
        <w:rPr>
          <w:rFonts w:ascii="Arial" w:hAnsi="Arial" w:cs="Arial"/>
          <w:iCs/>
          <w:sz w:val="24"/>
          <w:szCs w:val="24"/>
        </w:rPr>
        <w:t xml:space="preserve">potential </w:t>
      </w:r>
      <w:r w:rsidRPr="005D58D4">
        <w:rPr>
          <w:rFonts w:ascii="Arial" w:hAnsi="Arial" w:cs="Arial"/>
          <w:iCs/>
          <w:sz w:val="24"/>
          <w:szCs w:val="24"/>
        </w:rPr>
        <w:t>harm that could be caused if the evidence of the protected confidence was released to the parties.</w:t>
      </w:r>
    </w:p>
    <w:p w14:paraId="03C96677" w14:textId="46109F35" w:rsidR="008D0A7E" w:rsidRDefault="008D0A7E">
      <w:pPr>
        <w:spacing w:after="160" w:line="259" w:lineRule="auto"/>
        <w:rPr>
          <w:rFonts w:ascii="Arial" w:hAnsi="Arial" w:cs="Arial"/>
          <w:iCs/>
          <w:sz w:val="24"/>
          <w:szCs w:val="24"/>
        </w:rPr>
      </w:pPr>
      <w:r w:rsidRPr="008F7A66">
        <w:rPr>
          <w:rFonts w:ascii="Arial" w:hAnsi="Arial" w:cs="Arial"/>
          <w:color w:val="000000"/>
          <w:sz w:val="24"/>
          <w:szCs w:val="24"/>
        </w:rPr>
        <w:t xml:space="preserve">The </w:t>
      </w:r>
      <w:r w:rsidRPr="008F7A66">
        <w:rPr>
          <w:rFonts w:ascii="Arial" w:hAnsi="Arial" w:cs="Arial"/>
          <w:i/>
          <w:iCs/>
          <w:color w:val="000000"/>
          <w:sz w:val="24"/>
          <w:szCs w:val="24"/>
        </w:rPr>
        <w:t>Listen. Take Action to Prevent, Believe and Heal </w:t>
      </w:r>
      <w:r w:rsidRPr="008F7A66">
        <w:rPr>
          <w:rFonts w:ascii="Arial" w:hAnsi="Arial" w:cs="Arial"/>
          <w:color w:val="000000"/>
          <w:sz w:val="24"/>
          <w:szCs w:val="24"/>
        </w:rPr>
        <w:t xml:space="preserve">Report (the SAPR Report) published in December 2021, noted that many victim-survivors feel shame and embarrassment when their evidence is available for the public to hear in open court and may often feel reluctant to report their crimes due to this. Additionally, the stress and intimidation of this evidence being available to the public can result in these vulnerable witnesses not giving their best possible evidence when cross-examined. </w:t>
      </w:r>
      <w:r w:rsidRPr="008F7A66">
        <w:rPr>
          <w:rFonts w:ascii="Arial" w:hAnsi="Arial" w:cs="Arial"/>
          <w:color w:val="000000"/>
          <w:sz w:val="24"/>
          <w:szCs w:val="24"/>
        </w:rPr>
        <w:lastRenderedPageBreak/>
        <w:t>This is because they may feel their personal honour, reputation or confidential information is accessed by anyone present in the courtroom during the criminal trial, including members of the public.</w:t>
      </w:r>
      <w:r w:rsidRPr="005D58D4">
        <w:rPr>
          <w:rFonts w:ascii="Arial" w:hAnsi="Arial" w:cs="Arial"/>
          <w:iCs/>
          <w:sz w:val="24"/>
          <w:szCs w:val="24"/>
        </w:rPr>
        <w:t xml:space="preserve"> This concern is elevated in culturally diverse contexts where there may be greater sensitivity around discussing sexual related matters. </w:t>
      </w:r>
    </w:p>
    <w:p w14:paraId="5F00917C" w14:textId="2BE300CC" w:rsidR="007C020C" w:rsidRDefault="008D0A7E" w:rsidP="008D0A7E">
      <w:pPr>
        <w:rPr>
          <w:b/>
          <w:bCs/>
          <w:i/>
        </w:rPr>
      </w:pPr>
      <w:r w:rsidRPr="007C020C">
        <w:rPr>
          <w:rFonts w:ascii="Arial" w:hAnsi="Arial" w:cs="Arial"/>
          <w:iCs/>
          <w:sz w:val="24"/>
          <w:szCs w:val="24"/>
        </w:rPr>
        <w:t>T</w:t>
      </w:r>
      <w:r w:rsidR="005D58D4" w:rsidRPr="007C020C">
        <w:rPr>
          <w:rFonts w:ascii="Arial" w:hAnsi="Arial" w:cs="Arial"/>
          <w:iCs/>
          <w:sz w:val="24"/>
          <w:szCs w:val="24"/>
        </w:rPr>
        <w:t>he Court can</w:t>
      </w:r>
      <w:r w:rsidRPr="007C020C">
        <w:rPr>
          <w:rFonts w:ascii="Arial" w:hAnsi="Arial" w:cs="Arial"/>
          <w:iCs/>
          <w:sz w:val="24"/>
          <w:szCs w:val="24"/>
        </w:rPr>
        <w:t xml:space="preserve"> already</w:t>
      </w:r>
      <w:r w:rsidR="005D58D4" w:rsidRPr="007C020C">
        <w:rPr>
          <w:rFonts w:ascii="Arial" w:hAnsi="Arial" w:cs="Arial"/>
          <w:iCs/>
          <w:sz w:val="24"/>
          <w:szCs w:val="24"/>
        </w:rPr>
        <w:t xml:space="preserve"> consider the impact on the victim. Under section 79</w:t>
      </w:r>
      <w:proofErr w:type="gramStart"/>
      <w:r w:rsidR="005D58D4" w:rsidRPr="007C020C">
        <w:rPr>
          <w:rFonts w:ascii="Arial" w:hAnsi="Arial" w:cs="Arial"/>
          <w:iCs/>
          <w:sz w:val="24"/>
          <w:szCs w:val="24"/>
        </w:rPr>
        <w:t>H(</w:t>
      </w:r>
      <w:proofErr w:type="gramEnd"/>
      <w:r w:rsidR="005D58D4" w:rsidRPr="007C020C">
        <w:rPr>
          <w:rFonts w:ascii="Arial" w:hAnsi="Arial" w:cs="Arial"/>
          <w:iCs/>
          <w:sz w:val="24"/>
          <w:szCs w:val="24"/>
        </w:rPr>
        <w:t xml:space="preserve">3) of the </w:t>
      </w:r>
      <w:r w:rsidR="00F06A5E" w:rsidRPr="007408B9">
        <w:rPr>
          <w:rFonts w:ascii="Arial" w:hAnsi="Arial" w:cs="Arial"/>
          <w:bCs/>
          <w:i/>
          <w:iCs/>
          <w:sz w:val="24"/>
          <w:szCs w:val="24"/>
        </w:rPr>
        <w:t>Evidence (Miscellaneous Provisions) Act 1991</w:t>
      </w:r>
      <w:r w:rsidR="005D58D4" w:rsidRPr="007C020C">
        <w:rPr>
          <w:rFonts w:ascii="Arial" w:hAnsi="Arial" w:cs="Arial"/>
          <w:iCs/>
          <w:sz w:val="24"/>
          <w:szCs w:val="24"/>
        </w:rPr>
        <w:t xml:space="preserve">, in making a decision whether to give leave for a disclosure of protected confidence, the Court (among other things) must have regard to whether the person to or by whom the protected confidence was made objects to the disclosure of the protected confidence. However, the </w:t>
      </w:r>
      <w:r w:rsidR="00F06A5E" w:rsidRPr="007408B9">
        <w:rPr>
          <w:rFonts w:ascii="Arial" w:hAnsi="Arial" w:cs="Arial"/>
          <w:bCs/>
          <w:i/>
          <w:iCs/>
          <w:sz w:val="24"/>
          <w:szCs w:val="24"/>
        </w:rPr>
        <w:t>Evidence (Miscellaneous Provisions) Act 1991</w:t>
      </w:r>
      <w:r w:rsidR="00F06A5E">
        <w:rPr>
          <w:rFonts w:ascii="Arial" w:hAnsi="Arial" w:cs="Arial"/>
          <w:bCs/>
          <w:i/>
          <w:iCs/>
          <w:sz w:val="24"/>
          <w:szCs w:val="24"/>
        </w:rPr>
        <w:t xml:space="preserve"> </w:t>
      </w:r>
      <w:r w:rsidR="005D58D4" w:rsidRPr="007C020C">
        <w:rPr>
          <w:rFonts w:ascii="Arial" w:hAnsi="Arial" w:cs="Arial"/>
          <w:iCs/>
          <w:sz w:val="24"/>
          <w:szCs w:val="24"/>
        </w:rPr>
        <w:t xml:space="preserve">is silent on </w:t>
      </w:r>
      <w:r w:rsidR="00B069C8">
        <w:rPr>
          <w:rFonts w:ascii="Arial" w:hAnsi="Arial" w:cs="Arial"/>
          <w:iCs/>
          <w:sz w:val="24"/>
          <w:szCs w:val="24"/>
        </w:rPr>
        <w:t xml:space="preserve">the counselled person </w:t>
      </w:r>
      <w:r w:rsidR="005D58D4" w:rsidRPr="007C020C">
        <w:rPr>
          <w:rFonts w:ascii="Arial" w:hAnsi="Arial" w:cs="Arial"/>
          <w:iCs/>
          <w:sz w:val="24"/>
          <w:szCs w:val="24"/>
        </w:rPr>
        <w:t>appearing in protected confidence matters to provide this information on whether the</w:t>
      </w:r>
      <w:r w:rsidR="00B069C8">
        <w:rPr>
          <w:rFonts w:ascii="Arial" w:hAnsi="Arial" w:cs="Arial"/>
          <w:iCs/>
          <w:sz w:val="24"/>
          <w:szCs w:val="24"/>
        </w:rPr>
        <w:t xml:space="preserve">y </w:t>
      </w:r>
      <w:r w:rsidR="005D58D4" w:rsidRPr="007C020C">
        <w:rPr>
          <w:rFonts w:ascii="Arial" w:hAnsi="Arial" w:cs="Arial"/>
          <w:iCs/>
          <w:sz w:val="24"/>
          <w:szCs w:val="24"/>
        </w:rPr>
        <w:t xml:space="preserve">object to the disclosure of the protected confidence. Although the prosecution may be able to put forward the </w:t>
      </w:r>
      <w:r w:rsidR="00B069C8">
        <w:rPr>
          <w:rFonts w:ascii="Arial" w:hAnsi="Arial" w:cs="Arial"/>
          <w:iCs/>
          <w:sz w:val="24"/>
          <w:szCs w:val="24"/>
        </w:rPr>
        <w:t>counselled persons</w:t>
      </w:r>
      <w:r w:rsidR="005D58D4" w:rsidRPr="007C020C">
        <w:rPr>
          <w:rFonts w:ascii="Arial" w:hAnsi="Arial" w:cs="Arial"/>
          <w:iCs/>
          <w:sz w:val="24"/>
          <w:szCs w:val="24"/>
        </w:rPr>
        <w:t xml:space="preserve"> views, such as in </w:t>
      </w:r>
      <w:r w:rsidR="005D58D4" w:rsidRPr="00B53DA6">
        <w:rPr>
          <w:rFonts w:ascii="Arial" w:hAnsi="Arial" w:cs="Arial"/>
          <w:i/>
          <w:sz w:val="24"/>
          <w:szCs w:val="24"/>
        </w:rPr>
        <w:t>R v Nash</w:t>
      </w:r>
      <w:r w:rsidR="005D58D4" w:rsidRPr="007C020C">
        <w:rPr>
          <w:rFonts w:ascii="Arial" w:hAnsi="Arial" w:cs="Arial"/>
          <w:iCs/>
          <w:sz w:val="24"/>
          <w:szCs w:val="24"/>
        </w:rPr>
        <w:t xml:space="preserve"> [2021] ACTSC 169 (27 July 2021), if the views or position of the </w:t>
      </w:r>
      <w:r w:rsidR="00B069C8">
        <w:rPr>
          <w:rFonts w:ascii="Arial" w:hAnsi="Arial" w:cs="Arial"/>
          <w:iCs/>
          <w:sz w:val="24"/>
          <w:szCs w:val="24"/>
        </w:rPr>
        <w:t>counselled person</w:t>
      </w:r>
      <w:r w:rsidR="005D58D4" w:rsidRPr="007C020C">
        <w:rPr>
          <w:rFonts w:ascii="Arial" w:hAnsi="Arial" w:cs="Arial"/>
          <w:iCs/>
          <w:sz w:val="24"/>
          <w:szCs w:val="24"/>
        </w:rPr>
        <w:t xml:space="preserve"> are in contrast with the views or position of the prosecution, this can become problematic. Allowing for the complainant to provide a confidential statement of harms to the Court, seeks to address this issue of the negative wellbeing impact on the complainant when their views and the views of the prosecution may not align.</w:t>
      </w:r>
    </w:p>
    <w:p w14:paraId="7D002993" w14:textId="1056B629" w:rsidR="005D58D4" w:rsidRPr="007C020C" w:rsidRDefault="000B6368" w:rsidP="007C020C">
      <w:pPr>
        <w:pStyle w:val="ListParagraph"/>
        <w:numPr>
          <w:ilvl w:val="0"/>
          <w:numId w:val="13"/>
        </w:numPr>
        <w:spacing w:after="160" w:line="259" w:lineRule="auto"/>
        <w:rPr>
          <w:rFonts w:ascii="Arial" w:hAnsi="Arial" w:cs="Arial"/>
          <w:b/>
          <w:bCs/>
          <w:i/>
          <w:sz w:val="24"/>
          <w:szCs w:val="24"/>
        </w:rPr>
      </w:pPr>
      <w:r w:rsidRPr="00DC64C0">
        <w:rPr>
          <w:rFonts w:ascii="Arial" w:hAnsi="Arial" w:cs="Arial"/>
          <w:b/>
          <w:bCs/>
          <w:i/>
          <w:sz w:val="24"/>
          <w:szCs w:val="24"/>
        </w:rPr>
        <w:t>Proportionality (s28 (e))</w:t>
      </w:r>
    </w:p>
    <w:p w14:paraId="6CE98109" w14:textId="10E1099B" w:rsidR="00D573E3" w:rsidRDefault="005D58D4">
      <w:pPr>
        <w:spacing w:after="160" w:line="259" w:lineRule="auto"/>
        <w:rPr>
          <w:rFonts w:ascii="Arial" w:hAnsi="Arial" w:cs="Arial"/>
          <w:iCs/>
          <w:sz w:val="24"/>
          <w:szCs w:val="24"/>
        </w:rPr>
      </w:pPr>
      <w:r>
        <w:rPr>
          <w:rFonts w:ascii="Arial" w:hAnsi="Arial" w:cs="Arial"/>
          <w:iCs/>
          <w:sz w:val="24"/>
          <w:szCs w:val="24"/>
        </w:rPr>
        <w:t>This provision is the</w:t>
      </w:r>
      <w:r w:rsidR="00E2743B">
        <w:rPr>
          <w:rFonts w:ascii="Arial" w:hAnsi="Arial" w:cs="Arial"/>
          <w:iCs/>
          <w:sz w:val="24"/>
          <w:szCs w:val="24"/>
        </w:rPr>
        <w:t xml:space="preserve"> least restrictive</w:t>
      </w:r>
      <w:r>
        <w:rPr>
          <w:rFonts w:ascii="Arial" w:hAnsi="Arial" w:cs="Arial"/>
          <w:iCs/>
          <w:sz w:val="24"/>
          <w:szCs w:val="24"/>
        </w:rPr>
        <w:t xml:space="preserve"> means as the confidential statement is</w:t>
      </w:r>
      <w:r w:rsidR="00E2743B">
        <w:rPr>
          <w:rFonts w:ascii="Arial" w:hAnsi="Arial" w:cs="Arial"/>
          <w:iCs/>
          <w:sz w:val="24"/>
          <w:szCs w:val="24"/>
        </w:rPr>
        <w:t xml:space="preserve"> not evidence</w:t>
      </w:r>
      <w:r>
        <w:rPr>
          <w:rFonts w:ascii="Arial" w:hAnsi="Arial" w:cs="Arial"/>
          <w:iCs/>
          <w:sz w:val="24"/>
          <w:szCs w:val="24"/>
        </w:rPr>
        <w:t xml:space="preserve"> </w:t>
      </w:r>
      <w:r w:rsidR="00CE072B">
        <w:rPr>
          <w:rFonts w:ascii="Arial" w:hAnsi="Arial" w:cs="Arial"/>
          <w:iCs/>
          <w:sz w:val="24"/>
          <w:szCs w:val="24"/>
        </w:rPr>
        <w:t>to be used in the substantive proceedings</w:t>
      </w:r>
      <w:r>
        <w:rPr>
          <w:rFonts w:ascii="Arial" w:hAnsi="Arial" w:cs="Arial"/>
          <w:iCs/>
          <w:sz w:val="24"/>
          <w:szCs w:val="24"/>
        </w:rPr>
        <w:t>, but</w:t>
      </w:r>
      <w:r w:rsidR="00E2743B">
        <w:rPr>
          <w:rFonts w:ascii="Arial" w:hAnsi="Arial" w:cs="Arial"/>
          <w:iCs/>
          <w:sz w:val="24"/>
          <w:szCs w:val="24"/>
        </w:rPr>
        <w:t xml:space="preserve"> a statement that the court can consider for the purposes </w:t>
      </w:r>
      <w:r>
        <w:rPr>
          <w:rFonts w:ascii="Arial" w:hAnsi="Arial" w:cs="Arial"/>
          <w:iCs/>
          <w:sz w:val="24"/>
          <w:szCs w:val="24"/>
        </w:rPr>
        <w:t xml:space="preserve">of </w:t>
      </w:r>
      <w:r w:rsidR="00E2743B">
        <w:rPr>
          <w:rFonts w:ascii="Arial" w:hAnsi="Arial" w:cs="Arial"/>
          <w:iCs/>
          <w:sz w:val="24"/>
          <w:szCs w:val="24"/>
        </w:rPr>
        <w:t xml:space="preserve">whether </w:t>
      </w:r>
      <w:r w:rsidR="00CE072B">
        <w:rPr>
          <w:rFonts w:ascii="Arial" w:hAnsi="Arial" w:cs="Arial"/>
          <w:iCs/>
          <w:sz w:val="24"/>
          <w:szCs w:val="24"/>
        </w:rPr>
        <w:t>the protected confidence material to which the application relates</w:t>
      </w:r>
      <w:r w:rsidR="00E2743B">
        <w:rPr>
          <w:rFonts w:ascii="Arial" w:hAnsi="Arial" w:cs="Arial"/>
          <w:iCs/>
          <w:sz w:val="24"/>
          <w:szCs w:val="24"/>
        </w:rPr>
        <w:t xml:space="preserve"> should be released as evidence</w:t>
      </w:r>
      <w:r w:rsidR="00CE072B">
        <w:rPr>
          <w:rFonts w:ascii="Arial" w:hAnsi="Arial" w:cs="Arial"/>
          <w:iCs/>
          <w:sz w:val="24"/>
          <w:szCs w:val="24"/>
        </w:rPr>
        <w:t xml:space="preserve"> in those proceedings</w:t>
      </w:r>
      <w:r>
        <w:rPr>
          <w:rFonts w:ascii="Arial" w:hAnsi="Arial" w:cs="Arial"/>
          <w:iCs/>
          <w:sz w:val="24"/>
          <w:szCs w:val="24"/>
        </w:rPr>
        <w:t xml:space="preserve">. It is not a requirement that the </w:t>
      </w:r>
      <w:r w:rsidR="00B069C8">
        <w:rPr>
          <w:rFonts w:ascii="Arial" w:hAnsi="Arial" w:cs="Arial"/>
          <w:iCs/>
          <w:sz w:val="24"/>
          <w:szCs w:val="24"/>
        </w:rPr>
        <w:t xml:space="preserve">counselled person </w:t>
      </w:r>
      <w:r>
        <w:rPr>
          <w:rFonts w:ascii="Arial" w:hAnsi="Arial" w:cs="Arial"/>
          <w:iCs/>
          <w:sz w:val="24"/>
          <w:szCs w:val="24"/>
        </w:rPr>
        <w:t xml:space="preserve">provide this statement of </w:t>
      </w:r>
      <w:r w:rsidR="00CE072B">
        <w:rPr>
          <w:rFonts w:ascii="Arial" w:hAnsi="Arial" w:cs="Arial"/>
          <w:iCs/>
          <w:sz w:val="24"/>
          <w:szCs w:val="24"/>
        </w:rPr>
        <w:t>harm</w:t>
      </w:r>
      <w:r>
        <w:rPr>
          <w:rFonts w:ascii="Arial" w:hAnsi="Arial" w:cs="Arial"/>
          <w:iCs/>
          <w:sz w:val="24"/>
          <w:szCs w:val="24"/>
        </w:rPr>
        <w:t>.</w:t>
      </w:r>
      <w:r w:rsidR="00B069C8">
        <w:rPr>
          <w:rFonts w:ascii="Arial" w:hAnsi="Arial" w:cs="Arial"/>
          <w:iCs/>
          <w:sz w:val="24"/>
          <w:szCs w:val="24"/>
        </w:rPr>
        <w:t xml:space="preserve"> It does, however, provide flexibility in how the counselled person can participate in these matters. </w:t>
      </w:r>
    </w:p>
    <w:p w14:paraId="361162BE" w14:textId="7290BD2F" w:rsidR="00D573E3" w:rsidRDefault="00D573E3" w:rsidP="00D573E3">
      <w:pPr>
        <w:pStyle w:val="pf0"/>
        <w:rPr>
          <w:rFonts w:ascii="Arial" w:hAnsi="Arial" w:cs="Arial"/>
          <w:iCs/>
        </w:rPr>
      </w:pPr>
      <w:r w:rsidRPr="007C020C">
        <w:rPr>
          <w:rFonts w:ascii="Arial" w:hAnsi="Arial" w:cs="Arial"/>
          <w:lang w:eastAsia="en-US"/>
        </w:rPr>
        <w:t xml:space="preserve">This amendment appropriately balances the rights of the parties </w:t>
      </w:r>
      <w:r>
        <w:rPr>
          <w:rFonts w:ascii="Arial" w:hAnsi="Arial" w:cs="Arial"/>
          <w:lang w:eastAsia="en-US"/>
        </w:rPr>
        <w:t xml:space="preserve">to a fair trial and procedural fairness </w:t>
      </w:r>
      <w:r w:rsidRPr="007C020C">
        <w:rPr>
          <w:rFonts w:ascii="Arial" w:hAnsi="Arial" w:cs="Arial"/>
          <w:lang w:eastAsia="en-US"/>
        </w:rPr>
        <w:t>with the right to privacy</w:t>
      </w:r>
      <w:r>
        <w:rPr>
          <w:rFonts w:ascii="Arial" w:hAnsi="Arial" w:cs="Arial"/>
          <w:lang w:eastAsia="en-US"/>
        </w:rPr>
        <w:t xml:space="preserve"> for the </w:t>
      </w:r>
      <w:r w:rsidR="00B069C8">
        <w:rPr>
          <w:rFonts w:ascii="Arial" w:hAnsi="Arial" w:cs="Arial"/>
          <w:lang w:eastAsia="en-US"/>
        </w:rPr>
        <w:t>counselled person</w:t>
      </w:r>
      <w:r>
        <w:rPr>
          <w:rFonts w:ascii="Arial" w:hAnsi="Arial" w:cs="Arial"/>
          <w:lang w:eastAsia="en-US"/>
        </w:rPr>
        <w:t xml:space="preserve">. It does this as the amendment does not change the right for the applicant to appeal the decision of the court. </w:t>
      </w:r>
      <w:r w:rsidR="005D58D4">
        <w:rPr>
          <w:rFonts w:ascii="Arial" w:hAnsi="Arial" w:cs="Arial"/>
          <w:iCs/>
        </w:rPr>
        <w:t xml:space="preserve">Furthermore, the provision does not prevent the </w:t>
      </w:r>
      <w:r w:rsidR="00B069C8">
        <w:rPr>
          <w:rFonts w:ascii="Arial" w:hAnsi="Arial" w:cs="Arial"/>
          <w:iCs/>
        </w:rPr>
        <w:t>counselled person</w:t>
      </w:r>
      <w:r w:rsidR="005D58D4">
        <w:rPr>
          <w:rFonts w:ascii="Arial" w:hAnsi="Arial" w:cs="Arial"/>
          <w:iCs/>
        </w:rPr>
        <w:t xml:space="preserve"> or their legal representative making submissions in Court. The Court will still retain its discretion on whether the protected confidence can be relied upon by a party. The amendment does not give the confidential statement more weight than the other considerations </w:t>
      </w:r>
      <w:r>
        <w:rPr>
          <w:rFonts w:ascii="Arial" w:hAnsi="Arial" w:cs="Arial"/>
          <w:iCs/>
        </w:rPr>
        <w:t xml:space="preserve">the court must turn its mind to in </w:t>
      </w:r>
      <w:r w:rsidR="00EB63D8">
        <w:rPr>
          <w:rFonts w:ascii="Arial" w:hAnsi="Arial" w:cs="Arial"/>
          <w:iCs/>
        </w:rPr>
        <w:t xml:space="preserve">section </w:t>
      </w:r>
      <w:r>
        <w:rPr>
          <w:rFonts w:ascii="Arial" w:hAnsi="Arial" w:cs="Arial"/>
          <w:iCs/>
        </w:rPr>
        <w:t xml:space="preserve">79H, </w:t>
      </w:r>
      <w:r w:rsidR="005D58D4">
        <w:rPr>
          <w:rFonts w:ascii="Arial" w:hAnsi="Arial" w:cs="Arial"/>
          <w:iCs/>
        </w:rPr>
        <w:t>and</w:t>
      </w:r>
      <w:r w:rsidR="00DB757B">
        <w:rPr>
          <w:rFonts w:ascii="Arial" w:hAnsi="Arial" w:cs="Arial"/>
          <w:iCs/>
        </w:rPr>
        <w:t xml:space="preserve"> where disclosure of the protected confidence material is not approved by the Court,</w:t>
      </w:r>
      <w:r w:rsidR="005D58D4">
        <w:rPr>
          <w:rFonts w:ascii="Arial" w:hAnsi="Arial" w:cs="Arial"/>
          <w:iCs/>
        </w:rPr>
        <w:t xml:space="preserve"> the Court will still need to </w:t>
      </w:r>
      <w:r w:rsidR="00601C05">
        <w:rPr>
          <w:rFonts w:ascii="Arial" w:hAnsi="Arial" w:cs="Arial"/>
          <w:iCs/>
        </w:rPr>
        <w:t xml:space="preserve">give </w:t>
      </w:r>
      <w:r w:rsidR="005D58D4">
        <w:rPr>
          <w:rFonts w:ascii="Arial" w:hAnsi="Arial" w:cs="Arial"/>
          <w:iCs/>
        </w:rPr>
        <w:t xml:space="preserve">reasons for its decision not to release </w:t>
      </w:r>
      <w:r w:rsidR="00DB757B">
        <w:rPr>
          <w:rFonts w:ascii="Arial" w:hAnsi="Arial" w:cs="Arial"/>
          <w:iCs/>
        </w:rPr>
        <w:t>the material</w:t>
      </w:r>
      <w:r w:rsidR="005D58D4">
        <w:rPr>
          <w:rFonts w:ascii="Arial" w:hAnsi="Arial" w:cs="Arial"/>
          <w:iCs/>
        </w:rPr>
        <w:t xml:space="preserve">. </w:t>
      </w:r>
    </w:p>
    <w:p w14:paraId="3A54BB51" w14:textId="6AAF1781" w:rsidR="00D573E3" w:rsidRPr="00D573E3" w:rsidRDefault="00D573E3" w:rsidP="00D573E3">
      <w:pPr>
        <w:pStyle w:val="pf0"/>
        <w:rPr>
          <w:rFonts w:ascii="Arial" w:hAnsi="Arial" w:cs="Arial"/>
          <w:lang w:eastAsia="en-US"/>
        </w:rPr>
      </w:pPr>
      <w:r w:rsidRPr="007C020C">
        <w:rPr>
          <w:rFonts w:ascii="Arial" w:hAnsi="Arial" w:cs="Arial"/>
          <w:lang w:eastAsia="en-US"/>
        </w:rPr>
        <w:t xml:space="preserve">It is a necessary amendment to achieve the legitimate purpose outlined above, because </w:t>
      </w:r>
      <w:r>
        <w:rPr>
          <w:rFonts w:ascii="Arial" w:hAnsi="Arial" w:cs="Arial"/>
          <w:iCs/>
        </w:rPr>
        <w:t xml:space="preserve">the statement will provide the court with information </w:t>
      </w:r>
      <w:r w:rsidR="00DB757B">
        <w:rPr>
          <w:rFonts w:ascii="Arial" w:hAnsi="Arial" w:cs="Arial"/>
          <w:iCs/>
        </w:rPr>
        <w:t xml:space="preserve">relevant to the matters it must consider under section 79H, including the nature and extent of the reasonable expectation of confidentiality and the potential prejudice to the privacy of anyone, as well as the public interest considerations set out at section 79H(1)(b) and section 79H(1)(c). </w:t>
      </w:r>
    </w:p>
    <w:p w14:paraId="4AF5AB2E" w14:textId="2B0D1319" w:rsidR="00D573E3" w:rsidRDefault="00D573E3" w:rsidP="00D573E3">
      <w:pPr>
        <w:pStyle w:val="pf0"/>
        <w:rPr>
          <w:rFonts w:ascii="Arial" w:hAnsi="Arial" w:cs="Arial"/>
          <w:lang w:eastAsia="en-US"/>
        </w:rPr>
      </w:pPr>
      <w:r w:rsidRPr="007C020C">
        <w:rPr>
          <w:rFonts w:ascii="Arial" w:hAnsi="Arial" w:cs="Arial"/>
          <w:lang w:eastAsia="en-US"/>
        </w:rPr>
        <w:lastRenderedPageBreak/>
        <w:t xml:space="preserve">It is proportionate for the confidential statement not to be provided to the parties because the </w:t>
      </w:r>
      <w:r w:rsidR="00B069C8">
        <w:rPr>
          <w:rFonts w:ascii="Arial" w:hAnsi="Arial" w:cs="Arial"/>
          <w:lang w:eastAsia="en-US"/>
        </w:rPr>
        <w:t>counselled person</w:t>
      </w:r>
      <w:r w:rsidRPr="007C020C">
        <w:rPr>
          <w:rFonts w:ascii="Arial" w:hAnsi="Arial" w:cs="Arial"/>
          <w:lang w:eastAsia="en-US"/>
        </w:rPr>
        <w:t xml:space="preserve"> is not a party to the proceeding, </w:t>
      </w:r>
      <w:r w:rsidR="008B4FF2">
        <w:rPr>
          <w:rFonts w:ascii="Arial" w:hAnsi="Arial" w:cs="Arial"/>
          <w:lang w:eastAsia="en-US"/>
        </w:rPr>
        <w:t>but</w:t>
      </w:r>
      <w:r>
        <w:rPr>
          <w:rFonts w:ascii="Arial" w:hAnsi="Arial" w:cs="Arial"/>
          <w:lang w:eastAsia="en-US"/>
        </w:rPr>
        <w:t xml:space="preserve"> </w:t>
      </w:r>
      <w:r w:rsidRPr="007C020C">
        <w:rPr>
          <w:rFonts w:ascii="Arial" w:hAnsi="Arial" w:cs="Arial"/>
          <w:lang w:eastAsia="en-US"/>
        </w:rPr>
        <w:t xml:space="preserve">their evidence and sometimes involvement can be crucial to the matter before the Court. </w:t>
      </w:r>
      <w:r w:rsidR="008B4FF2">
        <w:rPr>
          <w:rFonts w:ascii="Arial" w:hAnsi="Arial" w:cs="Arial"/>
          <w:lang w:eastAsia="en-US"/>
        </w:rPr>
        <w:t xml:space="preserve">This amendment allows for the Court to hear </w:t>
      </w:r>
      <w:r w:rsidR="00EB63D8">
        <w:rPr>
          <w:rFonts w:ascii="Arial" w:hAnsi="Arial" w:cs="Arial"/>
          <w:lang w:eastAsia="en-US"/>
        </w:rPr>
        <w:t xml:space="preserve">about </w:t>
      </w:r>
      <w:r w:rsidR="008B4FF2">
        <w:rPr>
          <w:rFonts w:ascii="Arial" w:hAnsi="Arial" w:cs="Arial"/>
          <w:lang w:eastAsia="en-US"/>
        </w:rPr>
        <w:t xml:space="preserve">that harm in a way that promotes victim agency. </w:t>
      </w:r>
    </w:p>
    <w:p w14:paraId="5D3EBD6B" w14:textId="0EFF96D6" w:rsidR="00D573E3" w:rsidRPr="00D573E3" w:rsidRDefault="00D573E3" w:rsidP="00D573E3">
      <w:pPr>
        <w:pStyle w:val="pf0"/>
        <w:rPr>
          <w:rFonts w:ascii="Arial" w:hAnsi="Arial" w:cs="Arial"/>
          <w:lang w:eastAsia="en-US"/>
        </w:rPr>
      </w:pPr>
      <w:r>
        <w:rPr>
          <w:rFonts w:ascii="Arial" w:hAnsi="Arial" w:cs="Arial"/>
          <w:lang w:eastAsia="en-US"/>
        </w:rPr>
        <w:t>There are other areas of law where there is the justification of exclusion of document or other information from disclosure in both criminal and civil proceedings. For example, public interest immunity and client legal privilege.</w:t>
      </w:r>
    </w:p>
    <w:p w14:paraId="5B70DE5C" w14:textId="0D333230" w:rsidR="008D0A7E" w:rsidRDefault="005D58D4" w:rsidP="008D0A7E">
      <w:pPr>
        <w:contextualSpacing/>
        <w:rPr>
          <w:rFonts w:ascii="Arial" w:hAnsi="Arial" w:cs="Arial"/>
          <w:iCs/>
          <w:sz w:val="24"/>
          <w:szCs w:val="24"/>
        </w:rPr>
      </w:pPr>
      <w:r w:rsidRPr="005D58D4">
        <w:rPr>
          <w:rFonts w:ascii="Arial" w:hAnsi="Arial" w:cs="Arial"/>
          <w:iCs/>
          <w:sz w:val="24"/>
          <w:szCs w:val="24"/>
        </w:rPr>
        <w:t xml:space="preserve">It is already the practice in </w:t>
      </w:r>
      <w:r>
        <w:rPr>
          <w:rFonts w:ascii="Arial" w:hAnsi="Arial" w:cs="Arial"/>
          <w:iCs/>
          <w:sz w:val="24"/>
          <w:szCs w:val="24"/>
        </w:rPr>
        <w:t xml:space="preserve">both </w:t>
      </w:r>
      <w:r w:rsidRPr="005D58D4">
        <w:rPr>
          <w:rFonts w:ascii="Arial" w:hAnsi="Arial" w:cs="Arial"/>
          <w:iCs/>
          <w:sz w:val="24"/>
          <w:szCs w:val="24"/>
        </w:rPr>
        <w:t>Victoria</w:t>
      </w:r>
      <w:r>
        <w:rPr>
          <w:rFonts w:ascii="Arial" w:hAnsi="Arial" w:cs="Arial"/>
          <w:iCs/>
          <w:sz w:val="24"/>
          <w:szCs w:val="24"/>
        </w:rPr>
        <w:t xml:space="preserve"> and New South Wales</w:t>
      </w:r>
      <w:r w:rsidRPr="005D58D4">
        <w:rPr>
          <w:rFonts w:ascii="Arial" w:hAnsi="Arial" w:cs="Arial"/>
          <w:iCs/>
          <w:sz w:val="24"/>
          <w:szCs w:val="24"/>
        </w:rPr>
        <w:t xml:space="preserve"> that the court can receive a confidential statement of harms from the complainant regarding the confidential communication. </w:t>
      </w:r>
      <w:r w:rsidR="008D0A7E" w:rsidRPr="005D58D4">
        <w:rPr>
          <w:rFonts w:ascii="Arial" w:hAnsi="Arial" w:cs="Arial"/>
          <w:iCs/>
          <w:sz w:val="24"/>
          <w:szCs w:val="24"/>
        </w:rPr>
        <w:t xml:space="preserve">This </w:t>
      </w:r>
      <w:r w:rsidR="00DB0717">
        <w:rPr>
          <w:rFonts w:ascii="Arial" w:hAnsi="Arial" w:cs="Arial"/>
          <w:iCs/>
          <w:sz w:val="24"/>
          <w:szCs w:val="24"/>
        </w:rPr>
        <w:t>amendment</w:t>
      </w:r>
      <w:r w:rsidR="008D0A7E" w:rsidRPr="005D58D4">
        <w:rPr>
          <w:rFonts w:ascii="Arial" w:hAnsi="Arial" w:cs="Arial"/>
          <w:iCs/>
          <w:sz w:val="24"/>
          <w:szCs w:val="24"/>
        </w:rPr>
        <w:t xml:space="preserve"> has been modelled on the existing provision in </w:t>
      </w:r>
      <w:r w:rsidR="008D0A7E">
        <w:rPr>
          <w:rFonts w:ascii="Arial" w:hAnsi="Arial" w:cs="Arial"/>
          <w:iCs/>
          <w:sz w:val="24"/>
          <w:szCs w:val="24"/>
        </w:rPr>
        <w:t xml:space="preserve">New South Wales, noting that the provision in Victoria is similar in nature. </w:t>
      </w:r>
    </w:p>
    <w:p w14:paraId="0826FC4C" w14:textId="77777777" w:rsidR="005D58D4" w:rsidRPr="005D58D4" w:rsidRDefault="005D58D4" w:rsidP="005D58D4">
      <w:pPr>
        <w:contextualSpacing/>
        <w:rPr>
          <w:rFonts w:ascii="Arial" w:hAnsi="Arial" w:cs="Arial"/>
          <w:iCs/>
          <w:sz w:val="24"/>
          <w:szCs w:val="24"/>
        </w:rPr>
      </w:pPr>
    </w:p>
    <w:p w14:paraId="1966817B" w14:textId="35E454A1" w:rsidR="005D58D4" w:rsidRPr="005D58D4" w:rsidRDefault="005D58D4" w:rsidP="005D58D4">
      <w:pPr>
        <w:contextualSpacing/>
        <w:rPr>
          <w:rFonts w:ascii="Arial" w:hAnsi="Arial" w:cs="Arial"/>
          <w:iCs/>
          <w:sz w:val="24"/>
          <w:szCs w:val="24"/>
        </w:rPr>
      </w:pPr>
      <w:r w:rsidRPr="005D58D4">
        <w:rPr>
          <w:rFonts w:ascii="Arial" w:hAnsi="Arial" w:cs="Arial"/>
          <w:iCs/>
          <w:sz w:val="24"/>
          <w:szCs w:val="24"/>
        </w:rPr>
        <w:t xml:space="preserve">In New South Wales, the </w:t>
      </w:r>
      <w:r w:rsidRPr="00DC64C0">
        <w:rPr>
          <w:rFonts w:ascii="Arial" w:hAnsi="Arial" w:cs="Arial"/>
          <w:i/>
          <w:iCs/>
          <w:sz w:val="24"/>
          <w:szCs w:val="24"/>
        </w:rPr>
        <w:t>Criminal Procedure Act 1986</w:t>
      </w:r>
      <w:r w:rsidRPr="00DC64C0">
        <w:rPr>
          <w:rFonts w:ascii="Arial" w:hAnsi="Arial" w:cs="Arial"/>
          <w:sz w:val="24"/>
          <w:szCs w:val="24"/>
        </w:rPr>
        <w:t xml:space="preserve"> (NSW) s 299D (3)-(4) provides that for the purposes of determining an application for leave, the Court may permit a confidential statement to be made to it by or on behalf of the principal protected confider by affidavit specifying the harm the confider is likely to suffer if the application for leave is granted. The Court must not disclose or make available to a party (other than the principal protected confider) any confidential statement made to the Court under this section by or on behalf of the principal protected confider. The Court must state its reasons for granting or refusing to grant an application for leave (s 299D (5)). </w:t>
      </w:r>
    </w:p>
    <w:p w14:paraId="0511EE12" w14:textId="77777777" w:rsidR="005D58D4" w:rsidRDefault="005D58D4" w:rsidP="005D58D4">
      <w:pPr>
        <w:contextualSpacing/>
        <w:rPr>
          <w:rFonts w:ascii="Arial" w:hAnsi="Arial" w:cs="Arial"/>
          <w:iCs/>
          <w:sz w:val="24"/>
          <w:szCs w:val="24"/>
        </w:rPr>
      </w:pPr>
    </w:p>
    <w:p w14:paraId="158E367C" w14:textId="35B697E1" w:rsidR="005D58D4" w:rsidRDefault="005D58D4" w:rsidP="005D58D4">
      <w:pPr>
        <w:contextualSpacing/>
        <w:rPr>
          <w:rFonts w:ascii="Arial" w:hAnsi="Arial" w:cs="Arial"/>
          <w:i/>
          <w:iCs/>
          <w:sz w:val="24"/>
          <w:szCs w:val="24"/>
        </w:rPr>
      </w:pPr>
      <w:r>
        <w:rPr>
          <w:rFonts w:ascii="Arial" w:hAnsi="Arial" w:cs="Arial"/>
          <w:iCs/>
          <w:sz w:val="24"/>
          <w:szCs w:val="24"/>
        </w:rPr>
        <w:t xml:space="preserve">In Victoria under </w:t>
      </w:r>
      <w:r w:rsidRPr="005D58D4">
        <w:rPr>
          <w:rFonts w:ascii="Arial" w:hAnsi="Arial" w:cs="Arial"/>
          <w:sz w:val="24"/>
          <w:szCs w:val="24"/>
        </w:rPr>
        <w:t>section 32</w:t>
      </w:r>
      <w:proofErr w:type="gramStart"/>
      <w:r w:rsidRPr="005D58D4">
        <w:rPr>
          <w:rFonts w:ascii="Arial" w:hAnsi="Arial" w:cs="Arial"/>
          <w:sz w:val="24"/>
          <w:szCs w:val="24"/>
        </w:rPr>
        <w:t>C</w:t>
      </w:r>
      <w:r>
        <w:rPr>
          <w:rFonts w:ascii="Arial" w:hAnsi="Arial" w:cs="Arial"/>
          <w:sz w:val="24"/>
          <w:szCs w:val="24"/>
        </w:rPr>
        <w:t>E(</w:t>
      </w:r>
      <w:proofErr w:type="gramEnd"/>
      <w:r>
        <w:rPr>
          <w:rFonts w:ascii="Arial" w:hAnsi="Arial" w:cs="Arial"/>
          <w:sz w:val="24"/>
          <w:szCs w:val="24"/>
        </w:rPr>
        <w:t>3) and (4)</w:t>
      </w:r>
      <w:r w:rsidRPr="005D58D4">
        <w:rPr>
          <w:rFonts w:ascii="Arial" w:hAnsi="Arial" w:cs="Arial"/>
          <w:sz w:val="24"/>
          <w:szCs w:val="24"/>
        </w:rPr>
        <w:t xml:space="preserve"> of the </w:t>
      </w:r>
      <w:r w:rsidRPr="005D58D4">
        <w:rPr>
          <w:rFonts w:ascii="Arial" w:hAnsi="Arial" w:cs="Arial"/>
          <w:i/>
          <w:iCs/>
          <w:sz w:val="24"/>
          <w:szCs w:val="24"/>
        </w:rPr>
        <w:t>Evidence (Miscellaneous Provisions) Act 1958</w:t>
      </w:r>
      <w:r w:rsidRPr="005D58D4">
        <w:rPr>
          <w:rFonts w:ascii="Arial" w:hAnsi="Arial" w:cs="Arial"/>
          <w:sz w:val="24"/>
          <w:szCs w:val="24"/>
        </w:rPr>
        <w:t xml:space="preserve"> (Vic),</w:t>
      </w:r>
      <w:r>
        <w:rPr>
          <w:rFonts w:ascii="Arial" w:hAnsi="Arial" w:cs="Arial"/>
          <w:sz w:val="24"/>
          <w:szCs w:val="24"/>
        </w:rPr>
        <w:t xml:space="preserve"> </w:t>
      </w:r>
      <w:r w:rsidRPr="005D58D4">
        <w:rPr>
          <w:rFonts w:ascii="Arial" w:hAnsi="Arial" w:cs="Arial"/>
          <w:sz w:val="24"/>
          <w:szCs w:val="24"/>
        </w:rPr>
        <w:t xml:space="preserve">introduced by the </w:t>
      </w:r>
      <w:r w:rsidRPr="005D58D4">
        <w:rPr>
          <w:rFonts w:ascii="Arial" w:hAnsi="Arial" w:cs="Arial"/>
          <w:i/>
          <w:iCs/>
          <w:sz w:val="24"/>
          <w:szCs w:val="24"/>
        </w:rPr>
        <w:t>Justice Legislation Amendment (Sexual Offences and Other Matters) Act 2022</w:t>
      </w:r>
      <w:r>
        <w:rPr>
          <w:rFonts w:ascii="Arial" w:hAnsi="Arial" w:cs="Arial"/>
          <w:i/>
          <w:iCs/>
          <w:sz w:val="24"/>
          <w:szCs w:val="24"/>
        </w:rPr>
        <w:t>,</w:t>
      </w:r>
      <w:r>
        <w:rPr>
          <w:rFonts w:ascii="Arial" w:hAnsi="Arial" w:cs="Arial"/>
          <w:sz w:val="24"/>
          <w:szCs w:val="24"/>
        </w:rPr>
        <w:t xml:space="preserve"> the Court can be provided a confidential statement from the complainant describing the harm likely to be cause to them if the application is granted. The Court can allow the protected statement to be provided if the Court considers that it is in the interest of justice to do so. This implemented recommendation 25a of the Victorian Law Reform Commission 2016 report entitled </w:t>
      </w:r>
      <w:r>
        <w:rPr>
          <w:rFonts w:ascii="Arial" w:hAnsi="Arial" w:cs="Arial"/>
          <w:i/>
          <w:iCs/>
          <w:sz w:val="24"/>
          <w:szCs w:val="24"/>
        </w:rPr>
        <w:t xml:space="preserve">The Role of Victims of Crime in the Criminal Trial Process, </w:t>
      </w:r>
      <w:r>
        <w:rPr>
          <w:rFonts w:ascii="Arial" w:hAnsi="Arial" w:cs="Arial"/>
          <w:sz w:val="24"/>
          <w:szCs w:val="24"/>
        </w:rPr>
        <w:t>(VLRC Victims Report) regarding the right to provide a confidential statement in these proceedings. The purpose of having a provision for the complainant to provide a confidential statement is to provide flexibility in how the protected person or complainant could appear and participate in these matters. Further, section 32</w:t>
      </w:r>
      <w:proofErr w:type="gramStart"/>
      <w:r>
        <w:rPr>
          <w:rFonts w:ascii="Arial" w:hAnsi="Arial" w:cs="Arial"/>
          <w:sz w:val="24"/>
          <w:szCs w:val="24"/>
        </w:rPr>
        <w:t>CE(</w:t>
      </w:r>
      <w:proofErr w:type="gramEnd"/>
      <w:r>
        <w:rPr>
          <w:rFonts w:ascii="Arial" w:hAnsi="Arial" w:cs="Arial"/>
          <w:sz w:val="24"/>
          <w:szCs w:val="24"/>
        </w:rPr>
        <w:t>4) provides that the court may make the whole or part of the confidential statement available to a person other than the person (or their legal representative) if it is in the interests of justice to do so. The Explanatory Statement outlined that this requires the Court to consider the large</w:t>
      </w:r>
      <w:r w:rsidR="00601C05">
        <w:rPr>
          <w:rFonts w:ascii="Arial" w:hAnsi="Arial" w:cs="Arial"/>
          <w:sz w:val="24"/>
          <w:szCs w:val="24"/>
        </w:rPr>
        <w:t>r</w:t>
      </w:r>
      <w:r>
        <w:rPr>
          <w:rFonts w:ascii="Arial" w:hAnsi="Arial" w:cs="Arial"/>
          <w:sz w:val="24"/>
          <w:szCs w:val="24"/>
        </w:rPr>
        <w:t xml:space="preserve"> questions of legal principle, public </w:t>
      </w:r>
      <w:proofErr w:type="gramStart"/>
      <w:r>
        <w:rPr>
          <w:rFonts w:ascii="Arial" w:hAnsi="Arial" w:cs="Arial"/>
          <w:sz w:val="24"/>
          <w:szCs w:val="24"/>
        </w:rPr>
        <w:t>interest</w:t>
      </w:r>
      <w:proofErr w:type="gramEnd"/>
      <w:r>
        <w:rPr>
          <w:rFonts w:ascii="Arial" w:hAnsi="Arial" w:cs="Arial"/>
          <w:sz w:val="24"/>
          <w:szCs w:val="24"/>
        </w:rPr>
        <w:t xml:space="preserve"> and policy considerations. </w:t>
      </w:r>
    </w:p>
    <w:p w14:paraId="00876F20" w14:textId="21693D0D" w:rsidR="007C020C" w:rsidRDefault="007C020C">
      <w:pPr>
        <w:spacing w:after="160" w:line="259" w:lineRule="auto"/>
        <w:rPr>
          <w:rFonts w:asciiTheme="minorHAnsi" w:eastAsiaTheme="majorEastAsia" w:hAnsiTheme="minorHAnsi" w:cs="Arial"/>
          <w:sz w:val="28"/>
          <w:szCs w:val="28"/>
          <w:lang w:eastAsia="en-AU"/>
        </w:rPr>
      </w:pPr>
      <w:r>
        <w:rPr>
          <w:rFonts w:asciiTheme="minorHAnsi" w:hAnsiTheme="minorHAnsi" w:cs="Arial"/>
          <w:b/>
          <w:sz w:val="28"/>
          <w:szCs w:val="28"/>
          <w:lang w:eastAsia="en-AU"/>
        </w:rPr>
        <w:br w:type="page"/>
      </w:r>
    </w:p>
    <w:p w14:paraId="5D57DC16" w14:textId="77777777" w:rsidR="00E90DF9" w:rsidRDefault="00E90DF9" w:rsidP="00E90DF9">
      <w:pPr>
        <w:pStyle w:val="Heading2"/>
        <w:ind w:left="-108"/>
        <w:jc w:val="center"/>
        <w:rPr>
          <w:rFonts w:asciiTheme="minorHAnsi" w:hAnsiTheme="minorHAnsi" w:cs="Arial"/>
          <w:b w:val="0"/>
          <w:sz w:val="28"/>
          <w:szCs w:val="28"/>
          <w:lang w:eastAsia="en-AU"/>
        </w:rPr>
      </w:pPr>
    </w:p>
    <w:p w14:paraId="66BEC609" w14:textId="2260A947" w:rsidR="00E90DF9" w:rsidRPr="00CF07EA" w:rsidRDefault="000F3644" w:rsidP="00E90DF9">
      <w:pPr>
        <w:pStyle w:val="Heading2"/>
        <w:ind w:left="-108"/>
        <w:jc w:val="center"/>
        <w:rPr>
          <w:rFonts w:cs="Arial"/>
          <w:b w:val="0"/>
          <w:bCs/>
          <w:i/>
          <w:iCs/>
          <w:sz w:val="28"/>
          <w:szCs w:val="28"/>
        </w:rPr>
      </w:pPr>
      <w:bookmarkStart w:id="6" w:name="_Toc161990736"/>
      <w:r w:rsidRPr="00CF07EA">
        <w:rPr>
          <w:rFonts w:cs="Arial"/>
          <w:b w:val="0"/>
          <w:sz w:val="28"/>
          <w:szCs w:val="28"/>
          <w:lang w:eastAsia="en-AU"/>
        </w:rPr>
        <w:t>CRIMES (DISCLOSURE) LEGISLATION AMENDMENT BILL 2024</w:t>
      </w:r>
      <w:bookmarkEnd w:id="6"/>
    </w:p>
    <w:bookmarkEnd w:id="5"/>
    <w:p w14:paraId="3FC035F1" w14:textId="77777777" w:rsidR="00E90DF9" w:rsidRPr="00CF07EA" w:rsidRDefault="00E90DF9" w:rsidP="00E90DF9">
      <w:pPr>
        <w:pStyle w:val="Heading4"/>
        <w:ind w:left="-108"/>
        <w:jc w:val="center"/>
        <w:rPr>
          <w:rFonts w:ascii="Arial" w:hAnsi="Arial" w:cs="Arial"/>
          <w:sz w:val="24"/>
          <w:szCs w:val="24"/>
        </w:rPr>
      </w:pPr>
      <w:r w:rsidRPr="00CF07EA">
        <w:rPr>
          <w:rFonts w:ascii="Arial" w:hAnsi="Arial" w:cs="Arial"/>
          <w:sz w:val="24"/>
          <w:szCs w:val="24"/>
        </w:rPr>
        <w:t>Human Rights Act 2004 - Compatibility Statement</w:t>
      </w:r>
    </w:p>
    <w:p w14:paraId="4BE2285B" w14:textId="77777777" w:rsidR="00E90DF9" w:rsidRPr="00CF07EA" w:rsidRDefault="00E90DF9" w:rsidP="00E90DF9">
      <w:pPr>
        <w:rPr>
          <w:rFonts w:ascii="Arial" w:hAnsi="Arial" w:cs="Arial"/>
        </w:rPr>
      </w:pPr>
    </w:p>
    <w:p w14:paraId="3E3301AD" w14:textId="77777777" w:rsidR="00E90DF9" w:rsidRPr="00CF07EA" w:rsidRDefault="00E90DF9" w:rsidP="00E90DF9">
      <w:pPr>
        <w:rPr>
          <w:rFonts w:ascii="Arial" w:hAnsi="Arial" w:cs="Arial"/>
        </w:rPr>
      </w:pPr>
    </w:p>
    <w:p w14:paraId="45D422CA" w14:textId="018234E0" w:rsidR="00E90DF9" w:rsidRPr="00CF07EA" w:rsidRDefault="00E90DF9" w:rsidP="00E90DF9">
      <w:pPr>
        <w:rPr>
          <w:rFonts w:ascii="Arial" w:hAnsi="Arial" w:cs="Arial"/>
        </w:rPr>
      </w:pPr>
      <w:r w:rsidRPr="00CF07EA">
        <w:rPr>
          <w:rFonts w:ascii="Arial" w:hAnsi="Arial" w:cs="Arial"/>
        </w:rPr>
        <w:t xml:space="preserve">In accordance with section 37 of the </w:t>
      </w:r>
      <w:r w:rsidRPr="00CF07EA">
        <w:rPr>
          <w:rFonts w:ascii="Arial" w:hAnsi="Arial" w:cs="Arial"/>
          <w:i/>
          <w:iCs/>
        </w:rPr>
        <w:t>Human Rights Act 2004</w:t>
      </w:r>
      <w:r w:rsidRPr="00CF07EA">
        <w:rPr>
          <w:rFonts w:ascii="Arial" w:hAnsi="Arial" w:cs="Arial"/>
        </w:rPr>
        <w:t xml:space="preserve"> I have examined the</w:t>
      </w:r>
      <w:r w:rsidRPr="00CF07EA">
        <w:rPr>
          <w:rFonts w:ascii="Arial" w:hAnsi="Arial" w:cs="Arial"/>
          <w:b/>
        </w:rPr>
        <w:t xml:space="preserve"> </w:t>
      </w:r>
      <w:r w:rsidR="000F3644" w:rsidRPr="00CF07EA">
        <w:rPr>
          <w:rFonts w:ascii="Arial" w:hAnsi="Arial" w:cs="Arial"/>
          <w:b/>
        </w:rPr>
        <w:t>Crimes (Disclosure) Legislation Amendment Bill 2024</w:t>
      </w:r>
      <w:r w:rsidRPr="00CF07EA">
        <w:rPr>
          <w:rFonts w:ascii="Arial" w:hAnsi="Arial" w:cs="Arial"/>
        </w:rPr>
        <w:t>.  In my opinion, having regard to the Bill and the outline of the policy considerations and justification of any limitations on rights outlined in this explanatory statement, the Bill as presented to the Legislative Assembly</w:t>
      </w:r>
      <w:r w:rsidRPr="00CF07EA">
        <w:rPr>
          <w:rFonts w:ascii="Arial" w:hAnsi="Arial" w:cs="Arial"/>
          <w:b/>
        </w:rPr>
        <w:t xml:space="preserve"> is </w:t>
      </w:r>
      <w:r w:rsidRPr="00CF07EA">
        <w:rPr>
          <w:rFonts w:ascii="Arial" w:hAnsi="Arial" w:cs="Arial"/>
        </w:rPr>
        <w:t xml:space="preserve">consistent with the </w:t>
      </w:r>
      <w:r w:rsidRPr="00CF07EA">
        <w:rPr>
          <w:rFonts w:ascii="Arial" w:hAnsi="Arial" w:cs="Arial"/>
          <w:i/>
          <w:iCs/>
        </w:rPr>
        <w:t>Human Rights Act 2004.</w:t>
      </w:r>
    </w:p>
    <w:p w14:paraId="76476A29" w14:textId="77777777" w:rsidR="00E90DF9" w:rsidRPr="00CF07EA" w:rsidRDefault="00E90DF9" w:rsidP="00E90DF9">
      <w:pPr>
        <w:rPr>
          <w:rFonts w:ascii="Arial" w:hAnsi="Arial" w:cs="Arial"/>
        </w:rPr>
      </w:pPr>
    </w:p>
    <w:p w14:paraId="2CC08B60" w14:textId="77777777" w:rsidR="00E90DF9" w:rsidRPr="00CF07EA" w:rsidRDefault="00E90DF9" w:rsidP="00E90DF9">
      <w:pPr>
        <w:rPr>
          <w:rFonts w:ascii="Arial" w:hAnsi="Arial" w:cs="Arial"/>
        </w:rPr>
      </w:pPr>
    </w:p>
    <w:p w14:paraId="71AFABAD" w14:textId="77777777" w:rsidR="00E90DF9" w:rsidRPr="00CF07EA" w:rsidRDefault="00E90DF9" w:rsidP="00E90DF9">
      <w:pPr>
        <w:rPr>
          <w:rFonts w:ascii="Arial" w:hAnsi="Arial" w:cs="Arial"/>
        </w:rPr>
      </w:pPr>
      <w:r w:rsidRPr="00CF07EA">
        <w:rPr>
          <w:rFonts w:ascii="Arial" w:hAnsi="Arial" w:cs="Arial"/>
        </w:rPr>
        <w:t>………………………………………………….</w:t>
      </w:r>
    </w:p>
    <w:p w14:paraId="7B5A08D3" w14:textId="77777777" w:rsidR="00E90DF9" w:rsidRPr="00CF07EA" w:rsidRDefault="00E90DF9" w:rsidP="00E90DF9">
      <w:pPr>
        <w:rPr>
          <w:rFonts w:ascii="Arial" w:hAnsi="Arial" w:cs="Arial"/>
        </w:rPr>
      </w:pPr>
      <w:r w:rsidRPr="00CF07EA">
        <w:rPr>
          <w:rFonts w:ascii="Arial" w:hAnsi="Arial" w:cs="Arial"/>
        </w:rPr>
        <w:t>Shane Rattenbury MLA</w:t>
      </w:r>
      <w:r w:rsidRPr="00CF07EA">
        <w:rPr>
          <w:rFonts w:ascii="Arial" w:hAnsi="Arial" w:cs="Arial"/>
        </w:rPr>
        <w:br/>
        <w:t>Attorney-General</w:t>
      </w:r>
    </w:p>
    <w:p w14:paraId="481185F5" w14:textId="77777777" w:rsidR="00E90DF9" w:rsidRPr="006D52AC" w:rsidRDefault="00E90DF9" w:rsidP="00E90DF9">
      <w:pPr>
        <w:spacing w:before="200"/>
        <w:rPr>
          <w:rFonts w:ascii="Arial" w:hAnsi="Arial" w:cs="Arial"/>
          <w:sz w:val="24"/>
          <w:szCs w:val="24"/>
        </w:rPr>
      </w:pPr>
    </w:p>
    <w:p w14:paraId="6112FDD1" w14:textId="594E2E15" w:rsidR="7EB1856B" w:rsidRDefault="7EB1856B">
      <w:r>
        <w:br w:type="page"/>
      </w:r>
    </w:p>
    <w:p w14:paraId="4AD4C565" w14:textId="12A55C84" w:rsidR="5948714E" w:rsidRPr="004E1F5F" w:rsidRDefault="5948714E" w:rsidP="004E1F5F">
      <w:pPr>
        <w:jc w:val="center"/>
        <w:rPr>
          <w:rFonts w:ascii="Arial" w:hAnsi="Arial" w:cs="Arial"/>
          <w:b/>
          <w:bCs/>
          <w:sz w:val="24"/>
          <w:szCs w:val="24"/>
        </w:rPr>
      </w:pPr>
      <w:r w:rsidRPr="004E1F5F">
        <w:rPr>
          <w:rFonts w:ascii="Arial" w:hAnsi="Arial" w:cs="Arial"/>
          <w:b/>
          <w:bCs/>
          <w:sz w:val="24"/>
          <w:szCs w:val="24"/>
        </w:rPr>
        <w:lastRenderedPageBreak/>
        <w:t>Crimes (Disclosure) Legislation Amendment Bill 2024</w:t>
      </w:r>
    </w:p>
    <w:p w14:paraId="15420702" w14:textId="3A2B72DA" w:rsidR="00E90DF9" w:rsidRPr="00E76504" w:rsidRDefault="5948714E" w:rsidP="004E1F5F">
      <w:pPr>
        <w:pStyle w:val="Heading2"/>
        <w:spacing w:before="240" w:after="240"/>
        <w:jc w:val="center"/>
      </w:pPr>
      <w:bookmarkStart w:id="7" w:name="_Toc161990737"/>
      <w:r>
        <w:t>Detail</w:t>
      </w:r>
      <w:bookmarkEnd w:id="7"/>
    </w:p>
    <w:p w14:paraId="0DCDCB40" w14:textId="7FA08273" w:rsidR="6C87EB7B" w:rsidRDefault="6C87EB7B" w:rsidP="2DF38687">
      <w:pPr>
        <w:pStyle w:val="Heading3"/>
      </w:pPr>
      <w:bookmarkStart w:id="8" w:name="_Toc161990738"/>
      <w:r>
        <w:t>Part 1</w:t>
      </w:r>
      <w:r w:rsidR="00C45F55">
        <w:t xml:space="preserve"> – </w:t>
      </w:r>
      <w:r>
        <w:t>Preliminary</w:t>
      </w:r>
      <w:bookmarkEnd w:id="8"/>
    </w:p>
    <w:p w14:paraId="1399EFBD" w14:textId="7EAC1363" w:rsidR="000F3644" w:rsidRDefault="6C87EB7B" w:rsidP="00E90DF9">
      <w:pPr>
        <w:pStyle w:val="Heading3"/>
      </w:pPr>
      <w:bookmarkStart w:id="9" w:name="_Toc161990739"/>
      <w:r>
        <w:t>Clause</w:t>
      </w:r>
      <w:r w:rsidR="00E90DF9" w:rsidRPr="00ED3B77">
        <w:t xml:space="preserve"> 1</w:t>
      </w:r>
      <w:r w:rsidR="00AA7A03">
        <w:t xml:space="preserve"> – N</w:t>
      </w:r>
      <w:r w:rsidR="000F3644">
        <w:t>ame of Act</w:t>
      </w:r>
      <w:bookmarkEnd w:id="9"/>
    </w:p>
    <w:p w14:paraId="21139D56" w14:textId="3020DBDD" w:rsidR="00E90DF9" w:rsidRPr="00CF07EA" w:rsidRDefault="1011344F" w:rsidP="000F3644">
      <w:pPr>
        <w:rPr>
          <w:rFonts w:ascii="Arial" w:hAnsi="Arial" w:cs="Arial"/>
        </w:rPr>
      </w:pPr>
      <w:r w:rsidRPr="00CF07EA">
        <w:rPr>
          <w:rFonts w:ascii="Arial" w:hAnsi="Arial" w:cs="Arial"/>
        </w:rPr>
        <w:t xml:space="preserve">This Act is the </w:t>
      </w:r>
      <w:r w:rsidR="000F3644" w:rsidRPr="00CF07EA">
        <w:rPr>
          <w:rFonts w:ascii="Arial" w:hAnsi="Arial" w:cs="Arial"/>
          <w:i/>
          <w:iCs/>
        </w:rPr>
        <w:t>Crimes</w:t>
      </w:r>
      <w:r w:rsidR="000F3644" w:rsidRPr="00CF07EA">
        <w:rPr>
          <w:rFonts w:ascii="Arial" w:hAnsi="Arial" w:cs="Arial"/>
          <w:i/>
        </w:rPr>
        <w:t xml:space="preserve"> (Disclosure) Legislation Amendment </w:t>
      </w:r>
      <w:r w:rsidR="472580A6" w:rsidRPr="00CF07EA">
        <w:rPr>
          <w:rFonts w:ascii="Arial" w:hAnsi="Arial" w:cs="Arial"/>
          <w:i/>
          <w:iCs/>
        </w:rPr>
        <w:t>Act</w:t>
      </w:r>
      <w:r w:rsidR="000F3644" w:rsidRPr="00CF07EA">
        <w:rPr>
          <w:rFonts w:ascii="Arial" w:hAnsi="Arial" w:cs="Arial"/>
          <w:i/>
        </w:rPr>
        <w:t xml:space="preserve"> 2024</w:t>
      </w:r>
      <w:r w:rsidR="67E5493E" w:rsidRPr="00CF07EA">
        <w:rPr>
          <w:rFonts w:ascii="Arial" w:hAnsi="Arial" w:cs="Arial"/>
        </w:rPr>
        <w:t>.</w:t>
      </w:r>
    </w:p>
    <w:p w14:paraId="0887BC45" w14:textId="6E4B54EC" w:rsidR="00E90DF9" w:rsidRDefault="00E90DF9" w:rsidP="00E90DF9">
      <w:pPr>
        <w:pStyle w:val="Heading3"/>
      </w:pPr>
      <w:bookmarkStart w:id="10" w:name="_Toc161990740"/>
      <w:r w:rsidRPr="00ED3B77">
        <w:t>Clause 2</w:t>
      </w:r>
      <w:r w:rsidR="00AA7A03">
        <w:t xml:space="preserve"> – C</w:t>
      </w:r>
      <w:r w:rsidRPr="00ED3B77">
        <w:t>ommencement</w:t>
      </w:r>
      <w:bookmarkEnd w:id="10"/>
    </w:p>
    <w:p w14:paraId="1A608B1E" w14:textId="408752D6" w:rsidR="000F3644" w:rsidRPr="00CF07EA" w:rsidRDefault="7138C6D2" w:rsidP="000F3644">
      <w:pPr>
        <w:rPr>
          <w:rFonts w:ascii="Arial" w:hAnsi="Arial" w:cs="Arial"/>
        </w:rPr>
      </w:pPr>
      <w:r w:rsidRPr="00CF07EA">
        <w:rPr>
          <w:rFonts w:ascii="Arial" w:hAnsi="Arial" w:cs="Arial"/>
        </w:rPr>
        <w:t xml:space="preserve">This </w:t>
      </w:r>
      <w:r w:rsidR="007C020C" w:rsidRPr="00CF07EA">
        <w:rPr>
          <w:rFonts w:ascii="Arial" w:hAnsi="Arial" w:cs="Arial"/>
        </w:rPr>
        <w:t xml:space="preserve">Act </w:t>
      </w:r>
      <w:r w:rsidRPr="00CF07EA">
        <w:rPr>
          <w:rFonts w:ascii="Arial" w:hAnsi="Arial" w:cs="Arial"/>
        </w:rPr>
        <w:t xml:space="preserve">(other than parts 2 and 4) </w:t>
      </w:r>
      <w:r w:rsidR="007C020C" w:rsidRPr="00CF07EA">
        <w:rPr>
          <w:rFonts w:ascii="Arial" w:hAnsi="Arial" w:cs="Arial"/>
        </w:rPr>
        <w:t xml:space="preserve">commenced </w:t>
      </w:r>
      <w:r w:rsidRPr="00CF07EA">
        <w:rPr>
          <w:rFonts w:ascii="Arial" w:hAnsi="Arial" w:cs="Arial"/>
        </w:rPr>
        <w:t>on</w:t>
      </w:r>
      <w:r w:rsidR="007C020C" w:rsidRPr="00CF07EA">
        <w:rPr>
          <w:rFonts w:ascii="Arial" w:hAnsi="Arial" w:cs="Arial"/>
        </w:rPr>
        <w:t xml:space="preserve"> the date </w:t>
      </w:r>
      <w:r w:rsidRPr="00CF07EA">
        <w:rPr>
          <w:rFonts w:ascii="Arial" w:hAnsi="Arial" w:cs="Arial"/>
        </w:rPr>
        <w:t xml:space="preserve">after </w:t>
      </w:r>
      <w:r w:rsidR="000F3644" w:rsidRPr="00CF07EA">
        <w:rPr>
          <w:rFonts w:ascii="Arial" w:hAnsi="Arial" w:cs="Arial"/>
        </w:rPr>
        <w:t>its notification day.</w:t>
      </w:r>
      <w:r w:rsidRPr="00CF07EA">
        <w:rPr>
          <w:rFonts w:ascii="Arial" w:hAnsi="Arial" w:cs="Arial"/>
        </w:rPr>
        <w:t xml:space="preserve"> </w:t>
      </w:r>
    </w:p>
    <w:p w14:paraId="5566F6B4" w14:textId="0697E618" w:rsidR="000F3644" w:rsidRPr="00CF07EA" w:rsidRDefault="7138C6D2" w:rsidP="000F3644">
      <w:pPr>
        <w:rPr>
          <w:rFonts w:ascii="Arial" w:hAnsi="Arial" w:cs="Arial"/>
        </w:rPr>
      </w:pPr>
      <w:r w:rsidRPr="00CF07EA">
        <w:rPr>
          <w:rFonts w:ascii="Arial" w:hAnsi="Arial" w:cs="Arial"/>
        </w:rPr>
        <w:t xml:space="preserve">Parts 2 and 4 commence 12 months after this Act’s notification day. </w:t>
      </w:r>
    </w:p>
    <w:p w14:paraId="6E03F928" w14:textId="3A1B19C9" w:rsidR="000F3644" w:rsidRDefault="00E90DF9" w:rsidP="00E90DF9">
      <w:pPr>
        <w:pStyle w:val="Heading3"/>
      </w:pPr>
      <w:bookmarkStart w:id="11" w:name="_Toc161990741"/>
      <w:r w:rsidRPr="00ED3B77">
        <w:t>Clause 3</w:t>
      </w:r>
      <w:r w:rsidR="00AA7A03">
        <w:t xml:space="preserve"> – L</w:t>
      </w:r>
      <w:r w:rsidRPr="00ED3B77">
        <w:t xml:space="preserve">egislation </w:t>
      </w:r>
      <w:r w:rsidR="00AA7A03">
        <w:t>A</w:t>
      </w:r>
      <w:r w:rsidRPr="00ED3B77">
        <w:t>mended</w:t>
      </w:r>
      <w:bookmarkEnd w:id="11"/>
      <w:r w:rsidR="000F3644">
        <w:t xml:space="preserve"> </w:t>
      </w:r>
    </w:p>
    <w:p w14:paraId="32A5188F" w14:textId="4A9736FD" w:rsidR="006A799F" w:rsidRPr="009D5380" w:rsidRDefault="000F3644" w:rsidP="009D5380">
      <w:pPr>
        <w:rPr>
          <w:rFonts w:ascii="Arial" w:hAnsi="Arial" w:cs="Arial"/>
        </w:rPr>
      </w:pPr>
      <w:r w:rsidRPr="00CF07EA">
        <w:rPr>
          <w:rFonts w:ascii="Arial" w:hAnsi="Arial" w:cs="Arial"/>
        </w:rPr>
        <w:t>This Act amends the</w:t>
      </w:r>
      <w:r w:rsidR="5C17EAD8" w:rsidRPr="00CF07EA">
        <w:rPr>
          <w:rFonts w:ascii="Arial" w:hAnsi="Arial" w:cs="Arial"/>
        </w:rPr>
        <w:t xml:space="preserve"> following legislation:</w:t>
      </w:r>
    </w:p>
    <w:p w14:paraId="17AF6607" w14:textId="213BD633" w:rsidR="006A799F" w:rsidRPr="009C2B50" w:rsidRDefault="000F3644" w:rsidP="009C2B50">
      <w:pPr>
        <w:pStyle w:val="ListParagraph"/>
        <w:numPr>
          <w:ilvl w:val="0"/>
          <w:numId w:val="18"/>
        </w:numPr>
        <w:rPr>
          <w:rFonts w:ascii="Arial" w:hAnsi="Arial" w:cs="Arial"/>
        </w:rPr>
      </w:pPr>
      <w:r w:rsidRPr="00EB0BE7">
        <w:rPr>
          <w:rFonts w:ascii="Arial" w:hAnsi="Arial" w:cs="Arial"/>
          <w:i/>
          <w:iCs/>
        </w:rPr>
        <w:t xml:space="preserve">Court Procedures Act </w:t>
      </w:r>
      <w:proofErr w:type="gramStart"/>
      <w:r w:rsidRPr="00EB0BE7">
        <w:rPr>
          <w:rFonts w:ascii="Arial" w:hAnsi="Arial" w:cs="Arial"/>
          <w:i/>
          <w:iCs/>
        </w:rPr>
        <w:t>2004</w:t>
      </w:r>
      <w:r w:rsidR="3626430E" w:rsidRPr="009C2B50">
        <w:rPr>
          <w:rFonts w:ascii="Arial" w:hAnsi="Arial" w:cs="Arial"/>
        </w:rPr>
        <w:t>;</w:t>
      </w:r>
      <w:proofErr w:type="gramEnd"/>
    </w:p>
    <w:p w14:paraId="270C1B68" w14:textId="0085C2E4" w:rsidR="006A799F" w:rsidRPr="009C2B50" w:rsidRDefault="007C020C" w:rsidP="009C2B50">
      <w:pPr>
        <w:pStyle w:val="ListParagraph"/>
        <w:numPr>
          <w:ilvl w:val="0"/>
          <w:numId w:val="18"/>
        </w:numPr>
        <w:rPr>
          <w:rFonts w:ascii="Arial" w:hAnsi="Arial" w:cs="Arial"/>
        </w:rPr>
      </w:pPr>
      <w:r w:rsidRPr="00EB0BE7">
        <w:rPr>
          <w:rFonts w:ascii="Arial" w:hAnsi="Arial" w:cs="Arial"/>
          <w:i/>
          <w:iCs/>
        </w:rPr>
        <w:t>Evidence (Miscellaneous Provisions) Act</w:t>
      </w:r>
      <w:r w:rsidR="000F3644" w:rsidRPr="00EB0BE7">
        <w:rPr>
          <w:rFonts w:ascii="Arial" w:hAnsi="Arial" w:cs="Arial"/>
          <w:i/>
          <w:iCs/>
        </w:rPr>
        <w:t xml:space="preserve"> </w:t>
      </w:r>
      <w:proofErr w:type="gramStart"/>
      <w:r w:rsidRPr="00EB0BE7">
        <w:rPr>
          <w:rFonts w:ascii="Arial" w:hAnsi="Arial" w:cs="Arial"/>
          <w:i/>
          <w:iCs/>
        </w:rPr>
        <w:t>1991</w:t>
      </w:r>
      <w:r w:rsidR="5507466C" w:rsidRPr="009C2B50">
        <w:rPr>
          <w:rFonts w:ascii="Arial" w:hAnsi="Arial" w:cs="Arial"/>
        </w:rPr>
        <w:t>;</w:t>
      </w:r>
      <w:proofErr w:type="gramEnd"/>
    </w:p>
    <w:p w14:paraId="22D67773" w14:textId="38796CDF" w:rsidR="00E90DF9" w:rsidRPr="009C2B50" w:rsidRDefault="000F3644" w:rsidP="009C2B50">
      <w:pPr>
        <w:pStyle w:val="ListParagraph"/>
        <w:numPr>
          <w:ilvl w:val="0"/>
          <w:numId w:val="18"/>
        </w:numPr>
        <w:rPr>
          <w:rFonts w:ascii="Arial" w:hAnsi="Arial" w:cs="Arial"/>
        </w:rPr>
      </w:pPr>
      <w:r w:rsidRPr="00EB0BE7">
        <w:rPr>
          <w:rFonts w:ascii="Arial" w:hAnsi="Arial" w:cs="Arial"/>
          <w:i/>
          <w:iCs/>
        </w:rPr>
        <w:t>Magistrates Court Act 1930</w:t>
      </w:r>
      <w:r w:rsidR="007C020C" w:rsidRPr="009C2B50">
        <w:rPr>
          <w:rFonts w:ascii="Arial" w:hAnsi="Arial" w:cs="Arial"/>
        </w:rPr>
        <w:t>.</w:t>
      </w:r>
      <w:r w:rsidRPr="009C2B50">
        <w:rPr>
          <w:rFonts w:ascii="Arial" w:hAnsi="Arial" w:cs="Arial"/>
        </w:rPr>
        <w:t xml:space="preserve"> </w:t>
      </w:r>
    </w:p>
    <w:p w14:paraId="35174E41" w14:textId="4E455414" w:rsidR="00B10812" w:rsidRPr="00AB0755" w:rsidRDefault="006A799F" w:rsidP="00AB0755">
      <w:pPr>
        <w:pStyle w:val="Heading3"/>
      </w:pPr>
      <w:bookmarkStart w:id="12" w:name="_Toc161990742"/>
      <w:r w:rsidRPr="00AB0755">
        <w:t xml:space="preserve">Part 2 </w:t>
      </w:r>
      <w:r w:rsidR="00C45F55">
        <w:t xml:space="preserve">– </w:t>
      </w:r>
      <w:r w:rsidRPr="00AB0755">
        <w:t>Court Procedures Act 2004</w:t>
      </w:r>
      <w:bookmarkEnd w:id="12"/>
    </w:p>
    <w:p w14:paraId="63B9AEED" w14:textId="6AABC3E6" w:rsidR="006A799F" w:rsidRPr="00AB0755" w:rsidRDefault="00AB0755" w:rsidP="00AB0755">
      <w:pPr>
        <w:pStyle w:val="Heading3"/>
      </w:pPr>
      <w:bookmarkStart w:id="13" w:name="_Toc161990743"/>
      <w:r w:rsidRPr="00AB0755">
        <w:t>Clause 4</w:t>
      </w:r>
      <w:r w:rsidR="00AA7A03">
        <w:t xml:space="preserve"> – N</w:t>
      </w:r>
      <w:r w:rsidR="006A799F" w:rsidRPr="00AB0755">
        <w:t>ew division 8.2A Pre-trial disclosure-general</w:t>
      </w:r>
      <w:bookmarkEnd w:id="13"/>
    </w:p>
    <w:p w14:paraId="15169287" w14:textId="56C74A8A" w:rsidR="006A799F" w:rsidRPr="00E33A51" w:rsidRDefault="00946C57">
      <w:pPr>
        <w:rPr>
          <w:rFonts w:ascii="Arial" w:hAnsi="Arial" w:cs="Arial"/>
        </w:rPr>
      </w:pPr>
      <w:r w:rsidRPr="00CF07EA">
        <w:rPr>
          <w:rFonts w:ascii="Arial" w:hAnsi="Arial" w:cs="Arial"/>
        </w:rPr>
        <w:t xml:space="preserve">This new division is inserted into the </w:t>
      </w:r>
      <w:r w:rsidRPr="00CF07EA">
        <w:rPr>
          <w:rFonts w:ascii="Arial" w:hAnsi="Arial" w:cs="Arial"/>
          <w:i/>
          <w:iCs/>
        </w:rPr>
        <w:t>Court Procedures Act 2004</w:t>
      </w:r>
      <w:r w:rsidRPr="00CF07EA">
        <w:rPr>
          <w:rFonts w:ascii="Arial" w:hAnsi="Arial" w:cs="Arial"/>
        </w:rPr>
        <w:t xml:space="preserve"> before Division 8.3 Pre-trial disclosure of expert evidence. It adds </w:t>
      </w:r>
      <w:r w:rsidR="005F2E9B">
        <w:rPr>
          <w:rFonts w:ascii="Arial" w:hAnsi="Arial" w:cs="Arial"/>
        </w:rPr>
        <w:t>eight</w:t>
      </w:r>
      <w:r w:rsidR="005F2E9B" w:rsidRPr="00CF07EA">
        <w:rPr>
          <w:rFonts w:ascii="Arial" w:hAnsi="Arial" w:cs="Arial"/>
        </w:rPr>
        <w:t xml:space="preserve"> </w:t>
      </w:r>
      <w:r w:rsidRPr="00CF07EA">
        <w:rPr>
          <w:rFonts w:ascii="Arial" w:hAnsi="Arial" w:cs="Arial"/>
        </w:rPr>
        <w:t>new sections to the Act: 76A, 76B, 76C, 76D, 76E</w:t>
      </w:r>
      <w:r w:rsidR="005F2E9B">
        <w:rPr>
          <w:rFonts w:ascii="Arial" w:hAnsi="Arial" w:cs="Arial"/>
        </w:rPr>
        <w:t xml:space="preserve">, </w:t>
      </w:r>
      <w:r w:rsidRPr="00CF07EA">
        <w:rPr>
          <w:rFonts w:ascii="Arial" w:hAnsi="Arial" w:cs="Arial"/>
        </w:rPr>
        <w:t>76F</w:t>
      </w:r>
      <w:r w:rsidR="005F2E9B">
        <w:rPr>
          <w:rFonts w:ascii="Arial" w:hAnsi="Arial" w:cs="Arial"/>
        </w:rPr>
        <w:t>, 76G and 76H</w:t>
      </w:r>
      <w:r w:rsidRPr="00CF07EA">
        <w:rPr>
          <w:rFonts w:ascii="Arial" w:hAnsi="Arial" w:cs="Arial"/>
        </w:rPr>
        <w:t>. It aims to introduce pre-trial legislated obligations on the prosecution to disclose to the defence the evidence available to them.</w:t>
      </w:r>
    </w:p>
    <w:p w14:paraId="1B111599" w14:textId="29ECF87B" w:rsidR="00AB0755" w:rsidRPr="00E33A51" w:rsidRDefault="00EB1700" w:rsidP="00E33A51">
      <w:pPr>
        <w:rPr>
          <w:rFonts w:ascii="Arial" w:hAnsi="Arial" w:cs="Arial"/>
          <w:i/>
          <w:iCs/>
        </w:rPr>
      </w:pPr>
      <w:r w:rsidRPr="00E33A51">
        <w:rPr>
          <w:rFonts w:ascii="Arial" w:hAnsi="Arial" w:cs="Arial"/>
          <w:i/>
          <w:iCs/>
        </w:rPr>
        <w:t>S</w:t>
      </w:r>
      <w:r w:rsidR="00AB0755" w:rsidRPr="00E33A51">
        <w:rPr>
          <w:rFonts w:ascii="Arial" w:hAnsi="Arial" w:cs="Arial"/>
          <w:i/>
          <w:iCs/>
        </w:rPr>
        <w:t>ection 76A</w:t>
      </w:r>
    </w:p>
    <w:p w14:paraId="71526AAA" w14:textId="6AA10CDB" w:rsidR="00AB0755" w:rsidRPr="00E33A51" w:rsidRDefault="00AB0755">
      <w:pPr>
        <w:rPr>
          <w:rFonts w:ascii="Arial" w:hAnsi="Arial" w:cs="Arial"/>
        </w:rPr>
      </w:pPr>
      <w:r w:rsidRPr="00E33A51">
        <w:rPr>
          <w:rFonts w:ascii="Arial" w:hAnsi="Arial" w:cs="Arial"/>
        </w:rPr>
        <w:t xml:space="preserve">This section elaborates on the Bill commencement date and that it applies to trials on indictment in which </w:t>
      </w:r>
      <w:r w:rsidR="00634D0A" w:rsidRPr="00E33A51">
        <w:rPr>
          <w:rFonts w:ascii="Arial" w:hAnsi="Arial" w:cs="Arial"/>
        </w:rPr>
        <w:t>the ACT S</w:t>
      </w:r>
      <w:r w:rsidRPr="00E33A51">
        <w:rPr>
          <w:rFonts w:ascii="Arial" w:hAnsi="Arial" w:cs="Arial"/>
        </w:rPr>
        <w:t xml:space="preserve">upreme </w:t>
      </w:r>
      <w:r w:rsidR="00634D0A" w:rsidRPr="00E33A51">
        <w:rPr>
          <w:rFonts w:ascii="Arial" w:hAnsi="Arial" w:cs="Arial"/>
        </w:rPr>
        <w:t>C</w:t>
      </w:r>
      <w:r w:rsidRPr="00E33A51">
        <w:rPr>
          <w:rFonts w:ascii="Arial" w:hAnsi="Arial" w:cs="Arial"/>
        </w:rPr>
        <w:t xml:space="preserve">ourt has jurisdiction. </w:t>
      </w:r>
      <w:r w:rsidR="003729E9" w:rsidRPr="00E33A51">
        <w:rPr>
          <w:rFonts w:ascii="Arial" w:hAnsi="Arial" w:cs="Arial"/>
        </w:rPr>
        <w:t>S</w:t>
      </w:r>
      <w:r w:rsidR="00661FCF" w:rsidRPr="00E33A51">
        <w:rPr>
          <w:rFonts w:ascii="Arial" w:hAnsi="Arial" w:cs="Arial"/>
        </w:rPr>
        <w:t xml:space="preserve">ubsection (2) </w:t>
      </w:r>
      <w:r w:rsidR="003729E9" w:rsidRPr="00E33A51">
        <w:rPr>
          <w:rFonts w:ascii="Arial" w:hAnsi="Arial" w:cs="Arial"/>
        </w:rPr>
        <w:t>allows the court to</w:t>
      </w:r>
      <w:r w:rsidR="005E06B7" w:rsidRPr="00E33A51">
        <w:rPr>
          <w:rFonts w:ascii="Arial" w:hAnsi="Arial" w:cs="Arial"/>
        </w:rPr>
        <w:t xml:space="preserve"> dispense</w:t>
      </w:r>
      <w:r w:rsidR="00881A00" w:rsidRPr="00E33A51">
        <w:rPr>
          <w:rFonts w:ascii="Arial" w:hAnsi="Arial" w:cs="Arial"/>
        </w:rPr>
        <w:t xml:space="preserve"> with application of the provisions under Division 8.2A</w:t>
      </w:r>
      <w:r w:rsidR="008D7252" w:rsidRPr="00E33A51">
        <w:rPr>
          <w:rFonts w:ascii="Arial" w:hAnsi="Arial" w:cs="Arial"/>
        </w:rPr>
        <w:t xml:space="preserve"> if the court is sa</w:t>
      </w:r>
      <w:r w:rsidR="00095BDC" w:rsidRPr="00E33A51">
        <w:rPr>
          <w:rFonts w:ascii="Arial" w:hAnsi="Arial" w:cs="Arial"/>
        </w:rPr>
        <w:t xml:space="preserve">tisfied that </w:t>
      </w:r>
      <w:r w:rsidR="00C35E00" w:rsidRPr="00E33A51">
        <w:rPr>
          <w:rFonts w:ascii="Arial" w:hAnsi="Arial" w:cs="Arial"/>
        </w:rPr>
        <w:t xml:space="preserve">it is in the interest of justice to do so. </w:t>
      </w:r>
    </w:p>
    <w:p w14:paraId="090FFB87" w14:textId="47EEB6B4" w:rsidR="00AB0755" w:rsidRPr="00E33A51" w:rsidRDefault="00EB1700" w:rsidP="00E33A51">
      <w:pPr>
        <w:pStyle w:val="Paragraphtext"/>
        <w:rPr>
          <w:rFonts w:ascii="Arial" w:hAnsi="Arial" w:cs="Arial"/>
          <w:i/>
          <w:iCs/>
        </w:rPr>
      </w:pPr>
      <w:r w:rsidRPr="00E33A51">
        <w:rPr>
          <w:rFonts w:ascii="Arial" w:hAnsi="Arial" w:cs="Arial"/>
          <w:i/>
          <w:iCs/>
        </w:rPr>
        <w:t>S</w:t>
      </w:r>
      <w:r w:rsidR="00AB0755" w:rsidRPr="00E33A51">
        <w:rPr>
          <w:rFonts w:ascii="Arial" w:hAnsi="Arial" w:cs="Arial"/>
          <w:i/>
          <w:iCs/>
        </w:rPr>
        <w:t>ection 76B</w:t>
      </w:r>
    </w:p>
    <w:p w14:paraId="4010FCB1" w14:textId="55FE08D4" w:rsidR="00A51725" w:rsidRPr="00E33A51" w:rsidRDefault="00A51725" w:rsidP="00A51725">
      <w:pPr>
        <w:rPr>
          <w:rFonts w:ascii="Arial" w:hAnsi="Arial" w:cs="Arial"/>
        </w:rPr>
      </w:pPr>
      <w:r w:rsidRPr="00E33A51">
        <w:rPr>
          <w:rFonts w:ascii="Arial" w:hAnsi="Arial" w:cs="Arial"/>
        </w:rPr>
        <w:t xml:space="preserve">This section outlines the details of the evidence that the prosecutor must provide to the accused person. It is a new section containing provisions that previously did not exist in the </w:t>
      </w:r>
      <w:r w:rsidRPr="00E33A51">
        <w:rPr>
          <w:rFonts w:ascii="Arial" w:hAnsi="Arial" w:cs="Arial"/>
          <w:i/>
          <w:iCs/>
        </w:rPr>
        <w:t xml:space="preserve">Court Procedures Act 2004. </w:t>
      </w:r>
    </w:p>
    <w:p w14:paraId="6623B341" w14:textId="51272871" w:rsidR="002C51E9" w:rsidRPr="00E33A51" w:rsidRDefault="002C51E9" w:rsidP="00A51725">
      <w:pPr>
        <w:rPr>
          <w:rFonts w:ascii="Arial" w:hAnsi="Arial" w:cs="Arial"/>
        </w:rPr>
      </w:pPr>
      <w:r w:rsidRPr="00E33A51">
        <w:rPr>
          <w:rFonts w:ascii="Arial" w:hAnsi="Arial" w:cs="Arial"/>
        </w:rPr>
        <w:t xml:space="preserve">The purpose of this amendment is to rectify the previous gap in the </w:t>
      </w:r>
      <w:r w:rsidRPr="00E33A51">
        <w:rPr>
          <w:rFonts w:ascii="Arial" w:hAnsi="Arial" w:cs="Arial"/>
          <w:i/>
          <w:iCs/>
        </w:rPr>
        <w:t>Court Procedures Act 2004</w:t>
      </w:r>
      <w:r w:rsidRPr="00E33A51">
        <w:rPr>
          <w:rFonts w:ascii="Arial" w:hAnsi="Arial" w:cs="Arial"/>
        </w:rPr>
        <w:t xml:space="preserve"> where only the duty to disclose expert evidence was legislated. </w:t>
      </w:r>
    </w:p>
    <w:p w14:paraId="72610ACD" w14:textId="2E941F8E" w:rsidR="00634D0A" w:rsidRPr="00E33A51" w:rsidRDefault="002C51E9" w:rsidP="00A51725">
      <w:pPr>
        <w:rPr>
          <w:rFonts w:ascii="Arial" w:hAnsi="Arial" w:cs="Arial"/>
        </w:rPr>
      </w:pPr>
      <w:r w:rsidRPr="00E33A51">
        <w:rPr>
          <w:rFonts w:ascii="Arial" w:hAnsi="Arial" w:cs="Arial"/>
        </w:rPr>
        <w:t>Subsection (a) outlines that the prosecutor must provide to the accused person</w:t>
      </w:r>
      <w:r w:rsidR="00634D0A" w:rsidRPr="00E33A51">
        <w:rPr>
          <w:rFonts w:ascii="Arial" w:hAnsi="Arial" w:cs="Arial"/>
        </w:rPr>
        <w:t>,</w:t>
      </w:r>
      <w:r w:rsidR="00970183" w:rsidRPr="00E33A51">
        <w:rPr>
          <w:rFonts w:ascii="Arial" w:hAnsi="Arial" w:cs="Arial"/>
        </w:rPr>
        <w:t xml:space="preserve"> all evidence in their possession</w:t>
      </w:r>
      <w:r w:rsidRPr="00E33A51">
        <w:rPr>
          <w:rFonts w:ascii="Arial" w:hAnsi="Arial" w:cs="Arial"/>
        </w:rPr>
        <w:t>, including the information that was provided to the prosecutor by the police or other person</w:t>
      </w:r>
      <w:r w:rsidR="004B516E">
        <w:rPr>
          <w:rFonts w:ascii="Arial" w:hAnsi="Arial" w:cs="Arial"/>
        </w:rPr>
        <w:t>s</w:t>
      </w:r>
      <w:r w:rsidRPr="00E33A51">
        <w:rPr>
          <w:rFonts w:ascii="Arial" w:hAnsi="Arial" w:cs="Arial"/>
        </w:rPr>
        <w:t xml:space="preserve"> responsible for investigating the offence</w:t>
      </w:r>
      <w:r w:rsidR="00970183" w:rsidRPr="00E33A51">
        <w:rPr>
          <w:rFonts w:ascii="Arial" w:hAnsi="Arial" w:cs="Arial"/>
        </w:rPr>
        <w:t xml:space="preserve">. That information must be reasonably regarded as relevant to either the prosecution case or the defence case and </w:t>
      </w:r>
      <w:r w:rsidR="00970183" w:rsidRPr="00E33A51">
        <w:rPr>
          <w:rFonts w:ascii="Arial" w:hAnsi="Arial" w:cs="Arial"/>
        </w:rPr>
        <w:lastRenderedPageBreak/>
        <w:t>includes evidence that has not been previously disclosed to the accused.</w:t>
      </w:r>
      <w:r w:rsidR="00634D0A" w:rsidRPr="00E33A51">
        <w:rPr>
          <w:rFonts w:ascii="Arial" w:hAnsi="Arial" w:cs="Arial"/>
        </w:rPr>
        <w:t xml:space="preserve"> The Bill intends that information that would “reasonably be regarded to either the prosecution or defence case” is to be informed by the significant body of common law that exist in respect of this concept.</w:t>
      </w:r>
      <w:r w:rsidR="00970183" w:rsidRPr="00E33A51">
        <w:rPr>
          <w:rFonts w:ascii="Arial" w:hAnsi="Arial" w:cs="Arial"/>
        </w:rPr>
        <w:t xml:space="preserve"> </w:t>
      </w:r>
    </w:p>
    <w:p w14:paraId="4809B8FD" w14:textId="1FAE7ABB" w:rsidR="002C51E9" w:rsidRPr="00E33A51" w:rsidRDefault="00970183" w:rsidP="00A51725">
      <w:pPr>
        <w:rPr>
          <w:rFonts w:ascii="Arial" w:hAnsi="Arial" w:cs="Arial"/>
        </w:rPr>
      </w:pPr>
      <w:r w:rsidRPr="00E33A51">
        <w:rPr>
          <w:rFonts w:ascii="Arial" w:hAnsi="Arial" w:cs="Arial"/>
        </w:rPr>
        <w:t xml:space="preserve">The subsection about the information not being previously disclosed is entered to reflect the fact that some disclosure may have already happened if the accused under s90 of the </w:t>
      </w:r>
      <w:r w:rsidRPr="00E33A51">
        <w:rPr>
          <w:rFonts w:ascii="Arial" w:hAnsi="Arial" w:cs="Arial"/>
          <w:i/>
          <w:iCs/>
        </w:rPr>
        <w:t>Magistrates Court Act 1939</w:t>
      </w:r>
      <w:r w:rsidRPr="00E33A51">
        <w:rPr>
          <w:rFonts w:ascii="Arial" w:hAnsi="Arial" w:cs="Arial"/>
        </w:rPr>
        <w:t xml:space="preserve"> had been committed to trial by the </w:t>
      </w:r>
      <w:r w:rsidR="00634D0A" w:rsidRPr="00E33A51">
        <w:rPr>
          <w:rFonts w:ascii="Arial" w:hAnsi="Arial" w:cs="Arial"/>
        </w:rPr>
        <w:t xml:space="preserve">ACT </w:t>
      </w:r>
      <w:r w:rsidRPr="00E33A51">
        <w:rPr>
          <w:rFonts w:ascii="Arial" w:hAnsi="Arial" w:cs="Arial"/>
        </w:rPr>
        <w:t xml:space="preserve">Magistrates Court. </w:t>
      </w:r>
    </w:p>
    <w:p w14:paraId="0C5ED277" w14:textId="56B1D435" w:rsidR="00634D0A" w:rsidRPr="00E33A51" w:rsidRDefault="00970183" w:rsidP="00A51725">
      <w:pPr>
        <w:rPr>
          <w:rFonts w:ascii="Arial" w:hAnsi="Arial" w:cs="Arial"/>
        </w:rPr>
      </w:pPr>
      <w:r w:rsidRPr="00E33A51">
        <w:rPr>
          <w:rFonts w:ascii="Arial" w:hAnsi="Arial" w:cs="Arial"/>
        </w:rPr>
        <w:t>Under subsection (b)</w:t>
      </w:r>
      <w:r w:rsidR="00C422D2" w:rsidRPr="00E33A51">
        <w:rPr>
          <w:rFonts w:ascii="Arial" w:hAnsi="Arial" w:cs="Arial"/>
        </w:rPr>
        <w:t>,</w:t>
      </w:r>
      <w:r w:rsidRPr="00E33A51">
        <w:rPr>
          <w:rFonts w:ascii="Arial" w:hAnsi="Arial" w:cs="Arial"/>
        </w:rPr>
        <w:t xml:space="preserve"> if the prosecutor is aware of evidence but that evidence is not available to them, they must provide the accused person with any information they have about where they believe that evidence can be found</w:t>
      </w:r>
      <w:r w:rsidR="00FB5662" w:rsidRPr="00E33A51">
        <w:rPr>
          <w:rFonts w:ascii="Arial" w:hAnsi="Arial" w:cs="Arial"/>
        </w:rPr>
        <w:t>, provided that that evidence has not previously been disclosed to the accused person</w:t>
      </w:r>
      <w:r w:rsidRPr="00E33A51">
        <w:rPr>
          <w:rFonts w:ascii="Arial" w:hAnsi="Arial" w:cs="Arial"/>
        </w:rPr>
        <w:t xml:space="preserve">. </w:t>
      </w:r>
    </w:p>
    <w:p w14:paraId="1092C9FF" w14:textId="0DEDA93F" w:rsidR="00FB5662" w:rsidRPr="00E33A51" w:rsidRDefault="00FB5662" w:rsidP="00A51725">
      <w:pPr>
        <w:rPr>
          <w:rFonts w:ascii="Arial" w:hAnsi="Arial" w:cs="Arial"/>
        </w:rPr>
      </w:pPr>
      <w:r w:rsidRPr="00E33A51">
        <w:rPr>
          <w:rFonts w:ascii="Arial" w:hAnsi="Arial" w:cs="Arial"/>
        </w:rPr>
        <w:t xml:space="preserve">The </w:t>
      </w:r>
      <w:r w:rsidR="00B82F62" w:rsidRPr="00E33A51">
        <w:rPr>
          <w:rFonts w:ascii="Arial" w:hAnsi="Arial" w:cs="Arial"/>
        </w:rPr>
        <w:t xml:space="preserve">prosecutor will also have to provide a list of all statements taken from witnesses that the prosecutor proposes to call at the trial (subsection (c)). This </w:t>
      </w:r>
      <w:r w:rsidR="00122ADB" w:rsidRPr="00E33A51">
        <w:rPr>
          <w:rFonts w:ascii="Arial" w:hAnsi="Arial" w:cs="Arial"/>
        </w:rPr>
        <w:t xml:space="preserve">subsection is introduced to clarify that not all witnesses that will be called at the trial will provide written statements ahead of the trial, and </w:t>
      </w:r>
      <w:r w:rsidR="008107D4" w:rsidRPr="00E33A51">
        <w:rPr>
          <w:rFonts w:ascii="Arial" w:hAnsi="Arial" w:cs="Arial"/>
        </w:rPr>
        <w:t xml:space="preserve">only those statements that are recorded and are available to </w:t>
      </w:r>
      <w:r w:rsidR="00EB63D8">
        <w:rPr>
          <w:rFonts w:ascii="Arial" w:hAnsi="Arial" w:cs="Arial"/>
        </w:rPr>
        <w:t xml:space="preserve">the </w:t>
      </w:r>
      <w:r w:rsidR="008107D4" w:rsidRPr="00E33A51">
        <w:rPr>
          <w:rFonts w:ascii="Arial" w:hAnsi="Arial" w:cs="Arial"/>
        </w:rPr>
        <w:t xml:space="preserve">prosecutor will be </w:t>
      </w:r>
      <w:r w:rsidR="00175AD1" w:rsidRPr="00E33A51">
        <w:rPr>
          <w:rFonts w:ascii="Arial" w:hAnsi="Arial" w:cs="Arial"/>
        </w:rPr>
        <w:t xml:space="preserve">disclosed to the accused. </w:t>
      </w:r>
    </w:p>
    <w:p w14:paraId="6751A953" w14:textId="24634B5B" w:rsidR="00E5388B" w:rsidRPr="00E33A51" w:rsidRDefault="00E5388B" w:rsidP="00A51725">
      <w:pPr>
        <w:rPr>
          <w:rFonts w:ascii="Arial" w:hAnsi="Arial" w:cs="Arial"/>
        </w:rPr>
      </w:pPr>
      <w:r w:rsidRPr="00E33A51">
        <w:rPr>
          <w:rFonts w:ascii="Arial" w:hAnsi="Arial" w:cs="Arial"/>
        </w:rPr>
        <w:t>The prosecutor must comply with the provisions under this section</w:t>
      </w:r>
      <w:r w:rsidR="00A01C5E" w:rsidRPr="00E33A51">
        <w:rPr>
          <w:rFonts w:ascii="Arial" w:hAnsi="Arial" w:cs="Arial"/>
        </w:rPr>
        <w:t xml:space="preserve"> in accordance with the timetable set by the court, or if no timetable </w:t>
      </w:r>
      <w:r w:rsidR="00EB63D8">
        <w:rPr>
          <w:rFonts w:ascii="Arial" w:hAnsi="Arial" w:cs="Arial"/>
        </w:rPr>
        <w:t xml:space="preserve">is </w:t>
      </w:r>
      <w:r w:rsidR="00A01C5E" w:rsidRPr="00E33A51">
        <w:rPr>
          <w:rFonts w:ascii="Arial" w:hAnsi="Arial" w:cs="Arial"/>
        </w:rPr>
        <w:t xml:space="preserve">set by the court, the </w:t>
      </w:r>
      <w:r w:rsidR="003C3D59" w:rsidRPr="00E33A51">
        <w:rPr>
          <w:rFonts w:ascii="Arial" w:hAnsi="Arial" w:cs="Arial"/>
        </w:rPr>
        <w:t>relevant material</w:t>
      </w:r>
      <w:r w:rsidR="00A01C5E" w:rsidRPr="00E33A51">
        <w:rPr>
          <w:rFonts w:ascii="Arial" w:hAnsi="Arial" w:cs="Arial"/>
        </w:rPr>
        <w:t xml:space="preserve"> will have to be disclosed not later than 28</w:t>
      </w:r>
      <w:r w:rsidR="00C02D1B" w:rsidRPr="00E33A51">
        <w:rPr>
          <w:rFonts w:ascii="Arial" w:hAnsi="Arial" w:cs="Arial"/>
        </w:rPr>
        <w:t xml:space="preserve"> days before the date set for the trial in the proceeding. </w:t>
      </w:r>
    </w:p>
    <w:p w14:paraId="5FAB017A" w14:textId="27B4A88E" w:rsidR="008D2C4A" w:rsidRPr="00E33A51" w:rsidRDefault="00EB1700" w:rsidP="00E33A51">
      <w:pPr>
        <w:rPr>
          <w:rFonts w:ascii="Arial" w:hAnsi="Arial" w:cs="Arial"/>
          <w:i/>
          <w:iCs/>
        </w:rPr>
      </w:pPr>
      <w:r w:rsidRPr="00E33A51">
        <w:rPr>
          <w:rFonts w:ascii="Arial" w:hAnsi="Arial" w:cs="Arial"/>
          <w:i/>
          <w:iCs/>
        </w:rPr>
        <w:t>S</w:t>
      </w:r>
      <w:r w:rsidR="008D2C4A" w:rsidRPr="00E33A51">
        <w:rPr>
          <w:rFonts w:ascii="Arial" w:hAnsi="Arial" w:cs="Arial"/>
          <w:i/>
          <w:iCs/>
        </w:rPr>
        <w:t>ection 76C</w:t>
      </w:r>
    </w:p>
    <w:p w14:paraId="2365F186" w14:textId="7A818502" w:rsidR="00970183" w:rsidRPr="00E33A51" w:rsidRDefault="008D2C4A" w:rsidP="00A51725">
      <w:pPr>
        <w:rPr>
          <w:rFonts w:ascii="Arial" w:hAnsi="Arial" w:cs="Arial"/>
        </w:rPr>
      </w:pPr>
      <w:r w:rsidRPr="00E33A51">
        <w:rPr>
          <w:rFonts w:ascii="Arial" w:hAnsi="Arial" w:cs="Arial"/>
        </w:rPr>
        <w:t>Section 76C is introduced to clarify that the prosecution’s duty of disclosure is ongoing throughout the entire criminal proceeding. This section rectifies the previous gap where the ongoing duty of disclosure was not legislated. It puts the onus on the prosecutor to continuously disclose to the accused</w:t>
      </w:r>
      <w:r w:rsidR="00634D0A" w:rsidRPr="00E33A51">
        <w:rPr>
          <w:rFonts w:ascii="Arial" w:hAnsi="Arial" w:cs="Arial"/>
        </w:rPr>
        <w:t>,</w:t>
      </w:r>
      <w:r w:rsidRPr="00E33A51">
        <w:rPr>
          <w:rFonts w:ascii="Arial" w:hAnsi="Arial" w:cs="Arial"/>
        </w:rPr>
        <w:t xml:space="preserve"> the evidence as it becomes available to them</w:t>
      </w:r>
      <w:r w:rsidR="00775C06" w:rsidRPr="00E33A51">
        <w:rPr>
          <w:rFonts w:ascii="Arial" w:hAnsi="Arial" w:cs="Arial"/>
        </w:rPr>
        <w:t xml:space="preserve">, and after they have disclosed evidence under section 76B during the pre-trial procedure. </w:t>
      </w:r>
      <w:r w:rsidR="00634D0A" w:rsidRPr="00E33A51">
        <w:rPr>
          <w:rFonts w:ascii="Arial" w:hAnsi="Arial" w:cs="Arial"/>
        </w:rPr>
        <w:t>By way of clarity, the prosecution may use evidence or information which has come into their possession or been made aware of for the first time after complying with section 76</w:t>
      </w:r>
      <w:proofErr w:type="gramStart"/>
      <w:r w:rsidR="00634D0A" w:rsidRPr="00E33A51">
        <w:rPr>
          <w:rFonts w:ascii="Arial" w:hAnsi="Arial" w:cs="Arial"/>
        </w:rPr>
        <w:t>B(</w:t>
      </w:r>
      <w:proofErr w:type="gramEnd"/>
      <w:r w:rsidR="00634D0A" w:rsidRPr="00E33A51">
        <w:rPr>
          <w:rFonts w:ascii="Arial" w:hAnsi="Arial" w:cs="Arial"/>
        </w:rPr>
        <w:t xml:space="preserve">1), provided that it is disclosed to the accused as soon as possible. </w:t>
      </w:r>
    </w:p>
    <w:p w14:paraId="54E68895" w14:textId="47B2DBBB" w:rsidR="00775C06" w:rsidRPr="00E33A51" w:rsidRDefault="00EB1700" w:rsidP="00E33A51">
      <w:pPr>
        <w:rPr>
          <w:rFonts w:ascii="Arial" w:hAnsi="Arial" w:cs="Arial"/>
          <w:i/>
          <w:iCs/>
        </w:rPr>
      </w:pPr>
      <w:r w:rsidRPr="00E33A51">
        <w:rPr>
          <w:rFonts w:ascii="Arial" w:hAnsi="Arial" w:cs="Arial"/>
          <w:i/>
          <w:iCs/>
        </w:rPr>
        <w:t>S</w:t>
      </w:r>
      <w:r w:rsidR="00775C06" w:rsidRPr="00E33A51">
        <w:rPr>
          <w:rFonts w:ascii="Arial" w:hAnsi="Arial" w:cs="Arial"/>
          <w:i/>
          <w:iCs/>
        </w:rPr>
        <w:t>ection 76D</w:t>
      </w:r>
    </w:p>
    <w:p w14:paraId="35148334" w14:textId="49D5EAAF" w:rsidR="00775C06" w:rsidRPr="00B318FC" w:rsidRDefault="00775C06" w:rsidP="00A51725">
      <w:pPr>
        <w:rPr>
          <w:rFonts w:ascii="Arial" w:hAnsi="Arial" w:cs="Arial"/>
        </w:rPr>
      </w:pPr>
      <w:r w:rsidRPr="00E33A51">
        <w:rPr>
          <w:rFonts w:ascii="Arial" w:hAnsi="Arial" w:cs="Arial"/>
        </w:rPr>
        <w:t xml:space="preserve">This section links to section 76B and 76C, and the requirement to, where evidence is not readily available to be </w:t>
      </w:r>
      <w:r w:rsidR="00C422D2" w:rsidRPr="00E33A51">
        <w:rPr>
          <w:rFonts w:ascii="Arial" w:hAnsi="Arial" w:cs="Arial"/>
        </w:rPr>
        <w:t>provided in a suitable format</w:t>
      </w:r>
      <w:r w:rsidRPr="00E33A51">
        <w:rPr>
          <w:rFonts w:ascii="Arial" w:hAnsi="Arial" w:cs="Arial"/>
        </w:rPr>
        <w:t xml:space="preserve">, provide notice to the accused about the existence of that evidence. The duty to allow inspection of evidence is legislated under this section, and the prosecutor must allow the inspection of the information, document or any other </w:t>
      </w:r>
      <w:r w:rsidR="005035FE" w:rsidRPr="00E33A51">
        <w:rPr>
          <w:rFonts w:ascii="Arial" w:hAnsi="Arial" w:cs="Arial"/>
        </w:rPr>
        <w:t>exhibit</w:t>
      </w:r>
      <w:r w:rsidRPr="00E33A51">
        <w:rPr>
          <w:rFonts w:ascii="Arial" w:hAnsi="Arial" w:cs="Arial"/>
        </w:rPr>
        <w:t xml:space="preserve"> that is available to the prosecution. </w:t>
      </w:r>
      <w:bookmarkStart w:id="14" w:name="_Hlk161923830"/>
      <w:r w:rsidR="00B318FC">
        <w:rPr>
          <w:rFonts w:ascii="Arial" w:hAnsi="Arial" w:cs="Arial"/>
        </w:rPr>
        <w:t xml:space="preserve">Under the ordinary principles of statutory interpretation, the specific obligations </w:t>
      </w:r>
      <w:proofErr w:type="gramStart"/>
      <w:r w:rsidR="00B318FC">
        <w:rPr>
          <w:rFonts w:ascii="Arial" w:hAnsi="Arial" w:cs="Arial"/>
        </w:rPr>
        <w:t>for the manner in which</w:t>
      </w:r>
      <w:proofErr w:type="gramEnd"/>
      <w:r w:rsidR="00B318FC">
        <w:rPr>
          <w:rFonts w:ascii="Arial" w:hAnsi="Arial" w:cs="Arial"/>
        </w:rPr>
        <w:t xml:space="preserve"> evidence is disclosed in other schemes, such as section 53 of the </w:t>
      </w:r>
      <w:r w:rsidR="00B318FC" w:rsidRPr="00C53CDB">
        <w:rPr>
          <w:rFonts w:ascii="Arial" w:hAnsi="Arial" w:cs="Arial"/>
          <w:i/>
          <w:iCs/>
        </w:rPr>
        <w:t>Evidence (Miscellaneous Provisions) Act 1991</w:t>
      </w:r>
      <w:r w:rsidR="00B318FC">
        <w:rPr>
          <w:rFonts w:ascii="Arial" w:hAnsi="Arial" w:cs="Arial"/>
        </w:rPr>
        <w:t>, will override the general obligation in this division. Section 76H</w:t>
      </w:r>
      <w:r w:rsidR="000C13A4">
        <w:rPr>
          <w:rFonts w:ascii="Arial" w:hAnsi="Arial" w:cs="Arial"/>
        </w:rPr>
        <w:t xml:space="preserve"> of this Bill</w:t>
      </w:r>
      <w:r w:rsidR="00B318FC">
        <w:rPr>
          <w:rFonts w:ascii="Arial" w:hAnsi="Arial" w:cs="Arial"/>
        </w:rPr>
        <w:t xml:space="preserve"> and section 55(4) of the </w:t>
      </w:r>
      <w:r w:rsidR="00B318FC" w:rsidRPr="009B4172">
        <w:rPr>
          <w:rFonts w:ascii="Arial" w:hAnsi="Arial" w:cs="Arial"/>
          <w:i/>
          <w:iCs/>
        </w:rPr>
        <w:t>Evidence (Miscellaneous Provisions) Act 1991</w:t>
      </w:r>
      <w:r w:rsidR="00B318FC">
        <w:rPr>
          <w:rFonts w:ascii="Arial" w:hAnsi="Arial" w:cs="Arial"/>
          <w:i/>
          <w:iCs/>
        </w:rPr>
        <w:t xml:space="preserve"> </w:t>
      </w:r>
      <w:r w:rsidR="00B318FC" w:rsidRPr="00C53CDB">
        <w:rPr>
          <w:rFonts w:ascii="Arial" w:hAnsi="Arial" w:cs="Arial"/>
        </w:rPr>
        <w:t xml:space="preserve">mean that </w:t>
      </w:r>
      <w:r w:rsidR="00B318FC">
        <w:rPr>
          <w:rFonts w:ascii="Arial" w:hAnsi="Arial" w:cs="Arial"/>
        </w:rPr>
        <w:t xml:space="preserve">information may be withheld from disclosure under this division and instead be disclosed only under section 53 to 55 of the </w:t>
      </w:r>
      <w:r w:rsidR="00B318FC" w:rsidRPr="009B4172">
        <w:rPr>
          <w:rFonts w:ascii="Arial" w:hAnsi="Arial" w:cs="Arial"/>
          <w:i/>
          <w:iCs/>
        </w:rPr>
        <w:t>Evidence (Miscellaneous Provisions) Act 1991</w:t>
      </w:r>
      <w:r w:rsidR="00B318FC">
        <w:rPr>
          <w:rFonts w:ascii="Arial" w:hAnsi="Arial" w:cs="Arial"/>
          <w:i/>
          <w:iCs/>
        </w:rPr>
        <w:t xml:space="preserve">. </w:t>
      </w:r>
      <w:r w:rsidR="00B318FC">
        <w:rPr>
          <w:rFonts w:ascii="Arial" w:hAnsi="Arial" w:cs="Arial"/>
        </w:rPr>
        <w:t xml:space="preserve">The obligation pursuant to section 76D is only in relation to access. The prosecution could allow access under this division by following the specific process for this kind of evidence as set out in section 53 to 55 of the </w:t>
      </w:r>
      <w:r w:rsidR="00B318FC" w:rsidRPr="009B4172">
        <w:rPr>
          <w:rFonts w:ascii="Arial" w:hAnsi="Arial" w:cs="Arial"/>
          <w:i/>
          <w:iCs/>
        </w:rPr>
        <w:t>Evidence (Miscellaneous Provisions) Act 1991</w:t>
      </w:r>
      <w:r w:rsidR="00B318FC">
        <w:rPr>
          <w:rFonts w:ascii="Arial" w:hAnsi="Arial" w:cs="Arial"/>
          <w:i/>
          <w:iCs/>
        </w:rPr>
        <w:t>.</w:t>
      </w:r>
    </w:p>
    <w:bookmarkEnd w:id="14"/>
    <w:p w14:paraId="0EE0FB34" w14:textId="2CBA991E" w:rsidR="00A865CF" w:rsidRPr="00E33A51" w:rsidRDefault="00EB1700" w:rsidP="00E33A51">
      <w:pPr>
        <w:rPr>
          <w:rFonts w:ascii="Arial" w:hAnsi="Arial" w:cs="Arial"/>
          <w:i/>
          <w:iCs/>
        </w:rPr>
      </w:pPr>
      <w:r w:rsidRPr="00E33A51">
        <w:rPr>
          <w:rFonts w:ascii="Arial" w:hAnsi="Arial" w:cs="Arial"/>
          <w:i/>
          <w:iCs/>
        </w:rPr>
        <w:lastRenderedPageBreak/>
        <w:t>S</w:t>
      </w:r>
      <w:r w:rsidR="00FA04A3" w:rsidRPr="00E33A51">
        <w:rPr>
          <w:rFonts w:ascii="Arial" w:hAnsi="Arial" w:cs="Arial"/>
          <w:i/>
          <w:iCs/>
        </w:rPr>
        <w:t xml:space="preserve">ection </w:t>
      </w:r>
      <w:r w:rsidR="00775C06" w:rsidRPr="00E33A51">
        <w:rPr>
          <w:rFonts w:ascii="Arial" w:hAnsi="Arial" w:cs="Arial"/>
          <w:i/>
          <w:iCs/>
        </w:rPr>
        <w:t>76E</w:t>
      </w:r>
    </w:p>
    <w:p w14:paraId="5EC16F30" w14:textId="0335578A" w:rsidR="00A865CF" w:rsidRPr="00E33A51" w:rsidRDefault="00A865CF" w:rsidP="00A865CF">
      <w:pPr>
        <w:rPr>
          <w:rFonts w:ascii="Arial" w:hAnsi="Arial" w:cs="Arial"/>
        </w:rPr>
      </w:pPr>
      <w:r w:rsidRPr="00E33A51">
        <w:rPr>
          <w:rFonts w:ascii="Arial" w:hAnsi="Arial" w:cs="Arial"/>
        </w:rPr>
        <w:t>New section 76E aims to protect the privacy of all those involved in court proceedings</w:t>
      </w:r>
      <w:r w:rsidR="00C20E6C" w:rsidRPr="00E33A51">
        <w:rPr>
          <w:rFonts w:ascii="Arial" w:hAnsi="Arial" w:cs="Arial"/>
        </w:rPr>
        <w:t xml:space="preserve"> </w:t>
      </w:r>
      <w:r w:rsidR="008476B9" w:rsidRPr="00E33A51">
        <w:rPr>
          <w:rFonts w:ascii="Arial" w:hAnsi="Arial" w:cs="Arial"/>
        </w:rPr>
        <w:t>that are subject of disclosure obligation</w:t>
      </w:r>
      <w:r w:rsidR="005F2E9B">
        <w:rPr>
          <w:rFonts w:ascii="Arial" w:hAnsi="Arial" w:cs="Arial"/>
        </w:rPr>
        <w:t xml:space="preserve"> pursuant to this division</w:t>
      </w:r>
      <w:r w:rsidR="001E2CE5" w:rsidRPr="00E33A51">
        <w:rPr>
          <w:rFonts w:ascii="Arial" w:hAnsi="Arial" w:cs="Arial"/>
        </w:rPr>
        <w:t xml:space="preserve">. </w:t>
      </w:r>
      <w:r w:rsidR="00B17B3A" w:rsidRPr="00E33A51">
        <w:rPr>
          <w:rFonts w:ascii="Arial" w:hAnsi="Arial" w:cs="Arial"/>
        </w:rPr>
        <w:t xml:space="preserve">When providing </w:t>
      </w:r>
      <w:r w:rsidR="0011604C" w:rsidRPr="00E33A51">
        <w:rPr>
          <w:rFonts w:ascii="Arial" w:hAnsi="Arial" w:cs="Arial"/>
        </w:rPr>
        <w:t>copies of information/evidence or allowing inspection of information, the prosecutor must</w:t>
      </w:r>
      <w:r w:rsidR="004F46AE" w:rsidRPr="00E33A51">
        <w:rPr>
          <w:rFonts w:ascii="Arial" w:hAnsi="Arial" w:cs="Arial"/>
        </w:rPr>
        <w:t xml:space="preserve"> ensure</w:t>
      </w:r>
      <w:r w:rsidR="00676D9D" w:rsidRPr="00E33A51">
        <w:rPr>
          <w:rFonts w:ascii="Arial" w:hAnsi="Arial" w:cs="Arial"/>
        </w:rPr>
        <w:t>, to the extent possible,</w:t>
      </w:r>
      <w:r w:rsidR="004F46AE" w:rsidRPr="00E33A51">
        <w:rPr>
          <w:rFonts w:ascii="Arial" w:hAnsi="Arial" w:cs="Arial"/>
        </w:rPr>
        <w:t xml:space="preserve"> that</w:t>
      </w:r>
      <w:r w:rsidR="00676D9D" w:rsidRPr="00E33A51">
        <w:rPr>
          <w:rFonts w:ascii="Arial" w:hAnsi="Arial" w:cs="Arial"/>
        </w:rPr>
        <w:t xml:space="preserve"> address or contact details</w:t>
      </w:r>
      <w:r w:rsidR="00BC73D6" w:rsidRPr="00E33A51">
        <w:rPr>
          <w:rFonts w:ascii="Arial" w:hAnsi="Arial" w:cs="Arial"/>
        </w:rPr>
        <w:t xml:space="preserve"> </w:t>
      </w:r>
      <w:r w:rsidR="005F0E02" w:rsidRPr="00E33A51">
        <w:rPr>
          <w:rFonts w:ascii="Arial" w:hAnsi="Arial" w:cs="Arial"/>
        </w:rPr>
        <w:t>are not disclosed, or that they cannot be worked out</w:t>
      </w:r>
      <w:r w:rsidR="003333F9" w:rsidRPr="00E33A51">
        <w:rPr>
          <w:rFonts w:ascii="Arial" w:hAnsi="Arial" w:cs="Arial"/>
        </w:rPr>
        <w:t xml:space="preserve"> from the information provided. </w:t>
      </w:r>
      <w:bookmarkStart w:id="15" w:name="_Hlk161923883"/>
      <w:r w:rsidR="00B318FC">
        <w:rPr>
          <w:rFonts w:ascii="Arial" w:hAnsi="Arial" w:cs="Arial"/>
        </w:rPr>
        <w:t xml:space="preserve">The section specifically refers to ‘contact details’ and is not otherwise limited to a telephone number. No definition is included within this provision as it is the policy intention that ‘contact details’ includes email, addresses, telephone numbers and social media account names. This section also provides examples to assist what can be redacted from documents. </w:t>
      </w:r>
    </w:p>
    <w:p w14:paraId="44EAEB6A" w14:textId="36837B82" w:rsidR="000C13A4" w:rsidRDefault="006F2411" w:rsidP="00A865CF">
      <w:pPr>
        <w:rPr>
          <w:rFonts w:ascii="Arial" w:hAnsi="Arial" w:cs="Arial"/>
        </w:rPr>
      </w:pPr>
      <w:r w:rsidRPr="00E33A51">
        <w:rPr>
          <w:rFonts w:ascii="Arial" w:hAnsi="Arial" w:cs="Arial"/>
        </w:rPr>
        <w:t xml:space="preserve">This prosecution’s obligation will not apply only </w:t>
      </w:r>
      <w:r w:rsidR="00A83341" w:rsidRPr="00E33A51">
        <w:rPr>
          <w:rFonts w:ascii="Arial" w:hAnsi="Arial" w:cs="Arial"/>
        </w:rPr>
        <w:t>if</w:t>
      </w:r>
      <w:r w:rsidRPr="00E33A51">
        <w:rPr>
          <w:rFonts w:ascii="Arial" w:hAnsi="Arial" w:cs="Arial"/>
        </w:rPr>
        <w:t xml:space="preserve"> the court</w:t>
      </w:r>
      <w:r w:rsidR="00A83341" w:rsidRPr="00E33A51">
        <w:rPr>
          <w:rFonts w:ascii="Arial" w:hAnsi="Arial" w:cs="Arial"/>
        </w:rPr>
        <w:t xml:space="preserve"> is satisfied that</w:t>
      </w:r>
      <w:r w:rsidR="002923A7" w:rsidRPr="00E33A51">
        <w:rPr>
          <w:rFonts w:ascii="Arial" w:hAnsi="Arial" w:cs="Arial"/>
        </w:rPr>
        <w:t xml:space="preserve"> it is in the interest of justice</w:t>
      </w:r>
      <w:r w:rsidR="000B3F09" w:rsidRPr="00E33A51">
        <w:rPr>
          <w:rFonts w:ascii="Arial" w:hAnsi="Arial" w:cs="Arial"/>
        </w:rPr>
        <w:t xml:space="preserve"> that the address and contact details are disclosed</w:t>
      </w:r>
      <w:r w:rsidR="00F20EE2" w:rsidRPr="00E33A51">
        <w:rPr>
          <w:rFonts w:ascii="Arial" w:hAnsi="Arial" w:cs="Arial"/>
        </w:rPr>
        <w:t xml:space="preserve">, either because </w:t>
      </w:r>
      <w:r w:rsidR="00FA3F16" w:rsidRPr="00E33A51">
        <w:rPr>
          <w:rFonts w:ascii="Arial" w:hAnsi="Arial" w:cs="Arial"/>
        </w:rPr>
        <w:t xml:space="preserve">the disclosure would not create a reasonably foreseeable risk to the welfare and safety of the </w:t>
      </w:r>
      <w:r w:rsidR="005F2E9B" w:rsidRPr="00E33A51">
        <w:rPr>
          <w:rFonts w:ascii="Arial" w:hAnsi="Arial" w:cs="Arial"/>
        </w:rPr>
        <w:t>person,</w:t>
      </w:r>
      <w:r w:rsidR="00FA3F16" w:rsidRPr="00E33A51">
        <w:rPr>
          <w:rFonts w:ascii="Arial" w:hAnsi="Arial" w:cs="Arial"/>
        </w:rPr>
        <w:t xml:space="preserve"> or </w:t>
      </w:r>
      <w:r w:rsidR="006E23E1" w:rsidRPr="00E33A51">
        <w:rPr>
          <w:rFonts w:ascii="Arial" w:hAnsi="Arial" w:cs="Arial"/>
        </w:rPr>
        <w:t>the interest of justice</w:t>
      </w:r>
      <w:r w:rsidR="008C6941" w:rsidRPr="00E33A51">
        <w:rPr>
          <w:rFonts w:ascii="Arial" w:hAnsi="Arial" w:cs="Arial"/>
        </w:rPr>
        <w:t xml:space="preserve"> </w:t>
      </w:r>
      <w:r w:rsidR="00054D9C" w:rsidRPr="00E33A51">
        <w:rPr>
          <w:rFonts w:ascii="Arial" w:hAnsi="Arial" w:cs="Arial"/>
        </w:rPr>
        <w:t xml:space="preserve">outweighs the risk. </w:t>
      </w:r>
    </w:p>
    <w:p w14:paraId="1653BF8B" w14:textId="03B3891D" w:rsidR="003333F9" w:rsidRPr="00E33A51" w:rsidRDefault="000C13A4" w:rsidP="00A865CF">
      <w:pPr>
        <w:rPr>
          <w:rFonts w:ascii="Arial" w:hAnsi="Arial" w:cs="Arial"/>
        </w:rPr>
      </w:pPr>
      <w:r>
        <w:rPr>
          <w:rFonts w:ascii="Arial" w:hAnsi="Arial" w:cs="Arial"/>
        </w:rPr>
        <w:t xml:space="preserve">The court will maintain the discretion to make an order requiring the prosecutor to comply with subsection (2) in a particular way or subject to conditions to </w:t>
      </w:r>
      <w:r w:rsidR="00B318FC">
        <w:rPr>
          <w:rFonts w:ascii="Arial" w:hAnsi="Arial" w:cs="Arial"/>
        </w:rPr>
        <w:t>counterbalance the discretion given to the prosecution under subsection (2).</w:t>
      </w:r>
    </w:p>
    <w:bookmarkEnd w:id="15"/>
    <w:p w14:paraId="750E343C" w14:textId="42689DFA" w:rsidR="00327561" w:rsidRPr="00E33A51" w:rsidRDefault="00327561" w:rsidP="00E33A51">
      <w:pPr>
        <w:rPr>
          <w:rFonts w:ascii="Arial" w:hAnsi="Arial" w:cs="Arial"/>
          <w:i/>
          <w:iCs/>
        </w:rPr>
      </w:pPr>
      <w:r w:rsidRPr="00E33A51">
        <w:rPr>
          <w:rFonts w:ascii="Arial" w:hAnsi="Arial" w:cs="Arial"/>
          <w:i/>
          <w:iCs/>
        </w:rPr>
        <w:t>Section 76F</w:t>
      </w:r>
    </w:p>
    <w:p w14:paraId="4350236A" w14:textId="20AC891F" w:rsidR="00327561" w:rsidRPr="00E33A51" w:rsidRDefault="00327561" w:rsidP="00327561">
      <w:pPr>
        <w:rPr>
          <w:rFonts w:ascii="Arial" w:hAnsi="Arial" w:cs="Arial"/>
        </w:rPr>
      </w:pPr>
      <w:r w:rsidRPr="00E33A51">
        <w:rPr>
          <w:rFonts w:ascii="Arial" w:hAnsi="Arial" w:cs="Arial"/>
        </w:rPr>
        <w:t xml:space="preserve">This section </w:t>
      </w:r>
      <w:r w:rsidR="00082E5F" w:rsidRPr="00E33A51">
        <w:rPr>
          <w:rFonts w:ascii="Arial" w:hAnsi="Arial" w:cs="Arial"/>
        </w:rPr>
        <w:t xml:space="preserve">clarifies that the </w:t>
      </w:r>
      <w:r w:rsidR="0062617A" w:rsidRPr="00E33A51">
        <w:rPr>
          <w:rFonts w:ascii="Arial" w:hAnsi="Arial" w:cs="Arial"/>
        </w:rPr>
        <w:t xml:space="preserve">prosecution is not obliged to </w:t>
      </w:r>
      <w:r w:rsidR="002B1C94" w:rsidRPr="00E33A51">
        <w:rPr>
          <w:rFonts w:ascii="Arial" w:hAnsi="Arial" w:cs="Arial"/>
        </w:rPr>
        <w:t>give an accuse</w:t>
      </w:r>
      <w:r w:rsidR="000C1736">
        <w:rPr>
          <w:rFonts w:ascii="Arial" w:hAnsi="Arial" w:cs="Arial"/>
        </w:rPr>
        <w:t>d</w:t>
      </w:r>
      <w:r w:rsidR="002B1C94" w:rsidRPr="00E33A51">
        <w:rPr>
          <w:rFonts w:ascii="Arial" w:hAnsi="Arial" w:cs="Arial"/>
        </w:rPr>
        <w:t xml:space="preserve"> person a copy of, or notice about the right to inspect, any information, document or other th</w:t>
      </w:r>
      <w:r w:rsidR="000C1736">
        <w:rPr>
          <w:rFonts w:ascii="Arial" w:hAnsi="Arial" w:cs="Arial"/>
        </w:rPr>
        <w:t>i</w:t>
      </w:r>
      <w:r w:rsidR="002B1C94" w:rsidRPr="00E33A51">
        <w:rPr>
          <w:rFonts w:ascii="Arial" w:hAnsi="Arial" w:cs="Arial"/>
        </w:rPr>
        <w:t xml:space="preserve">ng that was prepared or used only </w:t>
      </w:r>
      <w:proofErr w:type="gramStart"/>
      <w:r w:rsidR="002B1C94" w:rsidRPr="00E33A51">
        <w:rPr>
          <w:rFonts w:ascii="Arial" w:hAnsi="Arial" w:cs="Arial"/>
        </w:rPr>
        <w:t>in the course of</w:t>
      </w:r>
      <w:proofErr w:type="gramEnd"/>
      <w:r w:rsidR="002B1C94" w:rsidRPr="00E33A51">
        <w:rPr>
          <w:rFonts w:ascii="Arial" w:hAnsi="Arial" w:cs="Arial"/>
        </w:rPr>
        <w:t xml:space="preserve"> giving an evidentiary certificate. </w:t>
      </w:r>
      <w:r w:rsidR="007F4D27" w:rsidRPr="00E33A51">
        <w:rPr>
          <w:rFonts w:ascii="Arial" w:hAnsi="Arial" w:cs="Arial"/>
        </w:rPr>
        <w:t xml:space="preserve">Evidentiary certificate in this section is defined as a certificate that, under a territory law, is evidence of the matters stated in the certificate. </w:t>
      </w:r>
    </w:p>
    <w:p w14:paraId="7DFD661D" w14:textId="2A986F92" w:rsidR="00775C06" w:rsidRPr="00E33A51" w:rsidRDefault="00EB1700" w:rsidP="00E33A51">
      <w:pPr>
        <w:rPr>
          <w:rFonts w:ascii="Arial" w:hAnsi="Arial" w:cs="Arial"/>
          <w:i/>
          <w:iCs/>
        </w:rPr>
      </w:pPr>
      <w:r w:rsidRPr="00E33A51">
        <w:rPr>
          <w:rFonts w:ascii="Arial" w:hAnsi="Arial" w:cs="Arial"/>
          <w:i/>
          <w:iCs/>
        </w:rPr>
        <w:t>S</w:t>
      </w:r>
      <w:r w:rsidR="00FA04A3" w:rsidRPr="00E33A51">
        <w:rPr>
          <w:rFonts w:ascii="Arial" w:hAnsi="Arial" w:cs="Arial"/>
          <w:i/>
          <w:iCs/>
        </w:rPr>
        <w:t xml:space="preserve">ection </w:t>
      </w:r>
      <w:r w:rsidR="00775C06" w:rsidRPr="00E33A51">
        <w:rPr>
          <w:rFonts w:ascii="Arial" w:hAnsi="Arial" w:cs="Arial"/>
          <w:i/>
          <w:iCs/>
        </w:rPr>
        <w:t>76</w:t>
      </w:r>
      <w:r w:rsidR="00A865CF" w:rsidRPr="00E33A51">
        <w:rPr>
          <w:rFonts w:ascii="Arial" w:hAnsi="Arial" w:cs="Arial"/>
          <w:i/>
          <w:iCs/>
        </w:rPr>
        <w:t>G</w:t>
      </w:r>
      <w:r w:rsidR="00775C06" w:rsidRPr="00E33A51">
        <w:rPr>
          <w:rFonts w:ascii="Arial" w:hAnsi="Arial" w:cs="Arial"/>
          <w:i/>
          <w:iCs/>
        </w:rPr>
        <w:t xml:space="preserve"> </w:t>
      </w:r>
    </w:p>
    <w:p w14:paraId="5575D42D" w14:textId="75487E95" w:rsidR="00775C06" w:rsidRPr="00E33A51" w:rsidRDefault="00FA04A3" w:rsidP="00A51725">
      <w:pPr>
        <w:rPr>
          <w:rFonts w:ascii="Arial" w:hAnsi="Arial" w:cs="Arial"/>
        </w:rPr>
      </w:pPr>
      <w:r w:rsidRPr="00E33A51">
        <w:rPr>
          <w:rFonts w:ascii="Arial" w:hAnsi="Arial" w:cs="Arial"/>
        </w:rPr>
        <w:t xml:space="preserve">This section </w:t>
      </w:r>
      <w:r w:rsidR="00B404AC" w:rsidRPr="00E33A51">
        <w:rPr>
          <w:rFonts w:ascii="Arial" w:hAnsi="Arial" w:cs="Arial"/>
        </w:rPr>
        <w:t xml:space="preserve">provides for the discretionary power of the court to refuse to admit evidence. </w:t>
      </w:r>
      <w:r w:rsidRPr="00E33A51">
        <w:rPr>
          <w:rFonts w:ascii="Arial" w:hAnsi="Arial" w:cs="Arial"/>
        </w:rPr>
        <w:t xml:space="preserve">In </w:t>
      </w:r>
      <w:r w:rsidR="00B404AC" w:rsidRPr="00E33A51">
        <w:rPr>
          <w:rFonts w:ascii="Arial" w:hAnsi="Arial" w:cs="Arial"/>
        </w:rPr>
        <w:t>circumstances</w:t>
      </w:r>
      <w:r w:rsidRPr="00E33A51">
        <w:rPr>
          <w:rFonts w:ascii="Arial" w:hAnsi="Arial" w:cs="Arial"/>
        </w:rPr>
        <w:t xml:space="preserve"> whe</w:t>
      </w:r>
      <w:r w:rsidR="00B404AC" w:rsidRPr="00E33A51">
        <w:rPr>
          <w:rFonts w:ascii="Arial" w:hAnsi="Arial" w:cs="Arial"/>
        </w:rPr>
        <w:t>re</w:t>
      </w:r>
      <w:r w:rsidRPr="00E33A51">
        <w:rPr>
          <w:rFonts w:ascii="Arial" w:hAnsi="Arial" w:cs="Arial"/>
        </w:rPr>
        <w:t xml:space="preserve"> the prosecutor proposes to adduce evidence in</w:t>
      </w:r>
      <w:r w:rsidR="00B404AC" w:rsidRPr="00E33A51">
        <w:rPr>
          <w:rFonts w:ascii="Arial" w:hAnsi="Arial" w:cs="Arial"/>
        </w:rPr>
        <w:t xml:space="preserve"> a</w:t>
      </w:r>
      <w:r w:rsidRPr="00E33A51">
        <w:rPr>
          <w:rFonts w:ascii="Arial" w:hAnsi="Arial" w:cs="Arial"/>
        </w:rPr>
        <w:t xml:space="preserve"> criminal proceeding that they failed to previously disclose to the accused, the court can refuse to admit evidence or grant </w:t>
      </w:r>
      <w:r w:rsidR="00B404AC" w:rsidRPr="00E33A51">
        <w:rPr>
          <w:rFonts w:ascii="Arial" w:hAnsi="Arial" w:cs="Arial"/>
        </w:rPr>
        <w:t xml:space="preserve">an </w:t>
      </w:r>
      <w:r w:rsidRPr="00E33A51">
        <w:rPr>
          <w:rFonts w:ascii="Arial" w:hAnsi="Arial" w:cs="Arial"/>
        </w:rPr>
        <w:t xml:space="preserve">adjournment to a party (other than the prosecutor) in the proceeding. This is to ensure that the case for that party is not prejudiced by the late inclusion of evidence. </w:t>
      </w:r>
    </w:p>
    <w:p w14:paraId="3212530A" w14:textId="478E99DD" w:rsidR="00A0618E" w:rsidRPr="00E33A51" w:rsidRDefault="00A0618E" w:rsidP="00E33A51">
      <w:pPr>
        <w:rPr>
          <w:rFonts w:ascii="Arial" w:hAnsi="Arial" w:cs="Arial"/>
          <w:b/>
          <w:i/>
          <w:iCs/>
        </w:rPr>
      </w:pPr>
      <w:r w:rsidRPr="00E33A51">
        <w:rPr>
          <w:rFonts w:ascii="Arial" w:hAnsi="Arial" w:cs="Arial"/>
          <w:i/>
          <w:iCs/>
        </w:rPr>
        <w:t>Section</w:t>
      </w:r>
      <w:r w:rsidRPr="00E33A51">
        <w:rPr>
          <w:rFonts w:ascii="Arial" w:hAnsi="Arial" w:cs="Arial"/>
          <w:bCs/>
          <w:i/>
          <w:iCs/>
        </w:rPr>
        <w:t xml:space="preserve"> 76</w:t>
      </w:r>
      <w:r w:rsidR="00DB4050" w:rsidRPr="00E33A51">
        <w:rPr>
          <w:rFonts w:ascii="Arial" w:hAnsi="Arial" w:cs="Arial"/>
          <w:bCs/>
          <w:i/>
          <w:iCs/>
        </w:rPr>
        <w:t>H</w:t>
      </w:r>
    </w:p>
    <w:p w14:paraId="0E99651E" w14:textId="0A99D4C9" w:rsidR="004B116C" w:rsidRPr="00E33A51" w:rsidRDefault="00B9063A" w:rsidP="00101FA1">
      <w:pPr>
        <w:rPr>
          <w:rFonts w:ascii="Arial" w:hAnsi="Arial" w:cs="Arial"/>
        </w:rPr>
      </w:pPr>
      <w:r w:rsidRPr="00E33A51">
        <w:rPr>
          <w:rFonts w:ascii="Arial" w:hAnsi="Arial" w:cs="Arial"/>
        </w:rPr>
        <w:t xml:space="preserve">Section 76H </w:t>
      </w:r>
      <w:r w:rsidR="004D4799" w:rsidRPr="00E33A51">
        <w:rPr>
          <w:rFonts w:ascii="Arial" w:hAnsi="Arial" w:cs="Arial"/>
        </w:rPr>
        <w:t xml:space="preserve">explains the effect of division </w:t>
      </w:r>
      <w:r w:rsidR="00905374" w:rsidRPr="00E33A51">
        <w:rPr>
          <w:rFonts w:ascii="Arial" w:hAnsi="Arial" w:cs="Arial"/>
        </w:rPr>
        <w:t xml:space="preserve">8.2A on other </w:t>
      </w:r>
      <w:r w:rsidR="005F2E9B" w:rsidRPr="00E33A51">
        <w:rPr>
          <w:rFonts w:ascii="Arial" w:hAnsi="Arial" w:cs="Arial"/>
        </w:rPr>
        <w:t>laws and</w:t>
      </w:r>
      <w:r w:rsidR="00905374" w:rsidRPr="00E33A51">
        <w:rPr>
          <w:rFonts w:ascii="Arial" w:hAnsi="Arial" w:cs="Arial"/>
        </w:rPr>
        <w:t xml:space="preserve"> explains that this new division does not limit ot</w:t>
      </w:r>
      <w:r w:rsidR="008D08B0" w:rsidRPr="00E33A51">
        <w:rPr>
          <w:rFonts w:ascii="Arial" w:hAnsi="Arial" w:cs="Arial"/>
        </w:rPr>
        <w:t xml:space="preserve">her territory laws that </w:t>
      </w:r>
      <w:r w:rsidR="00756138" w:rsidRPr="00E33A51">
        <w:rPr>
          <w:rFonts w:ascii="Arial" w:hAnsi="Arial" w:cs="Arial"/>
        </w:rPr>
        <w:t>put disclosure requirements on t</w:t>
      </w:r>
      <w:r w:rsidR="007E1E04" w:rsidRPr="00E33A51">
        <w:rPr>
          <w:rFonts w:ascii="Arial" w:hAnsi="Arial" w:cs="Arial"/>
        </w:rPr>
        <w:t xml:space="preserve">he prosecution. </w:t>
      </w:r>
      <w:r w:rsidR="005F2E9B">
        <w:rPr>
          <w:rFonts w:ascii="Arial" w:hAnsi="Arial" w:cs="Arial"/>
        </w:rPr>
        <w:t xml:space="preserve">A note included in this section makes it clear that </w:t>
      </w:r>
      <w:r w:rsidR="009866D9">
        <w:rPr>
          <w:rFonts w:ascii="Arial" w:hAnsi="Arial" w:cs="Arial"/>
        </w:rPr>
        <w:t>t</w:t>
      </w:r>
      <w:r w:rsidR="005F2E9B">
        <w:rPr>
          <w:rFonts w:ascii="Arial" w:hAnsi="Arial" w:cs="Arial"/>
        </w:rPr>
        <w:t xml:space="preserve">erritory law includes common law. </w:t>
      </w:r>
    </w:p>
    <w:p w14:paraId="34D417F9" w14:textId="43B54C6B" w:rsidR="00101FA1" w:rsidRPr="00E33A51" w:rsidRDefault="004B116C" w:rsidP="00101FA1">
      <w:pPr>
        <w:rPr>
          <w:rFonts w:ascii="Arial" w:hAnsi="Arial" w:cs="Arial"/>
        </w:rPr>
      </w:pPr>
      <w:r w:rsidRPr="00E33A51">
        <w:rPr>
          <w:rFonts w:ascii="Arial" w:hAnsi="Arial" w:cs="Arial"/>
        </w:rPr>
        <w:t xml:space="preserve">Subsection (2) </w:t>
      </w:r>
      <w:r w:rsidR="00DB0E75" w:rsidRPr="00E33A51">
        <w:rPr>
          <w:rFonts w:ascii="Arial" w:hAnsi="Arial" w:cs="Arial"/>
        </w:rPr>
        <w:t xml:space="preserve">addresses </w:t>
      </w:r>
      <w:r w:rsidR="00101FA1" w:rsidRPr="00E33A51">
        <w:rPr>
          <w:rFonts w:ascii="Arial" w:hAnsi="Arial" w:cs="Arial"/>
        </w:rPr>
        <w:t xml:space="preserve">the issue of immunity and restrictions on disclosure. The prosecutor will not be required to disclose anything that is the subject of claim of privilege or public interest immunity that is conferred by law applying in the ACT or elsewhere or it is the subject of a prohibition or restriction on disclosure to the accused person (a non-disclosure obligation) under ACT laws or other jurisdictional laws. </w:t>
      </w:r>
    </w:p>
    <w:p w14:paraId="7775890C" w14:textId="464C13F7" w:rsidR="00A0618E" w:rsidRPr="00CF07EA" w:rsidRDefault="00101FA1" w:rsidP="00A51725">
      <w:pPr>
        <w:rPr>
          <w:rFonts w:ascii="Arial" w:hAnsi="Arial" w:cs="Arial"/>
        </w:rPr>
      </w:pPr>
      <w:r w:rsidRPr="00E33A51">
        <w:rPr>
          <w:rFonts w:ascii="Arial" w:hAnsi="Arial" w:cs="Arial"/>
        </w:rPr>
        <w:t>Under subsection (</w:t>
      </w:r>
      <w:r w:rsidR="00C03678" w:rsidRPr="00E33A51">
        <w:rPr>
          <w:rFonts w:ascii="Arial" w:hAnsi="Arial" w:cs="Arial"/>
        </w:rPr>
        <w:t>3</w:t>
      </w:r>
      <w:r w:rsidRPr="00E33A51">
        <w:rPr>
          <w:rFonts w:ascii="Arial" w:hAnsi="Arial" w:cs="Arial"/>
        </w:rPr>
        <w:t>), for any evidence that is not disclosed in accordance with the above provision, the prosecutor</w:t>
      </w:r>
      <w:r w:rsidRPr="0027280F">
        <w:rPr>
          <w:rFonts w:ascii="Arial" w:hAnsi="Arial" w:cs="Arial"/>
        </w:rPr>
        <w:t xml:space="preserve"> must provide the accused person with a statement that describes </w:t>
      </w:r>
      <w:r w:rsidRPr="0027280F">
        <w:rPr>
          <w:rFonts w:ascii="Arial" w:hAnsi="Arial" w:cs="Arial"/>
        </w:rPr>
        <w:lastRenderedPageBreak/>
        <w:t xml:space="preserve">the evidence with as much detail as possible, but not prejudicing the immunity privilege or contravening the non-disclosure obligation. The statement must also outline the nature of privilege, </w:t>
      </w:r>
      <w:proofErr w:type="gramStart"/>
      <w:r w:rsidRPr="0027280F">
        <w:rPr>
          <w:rFonts w:ascii="Arial" w:hAnsi="Arial" w:cs="Arial"/>
        </w:rPr>
        <w:t>immunity</w:t>
      </w:r>
      <w:proofErr w:type="gramEnd"/>
      <w:r w:rsidRPr="0027280F">
        <w:rPr>
          <w:rFonts w:ascii="Arial" w:hAnsi="Arial" w:cs="Arial"/>
        </w:rPr>
        <w:t xml:space="preserve"> or non-disclosure obligation. The statement must be included in the </w:t>
      </w:r>
      <w:r w:rsidR="00DB623E" w:rsidRPr="0027280F">
        <w:rPr>
          <w:rFonts w:ascii="Arial" w:hAnsi="Arial" w:cs="Arial"/>
        </w:rPr>
        <w:t>material disclosed to the accused</w:t>
      </w:r>
      <w:r w:rsidRPr="0027280F">
        <w:rPr>
          <w:rFonts w:ascii="Arial" w:hAnsi="Arial" w:cs="Arial"/>
        </w:rPr>
        <w:t>, or as per the ongoing disclosure obligation, if not included in th</w:t>
      </w:r>
      <w:r w:rsidR="00E172F1" w:rsidRPr="0027280F">
        <w:rPr>
          <w:rFonts w:ascii="Arial" w:hAnsi="Arial" w:cs="Arial"/>
        </w:rPr>
        <w:t>at material</w:t>
      </w:r>
      <w:r w:rsidRPr="0027280F">
        <w:rPr>
          <w:rFonts w:ascii="Arial" w:hAnsi="Arial" w:cs="Arial"/>
        </w:rPr>
        <w:t xml:space="preserve">, </w:t>
      </w:r>
      <w:r w:rsidR="003252C0">
        <w:rPr>
          <w:rFonts w:ascii="Arial" w:hAnsi="Arial" w:cs="Arial"/>
        </w:rPr>
        <w:t xml:space="preserve">it </w:t>
      </w:r>
      <w:r w:rsidRPr="0027280F">
        <w:rPr>
          <w:rFonts w:ascii="Arial" w:hAnsi="Arial" w:cs="Arial"/>
        </w:rPr>
        <w:t xml:space="preserve">must be provided as soon as the information becomes available to the </w:t>
      </w:r>
      <w:proofErr w:type="gramStart"/>
      <w:r w:rsidRPr="0027280F">
        <w:rPr>
          <w:rFonts w:ascii="Arial" w:hAnsi="Arial" w:cs="Arial"/>
        </w:rPr>
        <w:t>prosecutor</w:t>
      </w:r>
      <w:proofErr w:type="gramEnd"/>
      <w:r w:rsidRPr="0027280F">
        <w:rPr>
          <w:rFonts w:ascii="Arial" w:hAnsi="Arial" w:cs="Arial"/>
        </w:rPr>
        <w:t xml:space="preserve"> or they become aware of it.</w:t>
      </w:r>
      <w:r w:rsidRPr="00CF07EA">
        <w:rPr>
          <w:rFonts w:ascii="Arial" w:hAnsi="Arial" w:cs="Arial"/>
        </w:rPr>
        <w:t xml:space="preserve"> </w:t>
      </w:r>
    </w:p>
    <w:p w14:paraId="6004A5D9" w14:textId="320D7E77" w:rsidR="00C45F55" w:rsidRDefault="00C45F55" w:rsidP="00FA04A3">
      <w:pPr>
        <w:pStyle w:val="Heading3"/>
      </w:pPr>
      <w:bookmarkStart w:id="16" w:name="_Toc161990744"/>
      <w:r>
        <w:t>Part 3</w:t>
      </w:r>
      <w:r w:rsidR="00AA7A03">
        <w:t xml:space="preserve"> – </w:t>
      </w:r>
      <w:r>
        <w:t>Evidence (Miscellaneous Provisions) Act 1991</w:t>
      </w:r>
      <w:bookmarkEnd w:id="16"/>
    </w:p>
    <w:p w14:paraId="1ECCFDF6" w14:textId="44840A7D" w:rsidR="00C45F55" w:rsidRDefault="00C45F55" w:rsidP="00C45F55">
      <w:pPr>
        <w:pStyle w:val="Heading3"/>
      </w:pPr>
      <w:bookmarkStart w:id="17" w:name="_Toc161990745"/>
      <w:r>
        <w:t>Clause 5</w:t>
      </w:r>
      <w:r w:rsidR="00335890">
        <w:t xml:space="preserve"> – Definitions – div 4.4.3</w:t>
      </w:r>
      <w:bookmarkEnd w:id="17"/>
    </w:p>
    <w:p w14:paraId="2D4ED1DE" w14:textId="063FA0D1" w:rsidR="00ED40E9" w:rsidRPr="00663630" w:rsidRDefault="00ED40E9" w:rsidP="00ED40E9">
      <w:pPr>
        <w:rPr>
          <w:rFonts w:ascii="Arial" w:hAnsi="Arial" w:cs="Arial"/>
        </w:rPr>
      </w:pPr>
      <w:r w:rsidRPr="00663630">
        <w:rPr>
          <w:rFonts w:ascii="Arial" w:hAnsi="Arial" w:cs="Arial"/>
        </w:rPr>
        <w:t xml:space="preserve">This clause inserts </w:t>
      </w:r>
      <w:r w:rsidR="00273506" w:rsidRPr="00663630">
        <w:rPr>
          <w:rFonts w:ascii="Arial" w:hAnsi="Arial" w:cs="Arial"/>
        </w:rPr>
        <w:t>‘counselled person’</w:t>
      </w:r>
      <w:r w:rsidR="00663630" w:rsidRPr="00663630">
        <w:rPr>
          <w:rFonts w:ascii="Arial" w:hAnsi="Arial" w:cs="Arial"/>
        </w:rPr>
        <w:t xml:space="preserve"> and refers to section 79</w:t>
      </w:r>
      <w:proofErr w:type="gramStart"/>
      <w:r w:rsidR="00663630" w:rsidRPr="00663630">
        <w:rPr>
          <w:rFonts w:ascii="Arial" w:hAnsi="Arial" w:cs="Arial"/>
        </w:rPr>
        <w:t>A(</w:t>
      </w:r>
      <w:proofErr w:type="gramEnd"/>
      <w:r w:rsidR="00663630" w:rsidRPr="00663630">
        <w:rPr>
          <w:rFonts w:ascii="Arial" w:hAnsi="Arial" w:cs="Arial"/>
        </w:rPr>
        <w:t>1).</w:t>
      </w:r>
    </w:p>
    <w:p w14:paraId="74535020" w14:textId="4A84C6E9" w:rsidR="00AA7A03" w:rsidRDefault="00AA7A03" w:rsidP="00AA7A03">
      <w:pPr>
        <w:pStyle w:val="Heading3"/>
      </w:pPr>
      <w:bookmarkStart w:id="18" w:name="_Toc161990746"/>
      <w:r>
        <w:t>Clause 6</w:t>
      </w:r>
      <w:r w:rsidR="00663630">
        <w:t xml:space="preserve"> – Application for leave to disclose protected </w:t>
      </w:r>
      <w:proofErr w:type="gramStart"/>
      <w:r w:rsidR="00663630">
        <w:t>confidence</w:t>
      </w:r>
      <w:bookmarkEnd w:id="18"/>
      <w:proofErr w:type="gramEnd"/>
    </w:p>
    <w:p w14:paraId="1C672406" w14:textId="720DB101" w:rsidR="001A3BFC" w:rsidRPr="00DF3108" w:rsidRDefault="001A3BFC" w:rsidP="001A3BFC">
      <w:pPr>
        <w:rPr>
          <w:rFonts w:ascii="Arial" w:hAnsi="Arial" w:cs="Arial"/>
        </w:rPr>
      </w:pPr>
      <w:r w:rsidRPr="00DF3108">
        <w:rPr>
          <w:rFonts w:ascii="Arial" w:hAnsi="Arial" w:cs="Arial"/>
        </w:rPr>
        <w:t>This clause provide</w:t>
      </w:r>
      <w:r w:rsidR="006F6283" w:rsidRPr="00DF3108">
        <w:rPr>
          <w:rFonts w:ascii="Arial" w:hAnsi="Arial" w:cs="Arial"/>
        </w:rPr>
        <w:t>s</w:t>
      </w:r>
      <w:r w:rsidRPr="00DF3108">
        <w:rPr>
          <w:rFonts w:ascii="Arial" w:hAnsi="Arial" w:cs="Arial"/>
        </w:rPr>
        <w:t xml:space="preserve"> for new secti</w:t>
      </w:r>
      <w:r w:rsidR="00544B68" w:rsidRPr="00DF3108">
        <w:rPr>
          <w:rFonts w:ascii="Arial" w:hAnsi="Arial" w:cs="Arial"/>
        </w:rPr>
        <w:t>on 79E (3) to (</w:t>
      </w:r>
      <w:r w:rsidR="005F2E9B">
        <w:rPr>
          <w:rFonts w:ascii="Arial" w:hAnsi="Arial" w:cs="Arial"/>
        </w:rPr>
        <w:t>6</w:t>
      </w:r>
      <w:r w:rsidR="00544B68" w:rsidRPr="00DF3108">
        <w:rPr>
          <w:rFonts w:ascii="Arial" w:hAnsi="Arial" w:cs="Arial"/>
        </w:rPr>
        <w:t>)</w:t>
      </w:r>
      <w:r w:rsidR="006F6283" w:rsidRPr="00DF3108">
        <w:rPr>
          <w:rFonts w:ascii="Arial" w:hAnsi="Arial" w:cs="Arial"/>
        </w:rPr>
        <w:t xml:space="preserve"> to the Act. Subsection (3) provide</w:t>
      </w:r>
      <w:r w:rsidR="00CF450D" w:rsidRPr="00DF3108">
        <w:rPr>
          <w:rFonts w:ascii="Arial" w:hAnsi="Arial" w:cs="Arial"/>
        </w:rPr>
        <w:t xml:space="preserve">s that an applicant must give written notice of an application </w:t>
      </w:r>
      <w:r w:rsidR="009663E5" w:rsidRPr="00DF3108">
        <w:rPr>
          <w:rFonts w:ascii="Arial" w:hAnsi="Arial" w:cs="Arial"/>
        </w:rPr>
        <w:t xml:space="preserve">to the </w:t>
      </w:r>
      <w:r w:rsidR="00871357" w:rsidRPr="00DF3108">
        <w:rPr>
          <w:rFonts w:ascii="Arial" w:hAnsi="Arial" w:cs="Arial"/>
        </w:rPr>
        <w:t xml:space="preserve">counselled person who is the subject of the protected confidence for a civil proceeding and to the prosecutor for a criminal proceeding. </w:t>
      </w:r>
    </w:p>
    <w:p w14:paraId="013591E4" w14:textId="79878601" w:rsidR="00871357" w:rsidRPr="00DF3108" w:rsidRDefault="00871357" w:rsidP="001A3BFC">
      <w:pPr>
        <w:rPr>
          <w:rFonts w:ascii="Arial" w:hAnsi="Arial" w:cs="Arial"/>
        </w:rPr>
      </w:pPr>
      <w:r w:rsidRPr="00DF3108">
        <w:rPr>
          <w:rFonts w:ascii="Arial" w:hAnsi="Arial" w:cs="Arial"/>
        </w:rPr>
        <w:t xml:space="preserve">Subsection (4) provides for </w:t>
      </w:r>
      <w:r w:rsidR="00B52252" w:rsidRPr="00DF3108">
        <w:rPr>
          <w:rFonts w:ascii="Arial" w:hAnsi="Arial" w:cs="Arial"/>
        </w:rPr>
        <w:t>what information must be contained in the notice</w:t>
      </w:r>
      <w:r w:rsidR="001F6865" w:rsidRPr="00DF3108">
        <w:rPr>
          <w:rFonts w:ascii="Arial" w:hAnsi="Arial" w:cs="Arial"/>
        </w:rPr>
        <w:t xml:space="preserve">. </w:t>
      </w:r>
    </w:p>
    <w:p w14:paraId="556AD5DA" w14:textId="41BACC67" w:rsidR="00392D71" w:rsidRPr="00DF3108" w:rsidRDefault="00392D71" w:rsidP="001A3BFC">
      <w:pPr>
        <w:rPr>
          <w:rFonts w:ascii="Arial" w:hAnsi="Arial" w:cs="Arial"/>
        </w:rPr>
      </w:pPr>
      <w:r w:rsidRPr="00DF3108">
        <w:rPr>
          <w:rFonts w:ascii="Arial" w:hAnsi="Arial" w:cs="Arial"/>
        </w:rPr>
        <w:t xml:space="preserve">Subsection (5) provides that the prosecutor </w:t>
      </w:r>
      <w:r w:rsidR="00561C41" w:rsidRPr="00DF3108">
        <w:rPr>
          <w:rFonts w:ascii="Arial" w:hAnsi="Arial" w:cs="Arial"/>
        </w:rPr>
        <w:t>i</w:t>
      </w:r>
      <w:r w:rsidRPr="00DF3108">
        <w:rPr>
          <w:rFonts w:ascii="Arial" w:hAnsi="Arial" w:cs="Arial"/>
        </w:rPr>
        <w:t>n a criminal proceeding is given notice</w:t>
      </w:r>
      <w:r w:rsidR="00A644B6" w:rsidRPr="00DF3108">
        <w:rPr>
          <w:rFonts w:ascii="Arial" w:hAnsi="Arial" w:cs="Arial"/>
        </w:rPr>
        <w:t xml:space="preserve"> under subsection </w:t>
      </w:r>
      <w:r w:rsidR="00334C54" w:rsidRPr="00DF3108">
        <w:rPr>
          <w:rFonts w:ascii="Arial" w:hAnsi="Arial" w:cs="Arial"/>
        </w:rPr>
        <w:t xml:space="preserve">(3), the </w:t>
      </w:r>
      <w:r w:rsidR="00807A29" w:rsidRPr="00DF3108">
        <w:rPr>
          <w:rFonts w:ascii="Arial" w:hAnsi="Arial" w:cs="Arial"/>
        </w:rPr>
        <w:t>prosecutor</w:t>
      </w:r>
      <w:r w:rsidR="00334C54" w:rsidRPr="00DF3108">
        <w:rPr>
          <w:rFonts w:ascii="Arial" w:hAnsi="Arial" w:cs="Arial"/>
        </w:rPr>
        <w:t xml:space="preserve"> must give it</w:t>
      </w:r>
      <w:r w:rsidR="000B2AFC" w:rsidRPr="00DF3108">
        <w:rPr>
          <w:rFonts w:ascii="Arial" w:hAnsi="Arial" w:cs="Arial"/>
        </w:rPr>
        <w:t xml:space="preserve"> to the counselled person who is subject of the protected confidence. </w:t>
      </w:r>
      <w:r w:rsidR="007214E4">
        <w:rPr>
          <w:rFonts w:ascii="Arial" w:hAnsi="Arial" w:cs="Arial"/>
        </w:rPr>
        <w:t>This is to prevent re</w:t>
      </w:r>
      <w:r w:rsidR="00CE072B">
        <w:rPr>
          <w:rFonts w:ascii="Arial" w:hAnsi="Arial" w:cs="Arial"/>
        </w:rPr>
        <w:t>-</w:t>
      </w:r>
      <w:r w:rsidR="007214E4">
        <w:rPr>
          <w:rFonts w:ascii="Arial" w:hAnsi="Arial" w:cs="Arial"/>
        </w:rPr>
        <w:t>traumatisation a counselled person might experience should the applicant be the defendant</w:t>
      </w:r>
      <w:r w:rsidR="00346A80">
        <w:rPr>
          <w:rFonts w:ascii="Arial" w:hAnsi="Arial" w:cs="Arial"/>
        </w:rPr>
        <w:t xml:space="preserve"> </w:t>
      </w:r>
      <w:r w:rsidR="00FC061B">
        <w:rPr>
          <w:rFonts w:ascii="Arial" w:hAnsi="Arial" w:cs="Arial"/>
        </w:rPr>
        <w:t xml:space="preserve">in a criminal proceeding, </w:t>
      </w:r>
      <w:r w:rsidR="00346A80">
        <w:rPr>
          <w:rFonts w:ascii="Arial" w:hAnsi="Arial" w:cs="Arial"/>
        </w:rPr>
        <w:t>and the notice being received from th</w:t>
      </w:r>
      <w:r w:rsidR="00FC061B">
        <w:rPr>
          <w:rFonts w:ascii="Arial" w:hAnsi="Arial" w:cs="Arial"/>
        </w:rPr>
        <w:t>at</w:t>
      </w:r>
      <w:r w:rsidR="00346A80">
        <w:rPr>
          <w:rFonts w:ascii="Arial" w:hAnsi="Arial" w:cs="Arial"/>
        </w:rPr>
        <w:t xml:space="preserve"> defendant</w:t>
      </w:r>
      <w:r w:rsidR="007214E4">
        <w:rPr>
          <w:rFonts w:ascii="Arial" w:hAnsi="Arial" w:cs="Arial"/>
        </w:rPr>
        <w:t xml:space="preserve">. This also prevents the disclosure of the counselled persons contact details to the defendant. </w:t>
      </w:r>
    </w:p>
    <w:p w14:paraId="5DB3884C" w14:textId="6481D63E" w:rsidR="00392ADB" w:rsidRPr="00DF3108" w:rsidRDefault="00FC1D0A" w:rsidP="001A3BFC">
      <w:pPr>
        <w:rPr>
          <w:rFonts w:ascii="Arial" w:hAnsi="Arial" w:cs="Arial"/>
        </w:rPr>
      </w:pPr>
      <w:r w:rsidRPr="00DF3108">
        <w:rPr>
          <w:rFonts w:ascii="Arial" w:hAnsi="Arial" w:cs="Arial"/>
        </w:rPr>
        <w:t>However, the requirement to provide a notice to the counselled person does not apply if the court is satisfied that</w:t>
      </w:r>
      <w:r w:rsidR="00DF3108" w:rsidRPr="00DF3108">
        <w:rPr>
          <w:rFonts w:ascii="Arial" w:hAnsi="Arial" w:cs="Arial"/>
        </w:rPr>
        <w:t>:</w:t>
      </w:r>
    </w:p>
    <w:p w14:paraId="2AC31794" w14:textId="07C2C0DB" w:rsidR="00DF3108" w:rsidRPr="00DF3108" w:rsidRDefault="00DF3108" w:rsidP="00DF3108">
      <w:pPr>
        <w:pStyle w:val="ListParagraph"/>
        <w:numPr>
          <w:ilvl w:val="0"/>
          <w:numId w:val="19"/>
        </w:numPr>
        <w:rPr>
          <w:rFonts w:ascii="Arial" w:hAnsi="Arial" w:cs="Arial"/>
        </w:rPr>
      </w:pPr>
      <w:r w:rsidRPr="00DF3108">
        <w:rPr>
          <w:rFonts w:ascii="Arial" w:hAnsi="Arial" w:cs="Arial"/>
        </w:rPr>
        <w:t>The applicant in a civil proceeding or the prosecutor in a criminal proceeding has taken all reasonable steps to find the counselled person, but has not found them; or</w:t>
      </w:r>
    </w:p>
    <w:p w14:paraId="5BA24014" w14:textId="49E7F79B" w:rsidR="00DF3108" w:rsidRPr="00DF3108" w:rsidRDefault="00DF3108" w:rsidP="00DF3108">
      <w:pPr>
        <w:pStyle w:val="ListParagraph"/>
        <w:numPr>
          <w:ilvl w:val="0"/>
          <w:numId w:val="19"/>
        </w:numPr>
        <w:rPr>
          <w:rFonts w:ascii="Arial" w:hAnsi="Arial" w:cs="Arial"/>
        </w:rPr>
      </w:pPr>
      <w:r w:rsidRPr="00DF3108">
        <w:rPr>
          <w:rFonts w:ascii="Arial" w:hAnsi="Arial" w:cs="Arial"/>
        </w:rPr>
        <w:t>The counselled person has consented in writing to not be notified about the application; or</w:t>
      </w:r>
    </w:p>
    <w:p w14:paraId="66CF31E0" w14:textId="1B5AB68B" w:rsidR="00DF3108" w:rsidRPr="00DF3108" w:rsidRDefault="00DF3108" w:rsidP="00DF3108">
      <w:pPr>
        <w:pStyle w:val="ListParagraph"/>
        <w:numPr>
          <w:ilvl w:val="0"/>
          <w:numId w:val="19"/>
        </w:numPr>
        <w:rPr>
          <w:rFonts w:ascii="Arial" w:hAnsi="Arial" w:cs="Arial"/>
        </w:rPr>
      </w:pPr>
      <w:r w:rsidRPr="00DF3108">
        <w:rPr>
          <w:rFonts w:ascii="Arial" w:hAnsi="Arial" w:cs="Arial"/>
        </w:rPr>
        <w:t xml:space="preserve">The counselled person has already been given notice under this section about another application for leave in the same proceeding about the same protected confidence. </w:t>
      </w:r>
    </w:p>
    <w:p w14:paraId="554AC37D" w14:textId="36DBCC13" w:rsidR="00AA7A03" w:rsidRDefault="00AA7A03" w:rsidP="00AA7A03">
      <w:pPr>
        <w:pStyle w:val="Heading3"/>
      </w:pPr>
      <w:bookmarkStart w:id="19" w:name="_Toc161990747"/>
      <w:r>
        <w:t>Clause 7</w:t>
      </w:r>
      <w:r w:rsidR="00DF3108">
        <w:t xml:space="preserve"> – Threshold test – legitimate forensic purpose</w:t>
      </w:r>
      <w:bookmarkEnd w:id="19"/>
    </w:p>
    <w:p w14:paraId="6EDD862B" w14:textId="02153B20" w:rsidR="00CF2243" w:rsidRDefault="0002768E" w:rsidP="003724B0">
      <w:pPr>
        <w:rPr>
          <w:rFonts w:ascii="Arial" w:hAnsi="Arial" w:cs="Arial"/>
        </w:rPr>
      </w:pPr>
      <w:r w:rsidRPr="005729E2">
        <w:rPr>
          <w:rFonts w:ascii="Arial" w:hAnsi="Arial" w:cs="Arial"/>
        </w:rPr>
        <w:t xml:space="preserve">This clause inserts new section 79F(2A) and (2B). </w:t>
      </w:r>
      <w:r w:rsidR="005729E2" w:rsidRPr="005729E2">
        <w:rPr>
          <w:rFonts w:ascii="Arial" w:hAnsi="Arial" w:cs="Arial"/>
        </w:rPr>
        <w:t xml:space="preserve">This section provides that if an applicant is required to give notice of the application under section 79E, the court must not decide whether to refuse the application under this section until at least 14 days after the applicant has given notice. </w:t>
      </w:r>
      <w:r w:rsidR="00FC061B">
        <w:rPr>
          <w:rFonts w:ascii="Arial" w:hAnsi="Arial" w:cs="Arial"/>
        </w:rPr>
        <w:t xml:space="preserve">The purpose of this notice period it to give counselled persons, and their legal representatives, sufficient time to consider and prepare for any application to obtain protected confidence material. </w:t>
      </w:r>
    </w:p>
    <w:p w14:paraId="6E512E9D" w14:textId="62D079DE" w:rsidR="00FC061B" w:rsidRDefault="005729E2" w:rsidP="003724B0">
      <w:pPr>
        <w:rPr>
          <w:rFonts w:ascii="Arial" w:hAnsi="Arial" w:cs="Arial"/>
        </w:rPr>
      </w:pPr>
      <w:r w:rsidRPr="005729E2">
        <w:rPr>
          <w:rFonts w:ascii="Arial" w:hAnsi="Arial" w:cs="Arial"/>
        </w:rPr>
        <w:t xml:space="preserve">The court has the discretion </w:t>
      </w:r>
      <w:r w:rsidR="003252C0">
        <w:rPr>
          <w:rFonts w:ascii="Arial" w:hAnsi="Arial" w:cs="Arial"/>
        </w:rPr>
        <w:t xml:space="preserve">to </w:t>
      </w:r>
      <w:r w:rsidR="00CF2243">
        <w:rPr>
          <w:rFonts w:ascii="Arial" w:hAnsi="Arial" w:cs="Arial"/>
        </w:rPr>
        <w:t>provide</w:t>
      </w:r>
      <w:r w:rsidR="00FC061B">
        <w:rPr>
          <w:rFonts w:ascii="Arial" w:hAnsi="Arial" w:cs="Arial"/>
        </w:rPr>
        <w:t xml:space="preserve"> that</w:t>
      </w:r>
      <w:r w:rsidR="00CF2243">
        <w:rPr>
          <w:rFonts w:ascii="Arial" w:hAnsi="Arial" w:cs="Arial"/>
        </w:rPr>
        <w:t xml:space="preserve"> the notice </w:t>
      </w:r>
      <w:r w:rsidR="00FC061B">
        <w:rPr>
          <w:rFonts w:ascii="Arial" w:hAnsi="Arial" w:cs="Arial"/>
        </w:rPr>
        <w:t xml:space="preserve">can </w:t>
      </w:r>
      <w:r w:rsidR="003252C0">
        <w:rPr>
          <w:rFonts w:ascii="Arial" w:hAnsi="Arial" w:cs="Arial"/>
        </w:rPr>
        <w:t xml:space="preserve">given </w:t>
      </w:r>
      <w:r w:rsidR="00CF2243">
        <w:rPr>
          <w:rFonts w:ascii="Arial" w:hAnsi="Arial" w:cs="Arial"/>
        </w:rPr>
        <w:t xml:space="preserve">be less than 14 days </w:t>
      </w:r>
      <w:r w:rsidRPr="005729E2">
        <w:rPr>
          <w:rFonts w:ascii="Arial" w:hAnsi="Arial" w:cs="Arial"/>
        </w:rPr>
        <w:t>if satisfied it is in the interests of justice</w:t>
      </w:r>
      <w:r w:rsidR="00FC061B">
        <w:rPr>
          <w:rFonts w:ascii="Arial" w:hAnsi="Arial" w:cs="Arial"/>
        </w:rPr>
        <w:t xml:space="preserve"> to do so</w:t>
      </w:r>
      <w:r w:rsidRPr="005729E2">
        <w:rPr>
          <w:rFonts w:ascii="Arial" w:hAnsi="Arial" w:cs="Arial"/>
        </w:rPr>
        <w:t xml:space="preserve">. </w:t>
      </w:r>
      <w:r w:rsidR="00CF2243">
        <w:rPr>
          <w:rFonts w:ascii="Arial" w:hAnsi="Arial" w:cs="Arial"/>
        </w:rPr>
        <w:t xml:space="preserve">Relevant considerations for </w:t>
      </w:r>
      <w:proofErr w:type="gramStart"/>
      <w:r w:rsidR="00CF2243">
        <w:rPr>
          <w:rFonts w:ascii="Arial" w:hAnsi="Arial" w:cs="Arial"/>
        </w:rPr>
        <w:t>this interests of justice</w:t>
      </w:r>
      <w:proofErr w:type="gramEnd"/>
      <w:r w:rsidR="00CF2243">
        <w:rPr>
          <w:rFonts w:ascii="Arial" w:hAnsi="Arial" w:cs="Arial"/>
        </w:rPr>
        <w:t xml:space="preserve"> test include the reasonableness of the request to waive the 14 day notice period, the </w:t>
      </w:r>
      <w:r w:rsidR="00CF2243">
        <w:rPr>
          <w:rFonts w:ascii="Arial" w:hAnsi="Arial" w:cs="Arial"/>
        </w:rPr>
        <w:lastRenderedPageBreak/>
        <w:t>impact on the other parties, the impact on the counselled person</w:t>
      </w:r>
      <w:r w:rsidR="00FC061B">
        <w:rPr>
          <w:rFonts w:ascii="Arial" w:hAnsi="Arial" w:cs="Arial"/>
        </w:rPr>
        <w:t>,</w:t>
      </w:r>
      <w:r w:rsidR="00CF2243">
        <w:rPr>
          <w:rFonts w:ascii="Arial" w:hAnsi="Arial" w:cs="Arial"/>
        </w:rPr>
        <w:t xml:space="preserve"> whether the applicant had the opportunity to make the application earlier</w:t>
      </w:r>
      <w:r w:rsidR="00FC061B">
        <w:rPr>
          <w:rFonts w:ascii="Arial" w:hAnsi="Arial" w:cs="Arial"/>
        </w:rPr>
        <w:t>, and whether the counselled person consents to the notice period being less than 14 days.</w:t>
      </w:r>
    </w:p>
    <w:p w14:paraId="39EDBE37" w14:textId="6F6FD734" w:rsidR="00FC061B" w:rsidRDefault="00CF2243" w:rsidP="003724B0">
      <w:pPr>
        <w:rPr>
          <w:rFonts w:ascii="Arial" w:hAnsi="Arial" w:cs="Arial"/>
        </w:rPr>
      </w:pPr>
      <w:r>
        <w:rPr>
          <w:rFonts w:ascii="Arial" w:hAnsi="Arial" w:cs="Arial"/>
        </w:rPr>
        <w:t xml:space="preserve">For example, there may be situations where an applicant applies within 14 days of the trial of the matter. If the court does not waive the 14-day notice period requirement, the trial would likely have to be vacated and </w:t>
      </w:r>
      <w:r w:rsidR="00FC061B">
        <w:rPr>
          <w:rFonts w:ascii="Arial" w:hAnsi="Arial" w:cs="Arial"/>
        </w:rPr>
        <w:t>adjourned</w:t>
      </w:r>
      <w:r>
        <w:rPr>
          <w:rFonts w:ascii="Arial" w:hAnsi="Arial" w:cs="Arial"/>
        </w:rPr>
        <w:t xml:space="preserve"> for a later date </w:t>
      </w:r>
      <w:proofErr w:type="gramStart"/>
      <w:r>
        <w:rPr>
          <w:rFonts w:ascii="Arial" w:hAnsi="Arial" w:cs="Arial"/>
        </w:rPr>
        <w:t>in order to</w:t>
      </w:r>
      <w:proofErr w:type="gramEnd"/>
      <w:r>
        <w:rPr>
          <w:rFonts w:ascii="Arial" w:hAnsi="Arial" w:cs="Arial"/>
        </w:rPr>
        <w:t xml:space="preserve"> hear the application</w:t>
      </w:r>
      <w:r w:rsidR="00FC061B">
        <w:rPr>
          <w:rFonts w:ascii="Arial" w:hAnsi="Arial" w:cs="Arial"/>
        </w:rPr>
        <w:t xml:space="preserve"> prior to the trial</w:t>
      </w:r>
      <w:r>
        <w:rPr>
          <w:rFonts w:ascii="Arial" w:hAnsi="Arial" w:cs="Arial"/>
        </w:rPr>
        <w:t xml:space="preserve">. This would have an impact on the parties and witnesses, and </w:t>
      </w:r>
      <w:r w:rsidR="00CE072B">
        <w:rPr>
          <w:rFonts w:ascii="Arial" w:hAnsi="Arial" w:cs="Arial"/>
        </w:rPr>
        <w:t xml:space="preserve">having the trial delayed </w:t>
      </w:r>
      <w:r w:rsidR="00FC061B">
        <w:rPr>
          <w:rFonts w:ascii="Arial" w:hAnsi="Arial" w:cs="Arial"/>
        </w:rPr>
        <w:t>could</w:t>
      </w:r>
      <w:r>
        <w:rPr>
          <w:rFonts w:ascii="Arial" w:hAnsi="Arial" w:cs="Arial"/>
        </w:rPr>
        <w:t xml:space="preserve"> have a retraumatising impact on the counselled person. </w:t>
      </w:r>
      <w:r w:rsidR="00CE072B">
        <w:rPr>
          <w:rFonts w:ascii="Arial" w:hAnsi="Arial" w:cs="Arial"/>
        </w:rPr>
        <w:t>In these circumstances</w:t>
      </w:r>
      <w:r>
        <w:rPr>
          <w:rFonts w:ascii="Arial" w:hAnsi="Arial" w:cs="Arial"/>
        </w:rPr>
        <w:t xml:space="preserve">, the applicant should give compelling reasons as to why the application was not made more than 14 days prior to the trial. </w:t>
      </w:r>
    </w:p>
    <w:p w14:paraId="5F83E622" w14:textId="2F038D80" w:rsidR="00FC061B" w:rsidRDefault="00FC061B" w:rsidP="003724B0">
      <w:pPr>
        <w:rPr>
          <w:rFonts w:ascii="Arial" w:hAnsi="Arial" w:cs="Arial"/>
        </w:rPr>
      </w:pPr>
      <w:r w:rsidRPr="00B53DA6">
        <w:rPr>
          <w:rFonts w:ascii="Arial" w:hAnsi="Arial" w:cs="Arial"/>
        </w:rPr>
        <w:t xml:space="preserve">This </w:t>
      </w:r>
      <w:r>
        <w:rPr>
          <w:rFonts w:ascii="Arial" w:hAnsi="Arial" w:cs="Arial"/>
        </w:rPr>
        <w:t>provision</w:t>
      </w:r>
      <w:r w:rsidRPr="00B53DA6">
        <w:rPr>
          <w:rFonts w:ascii="Arial" w:hAnsi="Arial" w:cs="Arial"/>
        </w:rPr>
        <w:t xml:space="preserve"> is modelled on </w:t>
      </w:r>
      <w:r w:rsidRPr="00B53DA6">
        <w:rPr>
          <w:rFonts w:ascii="Arial" w:hAnsi="Arial" w:cs="Arial"/>
          <w:i/>
          <w:iCs/>
        </w:rPr>
        <w:t>Evidence (Miscellaneous Provisions) Act 1958</w:t>
      </w:r>
      <w:r w:rsidRPr="00B53DA6">
        <w:rPr>
          <w:rFonts w:ascii="Arial" w:hAnsi="Arial" w:cs="Arial"/>
        </w:rPr>
        <w:t xml:space="preserve"> (Vic), s 32C</w:t>
      </w:r>
      <w:r>
        <w:rPr>
          <w:rFonts w:ascii="Arial" w:hAnsi="Arial" w:cs="Arial"/>
        </w:rPr>
        <w:t>C.</w:t>
      </w:r>
    </w:p>
    <w:p w14:paraId="0B922A77" w14:textId="137C0B25" w:rsidR="00AA7A03" w:rsidRDefault="00AA7A03" w:rsidP="003724B0">
      <w:pPr>
        <w:pStyle w:val="Heading3"/>
      </w:pPr>
      <w:bookmarkStart w:id="20" w:name="_Toc161990748"/>
      <w:r>
        <w:t>Clause 8</w:t>
      </w:r>
      <w:r w:rsidR="003724B0">
        <w:t xml:space="preserve"> – Preliminary examination of protected confidence evidence</w:t>
      </w:r>
      <w:bookmarkEnd w:id="20"/>
    </w:p>
    <w:p w14:paraId="3B519480" w14:textId="7C478527" w:rsidR="003724B0" w:rsidRDefault="003724B0" w:rsidP="003724B0">
      <w:pPr>
        <w:rPr>
          <w:rFonts w:ascii="Arial" w:hAnsi="Arial" w:cs="Arial"/>
        </w:rPr>
      </w:pPr>
      <w:r w:rsidRPr="003724B0">
        <w:rPr>
          <w:rFonts w:ascii="Arial" w:hAnsi="Arial" w:cs="Arial"/>
        </w:rPr>
        <w:t xml:space="preserve">This clause inserts new section 79G(2A) that provides that the court may also permit a written statement be made by the counselled person about the harm the counselled person is likely to suffer if leave is given. </w:t>
      </w:r>
    </w:p>
    <w:p w14:paraId="223463D2" w14:textId="1A11B961" w:rsidR="00601C05" w:rsidRPr="00601C05" w:rsidRDefault="00601C05" w:rsidP="003724B0">
      <w:pPr>
        <w:rPr>
          <w:rFonts w:ascii="Arial" w:hAnsi="Arial" w:cs="Arial"/>
        </w:rPr>
      </w:pPr>
      <w:r w:rsidRPr="00601C05">
        <w:rPr>
          <w:rFonts w:ascii="Arial" w:hAnsi="Arial" w:cs="Arial"/>
        </w:rPr>
        <w:t>The purpose of this provision is to provide flexibility in how the protected person or complainant could appear and participate in these matters.</w:t>
      </w:r>
      <w:r w:rsidR="00CE072B" w:rsidRPr="00CE072B">
        <w:rPr>
          <w:rFonts w:ascii="Arial" w:hAnsi="Arial" w:cs="Arial"/>
        </w:rPr>
        <w:t xml:space="preserve"> </w:t>
      </w:r>
      <w:r w:rsidR="00CE072B">
        <w:rPr>
          <w:rFonts w:ascii="Arial" w:hAnsi="Arial" w:cs="Arial"/>
        </w:rPr>
        <w:t>It is not a requirement to provide a statement of harm</w:t>
      </w:r>
      <w:r w:rsidR="00CE072B" w:rsidRPr="00601C05">
        <w:rPr>
          <w:rFonts w:ascii="Arial" w:hAnsi="Arial" w:cs="Arial"/>
        </w:rPr>
        <w:t>.</w:t>
      </w:r>
    </w:p>
    <w:p w14:paraId="5BCBFB68" w14:textId="61F79F6A" w:rsidR="00B53DA6" w:rsidRPr="00B53DA6" w:rsidRDefault="00601C05" w:rsidP="003724B0">
      <w:pPr>
        <w:rPr>
          <w:rFonts w:ascii="Arial" w:hAnsi="Arial" w:cs="Arial"/>
        </w:rPr>
      </w:pPr>
      <w:r w:rsidRPr="00601C05">
        <w:rPr>
          <w:rFonts w:ascii="Arial" w:hAnsi="Arial" w:cs="Arial"/>
          <w:iCs/>
        </w:rPr>
        <w:t>It is the practice in both Victoria and New South Wales that the court can receive a confidential statement of harms from the complainant regarding the confidential communication.</w:t>
      </w:r>
      <w:r w:rsidRPr="00601C05">
        <w:rPr>
          <w:rFonts w:ascii="Arial" w:hAnsi="Arial" w:cs="Arial"/>
          <w:sz w:val="20"/>
          <w:szCs w:val="20"/>
        </w:rPr>
        <w:t xml:space="preserve"> </w:t>
      </w:r>
      <w:r w:rsidR="00B53DA6" w:rsidRPr="00B53DA6">
        <w:rPr>
          <w:rFonts w:ascii="Arial" w:hAnsi="Arial" w:cs="Arial"/>
        </w:rPr>
        <w:t xml:space="preserve">This provision is modelled on </w:t>
      </w:r>
      <w:r w:rsidR="00B53DA6" w:rsidRPr="00B53DA6">
        <w:rPr>
          <w:rFonts w:ascii="Arial" w:hAnsi="Arial" w:cs="Arial"/>
          <w:i/>
          <w:iCs/>
        </w:rPr>
        <w:t>Criminal Procedure Act 1986</w:t>
      </w:r>
      <w:r w:rsidR="00B53DA6" w:rsidRPr="00B53DA6">
        <w:rPr>
          <w:rFonts w:ascii="Arial" w:hAnsi="Arial" w:cs="Arial"/>
        </w:rPr>
        <w:t xml:space="preserve"> (NSW) s 299D (3)</w:t>
      </w:r>
      <w:r>
        <w:rPr>
          <w:rFonts w:ascii="Arial" w:hAnsi="Arial" w:cs="Arial"/>
        </w:rPr>
        <w:t xml:space="preserve">, </w:t>
      </w:r>
    </w:p>
    <w:p w14:paraId="6F64A822" w14:textId="56303673" w:rsidR="00AA7A03" w:rsidRDefault="00AA7A03" w:rsidP="00AA7A03">
      <w:pPr>
        <w:pStyle w:val="Heading3"/>
      </w:pPr>
      <w:bookmarkStart w:id="21" w:name="_Toc161990749"/>
      <w:r>
        <w:t>Clause 9</w:t>
      </w:r>
      <w:r w:rsidR="003724B0">
        <w:t xml:space="preserve"> – Section 79</w:t>
      </w:r>
      <w:proofErr w:type="gramStart"/>
      <w:r w:rsidR="003724B0">
        <w:t>G(</w:t>
      </w:r>
      <w:proofErr w:type="gramEnd"/>
      <w:r w:rsidR="003724B0">
        <w:t>6)</w:t>
      </w:r>
      <w:bookmarkEnd w:id="21"/>
    </w:p>
    <w:p w14:paraId="7910EFC4" w14:textId="39A60E05" w:rsidR="003724B0" w:rsidRDefault="003724B0" w:rsidP="003724B0">
      <w:pPr>
        <w:rPr>
          <w:rFonts w:ascii="Arial" w:hAnsi="Arial" w:cs="Arial"/>
        </w:rPr>
      </w:pPr>
      <w:r w:rsidRPr="00114B60">
        <w:rPr>
          <w:rFonts w:ascii="Arial" w:hAnsi="Arial" w:cs="Arial"/>
        </w:rPr>
        <w:t xml:space="preserve">This clause substitutes </w:t>
      </w:r>
      <w:r w:rsidR="004D4CE4" w:rsidRPr="00114B60">
        <w:rPr>
          <w:rFonts w:ascii="Arial" w:hAnsi="Arial" w:cs="Arial"/>
        </w:rPr>
        <w:t>this section</w:t>
      </w:r>
      <w:r w:rsidR="009B1C27" w:rsidRPr="00114B60">
        <w:rPr>
          <w:rFonts w:ascii="Arial" w:hAnsi="Arial" w:cs="Arial"/>
        </w:rPr>
        <w:t>. Evidence taken at preliminary examination</w:t>
      </w:r>
      <w:r w:rsidR="002B62A2" w:rsidRPr="00114B60">
        <w:rPr>
          <w:rFonts w:ascii="Arial" w:hAnsi="Arial" w:cs="Arial"/>
        </w:rPr>
        <w:t xml:space="preserve">, if </w:t>
      </w:r>
      <w:r w:rsidR="000F3706" w:rsidRPr="00114B60">
        <w:rPr>
          <w:rFonts w:ascii="Arial" w:hAnsi="Arial" w:cs="Arial"/>
        </w:rPr>
        <w:t>it is take</w:t>
      </w:r>
      <w:r w:rsidR="00114B60" w:rsidRPr="00114B60">
        <w:rPr>
          <w:rFonts w:ascii="Arial" w:hAnsi="Arial" w:cs="Arial"/>
        </w:rPr>
        <w:t xml:space="preserve">n as a statement under subsection (2A) must not be disclosed to the parties or their lawyers, save for the counselled person or their lawyers or in any other case, </w:t>
      </w:r>
      <w:r w:rsidR="00FC061B">
        <w:rPr>
          <w:rFonts w:ascii="Arial" w:hAnsi="Arial" w:cs="Arial"/>
        </w:rPr>
        <w:t>or</w:t>
      </w:r>
      <w:r w:rsidR="00114B60" w:rsidRPr="00114B60">
        <w:rPr>
          <w:rFonts w:ascii="Arial" w:hAnsi="Arial" w:cs="Arial"/>
        </w:rPr>
        <w:t xml:space="preserve"> except to the extent otherwise decided by the court. </w:t>
      </w:r>
    </w:p>
    <w:p w14:paraId="01F08332" w14:textId="141E87D7" w:rsidR="00B53DA6" w:rsidRPr="00114B60" w:rsidRDefault="00B53DA6" w:rsidP="003724B0">
      <w:pPr>
        <w:rPr>
          <w:rFonts w:ascii="Arial" w:hAnsi="Arial" w:cs="Arial"/>
        </w:rPr>
      </w:pPr>
      <w:r>
        <w:rPr>
          <w:rFonts w:ascii="Arial" w:hAnsi="Arial" w:cs="Arial"/>
        </w:rPr>
        <w:t xml:space="preserve">This provides that the statement of harm is a confidential statement, which is modelled on </w:t>
      </w:r>
      <w:r w:rsidRPr="00B53DA6">
        <w:rPr>
          <w:rFonts w:ascii="Arial" w:hAnsi="Arial" w:cs="Arial"/>
          <w:i/>
          <w:iCs/>
        </w:rPr>
        <w:t>Criminal Procedure Act 1986</w:t>
      </w:r>
      <w:r w:rsidRPr="00B53DA6">
        <w:rPr>
          <w:rFonts w:ascii="Arial" w:hAnsi="Arial" w:cs="Arial"/>
        </w:rPr>
        <w:t xml:space="preserve"> (NSW) s 299D (3).</w:t>
      </w:r>
      <w:r>
        <w:rPr>
          <w:rFonts w:ascii="Arial" w:hAnsi="Arial" w:cs="Arial"/>
        </w:rPr>
        <w:t xml:space="preserve"> The intent of this is to allow the </w:t>
      </w:r>
      <w:r w:rsidR="00346A80">
        <w:rPr>
          <w:rFonts w:ascii="Arial" w:hAnsi="Arial" w:cs="Arial"/>
        </w:rPr>
        <w:t xml:space="preserve">complainant </w:t>
      </w:r>
      <w:r w:rsidR="003252C0">
        <w:rPr>
          <w:rFonts w:ascii="Arial" w:hAnsi="Arial" w:cs="Arial"/>
        </w:rPr>
        <w:t xml:space="preserve">to </w:t>
      </w:r>
      <w:r w:rsidR="00346A80">
        <w:rPr>
          <w:rFonts w:ascii="Arial" w:hAnsi="Arial" w:cs="Arial"/>
        </w:rPr>
        <w:t>outline the harm they may incur if the protected confidence was released</w:t>
      </w:r>
      <w:r>
        <w:rPr>
          <w:rFonts w:ascii="Arial" w:hAnsi="Arial" w:cs="Arial"/>
        </w:rPr>
        <w:t xml:space="preserve">, without inadvertently disclosing the contents of that protected confidence. </w:t>
      </w:r>
      <w:r w:rsidR="00B069C8">
        <w:rPr>
          <w:rFonts w:ascii="Arial" w:hAnsi="Arial" w:cs="Arial"/>
        </w:rPr>
        <w:t xml:space="preserve">It also ensures that </w:t>
      </w:r>
      <w:r w:rsidR="00B069C8" w:rsidRPr="00B069C8">
        <w:rPr>
          <w:rFonts w:ascii="Arial" w:hAnsi="Arial" w:cs="Arial"/>
        </w:rPr>
        <w:t>victim-survivors of sexual assault and family violence are not discouraged from engaging in the criminal justice system.</w:t>
      </w:r>
    </w:p>
    <w:p w14:paraId="309FB2F5" w14:textId="1B34B761" w:rsidR="00AA7A03" w:rsidRDefault="00AA7A03" w:rsidP="00AA7A03">
      <w:pPr>
        <w:pStyle w:val="Heading3"/>
      </w:pPr>
      <w:bookmarkStart w:id="22" w:name="_Toc161990750"/>
      <w:r>
        <w:t>Clause 10</w:t>
      </w:r>
      <w:r w:rsidR="00114B60">
        <w:t xml:space="preserve"> – Giving of leave to disclose protected </w:t>
      </w:r>
      <w:proofErr w:type="gramStart"/>
      <w:r w:rsidR="00114B60">
        <w:t>confidence</w:t>
      </w:r>
      <w:bookmarkEnd w:id="22"/>
      <w:proofErr w:type="gramEnd"/>
    </w:p>
    <w:p w14:paraId="51DADD7A" w14:textId="72D073EB" w:rsidR="00114B60" w:rsidRDefault="00640FF3" w:rsidP="00114B60">
      <w:pPr>
        <w:rPr>
          <w:rFonts w:ascii="Arial" w:hAnsi="Arial" w:cs="Arial"/>
        </w:rPr>
      </w:pPr>
      <w:r w:rsidRPr="00E73377">
        <w:rPr>
          <w:rFonts w:ascii="Arial" w:hAnsi="Arial" w:cs="Arial"/>
        </w:rPr>
        <w:t>This clause affects section 79</w:t>
      </w:r>
      <w:proofErr w:type="gramStart"/>
      <w:r w:rsidRPr="00E73377">
        <w:rPr>
          <w:rFonts w:ascii="Arial" w:hAnsi="Arial" w:cs="Arial"/>
        </w:rPr>
        <w:t>H(</w:t>
      </w:r>
      <w:proofErr w:type="gramEnd"/>
      <w:r w:rsidRPr="00E73377">
        <w:rPr>
          <w:rFonts w:ascii="Arial" w:hAnsi="Arial" w:cs="Arial"/>
        </w:rPr>
        <w:t xml:space="preserve">6) with the </w:t>
      </w:r>
      <w:r w:rsidR="00E73377" w:rsidRPr="00E73377">
        <w:rPr>
          <w:rFonts w:ascii="Arial" w:hAnsi="Arial" w:cs="Arial"/>
        </w:rPr>
        <w:t>insertion of “(other than a statement taken under section 79G(2A)” after “disclosure of the evidence”.</w:t>
      </w:r>
      <w:r w:rsidR="00346A80">
        <w:rPr>
          <w:rFonts w:ascii="Arial" w:hAnsi="Arial" w:cs="Arial"/>
        </w:rPr>
        <w:t xml:space="preserve"> This allows for the appeal court to consider the confidential statement (which was given under section 79G(2A)). However, it does not allow the appeal court to order that the statement may be disclosed to the parties. </w:t>
      </w:r>
    </w:p>
    <w:p w14:paraId="78544253" w14:textId="7A49B07D" w:rsidR="00346A80" w:rsidRPr="00E73377" w:rsidRDefault="00346A80" w:rsidP="00114B60">
      <w:pPr>
        <w:rPr>
          <w:rFonts w:ascii="Arial" w:hAnsi="Arial" w:cs="Arial"/>
        </w:rPr>
      </w:pPr>
      <w:r>
        <w:rPr>
          <w:rFonts w:ascii="Arial" w:hAnsi="Arial" w:cs="Arial"/>
        </w:rPr>
        <w:lastRenderedPageBreak/>
        <w:t>The purpose of this is</w:t>
      </w:r>
      <w:r w:rsidR="00FC061B">
        <w:rPr>
          <w:rFonts w:ascii="Arial" w:hAnsi="Arial" w:cs="Arial"/>
        </w:rPr>
        <w:t xml:space="preserve"> again</w:t>
      </w:r>
      <w:r>
        <w:rPr>
          <w:rFonts w:ascii="Arial" w:hAnsi="Arial" w:cs="Arial"/>
        </w:rPr>
        <w:t xml:space="preserve"> to ensure the statement of harms remains confidential, so the complainant can outline the harm th</w:t>
      </w:r>
      <w:r w:rsidR="003252C0">
        <w:rPr>
          <w:rFonts w:ascii="Arial" w:hAnsi="Arial" w:cs="Arial"/>
        </w:rPr>
        <w:t>at</w:t>
      </w:r>
      <w:r>
        <w:rPr>
          <w:rFonts w:ascii="Arial" w:hAnsi="Arial" w:cs="Arial"/>
        </w:rPr>
        <w:t xml:space="preserve"> may incur if the protected confidence was released, without inadvertently disclosing the contents of that protected confidence. </w:t>
      </w:r>
    </w:p>
    <w:p w14:paraId="6CC6746E" w14:textId="02C8A601" w:rsidR="00AA7A03" w:rsidRDefault="00AA7A03" w:rsidP="00AA7A03">
      <w:pPr>
        <w:pStyle w:val="Heading3"/>
      </w:pPr>
      <w:bookmarkStart w:id="23" w:name="_Toc161990751"/>
      <w:r>
        <w:t>Clause 11</w:t>
      </w:r>
      <w:r w:rsidR="00E73377">
        <w:t xml:space="preserve"> – New sections 79IA and 79IB</w:t>
      </w:r>
      <w:bookmarkEnd w:id="23"/>
    </w:p>
    <w:p w14:paraId="02D2D889" w14:textId="15018FE9" w:rsidR="00E73377" w:rsidRDefault="0093695C" w:rsidP="00E73377">
      <w:pPr>
        <w:rPr>
          <w:rFonts w:ascii="Arial" w:hAnsi="Arial" w:cs="Arial"/>
        </w:rPr>
      </w:pPr>
      <w:r w:rsidRPr="0027128A">
        <w:rPr>
          <w:rFonts w:ascii="Arial" w:hAnsi="Arial" w:cs="Arial"/>
        </w:rPr>
        <w:t xml:space="preserve">This clause provides </w:t>
      </w:r>
      <w:r w:rsidR="00E04F6F" w:rsidRPr="0027128A">
        <w:rPr>
          <w:rFonts w:ascii="Arial" w:hAnsi="Arial" w:cs="Arial"/>
        </w:rPr>
        <w:t xml:space="preserve">for new section 79IA </w:t>
      </w:r>
      <w:r w:rsidR="00CE072B">
        <w:rPr>
          <w:rFonts w:ascii="Arial" w:hAnsi="Arial" w:cs="Arial"/>
        </w:rPr>
        <w:t>which provides that</w:t>
      </w:r>
      <w:r w:rsidR="000B7921" w:rsidRPr="0027128A">
        <w:rPr>
          <w:rFonts w:ascii="Arial" w:hAnsi="Arial" w:cs="Arial"/>
        </w:rPr>
        <w:t xml:space="preserve"> a </w:t>
      </w:r>
      <w:r w:rsidR="00E04F6F" w:rsidRPr="0027128A">
        <w:rPr>
          <w:rFonts w:ascii="Arial" w:hAnsi="Arial" w:cs="Arial"/>
        </w:rPr>
        <w:t xml:space="preserve">counselled person may appear </w:t>
      </w:r>
      <w:r w:rsidR="000B7921" w:rsidRPr="0027128A">
        <w:rPr>
          <w:rFonts w:ascii="Arial" w:hAnsi="Arial" w:cs="Arial"/>
        </w:rPr>
        <w:t>i</w:t>
      </w:r>
      <w:r w:rsidR="00E04F6F" w:rsidRPr="0027128A">
        <w:rPr>
          <w:rFonts w:ascii="Arial" w:hAnsi="Arial" w:cs="Arial"/>
        </w:rPr>
        <w:t xml:space="preserve">n </w:t>
      </w:r>
      <w:r w:rsidR="00CE072B">
        <w:rPr>
          <w:rFonts w:ascii="Arial" w:hAnsi="Arial" w:cs="Arial"/>
        </w:rPr>
        <w:t xml:space="preserve">a </w:t>
      </w:r>
      <w:r w:rsidR="00E04F6F" w:rsidRPr="0027128A">
        <w:rPr>
          <w:rFonts w:ascii="Arial" w:hAnsi="Arial" w:cs="Arial"/>
        </w:rPr>
        <w:t xml:space="preserve">proceeding </w:t>
      </w:r>
      <w:r w:rsidR="00CE072B">
        <w:rPr>
          <w:rFonts w:ascii="Arial" w:hAnsi="Arial" w:cs="Arial"/>
        </w:rPr>
        <w:t>where a</w:t>
      </w:r>
      <w:r w:rsidR="00E04F6F" w:rsidRPr="0027128A">
        <w:rPr>
          <w:rFonts w:ascii="Arial" w:hAnsi="Arial" w:cs="Arial"/>
        </w:rPr>
        <w:t xml:space="preserve"> protected confidence </w:t>
      </w:r>
      <w:r w:rsidR="00CE072B">
        <w:rPr>
          <w:rFonts w:ascii="Arial" w:hAnsi="Arial" w:cs="Arial"/>
        </w:rPr>
        <w:t xml:space="preserve">is </w:t>
      </w:r>
      <w:r w:rsidR="00E04F6F" w:rsidRPr="0027128A">
        <w:rPr>
          <w:rFonts w:ascii="Arial" w:hAnsi="Arial" w:cs="Arial"/>
        </w:rPr>
        <w:t xml:space="preserve">sought to be disclosed. </w:t>
      </w:r>
      <w:r w:rsidR="0016333D">
        <w:rPr>
          <w:rFonts w:ascii="Arial" w:hAnsi="Arial" w:cs="Arial"/>
        </w:rPr>
        <w:t>The section provides that a counselled person may appea</w:t>
      </w:r>
      <w:r w:rsidR="000C66D1">
        <w:rPr>
          <w:rFonts w:ascii="Arial" w:hAnsi="Arial" w:cs="Arial"/>
        </w:rPr>
        <w:t>r</w:t>
      </w:r>
      <w:r w:rsidR="0016333D">
        <w:rPr>
          <w:rFonts w:ascii="Arial" w:hAnsi="Arial" w:cs="Arial"/>
        </w:rPr>
        <w:t xml:space="preserve"> in any proceeding in relation to </w:t>
      </w:r>
      <w:r w:rsidR="00547634">
        <w:rPr>
          <w:rFonts w:ascii="Arial" w:hAnsi="Arial" w:cs="Arial"/>
        </w:rPr>
        <w:t xml:space="preserve">the </w:t>
      </w:r>
      <w:r w:rsidR="000C66D1">
        <w:rPr>
          <w:rFonts w:ascii="Arial" w:hAnsi="Arial" w:cs="Arial"/>
        </w:rPr>
        <w:t>disclosure</w:t>
      </w:r>
      <w:r w:rsidR="00547634">
        <w:rPr>
          <w:rFonts w:ascii="Arial" w:hAnsi="Arial" w:cs="Arial"/>
        </w:rPr>
        <w:t xml:space="preserve"> of a </w:t>
      </w:r>
      <w:r w:rsidR="000C66D1">
        <w:rPr>
          <w:rFonts w:ascii="Arial" w:hAnsi="Arial" w:cs="Arial"/>
        </w:rPr>
        <w:t>protected</w:t>
      </w:r>
      <w:r w:rsidR="00547634">
        <w:rPr>
          <w:rFonts w:ascii="Arial" w:hAnsi="Arial" w:cs="Arial"/>
        </w:rPr>
        <w:t xml:space="preserve"> con</w:t>
      </w:r>
      <w:r w:rsidR="002F6AF8">
        <w:rPr>
          <w:rFonts w:ascii="Arial" w:hAnsi="Arial" w:cs="Arial"/>
        </w:rPr>
        <w:t xml:space="preserve">fidence made by, to or about the counselled person or the production of a document recording </w:t>
      </w:r>
      <w:r w:rsidR="00FD1EE6">
        <w:rPr>
          <w:rFonts w:ascii="Arial" w:hAnsi="Arial" w:cs="Arial"/>
        </w:rPr>
        <w:t xml:space="preserve">a </w:t>
      </w:r>
      <w:r w:rsidR="000C66D1">
        <w:rPr>
          <w:rFonts w:ascii="Arial" w:hAnsi="Arial" w:cs="Arial"/>
        </w:rPr>
        <w:t>p</w:t>
      </w:r>
      <w:r w:rsidR="00FD1EE6">
        <w:rPr>
          <w:rFonts w:ascii="Arial" w:hAnsi="Arial" w:cs="Arial"/>
        </w:rPr>
        <w:t>rotected confidence made by</w:t>
      </w:r>
      <w:r w:rsidR="00C1035E">
        <w:rPr>
          <w:rFonts w:ascii="Arial" w:hAnsi="Arial" w:cs="Arial"/>
        </w:rPr>
        <w:t xml:space="preserve">, to or about the counselled person or </w:t>
      </w:r>
      <w:r w:rsidR="000C66D1">
        <w:rPr>
          <w:rFonts w:ascii="Arial" w:hAnsi="Arial" w:cs="Arial"/>
        </w:rPr>
        <w:t xml:space="preserve">the admission of protected confidence evidence for a protected confidence made by, to or about the counselled person. </w:t>
      </w:r>
    </w:p>
    <w:p w14:paraId="3AA600D2" w14:textId="46B51A58" w:rsidR="001B1076" w:rsidRPr="0027128A" w:rsidRDefault="001B1076" w:rsidP="00E73377">
      <w:pPr>
        <w:rPr>
          <w:rFonts w:ascii="Arial" w:hAnsi="Arial" w:cs="Arial"/>
        </w:rPr>
      </w:pPr>
      <w:r>
        <w:rPr>
          <w:rFonts w:ascii="Arial" w:hAnsi="Arial" w:cs="Arial"/>
        </w:rPr>
        <w:t xml:space="preserve">Section </w:t>
      </w:r>
      <w:r w:rsidR="008730F2">
        <w:rPr>
          <w:rFonts w:ascii="Arial" w:hAnsi="Arial" w:cs="Arial"/>
        </w:rPr>
        <w:t xml:space="preserve">79IB provides that a court must be satisfied that the counselled person is informed of rights under the division. </w:t>
      </w:r>
      <w:r w:rsidR="00E1715D">
        <w:rPr>
          <w:rFonts w:ascii="Arial" w:hAnsi="Arial" w:cs="Arial"/>
        </w:rPr>
        <w:t>Specifically, if it appears to the court that a counselled person may have grounds to make an objection or seek an order in relation to something mention</w:t>
      </w:r>
      <w:r w:rsidR="00B069C8">
        <w:rPr>
          <w:rFonts w:ascii="Arial" w:hAnsi="Arial" w:cs="Arial"/>
        </w:rPr>
        <w:t>ed</w:t>
      </w:r>
      <w:r w:rsidR="00E1715D">
        <w:rPr>
          <w:rFonts w:ascii="Arial" w:hAnsi="Arial" w:cs="Arial"/>
        </w:rPr>
        <w:t xml:space="preserve"> in section 79IA(a) to (c), the court must satisfy itself that the counselled person is aware of the effect of this division and has</w:t>
      </w:r>
      <w:r w:rsidR="003252C0">
        <w:rPr>
          <w:rFonts w:ascii="Arial" w:hAnsi="Arial" w:cs="Arial"/>
        </w:rPr>
        <w:t xml:space="preserve"> been</w:t>
      </w:r>
      <w:r w:rsidR="00E1715D">
        <w:rPr>
          <w:rFonts w:ascii="Arial" w:hAnsi="Arial" w:cs="Arial"/>
        </w:rPr>
        <w:t xml:space="preserve"> given </w:t>
      </w:r>
      <w:r w:rsidR="003E2E8A">
        <w:rPr>
          <w:rFonts w:ascii="Arial" w:hAnsi="Arial" w:cs="Arial"/>
        </w:rPr>
        <w:t>a reasonable opportunity</w:t>
      </w:r>
      <w:r w:rsidR="00215BFD">
        <w:rPr>
          <w:rFonts w:ascii="Arial" w:hAnsi="Arial" w:cs="Arial"/>
        </w:rPr>
        <w:t xml:space="preserve"> to seek legal advice about whether to make an objection or seek an order. </w:t>
      </w:r>
    </w:p>
    <w:p w14:paraId="139CAF3A" w14:textId="124C7238" w:rsidR="00AA7A03" w:rsidRDefault="00AA7A03" w:rsidP="00AA7A03">
      <w:pPr>
        <w:pStyle w:val="Heading3"/>
      </w:pPr>
      <w:bookmarkStart w:id="24" w:name="_Toc161990752"/>
      <w:r>
        <w:t>Clause 12</w:t>
      </w:r>
      <w:r w:rsidR="009E37D0">
        <w:t xml:space="preserve"> – New </w:t>
      </w:r>
      <w:bookmarkEnd w:id="24"/>
      <w:r w:rsidR="005F2E9B">
        <w:t>Chapter 13</w:t>
      </w:r>
    </w:p>
    <w:p w14:paraId="293164A2" w14:textId="6185C9BC" w:rsidR="00A057A7" w:rsidRPr="00F679C2" w:rsidRDefault="005F2E9B" w:rsidP="00A057A7">
      <w:pPr>
        <w:rPr>
          <w:rFonts w:ascii="Arial" w:hAnsi="Arial" w:cs="Arial"/>
        </w:rPr>
      </w:pPr>
      <w:r>
        <w:rPr>
          <w:rFonts w:ascii="Arial" w:hAnsi="Arial" w:cs="Arial"/>
        </w:rPr>
        <w:t>Chapter 13</w:t>
      </w:r>
      <w:r w:rsidR="001B44A4" w:rsidRPr="00F679C2">
        <w:rPr>
          <w:rFonts w:ascii="Arial" w:hAnsi="Arial" w:cs="Arial"/>
        </w:rPr>
        <w:t xml:space="preserve"> provides for </w:t>
      </w:r>
      <w:r w:rsidR="000044E0" w:rsidRPr="00F679C2">
        <w:rPr>
          <w:rFonts w:ascii="Arial" w:hAnsi="Arial" w:cs="Arial"/>
        </w:rPr>
        <w:t>transitional</w:t>
      </w:r>
      <w:r w:rsidR="001B44A4" w:rsidRPr="00F679C2">
        <w:rPr>
          <w:rFonts w:ascii="Arial" w:hAnsi="Arial" w:cs="Arial"/>
        </w:rPr>
        <w:t xml:space="preserve"> amendments</w:t>
      </w:r>
      <w:r w:rsidR="00B63FBF" w:rsidRPr="00F679C2">
        <w:rPr>
          <w:rFonts w:ascii="Arial" w:hAnsi="Arial" w:cs="Arial"/>
        </w:rPr>
        <w:t xml:space="preserve">, noting that </w:t>
      </w:r>
      <w:r w:rsidR="00532470" w:rsidRPr="00F679C2">
        <w:rPr>
          <w:rFonts w:ascii="Arial" w:hAnsi="Arial" w:cs="Arial"/>
        </w:rPr>
        <w:t>commencement day mea</w:t>
      </w:r>
      <w:r w:rsidR="000044E0" w:rsidRPr="00F679C2">
        <w:rPr>
          <w:rFonts w:ascii="Arial" w:hAnsi="Arial" w:cs="Arial"/>
        </w:rPr>
        <w:t xml:space="preserve">ns the day the </w:t>
      </w:r>
      <w:r w:rsidR="000044E0" w:rsidRPr="00F679C2">
        <w:rPr>
          <w:rFonts w:ascii="Arial" w:hAnsi="Arial" w:cs="Arial"/>
          <w:i/>
          <w:iCs/>
        </w:rPr>
        <w:t>Crimes (Disclosure) Legislation Amendment Act 2024</w:t>
      </w:r>
      <w:r w:rsidR="000044E0" w:rsidRPr="00F679C2">
        <w:rPr>
          <w:rFonts w:ascii="Arial" w:hAnsi="Arial" w:cs="Arial"/>
        </w:rPr>
        <w:t xml:space="preserve">, section </w:t>
      </w:r>
      <w:r>
        <w:rPr>
          <w:rFonts w:ascii="Arial" w:hAnsi="Arial" w:cs="Arial"/>
        </w:rPr>
        <w:t>12</w:t>
      </w:r>
      <w:r w:rsidRPr="00F679C2">
        <w:rPr>
          <w:rFonts w:ascii="Arial" w:hAnsi="Arial" w:cs="Arial"/>
        </w:rPr>
        <w:t xml:space="preserve"> </w:t>
      </w:r>
      <w:r w:rsidR="000044E0" w:rsidRPr="00F679C2">
        <w:rPr>
          <w:rFonts w:ascii="Arial" w:hAnsi="Arial" w:cs="Arial"/>
        </w:rPr>
        <w:t xml:space="preserve">commences. </w:t>
      </w:r>
    </w:p>
    <w:p w14:paraId="2DB73C18" w14:textId="64992283" w:rsidR="00D06806" w:rsidRDefault="00D06806" w:rsidP="00A057A7">
      <w:pPr>
        <w:rPr>
          <w:rFonts w:ascii="Arial" w:hAnsi="Arial" w:cs="Arial"/>
        </w:rPr>
      </w:pPr>
      <w:r w:rsidRPr="00F679C2">
        <w:rPr>
          <w:rFonts w:ascii="Arial" w:hAnsi="Arial" w:cs="Arial"/>
        </w:rPr>
        <w:t>Section 166 provides that these amendments do not apply to proceedings begun before the commencement day. Section 167 provides that the amendments apply to protected confidences made before, on or after the commencement day</w:t>
      </w:r>
      <w:r w:rsidR="008D7068" w:rsidRPr="00F679C2">
        <w:rPr>
          <w:rFonts w:ascii="Arial" w:hAnsi="Arial" w:cs="Arial"/>
        </w:rPr>
        <w:t>, subject to section 16</w:t>
      </w:r>
      <w:r w:rsidR="005F2E9B">
        <w:rPr>
          <w:rFonts w:ascii="Arial" w:hAnsi="Arial" w:cs="Arial"/>
        </w:rPr>
        <w:t>6</w:t>
      </w:r>
      <w:r w:rsidR="008D7068" w:rsidRPr="00F679C2">
        <w:rPr>
          <w:rFonts w:ascii="Arial" w:hAnsi="Arial" w:cs="Arial"/>
        </w:rPr>
        <w:t xml:space="preserve">. </w:t>
      </w:r>
    </w:p>
    <w:p w14:paraId="1E74AE77" w14:textId="1B8AEEF8" w:rsidR="00D70F45" w:rsidRPr="00F679C2" w:rsidRDefault="00D70F45" w:rsidP="00A057A7">
      <w:pPr>
        <w:rPr>
          <w:rFonts w:ascii="Arial" w:hAnsi="Arial" w:cs="Arial"/>
        </w:rPr>
      </w:pPr>
      <w:r>
        <w:rPr>
          <w:rFonts w:ascii="Arial" w:hAnsi="Arial" w:cs="Arial"/>
        </w:rPr>
        <w:t xml:space="preserve">Section 168 provides that this part expires 3 years after the commencement day. </w:t>
      </w:r>
    </w:p>
    <w:p w14:paraId="47C825CA" w14:textId="6EC22D91" w:rsidR="00AA7A03" w:rsidRDefault="00AA7A03" w:rsidP="00AA7A03">
      <w:pPr>
        <w:pStyle w:val="Heading3"/>
      </w:pPr>
      <w:bookmarkStart w:id="25" w:name="_Toc161990753"/>
      <w:r>
        <w:t>Clause 13</w:t>
      </w:r>
      <w:r w:rsidR="00D70F45">
        <w:t xml:space="preserve"> – Dictionary, new definition of </w:t>
      </w:r>
      <w:r w:rsidR="00D70F45" w:rsidRPr="00D70F45">
        <w:rPr>
          <w:i/>
          <w:iCs/>
        </w:rPr>
        <w:t>counselled person</w:t>
      </w:r>
      <w:bookmarkEnd w:id="25"/>
    </w:p>
    <w:p w14:paraId="5D25C31A" w14:textId="42216371" w:rsidR="00D70F45" w:rsidRPr="007D7D1F" w:rsidRDefault="00214832" w:rsidP="00D70F45">
      <w:pPr>
        <w:rPr>
          <w:rFonts w:ascii="Arial" w:hAnsi="Arial" w:cs="Arial"/>
        </w:rPr>
      </w:pPr>
      <w:r w:rsidRPr="007D7D1F">
        <w:rPr>
          <w:rFonts w:ascii="Arial" w:hAnsi="Arial" w:cs="Arial"/>
        </w:rPr>
        <w:t xml:space="preserve">This clause inserts </w:t>
      </w:r>
      <w:r w:rsidR="00783CB9" w:rsidRPr="007D7D1F">
        <w:rPr>
          <w:rFonts w:ascii="Arial" w:hAnsi="Arial" w:cs="Arial"/>
        </w:rPr>
        <w:t xml:space="preserve">the definition of ‘counselled person’ </w:t>
      </w:r>
      <w:r w:rsidR="00653547" w:rsidRPr="007D7D1F">
        <w:rPr>
          <w:rFonts w:ascii="Arial" w:hAnsi="Arial" w:cs="Arial"/>
        </w:rPr>
        <w:t>for the purposes of division 4.4.3</w:t>
      </w:r>
      <w:r w:rsidR="007D7D1F" w:rsidRPr="007D7D1F">
        <w:rPr>
          <w:rFonts w:ascii="Arial" w:hAnsi="Arial" w:cs="Arial"/>
        </w:rPr>
        <w:t xml:space="preserve"> (sexual and family violence proceedings – protection of counselling communication) – see section 79</w:t>
      </w:r>
      <w:proofErr w:type="gramStart"/>
      <w:r w:rsidR="007D7D1F" w:rsidRPr="007D7D1F">
        <w:rPr>
          <w:rFonts w:ascii="Arial" w:hAnsi="Arial" w:cs="Arial"/>
        </w:rPr>
        <w:t>A(</w:t>
      </w:r>
      <w:proofErr w:type="gramEnd"/>
      <w:r w:rsidR="007D7D1F" w:rsidRPr="007D7D1F">
        <w:rPr>
          <w:rFonts w:ascii="Arial" w:hAnsi="Arial" w:cs="Arial"/>
        </w:rPr>
        <w:t>1).</w:t>
      </w:r>
    </w:p>
    <w:p w14:paraId="4B1C107D" w14:textId="10696A1D" w:rsidR="00FA04A3" w:rsidRDefault="00FA04A3" w:rsidP="00FA04A3">
      <w:pPr>
        <w:pStyle w:val="Heading3"/>
      </w:pPr>
      <w:bookmarkStart w:id="26" w:name="_Toc161990754"/>
      <w:r>
        <w:t>Part 4</w:t>
      </w:r>
      <w:r w:rsidR="00AA7A03">
        <w:t xml:space="preserve"> – </w:t>
      </w:r>
      <w:r>
        <w:t>Magistrates Court Act 1930</w:t>
      </w:r>
      <w:bookmarkEnd w:id="26"/>
      <w:r>
        <w:t xml:space="preserve"> </w:t>
      </w:r>
    </w:p>
    <w:p w14:paraId="6A2344F7" w14:textId="76D20082" w:rsidR="00FA04A3" w:rsidRDefault="00FA04A3" w:rsidP="00FA04A3">
      <w:pPr>
        <w:pStyle w:val="Heading3"/>
      </w:pPr>
      <w:bookmarkStart w:id="27" w:name="_Toc161990755"/>
      <w:r>
        <w:t>Clause 1</w:t>
      </w:r>
      <w:r w:rsidR="00AA7A03">
        <w:t>4</w:t>
      </w:r>
      <w:r>
        <w:t xml:space="preserve"> – Section 90</w:t>
      </w:r>
      <w:bookmarkEnd w:id="27"/>
    </w:p>
    <w:p w14:paraId="4F713896" w14:textId="74A40682" w:rsidR="00C422D2" w:rsidRPr="00CF07EA" w:rsidRDefault="00DD1213" w:rsidP="00C422D2">
      <w:pPr>
        <w:rPr>
          <w:rFonts w:ascii="Arial" w:hAnsi="Arial" w:cs="Arial"/>
        </w:rPr>
      </w:pPr>
      <w:r>
        <w:rPr>
          <w:rFonts w:ascii="Arial" w:hAnsi="Arial" w:cs="Arial"/>
        </w:rPr>
        <w:t>S</w:t>
      </w:r>
      <w:r w:rsidR="00C422D2" w:rsidRPr="00CF07EA">
        <w:rPr>
          <w:rFonts w:ascii="Arial" w:hAnsi="Arial" w:cs="Arial"/>
        </w:rPr>
        <w:t>ection 90 is substituted with new provisions that outline the disclosure obligation by the prosecutor as well as the content of the brief of evidence that the prosecutor must provide to the accused person</w:t>
      </w:r>
      <w:r w:rsidR="007B06F0">
        <w:rPr>
          <w:rFonts w:ascii="Arial" w:hAnsi="Arial" w:cs="Arial"/>
        </w:rPr>
        <w:t xml:space="preserve"> prior to a committal hearing. </w:t>
      </w:r>
    </w:p>
    <w:p w14:paraId="4274417D" w14:textId="23472B70" w:rsidR="00C422D2" w:rsidRPr="00E33A51" w:rsidRDefault="00C422D2" w:rsidP="00C422D2">
      <w:pPr>
        <w:rPr>
          <w:rFonts w:ascii="Arial" w:hAnsi="Arial" w:cs="Arial"/>
        </w:rPr>
      </w:pPr>
      <w:r w:rsidRPr="00E33A51">
        <w:rPr>
          <w:rFonts w:ascii="Arial" w:hAnsi="Arial" w:cs="Arial"/>
        </w:rPr>
        <w:t xml:space="preserve">Subsection (1) details the commencement of the </w:t>
      </w:r>
      <w:r w:rsidR="005035FE" w:rsidRPr="00E33A51">
        <w:rPr>
          <w:rFonts w:ascii="Arial" w:hAnsi="Arial" w:cs="Arial"/>
        </w:rPr>
        <w:t>Bill</w:t>
      </w:r>
      <w:r w:rsidRPr="00E33A51">
        <w:rPr>
          <w:rFonts w:ascii="Arial" w:hAnsi="Arial" w:cs="Arial"/>
        </w:rPr>
        <w:t xml:space="preserve"> and its application</w:t>
      </w:r>
      <w:r w:rsidR="005035FE" w:rsidRPr="00E33A51">
        <w:rPr>
          <w:rFonts w:ascii="Arial" w:hAnsi="Arial" w:cs="Arial"/>
        </w:rPr>
        <w:t>. This section applies to charges for indictable offences that happened on or after the day of commencement of the Crimes (Disclosure) Legislation Amendment Bill 2024 and when committal hearings are held in relation to those charges. Previous section 90 will continue to apply in relation to persons charged before the amendments commence.</w:t>
      </w:r>
    </w:p>
    <w:p w14:paraId="294D55ED" w14:textId="38A738C7" w:rsidR="005035FE" w:rsidRPr="00E33A51" w:rsidRDefault="005035FE" w:rsidP="00C422D2">
      <w:pPr>
        <w:rPr>
          <w:rFonts w:ascii="Arial" w:hAnsi="Arial" w:cs="Arial"/>
        </w:rPr>
      </w:pPr>
      <w:r w:rsidRPr="00E33A51">
        <w:rPr>
          <w:rFonts w:ascii="Arial" w:hAnsi="Arial" w:cs="Arial"/>
        </w:rPr>
        <w:lastRenderedPageBreak/>
        <w:t>Subsection (2) outlines the content of the brief of evidence that the prosecutor must provide to the accused person and the timeline within which it must be provided. The timeline for the brief of evidence to be provided will be determined by the court. If no timeline is provided by the court</w:t>
      </w:r>
      <w:r w:rsidR="00B404AC" w:rsidRPr="00E33A51">
        <w:rPr>
          <w:rFonts w:ascii="Arial" w:hAnsi="Arial" w:cs="Arial"/>
        </w:rPr>
        <w:t>,</w:t>
      </w:r>
      <w:r w:rsidRPr="00E33A51">
        <w:rPr>
          <w:rFonts w:ascii="Arial" w:hAnsi="Arial" w:cs="Arial"/>
        </w:rPr>
        <w:t xml:space="preserve"> then </w:t>
      </w:r>
      <w:r w:rsidR="00C10A92" w:rsidRPr="00E33A51">
        <w:rPr>
          <w:rFonts w:ascii="Arial" w:hAnsi="Arial" w:cs="Arial"/>
        </w:rPr>
        <w:t>the prosecution must provide the brief of evidence</w:t>
      </w:r>
      <w:r w:rsidR="00535D70" w:rsidRPr="00E33A51">
        <w:rPr>
          <w:rFonts w:ascii="Arial" w:hAnsi="Arial" w:cs="Arial"/>
        </w:rPr>
        <w:t xml:space="preserve"> not later than</w:t>
      </w:r>
      <w:r w:rsidR="00C10A92" w:rsidRPr="00E33A51">
        <w:rPr>
          <w:rFonts w:ascii="Arial" w:hAnsi="Arial" w:cs="Arial"/>
        </w:rPr>
        <w:t xml:space="preserve"> 28 days before the start of the committal hearing. </w:t>
      </w:r>
    </w:p>
    <w:p w14:paraId="3DABB75B" w14:textId="386E53C9" w:rsidR="00C10A92" w:rsidRPr="00E33A51" w:rsidRDefault="00CF5092" w:rsidP="00C422D2">
      <w:pPr>
        <w:rPr>
          <w:rFonts w:ascii="Arial" w:hAnsi="Arial" w:cs="Arial"/>
        </w:rPr>
      </w:pPr>
      <w:r w:rsidRPr="00E33A51">
        <w:rPr>
          <w:rFonts w:ascii="Arial" w:hAnsi="Arial" w:cs="Arial"/>
        </w:rPr>
        <w:t>Subsection (3) outlines the content of t</w:t>
      </w:r>
      <w:r w:rsidR="00C10A92" w:rsidRPr="00E33A51">
        <w:rPr>
          <w:rFonts w:ascii="Arial" w:hAnsi="Arial" w:cs="Arial"/>
        </w:rPr>
        <w:t>he brief of evidenc</w:t>
      </w:r>
      <w:r w:rsidRPr="00E33A51">
        <w:rPr>
          <w:rFonts w:ascii="Arial" w:hAnsi="Arial" w:cs="Arial"/>
        </w:rPr>
        <w:t xml:space="preserve">e that the prosecutor must provide to the accused person, which must include all written statements that will be tendered at the hearing, copies of </w:t>
      </w:r>
      <w:r w:rsidR="00675C5B" w:rsidRPr="00E33A51">
        <w:rPr>
          <w:rFonts w:ascii="Arial" w:hAnsi="Arial" w:cs="Arial"/>
        </w:rPr>
        <w:t>exhibits</w:t>
      </w:r>
      <w:r w:rsidRPr="00E33A51">
        <w:rPr>
          <w:rFonts w:ascii="Arial" w:hAnsi="Arial" w:cs="Arial"/>
        </w:rPr>
        <w:t xml:space="preserve"> to be tendered or notice to inspect those </w:t>
      </w:r>
      <w:r w:rsidR="00675C5B" w:rsidRPr="00E33A51">
        <w:rPr>
          <w:rFonts w:ascii="Arial" w:hAnsi="Arial" w:cs="Arial"/>
        </w:rPr>
        <w:t>exhibits</w:t>
      </w:r>
      <w:r w:rsidRPr="00E33A51">
        <w:rPr>
          <w:rFonts w:ascii="Arial" w:hAnsi="Arial" w:cs="Arial"/>
        </w:rPr>
        <w:t xml:space="preserve"> and any other information, document or other thing that comes to the possession of the prosecutor</w:t>
      </w:r>
      <w:r w:rsidR="00675C5B" w:rsidRPr="00E33A51">
        <w:rPr>
          <w:rFonts w:ascii="Arial" w:hAnsi="Arial" w:cs="Arial"/>
        </w:rPr>
        <w:t xml:space="preserve"> regardless of whether they can be admitted as evidence. This subsection is included to ensure that all evidence available to the prosecutor is made available to the accused person, even when that evidence is not admitted in court. This provision is introduced to ensure that no evidence remains hidden from the accused person, as long as that evidence is relevant or reasonably capable of being relevant to the prosecution or defence case and can affect the strength of the prosecution case. </w:t>
      </w:r>
      <w:r w:rsidR="00B404AC" w:rsidRPr="00E33A51">
        <w:rPr>
          <w:rFonts w:ascii="Arial" w:hAnsi="Arial" w:cs="Arial"/>
        </w:rPr>
        <w:t>Similarly, what is relevant or reasonably capable of being relevant is to be informed by common law regarding this concept.</w:t>
      </w:r>
    </w:p>
    <w:p w14:paraId="62C6805B" w14:textId="71FB279B" w:rsidR="00675C5B" w:rsidRPr="00E33A51" w:rsidRDefault="00675C5B" w:rsidP="00C422D2">
      <w:pPr>
        <w:rPr>
          <w:rFonts w:ascii="Arial" w:hAnsi="Arial" w:cs="Arial"/>
        </w:rPr>
      </w:pPr>
      <w:r w:rsidRPr="00E33A51">
        <w:rPr>
          <w:rFonts w:ascii="Arial" w:hAnsi="Arial" w:cs="Arial"/>
        </w:rPr>
        <w:t xml:space="preserve">Under </w:t>
      </w:r>
      <w:r w:rsidR="003252C0">
        <w:rPr>
          <w:rFonts w:ascii="Arial" w:hAnsi="Arial" w:cs="Arial"/>
        </w:rPr>
        <w:t>s</w:t>
      </w:r>
      <w:r w:rsidRPr="00E33A51">
        <w:rPr>
          <w:rFonts w:ascii="Arial" w:hAnsi="Arial" w:cs="Arial"/>
        </w:rPr>
        <w:t xml:space="preserve">ubsection (4), </w:t>
      </w:r>
      <w:proofErr w:type="gramStart"/>
      <w:r w:rsidRPr="00E33A51">
        <w:rPr>
          <w:rFonts w:ascii="Arial" w:hAnsi="Arial" w:cs="Arial"/>
        </w:rPr>
        <w:t>all of</w:t>
      </w:r>
      <w:proofErr w:type="gramEnd"/>
      <w:r w:rsidRPr="00E33A51">
        <w:rPr>
          <w:rFonts w:ascii="Arial" w:hAnsi="Arial" w:cs="Arial"/>
        </w:rPr>
        <w:t xml:space="preserve"> the aforementioned documents</w:t>
      </w:r>
      <w:r w:rsidR="00B404AC" w:rsidRPr="00E33A51">
        <w:rPr>
          <w:rFonts w:ascii="Arial" w:hAnsi="Arial" w:cs="Arial"/>
        </w:rPr>
        <w:t xml:space="preserve"> </w:t>
      </w:r>
      <w:r w:rsidRPr="00E33A51">
        <w:rPr>
          <w:rFonts w:ascii="Arial" w:hAnsi="Arial" w:cs="Arial"/>
        </w:rPr>
        <w:t xml:space="preserve">and exhibits must be filed in court before the date set for the committal hearing in accordance with the period prescribed by the court. </w:t>
      </w:r>
    </w:p>
    <w:p w14:paraId="563AA903" w14:textId="0C77A9A0" w:rsidR="00675C5B" w:rsidRPr="00E33A51" w:rsidRDefault="00675C5B" w:rsidP="00C422D2">
      <w:pPr>
        <w:rPr>
          <w:rFonts w:ascii="Arial" w:hAnsi="Arial" w:cs="Arial"/>
        </w:rPr>
      </w:pPr>
      <w:r w:rsidRPr="00E33A51">
        <w:rPr>
          <w:rFonts w:ascii="Arial" w:hAnsi="Arial" w:cs="Arial"/>
        </w:rPr>
        <w:t xml:space="preserve">Subsection (5) was introduced to clarify that the duty of disclosure by prosecutor is ongoing and continues throughout the court process, and after the committal hearing brief of evidence has been provided to the accused person. The prosecution is obliged to disclose new evidence as it becomes available, and as soon </w:t>
      </w:r>
      <w:r w:rsidR="007313F1" w:rsidRPr="00E33A51">
        <w:rPr>
          <w:rFonts w:ascii="Arial" w:hAnsi="Arial" w:cs="Arial"/>
        </w:rPr>
        <w:t>it comes to their possession or notice.</w:t>
      </w:r>
    </w:p>
    <w:p w14:paraId="6F29EE38" w14:textId="031BA64B" w:rsidR="007313F1" w:rsidRPr="00E33A51" w:rsidRDefault="007313F1" w:rsidP="00C422D2">
      <w:pPr>
        <w:rPr>
          <w:rFonts w:ascii="Arial" w:hAnsi="Arial" w:cs="Arial"/>
        </w:rPr>
      </w:pPr>
      <w:r w:rsidRPr="00E33A51">
        <w:rPr>
          <w:rFonts w:ascii="Arial" w:hAnsi="Arial" w:cs="Arial"/>
        </w:rPr>
        <w:t xml:space="preserve">Subsection (6) provides that where it is impracticable to copy the information or a document or other thing, the accused must be allowed to inspect, provided they agree to inspect it. </w:t>
      </w:r>
    </w:p>
    <w:p w14:paraId="0A26714A" w14:textId="4EDB10AB" w:rsidR="0027342D" w:rsidRPr="00E33A51" w:rsidRDefault="0027342D" w:rsidP="00E33A51">
      <w:pPr>
        <w:rPr>
          <w:rFonts w:ascii="Arial" w:hAnsi="Arial" w:cs="Arial"/>
          <w:i/>
          <w:iCs/>
        </w:rPr>
      </w:pPr>
      <w:r w:rsidRPr="00E33A51">
        <w:rPr>
          <w:rFonts w:ascii="Arial" w:hAnsi="Arial" w:cs="Arial"/>
          <w:i/>
          <w:iCs/>
        </w:rPr>
        <w:t>Section 90AAA</w:t>
      </w:r>
    </w:p>
    <w:p w14:paraId="3D4AB840" w14:textId="77777777" w:rsidR="009E3E77" w:rsidRDefault="0027342D" w:rsidP="00B318FC">
      <w:pPr>
        <w:rPr>
          <w:rFonts w:ascii="Arial" w:hAnsi="Arial" w:cs="Arial"/>
        </w:rPr>
      </w:pPr>
      <w:r w:rsidRPr="00E33A51">
        <w:rPr>
          <w:rFonts w:ascii="Arial" w:hAnsi="Arial" w:cs="Arial"/>
        </w:rPr>
        <w:t xml:space="preserve">This section provides that addresses and contact details of people must not generally be disclosed as part of pre-committal disclosure. </w:t>
      </w:r>
      <w:r w:rsidR="00B95DA5" w:rsidRPr="00E33A51">
        <w:rPr>
          <w:rFonts w:ascii="Arial" w:hAnsi="Arial" w:cs="Arial"/>
        </w:rPr>
        <w:t>The intention behind this provision is to ensure</w:t>
      </w:r>
      <w:r w:rsidR="00AD6BFA" w:rsidRPr="00E33A51">
        <w:rPr>
          <w:rFonts w:ascii="Arial" w:hAnsi="Arial" w:cs="Arial"/>
        </w:rPr>
        <w:t xml:space="preserve"> the right to privacy is </w:t>
      </w:r>
      <w:r w:rsidR="00C926F9" w:rsidRPr="00E33A51">
        <w:rPr>
          <w:rFonts w:ascii="Arial" w:hAnsi="Arial" w:cs="Arial"/>
        </w:rPr>
        <w:t xml:space="preserve">not limited by the disclosure scheme. </w:t>
      </w:r>
      <w:r w:rsidR="00F65CBA" w:rsidRPr="00E33A51">
        <w:rPr>
          <w:rFonts w:ascii="Arial" w:hAnsi="Arial" w:cs="Arial"/>
        </w:rPr>
        <w:t xml:space="preserve">This provision is mirrored in the </w:t>
      </w:r>
      <w:r w:rsidR="00F65CBA" w:rsidRPr="00E33A51">
        <w:rPr>
          <w:rFonts w:ascii="Arial" w:hAnsi="Arial" w:cs="Arial"/>
          <w:i/>
          <w:iCs/>
        </w:rPr>
        <w:t>Court Procedures Act 2004</w:t>
      </w:r>
      <w:r w:rsidR="00F65CBA" w:rsidRPr="00E33A51">
        <w:rPr>
          <w:rFonts w:ascii="Arial" w:hAnsi="Arial" w:cs="Arial"/>
        </w:rPr>
        <w:t xml:space="preserve"> above. </w:t>
      </w:r>
    </w:p>
    <w:p w14:paraId="225D0320" w14:textId="77777777" w:rsidR="009E3E77" w:rsidRPr="00E33A51" w:rsidRDefault="009E3E77" w:rsidP="009E3E77">
      <w:pPr>
        <w:rPr>
          <w:rFonts w:ascii="Arial" w:hAnsi="Arial" w:cs="Arial"/>
        </w:rPr>
      </w:pPr>
      <w:r>
        <w:rPr>
          <w:rFonts w:ascii="Arial" w:hAnsi="Arial" w:cs="Arial"/>
        </w:rPr>
        <w:t xml:space="preserve">The section specifically refers to ‘contact details’ and is not otherwise limited to a telephone number. No definition is included within this provision as it is the policy intention that this ‘contact details’ includes email, addresses, telephone numbers and social media account names. This section also provides examples to assist what can be redacted from documents. </w:t>
      </w:r>
    </w:p>
    <w:p w14:paraId="654D98DF" w14:textId="71B14094" w:rsidR="009E3E77" w:rsidRDefault="009E3E77" w:rsidP="009E3E77">
      <w:pPr>
        <w:rPr>
          <w:rFonts w:ascii="Arial" w:hAnsi="Arial" w:cs="Arial"/>
        </w:rPr>
      </w:pPr>
      <w:r w:rsidRPr="00E33A51">
        <w:rPr>
          <w:rFonts w:ascii="Arial" w:hAnsi="Arial" w:cs="Arial"/>
        </w:rPr>
        <w:t xml:space="preserve">This prosecution’s obligation will not apply only if the court is satisfied that it is in the interest of justice that the address and contact details are disclosed, either because the disclosure would not create a reasonably foreseeable risk to the welfare and safety of the </w:t>
      </w:r>
      <w:proofErr w:type="gramStart"/>
      <w:r w:rsidRPr="00E33A51">
        <w:rPr>
          <w:rFonts w:ascii="Arial" w:hAnsi="Arial" w:cs="Arial"/>
        </w:rPr>
        <w:t>person</w:t>
      </w:r>
      <w:proofErr w:type="gramEnd"/>
      <w:r w:rsidRPr="00E33A51">
        <w:rPr>
          <w:rFonts w:ascii="Arial" w:hAnsi="Arial" w:cs="Arial"/>
        </w:rPr>
        <w:t xml:space="preserve"> or the interest of justice outweighs the risk. </w:t>
      </w:r>
    </w:p>
    <w:p w14:paraId="40F6F976" w14:textId="7B5C62EF" w:rsidR="000C13A4" w:rsidRPr="00E33A51" w:rsidRDefault="000C13A4" w:rsidP="009E3E77">
      <w:pPr>
        <w:rPr>
          <w:rFonts w:ascii="Arial" w:hAnsi="Arial" w:cs="Arial"/>
        </w:rPr>
      </w:pPr>
      <w:r>
        <w:rPr>
          <w:rFonts w:ascii="Arial" w:hAnsi="Arial" w:cs="Arial"/>
        </w:rPr>
        <w:t>The court will maintain the discretion to make an order requiring the prosecutor to comply with subsection (2) in a particular way or subject to conditions to counterbalance the discretion given to the prosecution under subsection (2).</w:t>
      </w:r>
    </w:p>
    <w:p w14:paraId="50ED146D" w14:textId="027CFDC2" w:rsidR="0027342D" w:rsidRPr="00E33A51" w:rsidRDefault="0027342D" w:rsidP="00E33A51">
      <w:pPr>
        <w:rPr>
          <w:rFonts w:ascii="Arial" w:hAnsi="Arial" w:cs="Arial"/>
          <w:i/>
          <w:iCs/>
        </w:rPr>
      </w:pPr>
      <w:r w:rsidRPr="00E33A51">
        <w:rPr>
          <w:rFonts w:ascii="Arial" w:hAnsi="Arial" w:cs="Arial"/>
          <w:i/>
          <w:iCs/>
        </w:rPr>
        <w:lastRenderedPageBreak/>
        <w:t>Section 90AAB</w:t>
      </w:r>
    </w:p>
    <w:p w14:paraId="466A9858" w14:textId="061809E0" w:rsidR="0027342D" w:rsidRPr="00E33A51" w:rsidRDefault="00716489" w:rsidP="0027342D">
      <w:pPr>
        <w:rPr>
          <w:rFonts w:ascii="Arial" w:hAnsi="Arial" w:cs="Arial"/>
        </w:rPr>
      </w:pPr>
      <w:r w:rsidRPr="00E33A51">
        <w:rPr>
          <w:rFonts w:ascii="Arial" w:hAnsi="Arial" w:cs="Arial"/>
        </w:rPr>
        <w:t xml:space="preserve">This section provides for </w:t>
      </w:r>
      <w:r w:rsidR="00E16A2F" w:rsidRPr="00E33A51">
        <w:rPr>
          <w:rFonts w:ascii="Arial" w:hAnsi="Arial" w:cs="Arial"/>
        </w:rPr>
        <w:t xml:space="preserve">material used to give </w:t>
      </w:r>
      <w:r w:rsidR="00D47779">
        <w:rPr>
          <w:rFonts w:ascii="Arial" w:hAnsi="Arial" w:cs="Arial"/>
        </w:rPr>
        <w:t xml:space="preserve">an </w:t>
      </w:r>
      <w:r w:rsidR="00E16A2F" w:rsidRPr="00E33A51">
        <w:rPr>
          <w:rFonts w:ascii="Arial" w:hAnsi="Arial" w:cs="Arial"/>
        </w:rPr>
        <w:t>evidentiary certificate</w:t>
      </w:r>
      <w:r w:rsidR="003B0004" w:rsidRPr="00E33A51">
        <w:rPr>
          <w:rFonts w:ascii="Arial" w:hAnsi="Arial" w:cs="Arial"/>
        </w:rPr>
        <w:t xml:space="preserve"> need not to be disclos</w:t>
      </w:r>
      <w:r w:rsidR="00D47779">
        <w:rPr>
          <w:rFonts w:ascii="Arial" w:hAnsi="Arial" w:cs="Arial"/>
        </w:rPr>
        <w:t>ed</w:t>
      </w:r>
      <w:r w:rsidR="003B0004" w:rsidRPr="00E33A51">
        <w:rPr>
          <w:rFonts w:ascii="Arial" w:hAnsi="Arial" w:cs="Arial"/>
        </w:rPr>
        <w:t xml:space="preserve"> as part of pre-committal disclosure. </w:t>
      </w:r>
      <w:r w:rsidR="00F65CBA" w:rsidRPr="00E33A51">
        <w:rPr>
          <w:rFonts w:ascii="Arial" w:hAnsi="Arial" w:cs="Arial"/>
        </w:rPr>
        <w:t xml:space="preserve">This provision is mirrored in the </w:t>
      </w:r>
      <w:r w:rsidR="00F65CBA" w:rsidRPr="00E33A51">
        <w:rPr>
          <w:rFonts w:ascii="Arial" w:hAnsi="Arial" w:cs="Arial"/>
          <w:i/>
          <w:iCs/>
        </w:rPr>
        <w:t>Court Procedures Act 2004</w:t>
      </w:r>
      <w:r w:rsidR="00F65CBA" w:rsidRPr="00E33A51">
        <w:rPr>
          <w:rFonts w:ascii="Arial" w:hAnsi="Arial" w:cs="Arial"/>
        </w:rPr>
        <w:t xml:space="preserve"> above.</w:t>
      </w:r>
    </w:p>
    <w:p w14:paraId="3450D5CC" w14:textId="111FC071" w:rsidR="007313F1" w:rsidRPr="00E33A51" w:rsidRDefault="00224136" w:rsidP="00E33A51">
      <w:pPr>
        <w:rPr>
          <w:rFonts w:ascii="Arial" w:hAnsi="Arial" w:cs="Arial"/>
          <w:i/>
          <w:iCs/>
        </w:rPr>
      </w:pPr>
      <w:r w:rsidRPr="00E33A51">
        <w:rPr>
          <w:rFonts w:ascii="Arial" w:hAnsi="Arial" w:cs="Arial"/>
          <w:i/>
          <w:iCs/>
        </w:rPr>
        <w:t>Section 90AA</w:t>
      </w:r>
      <w:r w:rsidR="0027342D" w:rsidRPr="00E33A51">
        <w:rPr>
          <w:rFonts w:ascii="Arial" w:hAnsi="Arial" w:cs="Arial"/>
          <w:i/>
          <w:iCs/>
        </w:rPr>
        <w:t>C</w:t>
      </w:r>
      <w:r w:rsidRPr="00E33A51">
        <w:rPr>
          <w:rFonts w:ascii="Arial" w:hAnsi="Arial" w:cs="Arial"/>
          <w:i/>
          <w:iCs/>
        </w:rPr>
        <w:t xml:space="preserve"> </w:t>
      </w:r>
    </w:p>
    <w:p w14:paraId="154B236A" w14:textId="7FA2D706" w:rsidR="009866D9" w:rsidRDefault="00981D4B" w:rsidP="00224136">
      <w:pPr>
        <w:rPr>
          <w:rFonts w:ascii="Arial" w:hAnsi="Arial" w:cs="Arial"/>
        </w:rPr>
      </w:pPr>
      <w:r w:rsidRPr="00E33A51">
        <w:rPr>
          <w:rFonts w:ascii="Arial" w:hAnsi="Arial" w:cs="Arial"/>
        </w:rPr>
        <w:t>Section 90AA</w:t>
      </w:r>
      <w:r w:rsidR="003B0004" w:rsidRPr="00E33A51">
        <w:rPr>
          <w:rFonts w:ascii="Arial" w:hAnsi="Arial" w:cs="Arial"/>
        </w:rPr>
        <w:t>C</w:t>
      </w:r>
      <w:r w:rsidR="009866D9">
        <w:rPr>
          <w:rFonts w:ascii="Arial" w:hAnsi="Arial" w:cs="Arial"/>
        </w:rPr>
        <w:t xml:space="preserve">p does not limit another territory law that requires the prosecution in a criminal proceeding to disclose something to a person charged with an indictable offence in relation to a committal hearing. The section includes a note to clarify that territory law include the common law. </w:t>
      </w:r>
    </w:p>
    <w:p w14:paraId="2501D3DE" w14:textId="4B6CFE93" w:rsidR="00224136" w:rsidRPr="00E33A51" w:rsidRDefault="009866D9" w:rsidP="00224136">
      <w:pPr>
        <w:rPr>
          <w:rFonts w:ascii="Arial" w:hAnsi="Arial" w:cs="Arial"/>
        </w:rPr>
      </w:pPr>
      <w:r>
        <w:rPr>
          <w:rFonts w:ascii="Arial" w:hAnsi="Arial" w:cs="Arial"/>
        </w:rPr>
        <w:t>This section otherwise</w:t>
      </w:r>
      <w:r w:rsidR="00981D4B" w:rsidRPr="00E33A51">
        <w:rPr>
          <w:rFonts w:ascii="Arial" w:hAnsi="Arial" w:cs="Arial"/>
        </w:rPr>
        <w:t xml:space="preserve"> addresses the issue of immunity and restrictions on disclosure under other laws</w:t>
      </w:r>
      <w:r w:rsidR="003672ED" w:rsidRPr="00E33A51">
        <w:rPr>
          <w:rFonts w:ascii="Arial" w:hAnsi="Arial" w:cs="Arial"/>
        </w:rPr>
        <w:t xml:space="preserve"> in the ACT. The prosecutor will not be required to disclose anything that is the subject of claim of privilege or public interest immunity that is conferred by law applying in the ACT or elsewhere or it is the subject of a prohibition or restriction on disclosure to the accused person (a </w:t>
      </w:r>
      <w:r w:rsidR="00B404AC" w:rsidRPr="00E33A51">
        <w:rPr>
          <w:rFonts w:ascii="Arial" w:hAnsi="Arial" w:cs="Arial"/>
        </w:rPr>
        <w:t>non-disclosure</w:t>
      </w:r>
      <w:r w:rsidR="003672ED" w:rsidRPr="00E33A51">
        <w:rPr>
          <w:rFonts w:ascii="Arial" w:hAnsi="Arial" w:cs="Arial"/>
        </w:rPr>
        <w:t xml:space="preserve"> obligation)</w:t>
      </w:r>
      <w:r w:rsidR="00981D4B" w:rsidRPr="00E33A51">
        <w:rPr>
          <w:rFonts w:ascii="Arial" w:hAnsi="Arial" w:cs="Arial"/>
        </w:rPr>
        <w:t xml:space="preserve"> </w:t>
      </w:r>
      <w:r w:rsidR="003672ED" w:rsidRPr="00E33A51">
        <w:rPr>
          <w:rFonts w:ascii="Arial" w:hAnsi="Arial" w:cs="Arial"/>
        </w:rPr>
        <w:t xml:space="preserve">under ACT laws or other jurisdictional laws. </w:t>
      </w:r>
    </w:p>
    <w:p w14:paraId="47BF2F4E" w14:textId="3BBA2514" w:rsidR="003672ED" w:rsidRPr="00E33A51" w:rsidRDefault="003672ED" w:rsidP="00224136">
      <w:pPr>
        <w:rPr>
          <w:rFonts w:ascii="Arial" w:hAnsi="Arial" w:cs="Arial"/>
        </w:rPr>
      </w:pPr>
      <w:r w:rsidRPr="00E33A51">
        <w:rPr>
          <w:rFonts w:ascii="Arial" w:hAnsi="Arial" w:cs="Arial"/>
        </w:rPr>
        <w:t xml:space="preserve">Under subsection (4), for any evidence that is not disclosed in accordance with the above provision, the prosecutor must provide the accused person with a statement that describes the evidence with as much detail as possible, but not prejudicing the immunity privilege or contravening the non-disclosure obligation. The statement must also outline the nature of privilege, </w:t>
      </w:r>
      <w:proofErr w:type="gramStart"/>
      <w:r w:rsidRPr="00E33A51">
        <w:rPr>
          <w:rFonts w:ascii="Arial" w:hAnsi="Arial" w:cs="Arial"/>
        </w:rPr>
        <w:t>immunity</w:t>
      </w:r>
      <w:proofErr w:type="gramEnd"/>
      <w:r w:rsidRPr="00E33A51">
        <w:rPr>
          <w:rFonts w:ascii="Arial" w:hAnsi="Arial" w:cs="Arial"/>
        </w:rPr>
        <w:t xml:space="preserve"> or non-disclosure obligation. The statement must be included in the brief of evidence, or as per the ongoing disclosure obligation, if not included in the brief of evidence, must be provided as soon as the information becomes available to the </w:t>
      </w:r>
      <w:proofErr w:type="gramStart"/>
      <w:r w:rsidRPr="00E33A51">
        <w:rPr>
          <w:rFonts w:ascii="Arial" w:hAnsi="Arial" w:cs="Arial"/>
        </w:rPr>
        <w:t>prosecutor</w:t>
      </w:r>
      <w:proofErr w:type="gramEnd"/>
      <w:r w:rsidRPr="00E33A51">
        <w:rPr>
          <w:rFonts w:ascii="Arial" w:hAnsi="Arial" w:cs="Arial"/>
        </w:rPr>
        <w:t xml:space="preserve"> or they become aware of it. </w:t>
      </w:r>
    </w:p>
    <w:p w14:paraId="3513DB6A" w14:textId="50B4397B" w:rsidR="003672ED" w:rsidRPr="00E33A51" w:rsidRDefault="00C310BD" w:rsidP="00E33A51">
      <w:pPr>
        <w:rPr>
          <w:rFonts w:ascii="Arial" w:hAnsi="Arial" w:cs="Arial"/>
          <w:i/>
          <w:iCs/>
        </w:rPr>
      </w:pPr>
      <w:r w:rsidRPr="00E33A51">
        <w:rPr>
          <w:rFonts w:ascii="Arial" w:hAnsi="Arial" w:cs="Arial"/>
          <w:i/>
          <w:iCs/>
        </w:rPr>
        <w:t xml:space="preserve">Section </w:t>
      </w:r>
      <w:r w:rsidR="003672ED" w:rsidRPr="00E33A51">
        <w:rPr>
          <w:rFonts w:ascii="Arial" w:hAnsi="Arial" w:cs="Arial"/>
          <w:i/>
          <w:iCs/>
        </w:rPr>
        <w:t>90AA</w:t>
      </w:r>
      <w:r w:rsidR="0027342D" w:rsidRPr="00E33A51">
        <w:rPr>
          <w:rFonts w:ascii="Arial" w:hAnsi="Arial" w:cs="Arial"/>
          <w:i/>
          <w:iCs/>
        </w:rPr>
        <w:t>D</w:t>
      </w:r>
    </w:p>
    <w:p w14:paraId="7F5071BC" w14:textId="793A52BE" w:rsidR="003672ED" w:rsidRDefault="00C310BD" w:rsidP="003672ED">
      <w:pPr>
        <w:rPr>
          <w:rFonts w:ascii="Arial" w:hAnsi="Arial" w:cs="Arial"/>
        </w:rPr>
      </w:pPr>
      <w:r w:rsidRPr="00E33A51">
        <w:rPr>
          <w:rFonts w:ascii="Arial" w:hAnsi="Arial" w:cs="Arial"/>
        </w:rPr>
        <w:t>Section 90AA</w:t>
      </w:r>
      <w:r w:rsidR="00D47779">
        <w:rPr>
          <w:rFonts w:ascii="Arial" w:hAnsi="Arial" w:cs="Arial"/>
        </w:rPr>
        <w:t>D</w:t>
      </w:r>
      <w:r w:rsidRPr="00E33A51">
        <w:rPr>
          <w:rFonts w:ascii="Arial" w:hAnsi="Arial" w:cs="Arial"/>
        </w:rPr>
        <w:t xml:space="preserve"> is introduced to clarify that the prosecutor must comply with any request to inspect evidence the </w:t>
      </w:r>
      <w:r w:rsidRPr="00CF07EA">
        <w:rPr>
          <w:rFonts w:ascii="Arial" w:hAnsi="Arial" w:cs="Arial"/>
        </w:rPr>
        <w:t xml:space="preserve">existence of which is disclosed in the brief of evidence provided to the accused. The request to inspect may come from the accused person or their defence lawyers, and the prosecutor must comply with that request. While the accused person will be able to inspect the information or listen or view a recording, they will not be automatically allowed to make a copy or be provided with a copy of that recording. </w:t>
      </w:r>
    </w:p>
    <w:p w14:paraId="5BA673A5" w14:textId="5A07AE2A" w:rsidR="009E3E77" w:rsidRPr="00CF07EA" w:rsidRDefault="009E3E77" w:rsidP="003672ED">
      <w:pPr>
        <w:rPr>
          <w:rFonts w:ascii="Arial" w:hAnsi="Arial" w:cs="Arial"/>
        </w:rPr>
      </w:pPr>
      <w:r w:rsidRPr="00B318FC">
        <w:rPr>
          <w:rFonts w:ascii="Arial" w:hAnsi="Arial" w:cs="Arial"/>
        </w:rPr>
        <w:t xml:space="preserve">Under the ordinary principles of statutory interpretation, the specific obligations </w:t>
      </w:r>
      <w:proofErr w:type="gramStart"/>
      <w:r w:rsidRPr="00B318FC">
        <w:rPr>
          <w:rFonts w:ascii="Arial" w:hAnsi="Arial" w:cs="Arial"/>
        </w:rPr>
        <w:t>for the manner in which</w:t>
      </w:r>
      <w:proofErr w:type="gramEnd"/>
      <w:r w:rsidRPr="00B318FC">
        <w:rPr>
          <w:rFonts w:ascii="Arial" w:hAnsi="Arial" w:cs="Arial"/>
        </w:rPr>
        <w:t xml:space="preserve"> evidence is disclosed in other schemes, such as section 53 of the </w:t>
      </w:r>
      <w:r w:rsidRPr="00B318FC">
        <w:rPr>
          <w:rFonts w:ascii="Arial" w:hAnsi="Arial" w:cs="Arial"/>
          <w:i/>
          <w:iCs/>
        </w:rPr>
        <w:t>Evidence (Miscellaneous Provisions) Act 1991</w:t>
      </w:r>
      <w:r w:rsidRPr="00B318FC">
        <w:rPr>
          <w:rFonts w:ascii="Arial" w:hAnsi="Arial" w:cs="Arial"/>
        </w:rPr>
        <w:t xml:space="preserve">, will override the general obligation in this division. Section </w:t>
      </w:r>
      <w:r w:rsidR="007F6D1D">
        <w:rPr>
          <w:rFonts w:ascii="Arial" w:hAnsi="Arial" w:cs="Arial"/>
        </w:rPr>
        <w:t>108AH of this Bill</w:t>
      </w:r>
      <w:r w:rsidRPr="00B318FC">
        <w:rPr>
          <w:rFonts w:ascii="Arial" w:hAnsi="Arial" w:cs="Arial"/>
        </w:rPr>
        <w:t xml:space="preserve"> and section 55(4) of the </w:t>
      </w:r>
      <w:r w:rsidRPr="00B318FC">
        <w:rPr>
          <w:rFonts w:ascii="Arial" w:hAnsi="Arial" w:cs="Arial"/>
          <w:i/>
          <w:iCs/>
        </w:rPr>
        <w:t xml:space="preserve">Evidence (Miscellaneous Provisions) Act 1991 </w:t>
      </w:r>
      <w:r w:rsidRPr="00B318FC">
        <w:rPr>
          <w:rFonts w:ascii="Arial" w:hAnsi="Arial" w:cs="Arial"/>
        </w:rPr>
        <w:t xml:space="preserve">mean that information may be withheld from disclosure under this division and instead be disclosed only under section 53 to 55 of the </w:t>
      </w:r>
      <w:r w:rsidRPr="00B318FC">
        <w:rPr>
          <w:rFonts w:ascii="Arial" w:hAnsi="Arial" w:cs="Arial"/>
          <w:i/>
          <w:iCs/>
        </w:rPr>
        <w:t xml:space="preserve">Evidence (Miscellaneous Provisions) Act 1991. </w:t>
      </w:r>
      <w:r w:rsidRPr="00B318FC">
        <w:rPr>
          <w:rFonts w:ascii="Arial" w:hAnsi="Arial" w:cs="Arial"/>
        </w:rPr>
        <w:t xml:space="preserve">The obligation pursuant to section 76D is only in relation to access. The prosecution could thus allow access under this division by following the specific process for this kind of evidence as set out in section 53 to 55 of the </w:t>
      </w:r>
      <w:r w:rsidRPr="00B318FC">
        <w:rPr>
          <w:rFonts w:ascii="Arial" w:hAnsi="Arial" w:cs="Arial"/>
          <w:i/>
          <w:iCs/>
        </w:rPr>
        <w:t>Evidence (Miscellaneous Provisions) Act 1991.</w:t>
      </w:r>
    </w:p>
    <w:p w14:paraId="62138124" w14:textId="2C507041" w:rsidR="00BD628F" w:rsidRDefault="0071726E" w:rsidP="00E65AC9">
      <w:pPr>
        <w:pStyle w:val="Heading3"/>
      </w:pPr>
      <w:bookmarkStart w:id="28" w:name="_Toc161990756"/>
      <w:r>
        <w:lastRenderedPageBreak/>
        <w:t>Clause 15 – Written statements may be admitted in evidence</w:t>
      </w:r>
      <w:r w:rsidR="00DC15F1">
        <w:t xml:space="preserve"> Section 90</w:t>
      </w:r>
      <w:proofErr w:type="gramStart"/>
      <w:r w:rsidR="00DC15F1">
        <w:t>AA(</w:t>
      </w:r>
      <w:proofErr w:type="gramEnd"/>
      <w:r w:rsidR="00DC15F1">
        <w:t>1)</w:t>
      </w:r>
      <w:bookmarkEnd w:id="28"/>
    </w:p>
    <w:p w14:paraId="76B2E8A0" w14:textId="6C412E1C" w:rsidR="00BD628F" w:rsidRPr="00922BF9" w:rsidRDefault="00BD628F" w:rsidP="00BD628F">
      <w:pPr>
        <w:rPr>
          <w:rFonts w:ascii="Arial" w:hAnsi="Arial" w:cs="Arial"/>
        </w:rPr>
      </w:pPr>
      <w:r w:rsidRPr="00922BF9">
        <w:rPr>
          <w:rFonts w:ascii="Arial" w:hAnsi="Arial" w:cs="Arial"/>
        </w:rPr>
        <w:t>This</w:t>
      </w:r>
      <w:r w:rsidR="00922BF9" w:rsidRPr="00922BF9">
        <w:rPr>
          <w:rFonts w:ascii="Arial" w:hAnsi="Arial" w:cs="Arial"/>
        </w:rPr>
        <w:t xml:space="preserve"> section omits “the informant has served a copy of the written statement” and is replaced with “the prosecutor has served a copy of a written statement mentioned in section 90(3)(a)”.</w:t>
      </w:r>
      <w:r w:rsidR="00763188" w:rsidRPr="00763188">
        <w:rPr>
          <w:rFonts w:ascii="Arial" w:hAnsi="Arial" w:cs="Arial"/>
        </w:rPr>
        <w:t xml:space="preserve"> </w:t>
      </w:r>
      <w:r w:rsidR="00763188" w:rsidRPr="00535D70">
        <w:rPr>
          <w:rFonts w:ascii="Arial" w:hAnsi="Arial" w:cs="Arial"/>
        </w:rPr>
        <w:t>This is done to clarify that duty of disclosure rests with the prosecution.</w:t>
      </w:r>
    </w:p>
    <w:p w14:paraId="06D891BF" w14:textId="6CFC1C83" w:rsidR="00763188" w:rsidRPr="002835B2" w:rsidRDefault="00763188" w:rsidP="00E65AC9">
      <w:pPr>
        <w:pStyle w:val="Heading3"/>
        <w:rPr>
          <w:rFonts w:cs="Arial"/>
        </w:rPr>
      </w:pPr>
      <w:bookmarkStart w:id="29" w:name="_Toc161990757"/>
      <w:r w:rsidRPr="002835B2">
        <w:rPr>
          <w:rFonts w:cs="Arial"/>
        </w:rPr>
        <w:t>Clause 16 – New part 3.5A</w:t>
      </w:r>
      <w:bookmarkEnd w:id="29"/>
    </w:p>
    <w:p w14:paraId="2A625E19" w14:textId="6D1A315D" w:rsidR="00E65AC9" w:rsidRPr="00E33A51" w:rsidRDefault="00EC1CFF" w:rsidP="00224136">
      <w:pPr>
        <w:rPr>
          <w:rFonts w:ascii="Arial" w:hAnsi="Arial" w:cs="Arial"/>
        </w:rPr>
      </w:pPr>
      <w:r w:rsidRPr="00535D70">
        <w:rPr>
          <w:rFonts w:ascii="Arial" w:hAnsi="Arial" w:cs="Arial"/>
        </w:rPr>
        <w:t xml:space="preserve">New part 3.5A is added </w:t>
      </w:r>
      <w:r w:rsidR="00AE0045">
        <w:rPr>
          <w:rFonts w:ascii="Arial" w:hAnsi="Arial" w:cs="Arial"/>
        </w:rPr>
        <w:t xml:space="preserve">so that the </w:t>
      </w:r>
      <w:r w:rsidR="00017867">
        <w:rPr>
          <w:rFonts w:ascii="Arial" w:hAnsi="Arial" w:cs="Arial"/>
        </w:rPr>
        <w:t xml:space="preserve">pre-hearing </w:t>
      </w:r>
      <w:r w:rsidR="00AE0045">
        <w:rPr>
          <w:rFonts w:ascii="Arial" w:hAnsi="Arial" w:cs="Arial"/>
        </w:rPr>
        <w:t xml:space="preserve">disclosure </w:t>
      </w:r>
      <w:r w:rsidR="00017867">
        <w:rPr>
          <w:rFonts w:ascii="Arial" w:hAnsi="Arial" w:cs="Arial"/>
        </w:rPr>
        <w:t>obligations a</w:t>
      </w:r>
      <w:r w:rsidR="00D47779">
        <w:rPr>
          <w:rFonts w:ascii="Arial" w:hAnsi="Arial" w:cs="Arial"/>
        </w:rPr>
        <w:t>pply</w:t>
      </w:r>
      <w:r w:rsidR="00017867">
        <w:rPr>
          <w:rFonts w:ascii="Arial" w:hAnsi="Arial" w:cs="Arial"/>
        </w:rPr>
        <w:t xml:space="preserve"> to offences </w:t>
      </w:r>
      <w:r w:rsidR="00CD3885" w:rsidRPr="00E33A51">
        <w:rPr>
          <w:rFonts w:ascii="Arial" w:hAnsi="Arial" w:cs="Arial"/>
        </w:rPr>
        <w:t>punishable</w:t>
      </w:r>
      <w:r w:rsidR="00017867" w:rsidRPr="00E33A51">
        <w:rPr>
          <w:rFonts w:ascii="Arial" w:hAnsi="Arial" w:cs="Arial"/>
        </w:rPr>
        <w:t xml:space="preserve"> </w:t>
      </w:r>
      <w:r w:rsidR="00CD3885" w:rsidRPr="00E33A51">
        <w:rPr>
          <w:rFonts w:ascii="Arial" w:hAnsi="Arial" w:cs="Arial"/>
        </w:rPr>
        <w:t>summarily</w:t>
      </w:r>
      <w:r w:rsidR="00017867" w:rsidRPr="00E33A51">
        <w:rPr>
          <w:rFonts w:ascii="Arial" w:hAnsi="Arial" w:cs="Arial"/>
        </w:rPr>
        <w:t xml:space="preserve"> or an in</w:t>
      </w:r>
      <w:r w:rsidR="00CD3885" w:rsidRPr="00E33A51">
        <w:rPr>
          <w:rFonts w:ascii="Arial" w:hAnsi="Arial" w:cs="Arial"/>
        </w:rPr>
        <w:t xml:space="preserve">dictable offence being dealt with summarily. </w:t>
      </w:r>
    </w:p>
    <w:p w14:paraId="59869E79" w14:textId="3CAA32F6" w:rsidR="00EC1CFF" w:rsidRPr="00E33A51" w:rsidRDefault="00EC1CFF" w:rsidP="00E33A51">
      <w:pPr>
        <w:rPr>
          <w:rFonts w:ascii="Arial" w:hAnsi="Arial" w:cs="Arial"/>
          <w:i/>
          <w:iCs/>
        </w:rPr>
      </w:pPr>
      <w:r w:rsidRPr="00E33A51">
        <w:rPr>
          <w:rFonts w:ascii="Arial" w:hAnsi="Arial" w:cs="Arial"/>
          <w:i/>
          <w:iCs/>
        </w:rPr>
        <w:t xml:space="preserve">Section 108AA </w:t>
      </w:r>
    </w:p>
    <w:p w14:paraId="5AAC6F6D" w14:textId="399F46E0" w:rsidR="00EC1CFF" w:rsidRPr="00E33A51" w:rsidRDefault="00EC1CFF" w:rsidP="00224136">
      <w:pPr>
        <w:rPr>
          <w:rFonts w:ascii="Arial" w:hAnsi="Arial" w:cs="Arial"/>
        </w:rPr>
      </w:pPr>
      <w:r w:rsidRPr="00E33A51">
        <w:rPr>
          <w:rFonts w:ascii="Arial" w:hAnsi="Arial" w:cs="Arial"/>
        </w:rPr>
        <w:t>Subsection (1) clarifies that this part of the Bill applies to a criminal proceeding that begins on or after the day th</w:t>
      </w:r>
      <w:r w:rsidR="00B404AC" w:rsidRPr="00E33A51">
        <w:rPr>
          <w:rFonts w:ascii="Arial" w:hAnsi="Arial" w:cs="Arial"/>
        </w:rPr>
        <w:t xml:space="preserve">at </w:t>
      </w:r>
      <w:r w:rsidRPr="00E33A51">
        <w:rPr>
          <w:rFonts w:ascii="Arial" w:hAnsi="Arial" w:cs="Arial"/>
        </w:rPr>
        <w:t xml:space="preserve">section 13 of the Bill commences </w:t>
      </w:r>
      <w:r w:rsidR="00D14B51" w:rsidRPr="00E33A51">
        <w:rPr>
          <w:rFonts w:ascii="Arial" w:hAnsi="Arial" w:cs="Arial"/>
        </w:rPr>
        <w:t xml:space="preserve">where the defendant pleads not guilty to a summary offence, or an indictable offence being dealt with summarily. For those proceedings that are on foot prior to the commencement of this Bill, disclosure obligations pursuant to statute, the prosecution policy and the common law remain to apply. </w:t>
      </w:r>
    </w:p>
    <w:p w14:paraId="629F6BCB" w14:textId="56D55BC3" w:rsidR="00EC1CFF" w:rsidRPr="00E33A51" w:rsidRDefault="00EC1CFF" w:rsidP="00224136">
      <w:pPr>
        <w:rPr>
          <w:rFonts w:ascii="Arial" w:hAnsi="Arial" w:cs="Arial"/>
        </w:rPr>
      </w:pPr>
      <w:r w:rsidRPr="00E33A51">
        <w:rPr>
          <w:rFonts w:ascii="Arial" w:hAnsi="Arial" w:cs="Arial"/>
        </w:rPr>
        <w:t xml:space="preserve">Under subsection (2), the court </w:t>
      </w:r>
      <w:r w:rsidR="00D14B51" w:rsidRPr="00E33A51">
        <w:rPr>
          <w:rFonts w:ascii="Arial" w:hAnsi="Arial" w:cs="Arial"/>
        </w:rPr>
        <w:t xml:space="preserve">is enabled to waive the disclosure obligations to ensure matters are dealt with appropriately in any </w:t>
      </w:r>
      <w:proofErr w:type="gramStart"/>
      <w:r w:rsidR="00D14B51" w:rsidRPr="00E33A51">
        <w:rPr>
          <w:rFonts w:ascii="Arial" w:hAnsi="Arial" w:cs="Arial"/>
        </w:rPr>
        <w:t>particular proceeding</w:t>
      </w:r>
      <w:proofErr w:type="gramEnd"/>
      <w:r w:rsidR="00D14B51" w:rsidRPr="00E33A51">
        <w:rPr>
          <w:rFonts w:ascii="Arial" w:hAnsi="Arial" w:cs="Arial"/>
        </w:rPr>
        <w:t xml:space="preserve">. </w:t>
      </w:r>
    </w:p>
    <w:p w14:paraId="474674D7" w14:textId="3B58EB38" w:rsidR="00304C24" w:rsidRPr="00E33A51" w:rsidRDefault="00304C24" w:rsidP="00E33A51">
      <w:pPr>
        <w:rPr>
          <w:rFonts w:ascii="Arial" w:hAnsi="Arial" w:cs="Arial"/>
          <w:i/>
          <w:iCs/>
        </w:rPr>
      </w:pPr>
      <w:r w:rsidRPr="00E33A51">
        <w:rPr>
          <w:rFonts w:ascii="Arial" w:hAnsi="Arial" w:cs="Arial"/>
          <w:i/>
          <w:iCs/>
        </w:rPr>
        <w:t>Section 108AB</w:t>
      </w:r>
    </w:p>
    <w:p w14:paraId="454F1E51" w14:textId="63055A2C" w:rsidR="00304C24" w:rsidRPr="00E33A51" w:rsidRDefault="00304C24" w:rsidP="00224136">
      <w:pPr>
        <w:rPr>
          <w:rFonts w:ascii="Arial" w:hAnsi="Arial" w:cs="Arial"/>
        </w:rPr>
      </w:pPr>
      <w:r w:rsidRPr="00E33A51">
        <w:rPr>
          <w:rFonts w:ascii="Arial" w:hAnsi="Arial" w:cs="Arial"/>
        </w:rPr>
        <w:t>Subsection (1) outlines the timeframe for the prosecutor to provide the brief of evidence to the defendant who pleads not guilty about the offence that the proceeding is held for. The timetable for provision of the brief of evidence will be determined by the court</w:t>
      </w:r>
      <w:r w:rsidR="004802AB" w:rsidRPr="00E33A51">
        <w:rPr>
          <w:rFonts w:ascii="Arial" w:hAnsi="Arial" w:cs="Arial"/>
        </w:rPr>
        <w:t>, or if not determined by the court the prosecutor will have to provide the brief of evidence</w:t>
      </w:r>
      <w:r w:rsidR="00535D70" w:rsidRPr="00E33A51">
        <w:rPr>
          <w:rFonts w:ascii="Arial" w:hAnsi="Arial" w:cs="Arial"/>
        </w:rPr>
        <w:t xml:space="preserve"> not later than</w:t>
      </w:r>
      <w:r w:rsidR="004802AB" w:rsidRPr="00E33A51">
        <w:rPr>
          <w:rFonts w:ascii="Arial" w:hAnsi="Arial" w:cs="Arial"/>
        </w:rPr>
        <w:t xml:space="preserve"> 28 days before the date set for the court to hear the prosecution case. </w:t>
      </w:r>
    </w:p>
    <w:p w14:paraId="281C6F2A" w14:textId="77777777" w:rsidR="003D33DA" w:rsidRPr="00E33A51" w:rsidRDefault="004802AB" w:rsidP="003D33DA">
      <w:pPr>
        <w:rPr>
          <w:rFonts w:ascii="Arial" w:hAnsi="Arial" w:cs="Arial"/>
        </w:rPr>
      </w:pPr>
      <w:r w:rsidRPr="00E33A51">
        <w:rPr>
          <w:rFonts w:ascii="Arial" w:hAnsi="Arial" w:cs="Arial"/>
        </w:rPr>
        <w:t>Subsection (2) lists the content of the brief of evidence provided to the accused, which must include list of witnesses, any statements taken from witnesses, copies of documents or notices of the right to inspect the documents or exhibits</w:t>
      </w:r>
      <w:r w:rsidR="003D33DA" w:rsidRPr="00E33A51">
        <w:rPr>
          <w:rFonts w:ascii="Arial" w:hAnsi="Arial" w:cs="Arial"/>
        </w:rPr>
        <w:t xml:space="preserve"> or notice to inspect those exhibits and any other information, document or other thing that comes to the possession of the prosecutor.</w:t>
      </w:r>
    </w:p>
    <w:p w14:paraId="28A06902" w14:textId="05869F8D" w:rsidR="003D33DA" w:rsidRPr="00E33A51" w:rsidRDefault="003D33DA" w:rsidP="003D33DA">
      <w:pPr>
        <w:rPr>
          <w:rFonts w:ascii="Arial" w:hAnsi="Arial" w:cs="Arial"/>
        </w:rPr>
      </w:pPr>
      <w:r w:rsidRPr="00E33A51">
        <w:rPr>
          <w:rFonts w:ascii="Arial" w:hAnsi="Arial" w:cs="Arial"/>
        </w:rPr>
        <w:t xml:space="preserve">Subsection (3) specifies that the brief of evidence must include the evidence and information available to the prosecutor, regardless of whether they can be admitted as evidence. This subsection is included to ensure that all evidence available to the prosecutor is made available to the accused person, even when that evidence is not admitted in court. This provision is introduced to ensure that no evidence remains hidden from the accused person, as long as that evidence is relevant or reasonably capable of being relevant to the prosecution or defence case and can affect the strength of the prosecution case. </w:t>
      </w:r>
      <w:r w:rsidR="00D14B51" w:rsidRPr="00E33A51">
        <w:rPr>
          <w:rFonts w:ascii="Arial" w:hAnsi="Arial" w:cs="Arial"/>
        </w:rPr>
        <w:t xml:space="preserve">In respect of what is ‘relevant’, it is intended that the common law inform this concept. </w:t>
      </w:r>
    </w:p>
    <w:p w14:paraId="7B763C5C" w14:textId="135ED9FE" w:rsidR="003D33DA" w:rsidRPr="00E33A51" w:rsidRDefault="003D33DA" w:rsidP="003D33DA">
      <w:pPr>
        <w:rPr>
          <w:rFonts w:ascii="Arial" w:hAnsi="Arial" w:cs="Arial"/>
        </w:rPr>
      </w:pPr>
      <w:r w:rsidRPr="00E33A51">
        <w:rPr>
          <w:rFonts w:ascii="Arial" w:hAnsi="Arial" w:cs="Arial"/>
        </w:rPr>
        <w:t>Subsection (4) provides that where it is impracticable to copy the information or a document or other thing, the accused must be allowed to inspect, provided they agree to inspect it.</w:t>
      </w:r>
    </w:p>
    <w:p w14:paraId="1A7E01DC" w14:textId="7B3A56A5" w:rsidR="003D33DA" w:rsidRPr="00E33A51" w:rsidRDefault="003D33DA" w:rsidP="00E33A51">
      <w:pPr>
        <w:rPr>
          <w:rFonts w:ascii="Arial" w:hAnsi="Arial" w:cs="Arial"/>
          <w:i/>
          <w:iCs/>
        </w:rPr>
      </w:pPr>
      <w:r w:rsidRPr="00E33A51">
        <w:rPr>
          <w:rFonts w:ascii="Arial" w:hAnsi="Arial" w:cs="Arial"/>
          <w:i/>
          <w:iCs/>
        </w:rPr>
        <w:t>Section 108AC</w:t>
      </w:r>
    </w:p>
    <w:p w14:paraId="1F6929CC" w14:textId="010E73C0" w:rsidR="003D33DA" w:rsidRPr="00E33A51" w:rsidRDefault="009E3E77" w:rsidP="003D33DA">
      <w:pPr>
        <w:rPr>
          <w:rFonts w:ascii="Arial" w:hAnsi="Arial" w:cs="Arial"/>
        </w:rPr>
      </w:pPr>
      <w:r>
        <w:rPr>
          <w:rFonts w:ascii="Arial" w:hAnsi="Arial" w:cs="Arial"/>
        </w:rPr>
        <w:t xml:space="preserve">This provision provides that </w:t>
      </w:r>
      <w:r w:rsidR="003D33DA" w:rsidRPr="00E33A51">
        <w:rPr>
          <w:rFonts w:ascii="Arial" w:hAnsi="Arial" w:cs="Arial"/>
        </w:rPr>
        <w:t xml:space="preserve">the duty of disclosure by prosecutor is ongoing and continues throughout the court proceeding. The prosecution is obliged to disclose new evidence as it </w:t>
      </w:r>
      <w:r w:rsidR="003D33DA" w:rsidRPr="00E33A51">
        <w:rPr>
          <w:rFonts w:ascii="Arial" w:hAnsi="Arial" w:cs="Arial"/>
        </w:rPr>
        <w:lastRenderedPageBreak/>
        <w:t xml:space="preserve">becomes available, and as soon </w:t>
      </w:r>
      <w:r w:rsidR="00D47779">
        <w:rPr>
          <w:rFonts w:ascii="Arial" w:hAnsi="Arial" w:cs="Arial"/>
        </w:rPr>
        <w:t xml:space="preserve">as </w:t>
      </w:r>
      <w:r w:rsidR="003D33DA" w:rsidRPr="00E33A51">
        <w:rPr>
          <w:rFonts w:ascii="Arial" w:hAnsi="Arial" w:cs="Arial"/>
        </w:rPr>
        <w:t xml:space="preserve">it comes to their possession or notice. </w:t>
      </w:r>
      <w:r w:rsidR="00D14B51" w:rsidRPr="00E33A51">
        <w:rPr>
          <w:rFonts w:ascii="Arial" w:hAnsi="Arial" w:cs="Arial"/>
        </w:rPr>
        <w:t>It is intended that the prosecution may use such new evidence, provided they have disclosed it to the accused, even after their compliance with section 108AB.</w:t>
      </w:r>
    </w:p>
    <w:p w14:paraId="2B873D53" w14:textId="23275C85" w:rsidR="003D33DA" w:rsidRPr="00E33A51" w:rsidRDefault="003D33DA" w:rsidP="003D33DA">
      <w:pPr>
        <w:rPr>
          <w:rFonts w:ascii="Arial" w:hAnsi="Arial" w:cs="Arial"/>
        </w:rPr>
      </w:pPr>
      <w:r w:rsidRPr="00E33A51">
        <w:rPr>
          <w:rFonts w:ascii="Arial" w:hAnsi="Arial" w:cs="Arial"/>
        </w:rPr>
        <w:t>Subsection (2) provides</w:t>
      </w:r>
      <w:r w:rsidR="009E3E77">
        <w:rPr>
          <w:rFonts w:ascii="Arial" w:hAnsi="Arial" w:cs="Arial"/>
        </w:rPr>
        <w:t xml:space="preserve"> that the prosecutor must give the defendant a notice about the right to inspect information, a document, or another thing only if it is impracticable to copy the information, document or other things or the defendant agrees to inspect rather than receive a copy. </w:t>
      </w:r>
    </w:p>
    <w:p w14:paraId="20D402DD" w14:textId="3157C95F" w:rsidR="003D33DA" w:rsidRPr="00E33A51" w:rsidRDefault="003D33DA" w:rsidP="00E33A51">
      <w:pPr>
        <w:rPr>
          <w:rFonts w:ascii="Arial" w:hAnsi="Arial" w:cs="Arial"/>
          <w:i/>
          <w:iCs/>
        </w:rPr>
      </w:pPr>
      <w:r w:rsidRPr="00E33A51">
        <w:rPr>
          <w:rFonts w:ascii="Arial" w:hAnsi="Arial" w:cs="Arial"/>
          <w:i/>
          <w:iCs/>
        </w:rPr>
        <w:t>Section 108AD</w:t>
      </w:r>
    </w:p>
    <w:p w14:paraId="159E7D28" w14:textId="605B4F77" w:rsidR="003D33DA" w:rsidRPr="00E33A51" w:rsidRDefault="009F2794" w:rsidP="003D33DA">
      <w:pPr>
        <w:rPr>
          <w:rFonts w:ascii="Arial" w:hAnsi="Arial" w:cs="Arial"/>
        </w:rPr>
      </w:pPr>
      <w:r w:rsidRPr="00E33A51">
        <w:rPr>
          <w:rFonts w:ascii="Arial" w:hAnsi="Arial" w:cs="Arial"/>
        </w:rPr>
        <w:t xml:space="preserve">Section 108AD </w:t>
      </w:r>
      <w:r w:rsidR="003D33DA" w:rsidRPr="00E33A51">
        <w:rPr>
          <w:rFonts w:ascii="Arial" w:hAnsi="Arial" w:cs="Arial"/>
        </w:rPr>
        <w:t xml:space="preserve">is introduced to clarify that the prosecutor must comply with any request to inspect evidence the existence of which is disclosed in the brief of evidence provided to the accused. The request to inspect may come from the accused person or their defence lawyers, and the prosecutor must comply with that request. </w:t>
      </w:r>
    </w:p>
    <w:p w14:paraId="5B83D082" w14:textId="6F25671C" w:rsidR="000562E0" w:rsidRPr="00E33A51" w:rsidRDefault="000562E0" w:rsidP="00E33A51">
      <w:pPr>
        <w:rPr>
          <w:rFonts w:ascii="Arial" w:hAnsi="Arial" w:cs="Arial"/>
          <w:i/>
          <w:iCs/>
        </w:rPr>
      </w:pPr>
      <w:r w:rsidRPr="00E33A51">
        <w:rPr>
          <w:rFonts w:ascii="Arial" w:hAnsi="Arial" w:cs="Arial"/>
          <w:i/>
          <w:iCs/>
        </w:rPr>
        <w:t>Section 108AE</w:t>
      </w:r>
    </w:p>
    <w:p w14:paraId="4B91D94B" w14:textId="61CDE709" w:rsidR="009D0C4C" w:rsidRPr="00E33A51" w:rsidRDefault="009D0C4C" w:rsidP="009D0C4C">
      <w:pPr>
        <w:rPr>
          <w:rFonts w:ascii="Arial" w:hAnsi="Arial" w:cs="Arial"/>
        </w:rPr>
      </w:pPr>
      <w:r w:rsidRPr="00E33A51">
        <w:rPr>
          <w:rFonts w:ascii="Arial" w:hAnsi="Arial" w:cs="Arial"/>
        </w:rPr>
        <w:t xml:space="preserve">This section provides that addresses and contact details of people must not generally be disclosed </w:t>
      </w:r>
      <w:r w:rsidR="009866D9">
        <w:rPr>
          <w:rFonts w:ascii="Arial" w:hAnsi="Arial" w:cs="Arial"/>
        </w:rPr>
        <w:t>under Part 3.5A</w:t>
      </w:r>
      <w:r w:rsidRPr="00E33A51">
        <w:rPr>
          <w:rFonts w:ascii="Arial" w:hAnsi="Arial" w:cs="Arial"/>
        </w:rPr>
        <w:t xml:space="preserve">. The intention behind this provision is to ensure the right to privacy is not limited by the disclosure scheme. </w:t>
      </w:r>
      <w:r w:rsidR="00440801" w:rsidRPr="00E33A51">
        <w:rPr>
          <w:rFonts w:ascii="Arial" w:hAnsi="Arial" w:cs="Arial"/>
        </w:rPr>
        <w:t xml:space="preserve">This provision is mirrored in the </w:t>
      </w:r>
      <w:r w:rsidR="00440801" w:rsidRPr="00E33A51">
        <w:rPr>
          <w:rFonts w:ascii="Arial" w:hAnsi="Arial" w:cs="Arial"/>
          <w:i/>
          <w:iCs/>
        </w:rPr>
        <w:t>Court Procedures Act 2004 and Magistrates Court Act 1930</w:t>
      </w:r>
      <w:r w:rsidR="00440801" w:rsidRPr="00E33A51">
        <w:rPr>
          <w:rFonts w:ascii="Arial" w:hAnsi="Arial" w:cs="Arial"/>
        </w:rPr>
        <w:t xml:space="preserve"> above.</w:t>
      </w:r>
    </w:p>
    <w:p w14:paraId="03C5C1CA" w14:textId="1D8AA5EC" w:rsidR="00A42639" w:rsidRPr="00E33A51" w:rsidRDefault="00A42639" w:rsidP="00E33A51">
      <w:pPr>
        <w:rPr>
          <w:rFonts w:ascii="Arial" w:hAnsi="Arial" w:cs="Arial"/>
          <w:i/>
          <w:iCs/>
        </w:rPr>
      </w:pPr>
      <w:r w:rsidRPr="00E33A51">
        <w:rPr>
          <w:rFonts w:ascii="Arial" w:hAnsi="Arial" w:cs="Arial"/>
          <w:i/>
          <w:iCs/>
        </w:rPr>
        <w:t xml:space="preserve">Section </w:t>
      </w:r>
      <w:r w:rsidR="008907BE" w:rsidRPr="00E33A51">
        <w:rPr>
          <w:rFonts w:ascii="Arial" w:hAnsi="Arial" w:cs="Arial"/>
          <w:i/>
          <w:iCs/>
        </w:rPr>
        <w:t>108AF</w:t>
      </w:r>
    </w:p>
    <w:p w14:paraId="54A822E5" w14:textId="3325303E" w:rsidR="00A42639" w:rsidRPr="00E33A51" w:rsidRDefault="00A42639" w:rsidP="00A42639">
      <w:pPr>
        <w:rPr>
          <w:rFonts w:ascii="Arial" w:hAnsi="Arial" w:cs="Arial"/>
        </w:rPr>
      </w:pPr>
      <w:r w:rsidRPr="00E33A51">
        <w:rPr>
          <w:rFonts w:ascii="Arial" w:hAnsi="Arial" w:cs="Arial"/>
        </w:rPr>
        <w:t xml:space="preserve">This section provides </w:t>
      </w:r>
      <w:r w:rsidR="003252C0">
        <w:rPr>
          <w:rFonts w:ascii="Arial" w:hAnsi="Arial" w:cs="Arial"/>
        </w:rPr>
        <w:t>that</w:t>
      </w:r>
      <w:r w:rsidRPr="00E33A51">
        <w:rPr>
          <w:rFonts w:ascii="Arial" w:hAnsi="Arial" w:cs="Arial"/>
        </w:rPr>
        <w:t xml:space="preserve"> material used to give </w:t>
      </w:r>
      <w:r w:rsidR="003252C0">
        <w:rPr>
          <w:rFonts w:ascii="Arial" w:hAnsi="Arial" w:cs="Arial"/>
        </w:rPr>
        <w:t xml:space="preserve">an </w:t>
      </w:r>
      <w:r w:rsidRPr="00E33A51">
        <w:rPr>
          <w:rFonts w:ascii="Arial" w:hAnsi="Arial" w:cs="Arial"/>
        </w:rPr>
        <w:t>evidentiary certificate need not be disclos</w:t>
      </w:r>
      <w:r w:rsidR="00D47779">
        <w:rPr>
          <w:rFonts w:ascii="Arial" w:hAnsi="Arial" w:cs="Arial"/>
        </w:rPr>
        <w:t>ed</w:t>
      </w:r>
      <w:r w:rsidRPr="00E33A51">
        <w:rPr>
          <w:rFonts w:ascii="Arial" w:hAnsi="Arial" w:cs="Arial"/>
        </w:rPr>
        <w:t xml:space="preserve"> </w:t>
      </w:r>
      <w:r w:rsidR="007F6AEB" w:rsidRPr="00E33A51">
        <w:rPr>
          <w:rFonts w:ascii="Arial" w:hAnsi="Arial" w:cs="Arial"/>
        </w:rPr>
        <w:t>under</w:t>
      </w:r>
      <w:r w:rsidR="009866D9">
        <w:rPr>
          <w:rFonts w:ascii="Arial" w:hAnsi="Arial" w:cs="Arial"/>
        </w:rPr>
        <w:t xml:space="preserve"> Part 3.5A</w:t>
      </w:r>
      <w:r w:rsidR="007F6AEB" w:rsidRPr="00E33A51">
        <w:rPr>
          <w:rFonts w:ascii="Arial" w:hAnsi="Arial" w:cs="Arial"/>
        </w:rPr>
        <w:t>.</w:t>
      </w:r>
      <w:r w:rsidR="00440801" w:rsidRPr="00E33A51">
        <w:rPr>
          <w:rFonts w:ascii="Arial" w:hAnsi="Arial" w:cs="Arial"/>
        </w:rPr>
        <w:t xml:space="preserve"> This provision is mirrored in the </w:t>
      </w:r>
      <w:r w:rsidR="00440801" w:rsidRPr="00E33A51">
        <w:rPr>
          <w:rFonts w:ascii="Arial" w:hAnsi="Arial" w:cs="Arial"/>
          <w:i/>
          <w:iCs/>
        </w:rPr>
        <w:t>Court Procedures Act 2004 and Magistrates Court Act 1930</w:t>
      </w:r>
      <w:r w:rsidR="00440801" w:rsidRPr="00E33A51">
        <w:rPr>
          <w:rFonts w:ascii="Arial" w:hAnsi="Arial" w:cs="Arial"/>
        </w:rPr>
        <w:t xml:space="preserve"> above.</w:t>
      </w:r>
    </w:p>
    <w:p w14:paraId="469E04B6" w14:textId="0560E44D" w:rsidR="008907BE" w:rsidRPr="00E33A51" w:rsidRDefault="008907BE" w:rsidP="00E33A51">
      <w:pPr>
        <w:rPr>
          <w:rFonts w:ascii="Arial" w:hAnsi="Arial" w:cs="Arial"/>
          <w:i/>
          <w:iCs/>
        </w:rPr>
      </w:pPr>
      <w:r w:rsidRPr="00E33A51">
        <w:rPr>
          <w:rFonts w:ascii="Arial" w:hAnsi="Arial" w:cs="Arial"/>
          <w:i/>
          <w:iCs/>
        </w:rPr>
        <w:t>Section 108AG</w:t>
      </w:r>
    </w:p>
    <w:p w14:paraId="046BADFB" w14:textId="5593C226" w:rsidR="009F2794" w:rsidRPr="00E33A51" w:rsidRDefault="00D14B51" w:rsidP="009F2794">
      <w:pPr>
        <w:rPr>
          <w:rFonts w:ascii="Arial" w:hAnsi="Arial" w:cs="Arial"/>
        </w:rPr>
      </w:pPr>
      <w:r w:rsidRPr="00E33A51">
        <w:rPr>
          <w:rFonts w:ascii="Arial" w:hAnsi="Arial" w:cs="Arial"/>
        </w:rPr>
        <w:t xml:space="preserve">This section provides for the discretionary power of the court to refuse to admit evidence. </w:t>
      </w:r>
      <w:r w:rsidR="009F2794" w:rsidRPr="00E33A51">
        <w:rPr>
          <w:rFonts w:ascii="Arial" w:hAnsi="Arial" w:cs="Arial"/>
        </w:rPr>
        <w:t xml:space="preserve">In </w:t>
      </w:r>
      <w:r w:rsidRPr="00E33A51">
        <w:rPr>
          <w:rFonts w:ascii="Arial" w:hAnsi="Arial" w:cs="Arial"/>
        </w:rPr>
        <w:t>circumstances where</w:t>
      </w:r>
      <w:r w:rsidR="009F2794" w:rsidRPr="00E33A51">
        <w:rPr>
          <w:rFonts w:ascii="Arial" w:hAnsi="Arial" w:cs="Arial"/>
        </w:rPr>
        <w:t xml:space="preserve"> the prosecutor proposes to adduce evidence in a summary proceeding that they failed to previously disclose to the accused, the court can refuse to admit</w:t>
      </w:r>
      <w:r w:rsidR="00EE2A13" w:rsidRPr="00E33A51">
        <w:rPr>
          <w:rFonts w:ascii="Arial" w:hAnsi="Arial" w:cs="Arial"/>
        </w:rPr>
        <w:t xml:space="preserve"> such evidence</w:t>
      </w:r>
      <w:r w:rsidR="009F2794" w:rsidRPr="00E33A51">
        <w:rPr>
          <w:rFonts w:ascii="Arial" w:hAnsi="Arial" w:cs="Arial"/>
        </w:rPr>
        <w:t xml:space="preserve">. This is to ensure that the case for that party is not prejudiced by the late inclusion of evidence. </w:t>
      </w:r>
    </w:p>
    <w:p w14:paraId="0779A6EB" w14:textId="1EF87ECD" w:rsidR="00565954" w:rsidRPr="00E33A51" w:rsidRDefault="00565954" w:rsidP="00E33A51">
      <w:pPr>
        <w:rPr>
          <w:rFonts w:ascii="Arial" w:hAnsi="Arial" w:cs="Arial"/>
          <w:i/>
          <w:iCs/>
        </w:rPr>
      </w:pPr>
      <w:r w:rsidRPr="00E33A51">
        <w:rPr>
          <w:rFonts w:ascii="Arial" w:hAnsi="Arial" w:cs="Arial"/>
          <w:i/>
          <w:iCs/>
        </w:rPr>
        <w:t>Section 108AH</w:t>
      </w:r>
    </w:p>
    <w:p w14:paraId="5D7C4B90" w14:textId="34B88A8C" w:rsidR="009F2794" w:rsidRDefault="00565954" w:rsidP="003D33DA">
      <w:pPr>
        <w:rPr>
          <w:rFonts w:ascii="Arial" w:hAnsi="Arial" w:cs="Arial"/>
        </w:rPr>
      </w:pPr>
      <w:r w:rsidRPr="00CB6BBF">
        <w:rPr>
          <w:rFonts w:ascii="Arial" w:hAnsi="Arial" w:cs="Arial"/>
        </w:rPr>
        <w:t xml:space="preserve">This section </w:t>
      </w:r>
      <w:r w:rsidR="00597165" w:rsidRPr="00CB6BBF">
        <w:rPr>
          <w:rFonts w:ascii="Arial" w:hAnsi="Arial" w:cs="Arial"/>
        </w:rPr>
        <w:t>provides</w:t>
      </w:r>
      <w:r w:rsidRPr="00CB6BBF">
        <w:rPr>
          <w:rFonts w:ascii="Arial" w:hAnsi="Arial" w:cs="Arial"/>
        </w:rPr>
        <w:t xml:space="preserve"> for the effect of </w:t>
      </w:r>
      <w:r w:rsidR="009866D9">
        <w:rPr>
          <w:rFonts w:ascii="Arial" w:hAnsi="Arial" w:cs="Arial"/>
        </w:rPr>
        <w:t>Part 3.5A</w:t>
      </w:r>
      <w:r w:rsidRPr="00CB6BBF">
        <w:rPr>
          <w:rFonts w:ascii="Arial" w:hAnsi="Arial" w:cs="Arial"/>
        </w:rPr>
        <w:t xml:space="preserve"> on other laws</w:t>
      </w:r>
      <w:r w:rsidR="00597165" w:rsidRPr="00CB6BBF">
        <w:rPr>
          <w:rFonts w:ascii="Arial" w:hAnsi="Arial" w:cs="Arial"/>
        </w:rPr>
        <w:t xml:space="preserve">, noting that it does </w:t>
      </w:r>
      <w:r w:rsidR="00624B1B" w:rsidRPr="00CB6BBF">
        <w:rPr>
          <w:rFonts w:ascii="Arial" w:hAnsi="Arial" w:cs="Arial"/>
        </w:rPr>
        <w:t xml:space="preserve">not limit </w:t>
      </w:r>
      <w:r w:rsidR="00544F47" w:rsidRPr="00CB6BBF">
        <w:rPr>
          <w:rFonts w:ascii="Arial" w:hAnsi="Arial" w:cs="Arial"/>
        </w:rPr>
        <w:t xml:space="preserve">another territory law that requires the prosecution in a criminal proceeding to disclose something to a defendant. </w:t>
      </w:r>
      <w:r w:rsidR="009866D9">
        <w:rPr>
          <w:rFonts w:ascii="Arial" w:hAnsi="Arial" w:cs="Arial"/>
        </w:rPr>
        <w:t xml:space="preserve">The section includes a note to clarify that territory law also includes common law. </w:t>
      </w:r>
      <w:r w:rsidR="00F70C79" w:rsidRPr="00CB6BBF">
        <w:rPr>
          <w:rFonts w:ascii="Arial" w:hAnsi="Arial" w:cs="Arial"/>
        </w:rPr>
        <w:t>This section provides for whe</w:t>
      </w:r>
      <w:r w:rsidR="0004388C">
        <w:rPr>
          <w:rFonts w:ascii="Arial" w:hAnsi="Arial" w:cs="Arial"/>
        </w:rPr>
        <w:t>n</w:t>
      </w:r>
      <w:r w:rsidR="00F70C79" w:rsidRPr="00CB6BBF">
        <w:rPr>
          <w:rFonts w:ascii="Arial" w:hAnsi="Arial" w:cs="Arial"/>
        </w:rPr>
        <w:t xml:space="preserve"> the obligation of disclosure is not </w:t>
      </w:r>
      <w:r w:rsidR="00112D8E" w:rsidRPr="00CB6BBF">
        <w:rPr>
          <w:rFonts w:ascii="Arial" w:hAnsi="Arial" w:cs="Arial"/>
        </w:rPr>
        <w:t>required</w:t>
      </w:r>
      <w:r w:rsidR="0004388C">
        <w:rPr>
          <w:rFonts w:ascii="Arial" w:hAnsi="Arial" w:cs="Arial"/>
        </w:rPr>
        <w:t xml:space="preserve">, </w:t>
      </w:r>
      <w:r w:rsidR="00112D8E" w:rsidRPr="00CB6BBF">
        <w:rPr>
          <w:rFonts w:ascii="Arial" w:hAnsi="Arial" w:cs="Arial"/>
        </w:rPr>
        <w:t>that is</w:t>
      </w:r>
      <w:r w:rsidR="0004388C">
        <w:rPr>
          <w:rFonts w:ascii="Arial" w:hAnsi="Arial" w:cs="Arial"/>
        </w:rPr>
        <w:t xml:space="preserve"> anything that is</w:t>
      </w:r>
      <w:r w:rsidR="00112D8E" w:rsidRPr="00CB6BBF">
        <w:rPr>
          <w:rFonts w:ascii="Arial" w:hAnsi="Arial" w:cs="Arial"/>
        </w:rPr>
        <w:t xml:space="preserve"> subject to a claim of privilege or public interest immunity, an immunity conferred by a law or prohibition or restriction under a law</w:t>
      </w:r>
      <w:r w:rsidR="00B138BD" w:rsidRPr="00CB6BBF">
        <w:rPr>
          <w:rFonts w:ascii="Arial" w:hAnsi="Arial" w:cs="Arial"/>
        </w:rPr>
        <w:t xml:space="preserve"> on the disclosure of the thing to the defendant. This section provides that where</w:t>
      </w:r>
      <w:r w:rsidR="000C0E92" w:rsidRPr="00CB6BBF">
        <w:rPr>
          <w:rFonts w:ascii="Arial" w:hAnsi="Arial" w:cs="Arial"/>
        </w:rPr>
        <w:t xml:space="preserve"> something is not disclosed by virtue of</w:t>
      </w:r>
      <w:r w:rsidR="00630A58" w:rsidRPr="00CB6BBF">
        <w:rPr>
          <w:rFonts w:ascii="Arial" w:hAnsi="Arial" w:cs="Arial"/>
        </w:rPr>
        <w:t xml:space="preserve"> subsection (2), the prosecution </w:t>
      </w:r>
      <w:r w:rsidR="000B1462" w:rsidRPr="00CB6BBF">
        <w:rPr>
          <w:rFonts w:ascii="Arial" w:hAnsi="Arial" w:cs="Arial"/>
        </w:rPr>
        <w:t>must provide a statement to the defendant that</w:t>
      </w:r>
      <w:r w:rsidR="00073B73" w:rsidRPr="00CB6BBF">
        <w:rPr>
          <w:rFonts w:ascii="Arial" w:hAnsi="Arial" w:cs="Arial"/>
        </w:rPr>
        <w:t xml:space="preserve"> describes the thing</w:t>
      </w:r>
      <w:r w:rsidR="00523378" w:rsidRPr="00CB6BBF">
        <w:rPr>
          <w:rFonts w:ascii="Arial" w:hAnsi="Arial" w:cs="Arial"/>
        </w:rPr>
        <w:t xml:space="preserve"> </w:t>
      </w:r>
      <w:r w:rsidR="00D91D0A" w:rsidRPr="00CB6BBF">
        <w:rPr>
          <w:rFonts w:ascii="Arial" w:hAnsi="Arial" w:cs="Arial"/>
        </w:rPr>
        <w:t>without prejudicing a claim o intended claim or immunity or</w:t>
      </w:r>
      <w:r w:rsidR="0087418C" w:rsidRPr="00CB6BBF">
        <w:rPr>
          <w:rFonts w:ascii="Arial" w:hAnsi="Arial" w:cs="Arial"/>
        </w:rPr>
        <w:t xml:space="preserve"> contrav</w:t>
      </w:r>
      <w:r w:rsidR="009E35C9" w:rsidRPr="00CB6BBF">
        <w:rPr>
          <w:rFonts w:ascii="Arial" w:hAnsi="Arial" w:cs="Arial"/>
        </w:rPr>
        <w:t>ene a non-</w:t>
      </w:r>
      <w:r w:rsidR="00CB6BBF" w:rsidRPr="00CB6BBF">
        <w:rPr>
          <w:rFonts w:ascii="Arial" w:hAnsi="Arial" w:cs="Arial"/>
        </w:rPr>
        <w:t>disclosure</w:t>
      </w:r>
      <w:r w:rsidR="009E35C9" w:rsidRPr="00CB6BBF">
        <w:rPr>
          <w:rFonts w:ascii="Arial" w:hAnsi="Arial" w:cs="Arial"/>
        </w:rPr>
        <w:t xml:space="preserve"> obligation and ou</w:t>
      </w:r>
      <w:r w:rsidR="00CB6BBF" w:rsidRPr="00CB6BBF">
        <w:rPr>
          <w:rFonts w:ascii="Arial" w:hAnsi="Arial" w:cs="Arial"/>
        </w:rPr>
        <w:t>t</w:t>
      </w:r>
      <w:r w:rsidR="009E35C9" w:rsidRPr="00CB6BBF">
        <w:rPr>
          <w:rFonts w:ascii="Arial" w:hAnsi="Arial" w:cs="Arial"/>
        </w:rPr>
        <w:t>lines the nature of the claim</w:t>
      </w:r>
      <w:r w:rsidR="00CB6BBF" w:rsidRPr="00CB6BBF">
        <w:rPr>
          <w:rFonts w:ascii="Arial" w:hAnsi="Arial" w:cs="Arial"/>
        </w:rPr>
        <w:t xml:space="preserve"> for the non-disclosure. </w:t>
      </w:r>
    </w:p>
    <w:p w14:paraId="61ECC6AE" w14:textId="487A165F" w:rsidR="00177E70" w:rsidRDefault="00177E70" w:rsidP="00177E70">
      <w:pPr>
        <w:pStyle w:val="Heading3"/>
        <w:rPr>
          <w:rFonts w:cs="Arial"/>
        </w:rPr>
      </w:pPr>
      <w:bookmarkStart w:id="30" w:name="_Toc161990758"/>
      <w:r w:rsidRPr="002835B2">
        <w:rPr>
          <w:rFonts w:cs="Arial"/>
        </w:rPr>
        <w:lastRenderedPageBreak/>
        <w:t>Clause 1</w:t>
      </w:r>
      <w:r>
        <w:rPr>
          <w:rFonts w:cs="Arial"/>
        </w:rPr>
        <w:t>7</w:t>
      </w:r>
      <w:r w:rsidRPr="002835B2">
        <w:rPr>
          <w:rFonts w:cs="Arial"/>
        </w:rPr>
        <w:t xml:space="preserve"> – New </w:t>
      </w:r>
      <w:r>
        <w:rPr>
          <w:rFonts w:cs="Arial"/>
        </w:rPr>
        <w:t>Chapter</w:t>
      </w:r>
      <w:bookmarkEnd w:id="30"/>
    </w:p>
    <w:p w14:paraId="7CFFCF18" w14:textId="503B46E6" w:rsidR="003D33DA" w:rsidRPr="00C422D2" w:rsidRDefault="00C861A7" w:rsidP="00224136">
      <w:r w:rsidRPr="009220D7">
        <w:rPr>
          <w:rFonts w:ascii="Arial" w:hAnsi="Arial" w:cs="Arial"/>
        </w:rPr>
        <w:t xml:space="preserve">New Chapter </w:t>
      </w:r>
      <w:r w:rsidR="00706C40" w:rsidRPr="009220D7">
        <w:rPr>
          <w:rFonts w:ascii="Arial" w:hAnsi="Arial" w:cs="Arial"/>
        </w:rPr>
        <w:t xml:space="preserve">15 provides for transitional provisions to </w:t>
      </w:r>
      <w:r w:rsidR="00633212" w:rsidRPr="009220D7">
        <w:rPr>
          <w:rFonts w:ascii="Arial" w:hAnsi="Arial" w:cs="Arial"/>
        </w:rPr>
        <w:t>ens</w:t>
      </w:r>
      <w:r w:rsidR="001005AE" w:rsidRPr="009220D7">
        <w:rPr>
          <w:rFonts w:ascii="Arial" w:hAnsi="Arial" w:cs="Arial"/>
        </w:rPr>
        <w:t>ure that the existing provisions of section 90 and 90</w:t>
      </w:r>
      <w:proofErr w:type="gramStart"/>
      <w:r w:rsidR="001005AE" w:rsidRPr="009220D7">
        <w:rPr>
          <w:rFonts w:ascii="Arial" w:hAnsi="Arial" w:cs="Arial"/>
        </w:rPr>
        <w:t>AA(</w:t>
      </w:r>
      <w:proofErr w:type="gramEnd"/>
      <w:r w:rsidR="001005AE" w:rsidRPr="009220D7">
        <w:rPr>
          <w:rFonts w:ascii="Arial" w:hAnsi="Arial" w:cs="Arial"/>
        </w:rPr>
        <w:t>1)</w:t>
      </w:r>
      <w:r w:rsidR="00371478" w:rsidRPr="009220D7">
        <w:rPr>
          <w:rFonts w:ascii="Arial" w:hAnsi="Arial" w:cs="Arial"/>
        </w:rPr>
        <w:t xml:space="preserve"> continue to apply if a person was charged with an indictable offence</w:t>
      </w:r>
      <w:r w:rsidR="009C681C" w:rsidRPr="009220D7">
        <w:rPr>
          <w:rFonts w:ascii="Arial" w:hAnsi="Arial" w:cs="Arial"/>
        </w:rPr>
        <w:t xml:space="preserve"> before the commencement day and a committal hearing is to be held in relation to the char</w:t>
      </w:r>
      <w:r w:rsidR="00023A14" w:rsidRPr="009220D7">
        <w:rPr>
          <w:rFonts w:ascii="Arial" w:hAnsi="Arial" w:cs="Arial"/>
        </w:rPr>
        <w:t xml:space="preserve">ge. Section 90AAA to 90AAD do not apply in relation to the accused person. Existing laws regarding </w:t>
      </w:r>
      <w:r w:rsidR="00D80960" w:rsidRPr="009220D7">
        <w:rPr>
          <w:rFonts w:ascii="Arial" w:hAnsi="Arial" w:cs="Arial"/>
        </w:rPr>
        <w:t xml:space="preserve">disclosure including the prosecution policy and common law continue to apply in this regard. </w:t>
      </w:r>
      <w:r w:rsidR="009220D7" w:rsidRPr="009220D7">
        <w:rPr>
          <w:rFonts w:ascii="Arial" w:hAnsi="Arial" w:cs="Arial"/>
        </w:rPr>
        <w:t xml:space="preserve">This chapter otherwise expires 2 years after the commencement day. </w:t>
      </w:r>
    </w:p>
    <w:sectPr w:rsidR="003D33DA" w:rsidRPr="00C422D2">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08CF9" w14:textId="77777777" w:rsidR="003E6531" w:rsidRDefault="003E6531" w:rsidP="00E90DF9">
      <w:pPr>
        <w:spacing w:after="0" w:line="240" w:lineRule="auto"/>
      </w:pPr>
      <w:r>
        <w:separator/>
      </w:r>
    </w:p>
  </w:endnote>
  <w:endnote w:type="continuationSeparator" w:id="0">
    <w:p w14:paraId="5FBBE3CC" w14:textId="77777777" w:rsidR="003E6531" w:rsidRDefault="003E6531" w:rsidP="00E90DF9">
      <w:pPr>
        <w:spacing w:after="0" w:line="240" w:lineRule="auto"/>
      </w:pPr>
      <w:r>
        <w:continuationSeparator/>
      </w:r>
    </w:p>
  </w:endnote>
  <w:endnote w:type="continuationNotice" w:id="1">
    <w:p w14:paraId="2C5C7A46" w14:textId="77777777" w:rsidR="003E6531" w:rsidRDefault="003E65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9228" w14:textId="2A97F596" w:rsidR="00D8448A" w:rsidRPr="00FB041E" w:rsidRDefault="0030632A" w:rsidP="0030632A">
    <w:pPr>
      <w:pStyle w:val="Footer"/>
      <w:jc w:val="center"/>
      <w:rPr>
        <w:rFonts w:cs="Arial"/>
        <w:sz w:val="14"/>
      </w:rPr>
    </w:pPr>
    <w:r w:rsidRPr="00FB041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85B3" w14:textId="77777777" w:rsidR="00E90DF9" w:rsidRDefault="00E90DF9">
    <w:pPr>
      <w:pStyle w:val="Footer"/>
      <w:jc w:val="right"/>
    </w:pPr>
  </w:p>
  <w:p w14:paraId="7B511C0F" w14:textId="77777777" w:rsidR="00E90DF9" w:rsidRPr="00DC5912" w:rsidRDefault="00E90D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7831" w14:textId="77777777" w:rsidR="00E90DF9" w:rsidRDefault="00E90DF9">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372178DC" w14:textId="20F676CC" w:rsidR="00D8448A" w:rsidRPr="0030632A" w:rsidRDefault="0030632A" w:rsidP="0030632A">
    <w:pPr>
      <w:pStyle w:val="Footer"/>
      <w:spacing w:before="60" w:line="240" w:lineRule="auto"/>
      <w:jc w:val="center"/>
      <w:rPr>
        <w:rFonts w:cs="Arial"/>
        <w:sz w:val="14"/>
      </w:rPr>
    </w:pPr>
    <w:r w:rsidRPr="0030632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3668" w14:textId="77777777" w:rsidR="00E90DF9" w:rsidRDefault="00E90DF9">
    <w:pPr>
      <w:pStyle w:val="Footer"/>
      <w:jc w:val="right"/>
    </w:pPr>
    <w:r>
      <w:fldChar w:fldCharType="begin"/>
    </w:r>
    <w:r>
      <w:instrText xml:space="preserve"> PAGE   \* MERGEFORMAT </w:instrText>
    </w:r>
    <w:r>
      <w:fldChar w:fldCharType="separate"/>
    </w:r>
    <w:r>
      <w:rPr>
        <w:noProof/>
      </w:rPr>
      <w:t>1</w:t>
    </w:r>
    <w:r>
      <w:fldChar w:fldCharType="end"/>
    </w:r>
  </w:p>
  <w:p w14:paraId="1B544D68" w14:textId="22B55123" w:rsidR="00D8448A" w:rsidRPr="0030632A" w:rsidRDefault="0030632A" w:rsidP="0030632A">
    <w:pPr>
      <w:pStyle w:val="Footer"/>
      <w:jc w:val="center"/>
      <w:rPr>
        <w:rFonts w:cs="Arial"/>
        <w:sz w:val="14"/>
      </w:rPr>
    </w:pPr>
    <w:r w:rsidRPr="0030632A">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3A221" w14:textId="77777777" w:rsidR="003E6531" w:rsidRDefault="003E6531" w:rsidP="00E90DF9">
      <w:pPr>
        <w:spacing w:after="0" w:line="240" w:lineRule="auto"/>
      </w:pPr>
      <w:r>
        <w:separator/>
      </w:r>
    </w:p>
  </w:footnote>
  <w:footnote w:type="continuationSeparator" w:id="0">
    <w:p w14:paraId="3649BD9A" w14:textId="77777777" w:rsidR="003E6531" w:rsidRDefault="003E6531" w:rsidP="00E90DF9">
      <w:pPr>
        <w:spacing w:after="0" w:line="240" w:lineRule="auto"/>
      </w:pPr>
      <w:r>
        <w:continuationSeparator/>
      </w:r>
    </w:p>
  </w:footnote>
  <w:footnote w:type="continuationNotice" w:id="1">
    <w:p w14:paraId="5D95888E" w14:textId="77777777" w:rsidR="003E6531" w:rsidRDefault="003E6531">
      <w:pPr>
        <w:spacing w:after="0" w:line="240" w:lineRule="auto"/>
      </w:pPr>
    </w:p>
  </w:footnote>
  <w:footnote w:id="2">
    <w:p w14:paraId="419E1003" w14:textId="77777777" w:rsidR="00DD5478" w:rsidRPr="007C020C" w:rsidRDefault="00DD5478" w:rsidP="00DD5478">
      <w:pPr>
        <w:pStyle w:val="FootnoteText"/>
        <w:rPr>
          <w:rFonts w:ascii="Arial" w:hAnsi="Arial" w:cs="Arial"/>
          <w:lang w:val="en-AU"/>
        </w:rPr>
      </w:pPr>
      <w:r w:rsidRPr="007C020C">
        <w:rPr>
          <w:rStyle w:val="FootnoteReference"/>
          <w:rFonts w:ascii="Arial" w:hAnsi="Arial" w:cs="Arial"/>
        </w:rPr>
        <w:footnoteRef/>
      </w:r>
      <w:r w:rsidRPr="007C020C">
        <w:rPr>
          <w:rFonts w:ascii="Arial" w:hAnsi="Arial" w:cs="Arial"/>
        </w:rPr>
        <w:t xml:space="preserve"> </w:t>
      </w:r>
      <w:hyperlink r:id="rId1" w:history="1">
        <w:r w:rsidRPr="007C020C">
          <w:rPr>
            <w:rStyle w:val="Hyperlink"/>
            <w:rFonts w:ascii="Arial" w:hAnsi="Arial" w:cs="Arial"/>
          </w:rPr>
          <w:t>https://www.justice.act.gov.au/__data/assets/pdf_file/0003/2263980/ACT-Board-of-Inquiry-Criminal-Justice-System-Final-Report-31-July-2023.pdf</w:t>
        </w:r>
      </w:hyperlink>
      <w:r w:rsidRPr="007C020C">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3842" w14:textId="03953FE5" w:rsidR="00D8448A" w:rsidRPr="00D8448A" w:rsidRDefault="00D8448A" w:rsidP="00D8448A">
    <w:pPr>
      <w:pStyle w:val="Header"/>
      <w:jc w:val="cente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6557" w14:textId="77777777" w:rsidR="00D8448A" w:rsidRDefault="00D8448A" w:rsidP="00D8448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5F6"/>
    <w:multiLevelType w:val="multilevel"/>
    <w:tmpl w:val="FE48D3A6"/>
    <w:lvl w:ilvl="0">
      <w:start w:val="1"/>
      <w:numFmt w:val="decimal"/>
      <w:lvlText w:val="%1)"/>
      <w:lvlJc w:val="left"/>
      <w:pPr>
        <w:ind w:left="340" w:hanging="340"/>
      </w:pPr>
      <w:rPr>
        <w:rFonts w:hint="default"/>
        <w:sz w:val="24"/>
      </w:rPr>
    </w:lvl>
    <w:lvl w:ilvl="1">
      <w:start w:val="1"/>
      <w:numFmt w:val="lowerLetter"/>
      <w:lvlText w:val="%2."/>
      <w:lvlJc w:val="left"/>
      <w:pPr>
        <w:ind w:left="680" w:hanging="340"/>
      </w:pPr>
      <w:rPr>
        <w:rFonts w:hint="default"/>
        <w:sz w:val="24"/>
      </w:rPr>
    </w:lvl>
    <w:lvl w:ilvl="2">
      <w:start w:val="1"/>
      <w:numFmt w:val="lowerRoman"/>
      <w:lvlText w:val="%3."/>
      <w:lvlJc w:val="left"/>
      <w:pPr>
        <w:ind w:left="1020" w:hanging="340"/>
      </w:pPr>
      <w:rPr>
        <w:rFonts w:hint="default"/>
        <w:sz w:val="24"/>
      </w:rPr>
    </w:lvl>
    <w:lvl w:ilvl="3">
      <w:start w:val="1"/>
      <w:numFmt w:val="upperLetter"/>
      <w:lvlText w:val="(%4)"/>
      <w:lvlJc w:val="left"/>
      <w:pPr>
        <w:ind w:left="1360" w:hanging="340"/>
      </w:pPr>
      <w:rPr>
        <w:rFonts w:hint="default"/>
        <w:sz w:val="24"/>
      </w:rPr>
    </w:lvl>
    <w:lvl w:ilvl="4">
      <w:start w:val="1"/>
      <w:numFmt w:val="decimal"/>
      <w:lvlText w:val="%5."/>
      <w:lvlJc w:val="left"/>
      <w:pPr>
        <w:ind w:left="1700" w:hanging="340"/>
      </w:pPr>
      <w:rPr>
        <w:rFonts w:hint="default"/>
        <w:sz w:val="24"/>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 w15:restartNumberingAfterBreak="0">
    <w:nsid w:val="00A72D0D"/>
    <w:multiLevelType w:val="hybridMultilevel"/>
    <w:tmpl w:val="61126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6108CA"/>
    <w:multiLevelType w:val="hybridMultilevel"/>
    <w:tmpl w:val="DEC843EC"/>
    <w:lvl w:ilvl="0" w:tplc="0C090011">
      <w:start w:val="1"/>
      <w:numFmt w:val="decimal"/>
      <w:lvlText w:val="%1)"/>
      <w:lvlJc w:val="left"/>
      <w:pPr>
        <w:ind w:left="360" w:hanging="360"/>
      </w:pPr>
    </w:lvl>
    <w:lvl w:ilvl="1" w:tplc="0C090019">
      <w:start w:val="1"/>
      <w:numFmt w:val="lowerLetter"/>
      <w:lvlText w:val="%2."/>
      <w:lvlJc w:val="left"/>
      <w:pPr>
        <w:ind w:left="786" w:hanging="360"/>
      </w:pPr>
    </w:lvl>
    <w:lvl w:ilvl="2" w:tplc="0C09001B">
      <w:start w:val="1"/>
      <w:numFmt w:val="lowerRoman"/>
      <w:lvlText w:val="%3."/>
      <w:lvlJc w:val="right"/>
      <w:pPr>
        <w:ind w:left="1031"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EB4AAB"/>
    <w:multiLevelType w:val="hybridMultilevel"/>
    <w:tmpl w:val="2BA4860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9FE0D05"/>
    <w:multiLevelType w:val="hybridMultilevel"/>
    <w:tmpl w:val="59989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8C2006"/>
    <w:multiLevelType w:val="hybridMultilevel"/>
    <w:tmpl w:val="945CF7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1F90B7E"/>
    <w:multiLevelType w:val="hybridMultilevel"/>
    <w:tmpl w:val="2BA4860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E646773"/>
    <w:multiLevelType w:val="multilevel"/>
    <w:tmpl w:val="23886E90"/>
    <w:lvl w:ilvl="0">
      <w:start w:val="1"/>
      <w:numFmt w:val="bullet"/>
      <w:lvlText w:val=""/>
      <w:lvlJc w:val="left"/>
      <w:pPr>
        <w:ind w:left="340" w:hanging="340"/>
      </w:pPr>
      <w:rPr>
        <w:rFonts w:ascii="Symbol" w:hAnsi="Symbol" w:hint="default"/>
        <w:sz w:val="24"/>
      </w:rPr>
    </w:lvl>
    <w:lvl w:ilvl="1">
      <w:start w:val="1"/>
      <w:numFmt w:val="lowerLetter"/>
      <w:lvlText w:val="%2."/>
      <w:lvlJc w:val="left"/>
      <w:pPr>
        <w:ind w:left="680" w:hanging="340"/>
      </w:pPr>
      <w:rPr>
        <w:rFonts w:hint="default"/>
        <w:sz w:val="24"/>
      </w:rPr>
    </w:lvl>
    <w:lvl w:ilvl="2">
      <w:start w:val="1"/>
      <w:numFmt w:val="bullet"/>
      <w:lvlText w:val=""/>
      <w:lvlJc w:val="left"/>
      <w:pPr>
        <w:ind w:left="1040" w:hanging="360"/>
      </w:pPr>
      <w:rPr>
        <w:rFonts w:ascii="Symbol" w:hAnsi="Symbol" w:hint="default"/>
      </w:rPr>
    </w:lvl>
    <w:lvl w:ilvl="3">
      <w:start w:val="1"/>
      <w:numFmt w:val="bullet"/>
      <w:lvlText w:val="o"/>
      <w:lvlJc w:val="left"/>
      <w:pPr>
        <w:ind w:left="1380" w:hanging="360"/>
      </w:pPr>
      <w:rPr>
        <w:rFonts w:ascii="Courier New" w:hAnsi="Courier New" w:cs="Courier New" w:hint="default"/>
      </w:rPr>
    </w:lvl>
    <w:lvl w:ilvl="4">
      <w:start w:val="1"/>
      <w:numFmt w:val="decimal"/>
      <w:lvlText w:val="%5."/>
      <w:lvlJc w:val="left"/>
      <w:pPr>
        <w:ind w:left="1700" w:hanging="340"/>
      </w:pPr>
      <w:rPr>
        <w:rFonts w:hint="default"/>
        <w:sz w:val="24"/>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8"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786"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F75944"/>
    <w:multiLevelType w:val="hybridMultilevel"/>
    <w:tmpl w:val="7480DDBC"/>
    <w:lvl w:ilvl="0" w:tplc="69A441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E2676B"/>
    <w:multiLevelType w:val="hybridMultilevel"/>
    <w:tmpl w:val="7B6A12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F8048D"/>
    <w:multiLevelType w:val="hybridMultilevel"/>
    <w:tmpl w:val="1BF620CA"/>
    <w:lvl w:ilvl="0" w:tplc="63D4296A">
      <w:start w:val="1"/>
      <w:numFmt w:val="decimal"/>
      <w:lvlText w:val="%1."/>
      <w:lvlJc w:val="left"/>
      <w:pPr>
        <w:ind w:left="360" w:hanging="360"/>
      </w:pPr>
      <w:rPr>
        <w:b/>
        <w:bCs/>
        <w:i/>
        <w:i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62B57593"/>
    <w:multiLevelType w:val="hybridMultilevel"/>
    <w:tmpl w:val="AC469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AC17EA"/>
    <w:multiLevelType w:val="hybridMultilevel"/>
    <w:tmpl w:val="80E08B20"/>
    <w:lvl w:ilvl="0" w:tplc="C908EF12">
      <w:start w:val="1"/>
      <w:numFmt w:val="decimal"/>
      <w:lvlText w:val="%1."/>
      <w:lvlJc w:val="left"/>
      <w:pPr>
        <w:ind w:left="360" w:hanging="360"/>
      </w:pPr>
    </w:lvl>
    <w:lvl w:ilvl="1" w:tplc="0C090019">
      <w:start w:val="1"/>
      <w:numFmt w:val="lowerLetter"/>
      <w:lvlText w:val="%2."/>
      <w:lvlJc w:val="left"/>
      <w:pPr>
        <w:ind w:left="786"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AC26456"/>
    <w:multiLevelType w:val="multilevel"/>
    <w:tmpl w:val="86EEE07C"/>
    <w:lvl w:ilvl="0">
      <w:start w:val="1"/>
      <w:numFmt w:val="decimal"/>
      <w:lvlText w:val="%1)"/>
      <w:lvlJc w:val="left"/>
      <w:pPr>
        <w:ind w:left="340" w:hanging="340"/>
      </w:pPr>
      <w:rPr>
        <w:rFonts w:hint="default"/>
        <w:sz w:val="24"/>
      </w:rPr>
    </w:lvl>
    <w:lvl w:ilvl="1">
      <w:start w:val="1"/>
      <w:numFmt w:val="lowerLetter"/>
      <w:lvlText w:val="%2."/>
      <w:lvlJc w:val="left"/>
      <w:pPr>
        <w:ind w:left="680" w:hanging="340"/>
      </w:pPr>
      <w:rPr>
        <w:rFonts w:hint="default"/>
        <w:sz w:val="24"/>
      </w:rPr>
    </w:lvl>
    <w:lvl w:ilvl="2">
      <w:start w:val="1"/>
      <w:numFmt w:val="bullet"/>
      <w:lvlText w:val=""/>
      <w:lvlJc w:val="left"/>
      <w:pPr>
        <w:ind w:left="1040" w:hanging="360"/>
      </w:pPr>
      <w:rPr>
        <w:rFonts w:ascii="Symbol" w:hAnsi="Symbol" w:hint="default"/>
      </w:rPr>
    </w:lvl>
    <w:lvl w:ilvl="3">
      <w:start w:val="1"/>
      <w:numFmt w:val="upperLetter"/>
      <w:lvlText w:val="(%4)"/>
      <w:lvlJc w:val="left"/>
      <w:pPr>
        <w:ind w:left="1360" w:hanging="340"/>
      </w:pPr>
      <w:rPr>
        <w:rFonts w:hint="default"/>
        <w:sz w:val="24"/>
      </w:rPr>
    </w:lvl>
    <w:lvl w:ilvl="4">
      <w:start w:val="1"/>
      <w:numFmt w:val="decimal"/>
      <w:lvlText w:val="%5."/>
      <w:lvlJc w:val="left"/>
      <w:pPr>
        <w:ind w:left="1700" w:hanging="340"/>
      </w:pPr>
      <w:rPr>
        <w:rFonts w:hint="default"/>
        <w:sz w:val="24"/>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5" w15:restartNumberingAfterBreak="0">
    <w:nsid w:val="6EFC1951"/>
    <w:multiLevelType w:val="multilevel"/>
    <w:tmpl w:val="35B0EE18"/>
    <w:lvl w:ilvl="0">
      <w:start w:val="1"/>
      <w:numFmt w:val="bullet"/>
      <w:lvlText w:val=""/>
      <w:lvlJc w:val="left"/>
      <w:pPr>
        <w:ind w:left="340" w:hanging="340"/>
      </w:pPr>
      <w:rPr>
        <w:rFonts w:ascii="Symbol" w:hAnsi="Symbol" w:hint="default"/>
        <w:sz w:val="24"/>
      </w:rPr>
    </w:lvl>
    <w:lvl w:ilvl="1">
      <w:start w:val="1"/>
      <w:numFmt w:val="lowerLetter"/>
      <w:lvlText w:val="%2."/>
      <w:lvlJc w:val="left"/>
      <w:pPr>
        <w:ind w:left="680" w:hanging="340"/>
      </w:pPr>
      <w:rPr>
        <w:rFonts w:hint="default"/>
        <w:sz w:val="24"/>
      </w:rPr>
    </w:lvl>
    <w:lvl w:ilvl="2">
      <w:start w:val="1"/>
      <w:numFmt w:val="bullet"/>
      <w:lvlText w:val=""/>
      <w:lvlJc w:val="left"/>
      <w:pPr>
        <w:ind w:left="1040" w:hanging="360"/>
      </w:pPr>
      <w:rPr>
        <w:rFonts w:ascii="Symbol" w:hAnsi="Symbol" w:hint="default"/>
      </w:rPr>
    </w:lvl>
    <w:lvl w:ilvl="3">
      <w:start w:val="1"/>
      <w:numFmt w:val="upperLetter"/>
      <w:lvlText w:val="(%4)"/>
      <w:lvlJc w:val="left"/>
      <w:pPr>
        <w:ind w:left="1360" w:hanging="340"/>
      </w:pPr>
      <w:rPr>
        <w:rFonts w:hint="default"/>
        <w:sz w:val="24"/>
      </w:rPr>
    </w:lvl>
    <w:lvl w:ilvl="4">
      <w:start w:val="1"/>
      <w:numFmt w:val="decimal"/>
      <w:lvlText w:val="%5."/>
      <w:lvlJc w:val="left"/>
      <w:pPr>
        <w:ind w:left="1700" w:hanging="340"/>
      </w:pPr>
      <w:rPr>
        <w:rFonts w:hint="default"/>
        <w:sz w:val="24"/>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6" w15:restartNumberingAfterBreak="0">
    <w:nsid w:val="70E6712A"/>
    <w:multiLevelType w:val="hybridMultilevel"/>
    <w:tmpl w:val="A538E800"/>
    <w:lvl w:ilvl="0" w:tplc="EF9A86E0">
      <w:start w:val="2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8375C1"/>
    <w:multiLevelType w:val="multilevel"/>
    <w:tmpl w:val="86EEE07C"/>
    <w:lvl w:ilvl="0">
      <w:start w:val="1"/>
      <w:numFmt w:val="decimal"/>
      <w:lvlText w:val="%1)"/>
      <w:lvlJc w:val="left"/>
      <w:pPr>
        <w:ind w:left="340" w:hanging="340"/>
      </w:pPr>
      <w:rPr>
        <w:rFonts w:hint="default"/>
        <w:sz w:val="24"/>
      </w:rPr>
    </w:lvl>
    <w:lvl w:ilvl="1">
      <w:start w:val="1"/>
      <w:numFmt w:val="lowerLetter"/>
      <w:lvlText w:val="%2."/>
      <w:lvlJc w:val="left"/>
      <w:pPr>
        <w:ind w:left="680" w:hanging="340"/>
      </w:pPr>
      <w:rPr>
        <w:rFonts w:hint="default"/>
        <w:sz w:val="24"/>
      </w:rPr>
    </w:lvl>
    <w:lvl w:ilvl="2">
      <w:start w:val="1"/>
      <w:numFmt w:val="bullet"/>
      <w:lvlText w:val=""/>
      <w:lvlJc w:val="left"/>
      <w:pPr>
        <w:ind w:left="1040" w:hanging="360"/>
      </w:pPr>
      <w:rPr>
        <w:rFonts w:ascii="Symbol" w:hAnsi="Symbol" w:hint="default"/>
      </w:rPr>
    </w:lvl>
    <w:lvl w:ilvl="3">
      <w:start w:val="1"/>
      <w:numFmt w:val="upperLetter"/>
      <w:lvlText w:val="(%4)"/>
      <w:lvlJc w:val="left"/>
      <w:pPr>
        <w:ind w:left="1360" w:hanging="340"/>
      </w:pPr>
      <w:rPr>
        <w:rFonts w:hint="default"/>
        <w:sz w:val="24"/>
      </w:rPr>
    </w:lvl>
    <w:lvl w:ilvl="4">
      <w:start w:val="1"/>
      <w:numFmt w:val="decimal"/>
      <w:lvlText w:val="%5."/>
      <w:lvlJc w:val="left"/>
      <w:pPr>
        <w:ind w:left="1700" w:hanging="340"/>
      </w:pPr>
      <w:rPr>
        <w:rFonts w:hint="default"/>
        <w:sz w:val="24"/>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8" w15:restartNumberingAfterBreak="0">
    <w:nsid w:val="7DE50751"/>
    <w:multiLevelType w:val="hybridMultilevel"/>
    <w:tmpl w:val="B06CD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85321631">
    <w:abstractNumId w:val="3"/>
  </w:num>
  <w:num w:numId="2" w16cid:durableId="2017228849">
    <w:abstractNumId w:val="8"/>
  </w:num>
  <w:num w:numId="3" w16cid:durableId="1302465537">
    <w:abstractNumId w:val="2"/>
  </w:num>
  <w:num w:numId="4" w16cid:durableId="839738566">
    <w:abstractNumId w:val="0"/>
  </w:num>
  <w:num w:numId="5" w16cid:durableId="310058267">
    <w:abstractNumId w:val="14"/>
  </w:num>
  <w:num w:numId="6" w16cid:durableId="1132749322">
    <w:abstractNumId w:val="17"/>
  </w:num>
  <w:num w:numId="7" w16cid:durableId="1945528060">
    <w:abstractNumId w:val="15"/>
  </w:num>
  <w:num w:numId="8" w16cid:durableId="149061538">
    <w:abstractNumId w:val="7"/>
  </w:num>
  <w:num w:numId="9" w16cid:durableId="353849145">
    <w:abstractNumId w:val="16"/>
  </w:num>
  <w:num w:numId="10" w16cid:durableId="2113746177">
    <w:abstractNumId w:val="5"/>
  </w:num>
  <w:num w:numId="11" w16cid:durableId="1242177093">
    <w:abstractNumId w:val="18"/>
  </w:num>
  <w:num w:numId="12" w16cid:durableId="336930846">
    <w:abstractNumId w:val="10"/>
  </w:num>
  <w:num w:numId="13" w16cid:durableId="1256523731">
    <w:abstractNumId w:val="11"/>
  </w:num>
  <w:num w:numId="14" w16cid:durableId="7568543">
    <w:abstractNumId w:val="13"/>
  </w:num>
  <w:num w:numId="15" w16cid:durableId="549656532">
    <w:abstractNumId w:val="6"/>
  </w:num>
  <w:num w:numId="16" w16cid:durableId="1771199297">
    <w:abstractNumId w:val="4"/>
  </w:num>
  <w:num w:numId="17" w16cid:durableId="1983999445">
    <w:abstractNumId w:val="12"/>
  </w:num>
  <w:num w:numId="18" w16cid:durableId="36856991">
    <w:abstractNumId w:val="1"/>
  </w:num>
  <w:num w:numId="19" w16cid:durableId="209779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F4"/>
    <w:rsid w:val="0000414D"/>
    <w:rsid w:val="000044E0"/>
    <w:rsid w:val="000163A4"/>
    <w:rsid w:val="00017867"/>
    <w:rsid w:val="00023A14"/>
    <w:rsid w:val="0002768E"/>
    <w:rsid w:val="00030D00"/>
    <w:rsid w:val="000371AD"/>
    <w:rsid w:val="0004388C"/>
    <w:rsid w:val="000473AD"/>
    <w:rsid w:val="000473FD"/>
    <w:rsid w:val="00054D9C"/>
    <w:rsid w:val="00055FE8"/>
    <w:rsid w:val="000562E0"/>
    <w:rsid w:val="000605B6"/>
    <w:rsid w:val="00073B73"/>
    <w:rsid w:val="00082E5F"/>
    <w:rsid w:val="00085ECE"/>
    <w:rsid w:val="000904B0"/>
    <w:rsid w:val="00095BDC"/>
    <w:rsid w:val="000A2FAE"/>
    <w:rsid w:val="000A3A75"/>
    <w:rsid w:val="000A3C9A"/>
    <w:rsid w:val="000A6C3A"/>
    <w:rsid w:val="000B1462"/>
    <w:rsid w:val="000B2AFC"/>
    <w:rsid w:val="000B3F09"/>
    <w:rsid w:val="000B6100"/>
    <w:rsid w:val="000B6368"/>
    <w:rsid w:val="000B75E3"/>
    <w:rsid w:val="000B7921"/>
    <w:rsid w:val="000C0E92"/>
    <w:rsid w:val="000C13A4"/>
    <w:rsid w:val="000C1736"/>
    <w:rsid w:val="000C4DDA"/>
    <w:rsid w:val="000C5D27"/>
    <w:rsid w:val="000C66D1"/>
    <w:rsid w:val="000D0A93"/>
    <w:rsid w:val="000D2D89"/>
    <w:rsid w:val="000D7B64"/>
    <w:rsid w:val="000E05EF"/>
    <w:rsid w:val="000E50E3"/>
    <w:rsid w:val="000F3644"/>
    <w:rsid w:val="000F3706"/>
    <w:rsid w:val="000F3A94"/>
    <w:rsid w:val="001005AE"/>
    <w:rsid w:val="00101FA1"/>
    <w:rsid w:val="00105ACC"/>
    <w:rsid w:val="00112D8E"/>
    <w:rsid w:val="00114B60"/>
    <w:rsid w:val="0011604C"/>
    <w:rsid w:val="00122495"/>
    <w:rsid w:val="00122ADB"/>
    <w:rsid w:val="001353CA"/>
    <w:rsid w:val="00135C46"/>
    <w:rsid w:val="001452A9"/>
    <w:rsid w:val="00150231"/>
    <w:rsid w:val="00151E9C"/>
    <w:rsid w:val="0016333D"/>
    <w:rsid w:val="0017339E"/>
    <w:rsid w:val="001738A6"/>
    <w:rsid w:val="00175AD1"/>
    <w:rsid w:val="00177E70"/>
    <w:rsid w:val="00180138"/>
    <w:rsid w:val="00186240"/>
    <w:rsid w:val="001A20AC"/>
    <w:rsid w:val="001A3BFC"/>
    <w:rsid w:val="001B1076"/>
    <w:rsid w:val="001B44A4"/>
    <w:rsid w:val="001B4C21"/>
    <w:rsid w:val="001B56E0"/>
    <w:rsid w:val="001C359D"/>
    <w:rsid w:val="001D2757"/>
    <w:rsid w:val="001E2CE5"/>
    <w:rsid w:val="001F4595"/>
    <w:rsid w:val="001F6865"/>
    <w:rsid w:val="001F703D"/>
    <w:rsid w:val="00206049"/>
    <w:rsid w:val="00214832"/>
    <w:rsid w:val="00215BFD"/>
    <w:rsid w:val="002162F4"/>
    <w:rsid w:val="00220695"/>
    <w:rsid w:val="0022132A"/>
    <w:rsid w:val="00224136"/>
    <w:rsid w:val="00240BB0"/>
    <w:rsid w:val="00241968"/>
    <w:rsid w:val="00253FEC"/>
    <w:rsid w:val="0025691C"/>
    <w:rsid w:val="0027128A"/>
    <w:rsid w:val="0027280F"/>
    <w:rsid w:val="00273107"/>
    <w:rsid w:val="0027342D"/>
    <w:rsid w:val="00273506"/>
    <w:rsid w:val="00280B4E"/>
    <w:rsid w:val="002835B2"/>
    <w:rsid w:val="00286391"/>
    <w:rsid w:val="002923A3"/>
    <w:rsid w:val="002923A7"/>
    <w:rsid w:val="00292DED"/>
    <w:rsid w:val="00296A67"/>
    <w:rsid w:val="002A5C4D"/>
    <w:rsid w:val="002B1C94"/>
    <w:rsid w:val="002B47AB"/>
    <w:rsid w:val="002B4BA2"/>
    <w:rsid w:val="002B62A2"/>
    <w:rsid w:val="002C51E9"/>
    <w:rsid w:val="002D67D8"/>
    <w:rsid w:val="002D6FD2"/>
    <w:rsid w:val="002D7081"/>
    <w:rsid w:val="002E6170"/>
    <w:rsid w:val="002F6AF8"/>
    <w:rsid w:val="00304C24"/>
    <w:rsid w:val="00305317"/>
    <w:rsid w:val="0030632A"/>
    <w:rsid w:val="003161D4"/>
    <w:rsid w:val="0032069B"/>
    <w:rsid w:val="0032388F"/>
    <w:rsid w:val="003252C0"/>
    <w:rsid w:val="00326D54"/>
    <w:rsid w:val="00327561"/>
    <w:rsid w:val="003333F9"/>
    <w:rsid w:val="00334C54"/>
    <w:rsid w:val="003351D6"/>
    <w:rsid w:val="00335890"/>
    <w:rsid w:val="0034531E"/>
    <w:rsid w:val="00346A80"/>
    <w:rsid w:val="003556E9"/>
    <w:rsid w:val="003672ED"/>
    <w:rsid w:val="00371478"/>
    <w:rsid w:val="003724B0"/>
    <w:rsid w:val="003729E9"/>
    <w:rsid w:val="0038062B"/>
    <w:rsid w:val="003919F6"/>
    <w:rsid w:val="00392ADB"/>
    <w:rsid w:val="00392D71"/>
    <w:rsid w:val="00396052"/>
    <w:rsid w:val="003A561C"/>
    <w:rsid w:val="003B0004"/>
    <w:rsid w:val="003B40DD"/>
    <w:rsid w:val="003B5CEF"/>
    <w:rsid w:val="003C3D59"/>
    <w:rsid w:val="003D33DA"/>
    <w:rsid w:val="003E2E8A"/>
    <w:rsid w:val="003E6531"/>
    <w:rsid w:val="003F682A"/>
    <w:rsid w:val="00400260"/>
    <w:rsid w:val="004012AF"/>
    <w:rsid w:val="00405D87"/>
    <w:rsid w:val="00410581"/>
    <w:rsid w:val="00415378"/>
    <w:rsid w:val="00422031"/>
    <w:rsid w:val="00426BAA"/>
    <w:rsid w:val="0043136B"/>
    <w:rsid w:val="00435837"/>
    <w:rsid w:val="004358A8"/>
    <w:rsid w:val="0044028F"/>
    <w:rsid w:val="00440801"/>
    <w:rsid w:val="00467A16"/>
    <w:rsid w:val="00471974"/>
    <w:rsid w:val="004756E7"/>
    <w:rsid w:val="004802AB"/>
    <w:rsid w:val="004808BD"/>
    <w:rsid w:val="004A333A"/>
    <w:rsid w:val="004B116C"/>
    <w:rsid w:val="004B516E"/>
    <w:rsid w:val="004C5479"/>
    <w:rsid w:val="004D4799"/>
    <w:rsid w:val="004D47BE"/>
    <w:rsid w:val="004D4CE4"/>
    <w:rsid w:val="004E1F5F"/>
    <w:rsid w:val="004F19CC"/>
    <w:rsid w:val="004F46AE"/>
    <w:rsid w:val="005035FE"/>
    <w:rsid w:val="00520BB6"/>
    <w:rsid w:val="00523378"/>
    <w:rsid w:val="005307E6"/>
    <w:rsid w:val="005311D3"/>
    <w:rsid w:val="00532470"/>
    <w:rsid w:val="00535D70"/>
    <w:rsid w:val="005370CE"/>
    <w:rsid w:val="00544B68"/>
    <w:rsid w:val="00544F47"/>
    <w:rsid w:val="00547634"/>
    <w:rsid w:val="00551E4C"/>
    <w:rsid w:val="00561C41"/>
    <w:rsid w:val="00563790"/>
    <w:rsid w:val="00565954"/>
    <w:rsid w:val="00565C9D"/>
    <w:rsid w:val="005729E2"/>
    <w:rsid w:val="005745F4"/>
    <w:rsid w:val="00581402"/>
    <w:rsid w:val="00585BCA"/>
    <w:rsid w:val="005905AA"/>
    <w:rsid w:val="00597165"/>
    <w:rsid w:val="005A51A1"/>
    <w:rsid w:val="005C2F92"/>
    <w:rsid w:val="005C66ED"/>
    <w:rsid w:val="005D58D4"/>
    <w:rsid w:val="005D6777"/>
    <w:rsid w:val="005E06B7"/>
    <w:rsid w:val="005E06FE"/>
    <w:rsid w:val="005E4328"/>
    <w:rsid w:val="005F0049"/>
    <w:rsid w:val="005F0980"/>
    <w:rsid w:val="005F0E02"/>
    <w:rsid w:val="005F2E9B"/>
    <w:rsid w:val="005F32C1"/>
    <w:rsid w:val="005F7832"/>
    <w:rsid w:val="00601C05"/>
    <w:rsid w:val="00604016"/>
    <w:rsid w:val="00621256"/>
    <w:rsid w:val="00624B1B"/>
    <w:rsid w:val="0062617A"/>
    <w:rsid w:val="00630A58"/>
    <w:rsid w:val="00633212"/>
    <w:rsid w:val="00634D0A"/>
    <w:rsid w:val="00640FF3"/>
    <w:rsid w:val="00644D36"/>
    <w:rsid w:val="006453C0"/>
    <w:rsid w:val="00653547"/>
    <w:rsid w:val="00656356"/>
    <w:rsid w:val="00661FCF"/>
    <w:rsid w:val="00663630"/>
    <w:rsid w:val="00672126"/>
    <w:rsid w:val="00675C5B"/>
    <w:rsid w:val="00676D9D"/>
    <w:rsid w:val="006810CC"/>
    <w:rsid w:val="00683AAC"/>
    <w:rsid w:val="0068664C"/>
    <w:rsid w:val="0069729E"/>
    <w:rsid w:val="006A799F"/>
    <w:rsid w:val="006B1366"/>
    <w:rsid w:val="006B6501"/>
    <w:rsid w:val="006B7D0E"/>
    <w:rsid w:val="006C1D34"/>
    <w:rsid w:val="006D3306"/>
    <w:rsid w:val="006E1265"/>
    <w:rsid w:val="006E23E1"/>
    <w:rsid w:val="006F0ECB"/>
    <w:rsid w:val="006F1DFD"/>
    <w:rsid w:val="006F2411"/>
    <w:rsid w:val="006F6283"/>
    <w:rsid w:val="00706C40"/>
    <w:rsid w:val="007117A7"/>
    <w:rsid w:val="00716489"/>
    <w:rsid w:val="0071726E"/>
    <w:rsid w:val="00720517"/>
    <w:rsid w:val="007214E4"/>
    <w:rsid w:val="007234D4"/>
    <w:rsid w:val="00727E14"/>
    <w:rsid w:val="007313F1"/>
    <w:rsid w:val="007408B9"/>
    <w:rsid w:val="007514F1"/>
    <w:rsid w:val="00753E92"/>
    <w:rsid w:val="0075403C"/>
    <w:rsid w:val="00756138"/>
    <w:rsid w:val="007626C2"/>
    <w:rsid w:val="00762A18"/>
    <w:rsid w:val="00763188"/>
    <w:rsid w:val="00770B32"/>
    <w:rsid w:val="00771448"/>
    <w:rsid w:val="00772A2E"/>
    <w:rsid w:val="00775C06"/>
    <w:rsid w:val="00780217"/>
    <w:rsid w:val="00783CB9"/>
    <w:rsid w:val="007865EB"/>
    <w:rsid w:val="00793C38"/>
    <w:rsid w:val="00797DFD"/>
    <w:rsid w:val="007A5E57"/>
    <w:rsid w:val="007B06F0"/>
    <w:rsid w:val="007B27FE"/>
    <w:rsid w:val="007C020C"/>
    <w:rsid w:val="007C3039"/>
    <w:rsid w:val="007C55A1"/>
    <w:rsid w:val="007D551F"/>
    <w:rsid w:val="007D591B"/>
    <w:rsid w:val="007D7D1F"/>
    <w:rsid w:val="007E00CC"/>
    <w:rsid w:val="007E13B5"/>
    <w:rsid w:val="007E1E04"/>
    <w:rsid w:val="007E3D4E"/>
    <w:rsid w:val="007E602E"/>
    <w:rsid w:val="007F19F0"/>
    <w:rsid w:val="007F30F3"/>
    <w:rsid w:val="007F4D27"/>
    <w:rsid w:val="007F6AEB"/>
    <w:rsid w:val="007F6D1D"/>
    <w:rsid w:val="0080111A"/>
    <w:rsid w:val="008028E2"/>
    <w:rsid w:val="00804CF2"/>
    <w:rsid w:val="00807A29"/>
    <w:rsid w:val="008107D4"/>
    <w:rsid w:val="008175E8"/>
    <w:rsid w:val="00821DDE"/>
    <w:rsid w:val="008322CA"/>
    <w:rsid w:val="00833986"/>
    <w:rsid w:val="008476B9"/>
    <w:rsid w:val="00852F28"/>
    <w:rsid w:val="00861A1D"/>
    <w:rsid w:val="00871357"/>
    <w:rsid w:val="008727C1"/>
    <w:rsid w:val="008730F2"/>
    <w:rsid w:val="0087418C"/>
    <w:rsid w:val="00881A00"/>
    <w:rsid w:val="00884307"/>
    <w:rsid w:val="0088678F"/>
    <w:rsid w:val="0088686F"/>
    <w:rsid w:val="00886EB1"/>
    <w:rsid w:val="00887EF0"/>
    <w:rsid w:val="008907BE"/>
    <w:rsid w:val="008B086F"/>
    <w:rsid w:val="008B444D"/>
    <w:rsid w:val="008B4FF2"/>
    <w:rsid w:val="008C33F5"/>
    <w:rsid w:val="008C6941"/>
    <w:rsid w:val="008D08B0"/>
    <w:rsid w:val="008D0A7E"/>
    <w:rsid w:val="008D249C"/>
    <w:rsid w:val="008D2C4A"/>
    <w:rsid w:val="008D7068"/>
    <w:rsid w:val="008D7252"/>
    <w:rsid w:val="008D7312"/>
    <w:rsid w:val="008D7C89"/>
    <w:rsid w:val="008E157E"/>
    <w:rsid w:val="008E6549"/>
    <w:rsid w:val="008E6AD4"/>
    <w:rsid w:val="008E7489"/>
    <w:rsid w:val="008E7D5B"/>
    <w:rsid w:val="008F1579"/>
    <w:rsid w:val="00905374"/>
    <w:rsid w:val="00906DE3"/>
    <w:rsid w:val="00907DAC"/>
    <w:rsid w:val="009220D7"/>
    <w:rsid w:val="00922BF9"/>
    <w:rsid w:val="0093695C"/>
    <w:rsid w:val="00946C57"/>
    <w:rsid w:val="00957C95"/>
    <w:rsid w:val="0096564D"/>
    <w:rsid w:val="00965AC3"/>
    <w:rsid w:val="009663E5"/>
    <w:rsid w:val="00970183"/>
    <w:rsid w:val="00974EAD"/>
    <w:rsid w:val="00981335"/>
    <w:rsid w:val="00981D4B"/>
    <w:rsid w:val="009866D9"/>
    <w:rsid w:val="009909C7"/>
    <w:rsid w:val="0099610C"/>
    <w:rsid w:val="009A5B8E"/>
    <w:rsid w:val="009A7EE8"/>
    <w:rsid w:val="009B1C27"/>
    <w:rsid w:val="009C0B29"/>
    <w:rsid w:val="009C2B50"/>
    <w:rsid w:val="009C4467"/>
    <w:rsid w:val="009C681C"/>
    <w:rsid w:val="009D0C4C"/>
    <w:rsid w:val="009D5380"/>
    <w:rsid w:val="009E0782"/>
    <w:rsid w:val="009E15F9"/>
    <w:rsid w:val="009E1AF2"/>
    <w:rsid w:val="009E35C9"/>
    <w:rsid w:val="009E37D0"/>
    <w:rsid w:val="009E3E77"/>
    <w:rsid w:val="009E74EA"/>
    <w:rsid w:val="009F2794"/>
    <w:rsid w:val="00A01C5E"/>
    <w:rsid w:val="00A057A7"/>
    <w:rsid w:val="00A057A8"/>
    <w:rsid w:val="00A0618E"/>
    <w:rsid w:val="00A12038"/>
    <w:rsid w:val="00A24CA9"/>
    <w:rsid w:val="00A41446"/>
    <w:rsid w:val="00A42639"/>
    <w:rsid w:val="00A432A7"/>
    <w:rsid w:val="00A4684C"/>
    <w:rsid w:val="00A51725"/>
    <w:rsid w:val="00A579CC"/>
    <w:rsid w:val="00A57F56"/>
    <w:rsid w:val="00A6029D"/>
    <w:rsid w:val="00A644B6"/>
    <w:rsid w:val="00A70D2C"/>
    <w:rsid w:val="00A726BA"/>
    <w:rsid w:val="00A76CA8"/>
    <w:rsid w:val="00A7760D"/>
    <w:rsid w:val="00A80635"/>
    <w:rsid w:val="00A8173A"/>
    <w:rsid w:val="00A83341"/>
    <w:rsid w:val="00A84A81"/>
    <w:rsid w:val="00A865CF"/>
    <w:rsid w:val="00A953A1"/>
    <w:rsid w:val="00A9769B"/>
    <w:rsid w:val="00AA7A03"/>
    <w:rsid w:val="00AB0755"/>
    <w:rsid w:val="00AB3CF9"/>
    <w:rsid w:val="00AD2B41"/>
    <w:rsid w:val="00AD6BFA"/>
    <w:rsid w:val="00AD6CEA"/>
    <w:rsid w:val="00AE0045"/>
    <w:rsid w:val="00AE12F1"/>
    <w:rsid w:val="00B069C8"/>
    <w:rsid w:val="00B10812"/>
    <w:rsid w:val="00B138BD"/>
    <w:rsid w:val="00B16BDC"/>
    <w:rsid w:val="00B16D81"/>
    <w:rsid w:val="00B17B3A"/>
    <w:rsid w:val="00B17C89"/>
    <w:rsid w:val="00B232FE"/>
    <w:rsid w:val="00B25DFA"/>
    <w:rsid w:val="00B318FC"/>
    <w:rsid w:val="00B34C2C"/>
    <w:rsid w:val="00B366C8"/>
    <w:rsid w:val="00B404AC"/>
    <w:rsid w:val="00B4646D"/>
    <w:rsid w:val="00B52252"/>
    <w:rsid w:val="00B53DA6"/>
    <w:rsid w:val="00B63FBF"/>
    <w:rsid w:val="00B64DD3"/>
    <w:rsid w:val="00B82F62"/>
    <w:rsid w:val="00B84A34"/>
    <w:rsid w:val="00B850F6"/>
    <w:rsid w:val="00B9063A"/>
    <w:rsid w:val="00B90824"/>
    <w:rsid w:val="00B92253"/>
    <w:rsid w:val="00B95DA5"/>
    <w:rsid w:val="00BB2A6D"/>
    <w:rsid w:val="00BB722D"/>
    <w:rsid w:val="00BC10B7"/>
    <w:rsid w:val="00BC73D6"/>
    <w:rsid w:val="00BC7DCF"/>
    <w:rsid w:val="00BD628F"/>
    <w:rsid w:val="00BE4F06"/>
    <w:rsid w:val="00BF0623"/>
    <w:rsid w:val="00BF1BE4"/>
    <w:rsid w:val="00C02D1B"/>
    <w:rsid w:val="00C03678"/>
    <w:rsid w:val="00C1035E"/>
    <w:rsid w:val="00C10A92"/>
    <w:rsid w:val="00C10BDB"/>
    <w:rsid w:val="00C17892"/>
    <w:rsid w:val="00C2065A"/>
    <w:rsid w:val="00C20E6C"/>
    <w:rsid w:val="00C310BD"/>
    <w:rsid w:val="00C31407"/>
    <w:rsid w:val="00C359AC"/>
    <w:rsid w:val="00C35E00"/>
    <w:rsid w:val="00C37C7E"/>
    <w:rsid w:val="00C41020"/>
    <w:rsid w:val="00C422D2"/>
    <w:rsid w:val="00C43305"/>
    <w:rsid w:val="00C45F55"/>
    <w:rsid w:val="00C53CDB"/>
    <w:rsid w:val="00C56AE2"/>
    <w:rsid w:val="00C57DA4"/>
    <w:rsid w:val="00C73820"/>
    <w:rsid w:val="00C73D48"/>
    <w:rsid w:val="00C754F4"/>
    <w:rsid w:val="00C77839"/>
    <w:rsid w:val="00C861A7"/>
    <w:rsid w:val="00C90237"/>
    <w:rsid w:val="00C926F9"/>
    <w:rsid w:val="00C94D31"/>
    <w:rsid w:val="00CA0619"/>
    <w:rsid w:val="00CA293F"/>
    <w:rsid w:val="00CB6BBF"/>
    <w:rsid w:val="00CB6D7D"/>
    <w:rsid w:val="00CC33F0"/>
    <w:rsid w:val="00CC57CF"/>
    <w:rsid w:val="00CD3885"/>
    <w:rsid w:val="00CD7750"/>
    <w:rsid w:val="00CD7846"/>
    <w:rsid w:val="00CE072B"/>
    <w:rsid w:val="00CF07EA"/>
    <w:rsid w:val="00CF2243"/>
    <w:rsid w:val="00CF450D"/>
    <w:rsid w:val="00CF5092"/>
    <w:rsid w:val="00CF5498"/>
    <w:rsid w:val="00CF7E6F"/>
    <w:rsid w:val="00D06737"/>
    <w:rsid w:val="00D06806"/>
    <w:rsid w:val="00D06F40"/>
    <w:rsid w:val="00D1166C"/>
    <w:rsid w:val="00D11B7F"/>
    <w:rsid w:val="00D1289B"/>
    <w:rsid w:val="00D12FC0"/>
    <w:rsid w:val="00D13359"/>
    <w:rsid w:val="00D14B51"/>
    <w:rsid w:val="00D34524"/>
    <w:rsid w:val="00D34B9F"/>
    <w:rsid w:val="00D35C34"/>
    <w:rsid w:val="00D45750"/>
    <w:rsid w:val="00D47779"/>
    <w:rsid w:val="00D53AF8"/>
    <w:rsid w:val="00D573E3"/>
    <w:rsid w:val="00D57CA9"/>
    <w:rsid w:val="00D70F45"/>
    <w:rsid w:val="00D74FD4"/>
    <w:rsid w:val="00D80960"/>
    <w:rsid w:val="00D8448A"/>
    <w:rsid w:val="00D86C5A"/>
    <w:rsid w:val="00D91D0A"/>
    <w:rsid w:val="00D96E64"/>
    <w:rsid w:val="00D97802"/>
    <w:rsid w:val="00DA11EF"/>
    <w:rsid w:val="00DA19D4"/>
    <w:rsid w:val="00DA6956"/>
    <w:rsid w:val="00DB0717"/>
    <w:rsid w:val="00DB0E75"/>
    <w:rsid w:val="00DB288E"/>
    <w:rsid w:val="00DB4050"/>
    <w:rsid w:val="00DB623E"/>
    <w:rsid w:val="00DB757B"/>
    <w:rsid w:val="00DC1128"/>
    <w:rsid w:val="00DC15F1"/>
    <w:rsid w:val="00DC3992"/>
    <w:rsid w:val="00DC64C0"/>
    <w:rsid w:val="00DD1213"/>
    <w:rsid w:val="00DD5478"/>
    <w:rsid w:val="00DD662B"/>
    <w:rsid w:val="00DE6834"/>
    <w:rsid w:val="00DF3108"/>
    <w:rsid w:val="00DF4CE6"/>
    <w:rsid w:val="00DF74FA"/>
    <w:rsid w:val="00DF7DE1"/>
    <w:rsid w:val="00E00885"/>
    <w:rsid w:val="00E02292"/>
    <w:rsid w:val="00E04F6F"/>
    <w:rsid w:val="00E05015"/>
    <w:rsid w:val="00E119FE"/>
    <w:rsid w:val="00E16A2F"/>
    <w:rsid w:val="00E1715D"/>
    <w:rsid w:val="00E172F1"/>
    <w:rsid w:val="00E21D5A"/>
    <w:rsid w:val="00E2743B"/>
    <w:rsid w:val="00E33A51"/>
    <w:rsid w:val="00E37259"/>
    <w:rsid w:val="00E4326F"/>
    <w:rsid w:val="00E459A8"/>
    <w:rsid w:val="00E45E5B"/>
    <w:rsid w:val="00E5388B"/>
    <w:rsid w:val="00E5586B"/>
    <w:rsid w:val="00E65AC9"/>
    <w:rsid w:val="00E65CF4"/>
    <w:rsid w:val="00E73377"/>
    <w:rsid w:val="00E7550B"/>
    <w:rsid w:val="00E90DF9"/>
    <w:rsid w:val="00E915D1"/>
    <w:rsid w:val="00E9761F"/>
    <w:rsid w:val="00EA45A9"/>
    <w:rsid w:val="00EA64B6"/>
    <w:rsid w:val="00EB0BE7"/>
    <w:rsid w:val="00EB1700"/>
    <w:rsid w:val="00EB1AEA"/>
    <w:rsid w:val="00EB533C"/>
    <w:rsid w:val="00EB63D8"/>
    <w:rsid w:val="00EC1B09"/>
    <w:rsid w:val="00EC1CFF"/>
    <w:rsid w:val="00ED40E9"/>
    <w:rsid w:val="00EE0C6D"/>
    <w:rsid w:val="00EE2A13"/>
    <w:rsid w:val="00EE32BF"/>
    <w:rsid w:val="00EE4CE6"/>
    <w:rsid w:val="00EE5317"/>
    <w:rsid w:val="00EF1EFB"/>
    <w:rsid w:val="00F06A5E"/>
    <w:rsid w:val="00F106A5"/>
    <w:rsid w:val="00F20EE2"/>
    <w:rsid w:val="00F34C75"/>
    <w:rsid w:val="00F35F88"/>
    <w:rsid w:val="00F46358"/>
    <w:rsid w:val="00F54AE4"/>
    <w:rsid w:val="00F57AB6"/>
    <w:rsid w:val="00F639A7"/>
    <w:rsid w:val="00F65CBA"/>
    <w:rsid w:val="00F679C2"/>
    <w:rsid w:val="00F701BC"/>
    <w:rsid w:val="00F70C79"/>
    <w:rsid w:val="00F73E87"/>
    <w:rsid w:val="00F80C69"/>
    <w:rsid w:val="00F817E1"/>
    <w:rsid w:val="00FA04A3"/>
    <w:rsid w:val="00FA1494"/>
    <w:rsid w:val="00FA3F16"/>
    <w:rsid w:val="00FA6CA3"/>
    <w:rsid w:val="00FB041E"/>
    <w:rsid w:val="00FB5662"/>
    <w:rsid w:val="00FC061B"/>
    <w:rsid w:val="00FC1D0A"/>
    <w:rsid w:val="00FC6EFF"/>
    <w:rsid w:val="00FD1EE6"/>
    <w:rsid w:val="00FD697E"/>
    <w:rsid w:val="00FE3E7B"/>
    <w:rsid w:val="00FE6A04"/>
    <w:rsid w:val="1011344F"/>
    <w:rsid w:val="121C24D5"/>
    <w:rsid w:val="186F2D8C"/>
    <w:rsid w:val="1C67D243"/>
    <w:rsid w:val="1E449D84"/>
    <w:rsid w:val="22E32E37"/>
    <w:rsid w:val="27ED1DF9"/>
    <w:rsid w:val="2AC865D7"/>
    <w:rsid w:val="2DF38687"/>
    <w:rsid w:val="2E7683F9"/>
    <w:rsid w:val="32C467F4"/>
    <w:rsid w:val="3626430E"/>
    <w:rsid w:val="38BC5832"/>
    <w:rsid w:val="39FB3837"/>
    <w:rsid w:val="3C6D7549"/>
    <w:rsid w:val="472580A6"/>
    <w:rsid w:val="4B3F3400"/>
    <w:rsid w:val="4B5CEEE9"/>
    <w:rsid w:val="4C838B24"/>
    <w:rsid w:val="5473BD2E"/>
    <w:rsid w:val="5507466C"/>
    <w:rsid w:val="5948714E"/>
    <w:rsid w:val="5C17EAD8"/>
    <w:rsid w:val="5FBF8B50"/>
    <w:rsid w:val="6184FF34"/>
    <w:rsid w:val="67E5493E"/>
    <w:rsid w:val="6C87EB7B"/>
    <w:rsid w:val="6EAF04F0"/>
    <w:rsid w:val="7138C6D2"/>
    <w:rsid w:val="7202F53D"/>
    <w:rsid w:val="72FD75CB"/>
    <w:rsid w:val="75EDF48F"/>
    <w:rsid w:val="7707B8D4"/>
    <w:rsid w:val="7A1AB90A"/>
    <w:rsid w:val="7E8C429E"/>
    <w:rsid w:val="7EB185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D3965"/>
  <w15:chartTrackingRefBased/>
  <w15:docId w15:val="{AD8162CC-2438-489F-9313-6760C129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DF9"/>
    <w:pPr>
      <w:spacing w:after="200" w:line="276" w:lineRule="auto"/>
    </w:pPr>
    <w:rPr>
      <w:rFonts w:ascii="Calibri" w:eastAsia="Times New Roman" w:hAnsi="Calibri" w:cs="Times New Roman"/>
      <w:kern w:val="0"/>
      <w14:ligatures w14:val="none"/>
    </w:rPr>
  </w:style>
  <w:style w:type="paragraph" w:styleId="Heading1">
    <w:name w:val="heading 1"/>
    <w:basedOn w:val="Normal"/>
    <w:next w:val="Normal"/>
    <w:link w:val="Heading1Char"/>
    <w:uiPriority w:val="9"/>
    <w:qFormat/>
    <w:rsid w:val="00E90DF9"/>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rsid w:val="00E90DF9"/>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rsid w:val="00E90DF9"/>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rsid w:val="00E90DF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DF9"/>
    <w:rPr>
      <w:rFonts w:ascii="Arial" w:eastAsiaTheme="majorEastAsia" w:hAnsi="Arial" w:cs="Times New Roman"/>
      <w:b/>
      <w:bCs/>
      <w:kern w:val="0"/>
      <w:sz w:val="28"/>
      <w:szCs w:val="28"/>
      <w14:ligatures w14:val="none"/>
    </w:rPr>
  </w:style>
  <w:style w:type="character" w:customStyle="1" w:styleId="Heading2Char">
    <w:name w:val="Heading 2 Char"/>
    <w:basedOn w:val="DefaultParagraphFont"/>
    <w:link w:val="Heading2"/>
    <w:rsid w:val="00E90DF9"/>
    <w:rPr>
      <w:rFonts w:ascii="Arial" w:eastAsiaTheme="majorEastAsia" w:hAnsi="Arial" w:cstheme="majorBidi"/>
      <w:b/>
      <w:kern w:val="0"/>
      <w:sz w:val="24"/>
      <w:szCs w:val="26"/>
      <w14:ligatures w14:val="none"/>
    </w:rPr>
  </w:style>
  <w:style w:type="character" w:customStyle="1" w:styleId="Heading3Char">
    <w:name w:val="Heading 3 Char"/>
    <w:basedOn w:val="DefaultParagraphFont"/>
    <w:link w:val="Heading3"/>
    <w:rsid w:val="00E90DF9"/>
    <w:rPr>
      <w:rFonts w:ascii="Arial" w:eastAsiaTheme="majorEastAsia" w:hAnsi="Arial" w:cstheme="majorBidi"/>
      <w:b/>
      <w:kern w:val="0"/>
      <w:sz w:val="24"/>
      <w:szCs w:val="24"/>
      <w14:ligatures w14:val="none"/>
    </w:rPr>
  </w:style>
  <w:style w:type="character" w:customStyle="1" w:styleId="Heading4Char">
    <w:name w:val="Heading 4 Char"/>
    <w:basedOn w:val="DefaultParagraphFont"/>
    <w:link w:val="Heading4"/>
    <w:semiHidden/>
    <w:rsid w:val="00E90DF9"/>
    <w:rPr>
      <w:rFonts w:asciiTheme="majorHAnsi" w:eastAsiaTheme="majorEastAsia" w:hAnsiTheme="majorHAnsi" w:cstheme="majorBidi"/>
      <w:i/>
      <w:iCs/>
      <w:color w:val="2F5496" w:themeColor="accent1" w:themeShade="BF"/>
      <w:kern w:val="0"/>
      <w14:ligatures w14:val="none"/>
    </w:rPr>
  </w:style>
  <w:style w:type="paragraph" w:styleId="Footer">
    <w:name w:val="footer"/>
    <w:basedOn w:val="Normal"/>
    <w:link w:val="FooterChar"/>
    <w:uiPriority w:val="99"/>
    <w:rsid w:val="00E90DF9"/>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rsid w:val="00E90DF9"/>
    <w:rPr>
      <w:rFonts w:ascii="Arial" w:eastAsia="Times New Roman" w:hAnsi="Arial" w:cs="Times New Roman"/>
      <w:kern w:val="0"/>
      <w:sz w:val="18"/>
      <w:szCs w:val="20"/>
      <w14:ligatures w14:val="none"/>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E90DF9"/>
    <w:pPr>
      <w:spacing w:after="0" w:line="240" w:lineRule="auto"/>
      <w:ind w:left="720"/>
    </w:pPr>
    <w:rPr>
      <w:rFonts w:cs="Calibri"/>
      <w:lang w:eastAsia="en-AU"/>
    </w:rPr>
  </w:style>
  <w:style w:type="paragraph" w:styleId="FootnoteText">
    <w:name w:val="footnote text"/>
    <w:basedOn w:val="Normal"/>
    <w:link w:val="FootnoteTextChar"/>
    <w:uiPriority w:val="99"/>
    <w:rsid w:val="00E90DF9"/>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rsid w:val="00E90DF9"/>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uiPriority w:val="99"/>
    <w:rsid w:val="00E90DF9"/>
    <w:rPr>
      <w:rFonts w:cs="Times New Roman"/>
      <w:vertAlign w:val="superscript"/>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E90DF9"/>
    <w:rPr>
      <w:rFonts w:ascii="Calibri" w:eastAsia="Times New Roman" w:hAnsi="Calibri" w:cs="Calibri"/>
      <w:kern w:val="0"/>
      <w:lang w:eastAsia="en-AU"/>
      <w14:ligatures w14:val="none"/>
    </w:rPr>
  </w:style>
  <w:style w:type="paragraph" w:customStyle="1" w:styleId="Subheading10">
    <w:name w:val="Subheading 1.0"/>
    <w:basedOn w:val="Normal"/>
    <w:link w:val="Subheading10Char"/>
    <w:qFormat/>
    <w:rsid w:val="007626C2"/>
    <w:pPr>
      <w:spacing w:before="120" w:after="120"/>
    </w:pPr>
    <w:rPr>
      <w:rFonts w:eastAsia="Calibri"/>
      <w:b/>
      <w:sz w:val="26"/>
      <w:u w:val="single"/>
    </w:rPr>
  </w:style>
  <w:style w:type="character" w:customStyle="1" w:styleId="Subheading10Char">
    <w:name w:val="Subheading 1.0 Char"/>
    <w:basedOn w:val="DefaultParagraphFont"/>
    <w:link w:val="Subheading10"/>
    <w:rsid w:val="007626C2"/>
    <w:rPr>
      <w:rFonts w:ascii="Calibri" w:eastAsia="Calibri" w:hAnsi="Calibri" w:cs="Times New Roman"/>
      <w:b/>
      <w:kern w:val="0"/>
      <w:sz w:val="26"/>
      <w:u w:val="single"/>
      <w14:ligatures w14:val="none"/>
    </w:rPr>
  </w:style>
  <w:style w:type="paragraph" w:customStyle="1" w:styleId="Paragraphtext">
    <w:name w:val="Paragraph text"/>
    <w:basedOn w:val="Normal"/>
    <w:link w:val="ParagraphtextChar"/>
    <w:qFormat/>
    <w:rsid w:val="007626C2"/>
    <w:pPr>
      <w:spacing w:before="120" w:after="120" w:line="240" w:lineRule="auto"/>
    </w:pPr>
    <w:rPr>
      <w:rFonts w:eastAsia="Calibri"/>
      <w:color w:val="000000" w:themeColor="text1"/>
      <w:sz w:val="24"/>
    </w:rPr>
  </w:style>
  <w:style w:type="character" w:customStyle="1" w:styleId="ParagraphtextChar">
    <w:name w:val="Paragraph text Char"/>
    <w:basedOn w:val="DefaultParagraphFont"/>
    <w:link w:val="Paragraphtext"/>
    <w:rsid w:val="007626C2"/>
    <w:rPr>
      <w:rFonts w:ascii="Calibri" w:eastAsia="Calibri" w:hAnsi="Calibri" w:cs="Times New Roman"/>
      <w:color w:val="000000" w:themeColor="text1"/>
      <w:kern w:val="0"/>
      <w:sz w:val="24"/>
      <w14:ligatures w14:val="none"/>
    </w:rPr>
  </w:style>
  <w:style w:type="paragraph" w:customStyle="1" w:styleId="CS-Paragraphnumbering">
    <w:name w:val="CS - Paragraph numbering"/>
    <w:basedOn w:val="Normal"/>
    <w:rsid w:val="007626C2"/>
    <w:pPr>
      <w:numPr>
        <w:numId w:val="2"/>
      </w:numPr>
      <w:spacing w:after="120"/>
      <w:ind w:right="-45"/>
    </w:pPr>
    <w:rPr>
      <w:rFonts w:asciiTheme="minorHAnsi" w:eastAsiaTheme="minorHAnsi" w:hAnsiTheme="minorHAnsi" w:cstheme="minorBidi"/>
      <w:sz w:val="24"/>
      <w:szCs w:val="24"/>
    </w:rPr>
  </w:style>
  <w:style w:type="character" w:customStyle="1" w:styleId="charparttext">
    <w:name w:val="charparttext"/>
    <w:basedOn w:val="DefaultParagraphFont"/>
    <w:rsid w:val="00F57AB6"/>
  </w:style>
  <w:style w:type="paragraph" w:customStyle="1" w:styleId="ah5sec">
    <w:name w:val="ah5sec"/>
    <w:basedOn w:val="Normal"/>
    <w:rsid w:val="00F57AB6"/>
    <w:pPr>
      <w:spacing w:before="100" w:beforeAutospacing="1" w:after="100" w:afterAutospacing="1" w:line="240" w:lineRule="auto"/>
    </w:pPr>
    <w:rPr>
      <w:rFonts w:ascii="Times New Roman" w:hAnsi="Times New Roman"/>
      <w:sz w:val="24"/>
      <w:szCs w:val="24"/>
      <w:lang w:eastAsia="en-AU"/>
    </w:rPr>
  </w:style>
  <w:style w:type="character" w:customStyle="1" w:styleId="charsectno">
    <w:name w:val="charsectno"/>
    <w:basedOn w:val="DefaultParagraphFont"/>
    <w:rsid w:val="00F57AB6"/>
  </w:style>
  <w:style w:type="paragraph" w:customStyle="1" w:styleId="amain">
    <w:name w:val="amain"/>
    <w:basedOn w:val="Normal"/>
    <w:rsid w:val="00F57AB6"/>
    <w:pPr>
      <w:spacing w:before="100" w:beforeAutospacing="1" w:after="100" w:afterAutospacing="1" w:line="240" w:lineRule="auto"/>
    </w:pPr>
    <w:rPr>
      <w:rFonts w:ascii="Times New Roman" w:hAnsi="Times New Roman"/>
      <w:sz w:val="24"/>
      <w:szCs w:val="24"/>
      <w:lang w:eastAsia="en-AU"/>
    </w:rPr>
  </w:style>
  <w:style w:type="paragraph" w:customStyle="1" w:styleId="apara">
    <w:name w:val="apara"/>
    <w:basedOn w:val="Normal"/>
    <w:rsid w:val="00F57AB6"/>
    <w:pPr>
      <w:spacing w:before="100" w:beforeAutospacing="1" w:after="100" w:afterAutospacing="1" w:line="240" w:lineRule="auto"/>
    </w:pPr>
    <w:rPr>
      <w:rFonts w:ascii="Times New Roman" w:hAnsi="Times New Roman"/>
      <w:sz w:val="24"/>
      <w:szCs w:val="24"/>
      <w:lang w:eastAsia="en-AU"/>
    </w:rPr>
  </w:style>
  <w:style w:type="paragraph" w:customStyle="1" w:styleId="ah2part">
    <w:name w:val="ah2part"/>
    <w:basedOn w:val="Normal"/>
    <w:rsid w:val="00BE4F06"/>
    <w:pPr>
      <w:spacing w:before="100" w:beforeAutospacing="1" w:after="100" w:afterAutospacing="1" w:line="240" w:lineRule="auto"/>
    </w:pPr>
    <w:rPr>
      <w:rFonts w:ascii="Times New Roman" w:hAnsi="Times New Roman"/>
      <w:sz w:val="24"/>
      <w:szCs w:val="24"/>
      <w:lang w:eastAsia="en-AU"/>
    </w:rPr>
  </w:style>
  <w:style w:type="paragraph" w:styleId="NormalWeb">
    <w:name w:val="Normal (Web)"/>
    <w:basedOn w:val="Normal"/>
    <w:uiPriority w:val="99"/>
    <w:semiHidden/>
    <w:unhideWhenUsed/>
    <w:rsid w:val="00C10BDB"/>
    <w:pPr>
      <w:spacing w:before="100" w:beforeAutospacing="1" w:after="100" w:afterAutospacing="1" w:line="240" w:lineRule="auto"/>
    </w:pPr>
    <w:rPr>
      <w:rFonts w:ascii="Times New Roman" w:hAnsi="Times New Roman"/>
      <w:sz w:val="24"/>
      <w:szCs w:val="24"/>
      <w:lang w:eastAsia="en-AU"/>
    </w:rPr>
  </w:style>
  <w:style w:type="character" w:styleId="SubtleEmphasis">
    <w:name w:val="Subtle Emphasis"/>
    <w:basedOn w:val="DefaultParagraphFont"/>
    <w:uiPriority w:val="19"/>
    <w:rsid w:val="00C10BDB"/>
    <w:rPr>
      <w:i/>
      <w:iCs/>
      <w:color w:val="404040" w:themeColor="text1" w:themeTint="BF"/>
    </w:rPr>
  </w:style>
  <w:style w:type="paragraph" w:styleId="Revision">
    <w:name w:val="Revision"/>
    <w:hidden/>
    <w:uiPriority w:val="99"/>
    <w:semiHidden/>
    <w:rsid w:val="00F73E87"/>
    <w:pPr>
      <w:spacing w:after="0" w:line="240" w:lineRule="auto"/>
    </w:pPr>
    <w:rPr>
      <w:rFonts w:ascii="Calibri" w:eastAsia="Times New Roman" w:hAnsi="Calibri" w:cs="Times New Roman"/>
      <w:kern w:val="0"/>
      <w14:ligatures w14:val="none"/>
    </w:rPr>
  </w:style>
  <w:style w:type="character" w:styleId="CommentReference">
    <w:name w:val="annotation reference"/>
    <w:basedOn w:val="DefaultParagraphFont"/>
    <w:uiPriority w:val="99"/>
    <w:semiHidden/>
    <w:unhideWhenUsed/>
    <w:rsid w:val="00F73E87"/>
    <w:rPr>
      <w:sz w:val="16"/>
      <w:szCs w:val="16"/>
    </w:rPr>
  </w:style>
  <w:style w:type="paragraph" w:styleId="CommentText">
    <w:name w:val="annotation text"/>
    <w:basedOn w:val="Normal"/>
    <w:link w:val="CommentTextChar"/>
    <w:uiPriority w:val="99"/>
    <w:unhideWhenUsed/>
    <w:rsid w:val="00F73E87"/>
    <w:pPr>
      <w:spacing w:line="240" w:lineRule="auto"/>
    </w:pPr>
    <w:rPr>
      <w:sz w:val="20"/>
      <w:szCs w:val="20"/>
    </w:rPr>
  </w:style>
  <w:style w:type="character" w:customStyle="1" w:styleId="CommentTextChar">
    <w:name w:val="Comment Text Char"/>
    <w:basedOn w:val="DefaultParagraphFont"/>
    <w:link w:val="CommentText"/>
    <w:uiPriority w:val="99"/>
    <w:rsid w:val="00F73E87"/>
    <w:rPr>
      <w:rFonts w:ascii="Calibri" w:eastAsia="Times New Roman"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3E87"/>
    <w:rPr>
      <w:b/>
      <w:bCs/>
    </w:rPr>
  </w:style>
  <w:style w:type="character" w:customStyle="1" w:styleId="CommentSubjectChar">
    <w:name w:val="Comment Subject Char"/>
    <w:basedOn w:val="CommentTextChar"/>
    <w:link w:val="CommentSubject"/>
    <w:uiPriority w:val="99"/>
    <w:semiHidden/>
    <w:rsid w:val="00F73E87"/>
    <w:rPr>
      <w:rFonts w:ascii="Calibri" w:eastAsia="Times New Roman" w:hAnsi="Calibri" w:cs="Times New Roman"/>
      <w:b/>
      <w:bCs/>
      <w:kern w:val="0"/>
      <w:sz w:val="20"/>
      <w:szCs w:val="20"/>
      <w14:ligatures w14:val="none"/>
    </w:rPr>
  </w:style>
  <w:style w:type="character" w:styleId="Hyperlink">
    <w:name w:val="Hyperlink"/>
    <w:basedOn w:val="DefaultParagraphFont"/>
    <w:uiPriority w:val="99"/>
    <w:unhideWhenUsed/>
    <w:rsid w:val="001F4595"/>
    <w:rPr>
      <w:color w:val="0563C1" w:themeColor="hyperlink"/>
      <w:u w:val="single"/>
    </w:rPr>
  </w:style>
  <w:style w:type="character" w:styleId="UnresolvedMention">
    <w:name w:val="Unresolved Mention"/>
    <w:basedOn w:val="DefaultParagraphFont"/>
    <w:uiPriority w:val="99"/>
    <w:semiHidden/>
    <w:unhideWhenUsed/>
    <w:rsid w:val="001F4595"/>
    <w:rPr>
      <w:color w:val="605E5C"/>
      <w:shd w:val="clear" w:color="auto" w:fill="E1DFDD"/>
    </w:rPr>
  </w:style>
  <w:style w:type="paragraph" w:customStyle="1" w:styleId="pf0">
    <w:name w:val="pf0"/>
    <w:basedOn w:val="Normal"/>
    <w:rsid w:val="00DB0717"/>
    <w:pPr>
      <w:spacing w:before="100" w:beforeAutospacing="1" w:after="100" w:afterAutospacing="1" w:line="240" w:lineRule="auto"/>
    </w:pPr>
    <w:rPr>
      <w:rFonts w:ascii="Times New Roman" w:hAnsi="Times New Roman"/>
      <w:sz w:val="24"/>
      <w:szCs w:val="24"/>
      <w:lang w:eastAsia="en-AU"/>
    </w:rPr>
  </w:style>
  <w:style w:type="character" w:customStyle="1" w:styleId="cf01">
    <w:name w:val="cf01"/>
    <w:basedOn w:val="DefaultParagraphFont"/>
    <w:rsid w:val="00DB0717"/>
    <w:rPr>
      <w:rFonts w:ascii="Segoe UI" w:hAnsi="Segoe UI" w:cs="Segoe UI" w:hint="default"/>
      <w:sz w:val="18"/>
      <w:szCs w:val="18"/>
    </w:rPr>
  </w:style>
  <w:style w:type="paragraph" w:styleId="Header">
    <w:name w:val="header"/>
    <w:basedOn w:val="Normal"/>
    <w:link w:val="HeaderChar"/>
    <w:uiPriority w:val="99"/>
    <w:unhideWhenUsed/>
    <w:rsid w:val="00173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B8E"/>
    <w:rPr>
      <w:rFonts w:ascii="Calibri" w:eastAsia="Times New Roman" w:hAnsi="Calibri" w:cs="Times New Roman"/>
      <w:kern w:val="0"/>
      <w14:ligatures w14:val="none"/>
    </w:rPr>
  </w:style>
  <w:style w:type="paragraph" w:styleId="TOCHeading">
    <w:name w:val="TOC Heading"/>
    <w:basedOn w:val="Heading1"/>
    <w:next w:val="Normal"/>
    <w:uiPriority w:val="39"/>
    <w:unhideWhenUsed/>
    <w:qFormat/>
    <w:rsid w:val="009D5380"/>
    <w:pPr>
      <w:spacing w:before="240" w:after="0" w:line="259" w:lineRule="auto"/>
      <w:outlineLvl w:val="9"/>
    </w:pPr>
    <w:rPr>
      <w:rFonts w:asciiTheme="majorHAnsi"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9D5380"/>
    <w:pPr>
      <w:spacing w:after="100"/>
    </w:pPr>
  </w:style>
  <w:style w:type="paragraph" w:styleId="TOC2">
    <w:name w:val="toc 2"/>
    <w:basedOn w:val="Normal"/>
    <w:next w:val="Normal"/>
    <w:autoRedefine/>
    <w:uiPriority w:val="39"/>
    <w:unhideWhenUsed/>
    <w:rsid w:val="009D5380"/>
    <w:pPr>
      <w:spacing w:after="100"/>
      <w:ind w:left="220"/>
    </w:pPr>
  </w:style>
  <w:style w:type="paragraph" w:styleId="TOC3">
    <w:name w:val="toc 3"/>
    <w:basedOn w:val="Normal"/>
    <w:next w:val="Normal"/>
    <w:autoRedefine/>
    <w:uiPriority w:val="39"/>
    <w:unhideWhenUsed/>
    <w:rsid w:val="009D538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49085">
      <w:bodyDiv w:val="1"/>
      <w:marLeft w:val="0"/>
      <w:marRight w:val="0"/>
      <w:marTop w:val="0"/>
      <w:marBottom w:val="0"/>
      <w:divBdr>
        <w:top w:val="none" w:sz="0" w:space="0" w:color="auto"/>
        <w:left w:val="none" w:sz="0" w:space="0" w:color="auto"/>
        <w:bottom w:val="none" w:sz="0" w:space="0" w:color="auto"/>
        <w:right w:val="none" w:sz="0" w:space="0" w:color="auto"/>
      </w:divBdr>
    </w:div>
    <w:div w:id="644630273">
      <w:bodyDiv w:val="1"/>
      <w:marLeft w:val="0"/>
      <w:marRight w:val="0"/>
      <w:marTop w:val="0"/>
      <w:marBottom w:val="0"/>
      <w:divBdr>
        <w:top w:val="none" w:sz="0" w:space="0" w:color="auto"/>
        <w:left w:val="none" w:sz="0" w:space="0" w:color="auto"/>
        <w:bottom w:val="none" w:sz="0" w:space="0" w:color="auto"/>
        <w:right w:val="none" w:sz="0" w:space="0" w:color="auto"/>
      </w:divBdr>
    </w:div>
    <w:div w:id="720904072">
      <w:bodyDiv w:val="1"/>
      <w:marLeft w:val="0"/>
      <w:marRight w:val="0"/>
      <w:marTop w:val="0"/>
      <w:marBottom w:val="0"/>
      <w:divBdr>
        <w:top w:val="none" w:sz="0" w:space="0" w:color="auto"/>
        <w:left w:val="none" w:sz="0" w:space="0" w:color="auto"/>
        <w:bottom w:val="none" w:sz="0" w:space="0" w:color="auto"/>
        <w:right w:val="none" w:sz="0" w:space="0" w:color="auto"/>
      </w:divBdr>
    </w:div>
    <w:div w:id="924608406">
      <w:bodyDiv w:val="1"/>
      <w:marLeft w:val="0"/>
      <w:marRight w:val="0"/>
      <w:marTop w:val="0"/>
      <w:marBottom w:val="0"/>
      <w:divBdr>
        <w:top w:val="none" w:sz="0" w:space="0" w:color="auto"/>
        <w:left w:val="none" w:sz="0" w:space="0" w:color="auto"/>
        <w:bottom w:val="none" w:sz="0" w:space="0" w:color="auto"/>
        <w:right w:val="none" w:sz="0" w:space="0" w:color="auto"/>
      </w:divBdr>
    </w:div>
    <w:div w:id="1236090750">
      <w:bodyDiv w:val="1"/>
      <w:marLeft w:val="0"/>
      <w:marRight w:val="0"/>
      <w:marTop w:val="0"/>
      <w:marBottom w:val="0"/>
      <w:divBdr>
        <w:top w:val="none" w:sz="0" w:space="0" w:color="auto"/>
        <w:left w:val="none" w:sz="0" w:space="0" w:color="auto"/>
        <w:bottom w:val="none" w:sz="0" w:space="0" w:color="auto"/>
        <w:right w:val="none" w:sz="0" w:space="0" w:color="auto"/>
      </w:divBdr>
    </w:div>
    <w:div w:id="1313800446">
      <w:bodyDiv w:val="1"/>
      <w:marLeft w:val="0"/>
      <w:marRight w:val="0"/>
      <w:marTop w:val="0"/>
      <w:marBottom w:val="0"/>
      <w:divBdr>
        <w:top w:val="none" w:sz="0" w:space="0" w:color="auto"/>
        <w:left w:val="none" w:sz="0" w:space="0" w:color="auto"/>
        <w:bottom w:val="none" w:sz="0" w:space="0" w:color="auto"/>
        <w:right w:val="none" w:sz="0" w:space="0" w:color="auto"/>
      </w:divBdr>
    </w:div>
    <w:div w:id="18280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justice.act.gov.au/__data/assets/pdf_file/0003/2263980/ACT-Board-of-Inquiry-Criminal-Justice-System-Final-Report-31-July-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15B7A8EA5AEB2418427E343508F466D" ma:contentTypeVersion="8" ma:contentTypeDescription="Create a new document." ma:contentTypeScope="" ma:versionID="db28ee8704dd24af315890a0f730c322">
  <xsd:schema xmlns:xsd="http://www.w3.org/2001/XMLSchema" xmlns:xs="http://www.w3.org/2001/XMLSchema" xmlns:p="http://schemas.microsoft.com/office/2006/metadata/properties" xmlns:ns2="52a20d92-ce35-4506-9857-4f146618338e" xmlns:ns3="8c041c99-a637-44d3-b94d-0633f0e772fa" targetNamespace="http://schemas.microsoft.com/office/2006/metadata/properties" ma:root="true" ma:fieldsID="3e47d636b6e3793a256bdccf44d51ea4" ns2:_="" ns3:_="">
    <xsd:import namespace="52a20d92-ce35-4506-9857-4f146618338e"/>
    <xsd:import namespace="8c041c99-a637-44d3-b94d-0633f0e772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20d92-ce35-4506-9857-4f1466183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041c99-a637-44d3-b94d-0633f0e772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1B7879-FF2C-4778-9E42-586F52E0DC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51A34D-4AD1-4ABF-91F6-290896CDED7C}">
  <ds:schemaRefs>
    <ds:schemaRef ds:uri="http://schemas.microsoft.com/sharepoint/v3/contenttype/forms"/>
  </ds:schemaRefs>
</ds:datastoreItem>
</file>

<file path=customXml/itemProps3.xml><?xml version="1.0" encoding="utf-8"?>
<ds:datastoreItem xmlns:ds="http://schemas.openxmlformats.org/officeDocument/2006/customXml" ds:itemID="{F06FC54A-10A2-45D3-8177-07CFC51B4773}">
  <ds:schemaRefs>
    <ds:schemaRef ds:uri="http://schemas.openxmlformats.org/officeDocument/2006/bibliography"/>
  </ds:schemaRefs>
</ds:datastoreItem>
</file>

<file path=customXml/itemProps4.xml><?xml version="1.0" encoding="utf-8"?>
<ds:datastoreItem xmlns:ds="http://schemas.openxmlformats.org/officeDocument/2006/customXml" ds:itemID="{01006A26-48CE-422A-9743-ED9ABC312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20d92-ce35-4506-9857-4f146618338e"/>
    <ds:schemaRef ds:uri="8c041c99-a637-44d3-b94d-0633f0e77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9790</Words>
  <Characters>53699</Characters>
  <Application>Microsoft Office Word</Application>
  <DocSecurity>0</DocSecurity>
  <Lines>958</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63133</CharactersWithSpaces>
  <SharedDoc>false</SharedDoc>
  <HLinks>
    <vt:vector size="168" baseType="variant">
      <vt:variant>
        <vt:i4>1572916</vt:i4>
      </vt:variant>
      <vt:variant>
        <vt:i4>158</vt:i4>
      </vt:variant>
      <vt:variant>
        <vt:i4>0</vt:i4>
      </vt:variant>
      <vt:variant>
        <vt:i4>5</vt:i4>
      </vt:variant>
      <vt:variant>
        <vt:lpwstr/>
      </vt:variant>
      <vt:variant>
        <vt:lpwstr>_Toc161908481</vt:lpwstr>
      </vt:variant>
      <vt:variant>
        <vt:i4>1572916</vt:i4>
      </vt:variant>
      <vt:variant>
        <vt:i4>152</vt:i4>
      </vt:variant>
      <vt:variant>
        <vt:i4>0</vt:i4>
      </vt:variant>
      <vt:variant>
        <vt:i4>5</vt:i4>
      </vt:variant>
      <vt:variant>
        <vt:lpwstr/>
      </vt:variant>
      <vt:variant>
        <vt:lpwstr>_Toc161908480</vt:lpwstr>
      </vt:variant>
      <vt:variant>
        <vt:i4>1507380</vt:i4>
      </vt:variant>
      <vt:variant>
        <vt:i4>146</vt:i4>
      </vt:variant>
      <vt:variant>
        <vt:i4>0</vt:i4>
      </vt:variant>
      <vt:variant>
        <vt:i4>5</vt:i4>
      </vt:variant>
      <vt:variant>
        <vt:lpwstr/>
      </vt:variant>
      <vt:variant>
        <vt:lpwstr>_Toc161908479</vt:lpwstr>
      </vt:variant>
      <vt:variant>
        <vt:i4>1507380</vt:i4>
      </vt:variant>
      <vt:variant>
        <vt:i4>140</vt:i4>
      </vt:variant>
      <vt:variant>
        <vt:i4>0</vt:i4>
      </vt:variant>
      <vt:variant>
        <vt:i4>5</vt:i4>
      </vt:variant>
      <vt:variant>
        <vt:lpwstr/>
      </vt:variant>
      <vt:variant>
        <vt:lpwstr>_Toc161908478</vt:lpwstr>
      </vt:variant>
      <vt:variant>
        <vt:i4>1507380</vt:i4>
      </vt:variant>
      <vt:variant>
        <vt:i4>134</vt:i4>
      </vt:variant>
      <vt:variant>
        <vt:i4>0</vt:i4>
      </vt:variant>
      <vt:variant>
        <vt:i4>5</vt:i4>
      </vt:variant>
      <vt:variant>
        <vt:lpwstr/>
      </vt:variant>
      <vt:variant>
        <vt:lpwstr>_Toc161908477</vt:lpwstr>
      </vt:variant>
      <vt:variant>
        <vt:i4>1507380</vt:i4>
      </vt:variant>
      <vt:variant>
        <vt:i4>128</vt:i4>
      </vt:variant>
      <vt:variant>
        <vt:i4>0</vt:i4>
      </vt:variant>
      <vt:variant>
        <vt:i4>5</vt:i4>
      </vt:variant>
      <vt:variant>
        <vt:lpwstr/>
      </vt:variant>
      <vt:variant>
        <vt:lpwstr>_Toc161908476</vt:lpwstr>
      </vt:variant>
      <vt:variant>
        <vt:i4>1507380</vt:i4>
      </vt:variant>
      <vt:variant>
        <vt:i4>122</vt:i4>
      </vt:variant>
      <vt:variant>
        <vt:i4>0</vt:i4>
      </vt:variant>
      <vt:variant>
        <vt:i4>5</vt:i4>
      </vt:variant>
      <vt:variant>
        <vt:lpwstr/>
      </vt:variant>
      <vt:variant>
        <vt:lpwstr>_Toc161908475</vt:lpwstr>
      </vt:variant>
      <vt:variant>
        <vt:i4>1507380</vt:i4>
      </vt:variant>
      <vt:variant>
        <vt:i4>116</vt:i4>
      </vt:variant>
      <vt:variant>
        <vt:i4>0</vt:i4>
      </vt:variant>
      <vt:variant>
        <vt:i4>5</vt:i4>
      </vt:variant>
      <vt:variant>
        <vt:lpwstr/>
      </vt:variant>
      <vt:variant>
        <vt:lpwstr>_Toc161908474</vt:lpwstr>
      </vt:variant>
      <vt:variant>
        <vt:i4>1507380</vt:i4>
      </vt:variant>
      <vt:variant>
        <vt:i4>110</vt:i4>
      </vt:variant>
      <vt:variant>
        <vt:i4>0</vt:i4>
      </vt:variant>
      <vt:variant>
        <vt:i4>5</vt:i4>
      </vt:variant>
      <vt:variant>
        <vt:lpwstr/>
      </vt:variant>
      <vt:variant>
        <vt:lpwstr>_Toc161908473</vt:lpwstr>
      </vt:variant>
      <vt:variant>
        <vt:i4>1507380</vt:i4>
      </vt:variant>
      <vt:variant>
        <vt:i4>104</vt:i4>
      </vt:variant>
      <vt:variant>
        <vt:i4>0</vt:i4>
      </vt:variant>
      <vt:variant>
        <vt:i4>5</vt:i4>
      </vt:variant>
      <vt:variant>
        <vt:lpwstr/>
      </vt:variant>
      <vt:variant>
        <vt:lpwstr>_Toc161908472</vt:lpwstr>
      </vt:variant>
      <vt:variant>
        <vt:i4>1507380</vt:i4>
      </vt:variant>
      <vt:variant>
        <vt:i4>98</vt:i4>
      </vt:variant>
      <vt:variant>
        <vt:i4>0</vt:i4>
      </vt:variant>
      <vt:variant>
        <vt:i4>5</vt:i4>
      </vt:variant>
      <vt:variant>
        <vt:lpwstr/>
      </vt:variant>
      <vt:variant>
        <vt:lpwstr>_Toc161908471</vt:lpwstr>
      </vt:variant>
      <vt:variant>
        <vt:i4>1507380</vt:i4>
      </vt:variant>
      <vt:variant>
        <vt:i4>92</vt:i4>
      </vt:variant>
      <vt:variant>
        <vt:i4>0</vt:i4>
      </vt:variant>
      <vt:variant>
        <vt:i4>5</vt:i4>
      </vt:variant>
      <vt:variant>
        <vt:lpwstr/>
      </vt:variant>
      <vt:variant>
        <vt:lpwstr>_Toc161908470</vt:lpwstr>
      </vt:variant>
      <vt:variant>
        <vt:i4>1441844</vt:i4>
      </vt:variant>
      <vt:variant>
        <vt:i4>86</vt:i4>
      </vt:variant>
      <vt:variant>
        <vt:i4>0</vt:i4>
      </vt:variant>
      <vt:variant>
        <vt:i4>5</vt:i4>
      </vt:variant>
      <vt:variant>
        <vt:lpwstr/>
      </vt:variant>
      <vt:variant>
        <vt:lpwstr>_Toc161908469</vt:lpwstr>
      </vt:variant>
      <vt:variant>
        <vt:i4>1441844</vt:i4>
      </vt:variant>
      <vt:variant>
        <vt:i4>80</vt:i4>
      </vt:variant>
      <vt:variant>
        <vt:i4>0</vt:i4>
      </vt:variant>
      <vt:variant>
        <vt:i4>5</vt:i4>
      </vt:variant>
      <vt:variant>
        <vt:lpwstr/>
      </vt:variant>
      <vt:variant>
        <vt:lpwstr>_Toc161908468</vt:lpwstr>
      </vt:variant>
      <vt:variant>
        <vt:i4>1441844</vt:i4>
      </vt:variant>
      <vt:variant>
        <vt:i4>74</vt:i4>
      </vt:variant>
      <vt:variant>
        <vt:i4>0</vt:i4>
      </vt:variant>
      <vt:variant>
        <vt:i4>5</vt:i4>
      </vt:variant>
      <vt:variant>
        <vt:lpwstr/>
      </vt:variant>
      <vt:variant>
        <vt:lpwstr>_Toc161908467</vt:lpwstr>
      </vt:variant>
      <vt:variant>
        <vt:i4>1441844</vt:i4>
      </vt:variant>
      <vt:variant>
        <vt:i4>68</vt:i4>
      </vt:variant>
      <vt:variant>
        <vt:i4>0</vt:i4>
      </vt:variant>
      <vt:variant>
        <vt:i4>5</vt:i4>
      </vt:variant>
      <vt:variant>
        <vt:lpwstr/>
      </vt:variant>
      <vt:variant>
        <vt:lpwstr>_Toc161908466</vt:lpwstr>
      </vt:variant>
      <vt:variant>
        <vt:i4>1441844</vt:i4>
      </vt:variant>
      <vt:variant>
        <vt:i4>62</vt:i4>
      </vt:variant>
      <vt:variant>
        <vt:i4>0</vt:i4>
      </vt:variant>
      <vt:variant>
        <vt:i4>5</vt:i4>
      </vt:variant>
      <vt:variant>
        <vt:lpwstr/>
      </vt:variant>
      <vt:variant>
        <vt:lpwstr>_Toc161908465</vt:lpwstr>
      </vt:variant>
      <vt:variant>
        <vt:i4>1441844</vt:i4>
      </vt:variant>
      <vt:variant>
        <vt:i4>56</vt:i4>
      </vt:variant>
      <vt:variant>
        <vt:i4>0</vt:i4>
      </vt:variant>
      <vt:variant>
        <vt:i4>5</vt:i4>
      </vt:variant>
      <vt:variant>
        <vt:lpwstr/>
      </vt:variant>
      <vt:variant>
        <vt:lpwstr>_Toc161908464</vt:lpwstr>
      </vt:variant>
      <vt:variant>
        <vt:i4>1441844</vt:i4>
      </vt:variant>
      <vt:variant>
        <vt:i4>50</vt:i4>
      </vt:variant>
      <vt:variant>
        <vt:i4>0</vt:i4>
      </vt:variant>
      <vt:variant>
        <vt:i4>5</vt:i4>
      </vt:variant>
      <vt:variant>
        <vt:lpwstr/>
      </vt:variant>
      <vt:variant>
        <vt:lpwstr>_Toc161908463</vt:lpwstr>
      </vt:variant>
      <vt:variant>
        <vt:i4>1441844</vt:i4>
      </vt:variant>
      <vt:variant>
        <vt:i4>44</vt:i4>
      </vt:variant>
      <vt:variant>
        <vt:i4>0</vt:i4>
      </vt:variant>
      <vt:variant>
        <vt:i4>5</vt:i4>
      </vt:variant>
      <vt:variant>
        <vt:lpwstr/>
      </vt:variant>
      <vt:variant>
        <vt:lpwstr>_Toc161908462</vt:lpwstr>
      </vt:variant>
      <vt:variant>
        <vt:i4>1441844</vt:i4>
      </vt:variant>
      <vt:variant>
        <vt:i4>38</vt:i4>
      </vt:variant>
      <vt:variant>
        <vt:i4>0</vt:i4>
      </vt:variant>
      <vt:variant>
        <vt:i4>5</vt:i4>
      </vt:variant>
      <vt:variant>
        <vt:lpwstr/>
      </vt:variant>
      <vt:variant>
        <vt:lpwstr>_Toc161908461</vt:lpwstr>
      </vt:variant>
      <vt:variant>
        <vt:i4>1441844</vt:i4>
      </vt:variant>
      <vt:variant>
        <vt:i4>32</vt:i4>
      </vt:variant>
      <vt:variant>
        <vt:i4>0</vt:i4>
      </vt:variant>
      <vt:variant>
        <vt:i4>5</vt:i4>
      </vt:variant>
      <vt:variant>
        <vt:lpwstr/>
      </vt:variant>
      <vt:variant>
        <vt:lpwstr>_Toc161908460</vt:lpwstr>
      </vt:variant>
      <vt:variant>
        <vt:i4>1376308</vt:i4>
      </vt:variant>
      <vt:variant>
        <vt:i4>26</vt:i4>
      </vt:variant>
      <vt:variant>
        <vt:i4>0</vt:i4>
      </vt:variant>
      <vt:variant>
        <vt:i4>5</vt:i4>
      </vt:variant>
      <vt:variant>
        <vt:lpwstr/>
      </vt:variant>
      <vt:variant>
        <vt:lpwstr>_Toc161908459</vt:lpwstr>
      </vt:variant>
      <vt:variant>
        <vt:i4>1376308</vt:i4>
      </vt:variant>
      <vt:variant>
        <vt:i4>20</vt:i4>
      </vt:variant>
      <vt:variant>
        <vt:i4>0</vt:i4>
      </vt:variant>
      <vt:variant>
        <vt:i4>5</vt:i4>
      </vt:variant>
      <vt:variant>
        <vt:lpwstr/>
      </vt:variant>
      <vt:variant>
        <vt:lpwstr>_Toc161908458</vt:lpwstr>
      </vt:variant>
      <vt:variant>
        <vt:i4>1376308</vt:i4>
      </vt:variant>
      <vt:variant>
        <vt:i4>14</vt:i4>
      </vt:variant>
      <vt:variant>
        <vt:i4>0</vt:i4>
      </vt:variant>
      <vt:variant>
        <vt:i4>5</vt:i4>
      </vt:variant>
      <vt:variant>
        <vt:lpwstr/>
      </vt:variant>
      <vt:variant>
        <vt:lpwstr>_Toc161908457</vt:lpwstr>
      </vt:variant>
      <vt:variant>
        <vt:i4>1376308</vt:i4>
      </vt:variant>
      <vt:variant>
        <vt:i4>8</vt:i4>
      </vt:variant>
      <vt:variant>
        <vt:i4>0</vt:i4>
      </vt:variant>
      <vt:variant>
        <vt:i4>5</vt:i4>
      </vt:variant>
      <vt:variant>
        <vt:lpwstr/>
      </vt:variant>
      <vt:variant>
        <vt:lpwstr>_Toc161908456</vt:lpwstr>
      </vt:variant>
      <vt:variant>
        <vt:i4>1376308</vt:i4>
      </vt:variant>
      <vt:variant>
        <vt:i4>2</vt:i4>
      </vt:variant>
      <vt:variant>
        <vt:i4>0</vt:i4>
      </vt:variant>
      <vt:variant>
        <vt:i4>5</vt:i4>
      </vt:variant>
      <vt:variant>
        <vt:lpwstr/>
      </vt:variant>
      <vt:variant>
        <vt:lpwstr>_Toc161908455</vt:lpwstr>
      </vt:variant>
      <vt:variant>
        <vt:i4>7471175</vt:i4>
      </vt:variant>
      <vt:variant>
        <vt:i4>0</vt:i4>
      </vt:variant>
      <vt:variant>
        <vt:i4>0</vt:i4>
      </vt:variant>
      <vt:variant>
        <vt:i4>5</vt:i4>
      </vt:variant>
      <vt:variant>
        <vt:lpwstr>https://www.justice.act.gov.au/__data/assets/pdf_file/0003/2263980/ACT-Board-of-Inquiry-Criminal-Justice-System-Final-Report-31-July-2023.pdf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6</cp:revision>
  <dcterms:created xsi:type="dcterms:W3CDTF">2024-04-09T02:39:00Z</dcterms:created>
  <dcterms:modified xsi:type="dcterms:W3CDTF">2024-04-09T03:56:00Z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0x010100315B7A8EA5AEB2418427E343508F466D</vt:lpwstr>
  </property>
  <property fmtid="{D5CDD505-2E9C-101B-9397-08002B2CF9AE}" pid="3" name="MSIP_Label_69af8531-eb46-4968-8cb3-105d2f5ea87e_Enabled">
    <vt:lpwstr>true</vt:lpwstr>
  </property>
  <property fmtid="{D5CDD505-2E9C-101B-9397-08002B2CF9AE}" pid="4" name="MSIP_Label_69af8531-eb46-4968-8cb3-105d2f5ea87e_SetDate">
    <vt:lpwstr>2024-04-09T03:56:44Z</vt:lpwstr>
  </property>
  <property fmtid="{D5CDD505-2E9C-101B-9397-08002B2CF9AE}" pid="5" name="MSIP_Label_69af8531-eb46-4968-8cb3-105d2f5ea87e_Method">
    <vt:lpwstr>Standard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b89c5d0a-310c-4b7e-9741-00a4c7506b2f</vt:lpwstr>
  </property>
  <property fmtid="{D5CDD505-2E9C-101B-9397-08002B2CF9AE}" pid="9" name="MSIP_Label_69af8531-eb46-4968-8cb3-105d2f5ea87e_ContentBits">
    <vt:lpwstr>0</vt:lpwstr>
  </property>
</Properties>
</file>