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A22" w:rsidRDefault="003F4A22">
      <w:pPr>
        <w:pStyle w:val="Header"/>
        <w:tabs>
          <w:tab w:val="clear" w:pos="4819"/>
          <w:tab w:val="clear" w:pos="9071"/>
        </w:tabs>
        <w:spacing w:before="120"/>
      </w:pPr>
      <w:bookmarkStart w:id="0" w:name="_GoBack"/>
      <w:bookmarkEnd w:id="0"/>
      <w:smartTag w:uri="urn:schemas-microsoft-com:office:smarttags" w:element="place">
        <w:smartTag w:uri="urn:schemas-microsoft-com:office:smarttags" w:element="State">
          <w:r>
            <w:t>Australian Capital Territory</w:t>
          </w:r>
        </w:smartTag>
      </w:smartTag>
    </w:p>
    <w:p w:rsidR="003F4A22" w:rsidRDefault="003F4A22">
      <w:pPr>
        <w:pStyle w:val="Header"/>
        <w:tabs>
          <w:tab w:val="clear" w:pos="4819"/>
          <w:tab w:val="clear" w:pos="9071"/>
        </w:tabs>
        <w:spacing w:before="120"/>
        <w:rPr>
          <w:rFonts w:cs="Arial"/>
          <w:lang w:val="en-AU"/>
        </w:rPr>
      </w:pPr>
    </w:p>
    <w:p w:rsidR="003F4A22" w:rsidRDefault="003F4A22">
      <w:pPr>
        <w:pStyle w:val="Billname"/>
        <w:spacing w:before="120" w:after="120"/>
        <w:rPr>
          <w:rFonts w:cs="Arial"/>
        </w:rPr>
      </w:pPr>
      <w:r>
        <w:rPr>
          <w:rFonts w:cs="Arial"/>
        </w:rPr>
        <w:t>Planning and Development (Technical Amendment</w:t>
      </w:r>
      <w:r>
        <w:rPr>
          <w:rFonts w:cs="Arial"/>
          <w:color w:val="000000"/>
        </w:rPr>
        <w:t xml:space="preserve">—Rezoning - </w:t>
      </w:r>
      <w:r>
        <w:rPr>
          <w:rFonts w:cs="Arial"/>
        </w:rPr>
        <w:t>boundary changes) Plan Variation 2010 (No 1)</w:t>
      </w:r>
    </w:p>
    <w:p w:rsidR="003F4A22" w:rsidRDefault="003F4A22">
      <w:pPr>
        <w:pStyle w:val="Heading5"/>
        <w:spacing w:before="240" w:after="60"/>
        <w:rPr>
          <w:rFonts w:cs="Arial"/>
          <w:caps w:val="0"/>
          <w:lang w:val="en-AU"/>
        </w:rPr>
      </w:pPr>
      <w:bookmarkStart w:id="1" w:name="Citation"/>
      <w:r>
        <w:rPr>
          <w:rFonts w:cs="Arial"/>
          <w:caps w:val="0"/>
          <w:lang w:val="en-AU"/>
        </w:rPr>
        <w:t>Notifiable instrument NI2010—</w:t>
      </w:r>
      <w:r w:rsidR="00524EC3">
        <w:rPr>
          <w:rFonts w:cs="Arial"/>
          <w:caps w:val="0"/>
          <w:lang w:val="en-AU"/>
        </w:rPr>
        <w:t>258</w:t>
      </w:r>
    </w:p>
    <w:p w:rsidR="003F4A22" w:rsidRDefault="003F4A22">
      <w:pPr>
        <w:rPr>
          <w:b/>
          <w:bCs/>
        </w:rPr>
      </w:pPr>
      <w:r>
        <w:rPr>
          <w:b/>
          <w:bCs/>
        </w:rPr>
        <w:t>Technical Amendment No 2010-15</w:t>
      </w:r>
    </w:p>
    <w:p w:rsidR="003F4A22" w:rsidRDefault="003F4A22">
      <w:pPr>
        <w:pStyle w:val="madeunder"/>
        <w:rPr>
          <w:rFonts w:cs="Arial"/>
          <w:sz w:val="20"/>
        </w:rPr>
      </w:pPr>
      <w:r>
        <w:rPr>
          <w:rFonts w:cs="Arial"/>
          <w:sz w:val="20"/>
        </w:rPr>
        <w:t>made under the</w:t>
      </w:r>
    </w:p>
    <w:bookmarkEnd w:id="1"/>
    <w:p w:rsidR="003F4A22" w:rsidRDefault="003F4A22">
      <w:pPr>
        <w:pStyle w:val="CoverActName"/>
        <w:spacing w:before="0"/>
      </w:pPr>
      <w:r>
        <w:rPr>
          <w:i/>
        </w:rPr>
        <w:t>Planning and Development Act 2007</w:t>
      </w:r>
      <w:r>
        <w:t>, section 89 (Making technical amendments) (s96A Rezoning – boundary changes)</w:t>
      </w:r>
    </w:p>
    <w:p w:rsidR="003F4A22" w:rsidRDefault="003F4A22">
      <w:pPr>
        <w:pStyle w:val="N-line3"/>
        <w:pBdr>
          <w:top w:val="single" w:sz="12" w:space="1" w:color="auto"/>
          <w:bottom w:val="none" w:sz="0" w:space="0" w:color="auto"/>
        </w:pBdr>
        <w:jc w:val="left"/>
        <w:rPr>
          <w:rFonts w:cs="Arial"/>
        </w:rPr>
      </w:pPr>
    </w:p>
    <w:p w:rsidR="003F4A22" w:rsidRDefault="003F4A22">
      <w:pPr>
        <w:pStyle w:val="BodyText"/>
        <w:rPr>
          <w:b w:val="0"/>
          <w:bCs/>
          <w:sz w:val="24"/>
          <w:szCs w:val="24"/>
        </w:rPr>
      </w:pPr>
      <w:r>
        <w:rPr>
          <w:b w:val="0"/>
          <w:bCs/>
          <w:sz w:val="24"/>
          <w:szCs w:val="24"/>
        </w:rPr>
        <w:t>This plan variation commences on the day after it is notified.</w:t>
      </w:r>
    </w:p>
    <w:p w:rsidR="003F4A22" w:rsidRDefault="003F4A22">
      <w:pPr>
        <w:pStyle w:val="BodyText"/>
        <w:rPr>
          <w:b w:val="0"/>
          <w:bCs/>
          <w:sz w:val="24"/>
          <w:szCs w:val="24"/>
        </w:rPr>
      </w:pPr>
    </w:p>
    <w:p w:rsidR="003F4A22" w:rsidRDefault="003F4A22">
      <w:pPr>
        <w:pStyle w:val="BodyText"/>
        <w:rPr>
          <w:b w:val="0"/>
          <w:bCs/>
          <w:color w:val="000000"/>
          <w:sz w:val="24"/>
          <w:szCs w:val="24"/>
        </w:rPr>
      </w:pPr>
      <w:r>
        <w:rPr>
          <w:b w:val="0"/>
          <w:bCs/>
          <w:sz w:val="24"/>
          <w:szCs w:val="24"/>
        </w:rPr>
        <w:t xml:space="preserve">Variation </w:t>
      </w:r>
      <w:r>
        <w:rPr>
          <w:b w:val="0"/>
          <w:bCs/>
          <w:color w:val="000000"/>
          <w:sz w:val="24"/>
          <w:szCs w:val="24"/>
        </w:rPr>
        <w:t xml:space="preserve">No 2010-15 </w:t>
      </w:r>
      <w:r>
        <w:rPr>
          <w:b w:val="0"/>
          <w:bCs/>
          <w:sz w:val="24"/>
          <w:szCs w:val="24"/>
        </w:rPr>
        <w:t xml:space="preserve">to the </w:t>
      </w:r>
      <w:r>
        <w:rPr>
          <w:b w:val="0"/>
          <w:sz w:val="24"/>
          <w:szCs w:val="24"/>
        </w:rPr>
        <w:t xml:space="preserve">Territory Plan </w:t>
      </w:r>
      <w:r>
        <w:rPr>
          <w:b w:val="0"/>
          <w:bCs/>
          <w:color w:val="000000"/>
          <w:sz w:val="24"/>
          <w:szCs w:val="24"/>
        </w:rPr>
        <w:t>has been approved by the Planning and Land Authority</w:t>
      </w:r>
    </w:p>
    <w:p w:rsidR="003F4A22" w:rsidRDefault="003F4A22">
      <w:pPr>
        <w:pStyle w:val="BodyText"/>
        <w:rPr>
          <w:b w:val="0"/>
          <w:bCs/>
          <w:color w:val="000000"/>
          <w:sz w:val="24"/>
          <w:szCs w:val="24"/>
        </w:rPr>
      </w:pPr>
    </w:p>
    <w:p w:rsidR="003F4A22" w:rsidRDefault="003F4A22">
      <w:pPr>
        <w:pStyle w:val="BodyText"/>
        <w:rPr>
          <w:b w:val="0"/>
          <w:bCs/>
          <w:color w:val="000000"/>
          <w:sz w:val="24"/>
          <w:szCs w:val="24"/>
        </w:rPr>
      </w:pPr>
      <w:r>
        <w:rPr>
          <w:b w:val="0"/>
          <w:bCs/>
          <w:color w:val="000000"/>
          <w:sz w:val="24"/>
          <w:szCs w:val="24"/>
        </w:rPr>
        <w:t>The variation specifies miscellaneous changes to zone boundaries to be consistent with the amendment or creation of block boundaries and does not affect existing leasehold. Areas that are affected by this change are identified on the following maps:</w:t>
      </w:r>
    </w:p>
    <w:p w:rsidR="003F4A22" w:rsidRDefault="003F4A22">
      <w:pPr>
        <w:pStyle w:val="BodyText"/>
        <w:rPr>
          <w:b w:val="0"/>
          <w:bCs/>
          <w:color w:val="000000"/>
          <w:sz w:val="24"/>
          <w:szCs w:val="24"/>
        </w:rPr>
      </w:pPr>
    </w:p>
    <w:p w:rsidR="003F4A22" w:rsidRDefault="003F4A22">
      <w:pPr>
        <w:pStyle w:val="BodyText"/>
        <w:rPr>
          <w:b w:val="0"/>
          <w:bCs/>
          <w:color w:val="000000"/>
          <w:sz w:val="24"/>
          <w:szCs w:val="24"/>
        </w:rPr>
      </w:pPr>
      <w:r>
        <w:rPr>
          <w:bCs/>
          <w:color w:val="000000"/>
          <w:sz w:val="24"/>
          <w:szCs w:val="24"/>
        </w:rPr>
        <w:t xml:space="preserve">Annexure A – </w:t>
      </w:r>
      <w:r>
        <w:rPr>
          <w:b w:val="0"/>
          <w:bCs/>
          <w:color w:val="000000"/>
          <w:sz w:val="24"/>
          <w:szCs w:val="24"/>
        </w:rPr>
        <w:t xml:space="preserve">Division of </w:t>
      </w:r>
      <w:smartTag w:uri="urn:schemas-microsoft-com:office:smarttags" w:element="place">
        <w:r>
          <w:rPr>
            <w:b w:val="0"/>
            <w:bCs/>
            <w:color w:val="000000"/>
            <w:sz w:val="24"/>
            <w:szCs w:val="24"/>
          </w:rPr>
          <w:t>Macquarie</w:t>
        </w:r>
      </w:smartTag>
      <w:r>
        <w:rPr>
          <w:b w:val="0"/>
          <w:bCs/>
          <w:color w:val="000000"/>
          <w:sz w:val="24"/>
          <w:szCs w:val="24"/>
        </w:rPr>
        <w:t xml:space="preserve"> section 50 blocks 43 and 44</w:t>
      </w:r>
    </w:p>
    <w:p w:rsidR="003F4A22" w:rsidRDefault="003F4A22">
      <w:pPr>
        <w:pStyle w:val="Header"/>
        <w:tabs>
          <w:tab w:val="clear" w:pos="4819"/>
          <w:tab w:val="clear" w:pos="9071"/>
          <w:tab w:val="left" w:pos="-720"/>
        </w:tabs>
        <w:rPr>
          <w:bCs/>
          <w:color w:val="000000"/>
          <w:szCs w:val="24"/>
        </w:rPr>
      </w:pPr>
      <w:r>
        <w:rPr>
          <w:b/>
          <w:bCs/>
          <w:color w:val="000000"/>
          <w:szCs w:val="24"/>
        </w:rPr>
        <w:t>Annexure B</w:t>
      </w:r>
      <w:r>
        <w:rPr>
          <w:bCs/>
          <w:color w:val="000000"/>
          <w:szCs w:val="24"/>
        </w:rPr>
        <w:t xml:space="preserve"> – District of Gungahlin block 354</w:t>
      </w:r>
    </w:p>
    <w:p w:rsidR="003F4A22" w:rsidRDefault="003F4A22">
      <w:pPr>
        <w:pStyle w:val="Header"/>
        <w:tabs>
          <w:tab w:val="clear" w:pos="4819"/>
          <w:tab w:val="clear" w:pos="9071"/>
          <w:tab w:val="left" w:pos="-720"/>
        </w:tabs>
        <w:rPr>
          <w:bCs/>
          <w:color w:val="000000"/>
          <w:szCs w:val="24"/>
        </w:rPr>
      </w:pPr>
      <w:r>
        <w:rPr>
          <w:b/>
          <w:bCs/>
          <w:color w:val="000000"/>
          <w:szCs w:val="24"/>
        </w:rPr>
        <w:t>Annexure C</w:t>
      </w:r>
      <w:r>
        <w:rPr>
          <w:bCs/>
          <w:color w:val="000000"/>
          <w:szCs w:val="24"/>
        </w:rPr>
        <w:t xml:space="preserve"> – Division of Mitchell section 47 block 19</w:t>
      </w:r>
    </w:p>
    <w:p w:rsidR="003F4A22" w:rsidRDefault="003F4A22">
      <w:pPr>
        <w:pStyle w:val="BodyText"/>
        <w:rPr>
          <w:b w:val="0"/>
          <w:bCs/>
          <w:color w:val="000000"/>
          <w:sz w:val="24"/>
          <w:szCs w:val="24"/>
        </w:rPr>
      </w:pPr>
      <w:r>
        <w:rPr>
          <w:bCs/>
          <w:color w:val="000000"/>
          <w:sz w:val="24"/>
          <w:szCs w:val="24"/>
        </w:rPr>
        <w:t xml:space="preserve">Annexure D </w:t>
      </w:r>
      <w:r>
        <w:rPr>
          <w:b w:val="0"/>
          <w:bCs/>
          <w:color w:val="000000"/>
          <w:sz w:val="24"/>
          <w:szCs w:val="24"/>
        </w:rPr>
        <w:t>– Division of Mitchell Section 40 Block 17</w:t>
      </w:r>
    </w:p>
    <w:p w:rsidR="003F4A22" w:rsidRDefault="003F4A22">
      <w:pPr>
        <w:pStyle w:val="BodyText"/>
        <w:rPr>
          <w:bCs/>
          <w:color w:val="000000"/>
          <w:sz w:val="24"/>
          <w:szCs w:val="24"/>
        </w:rPr>
      </w:pPr>
      <w:r>
        <w:rPr>
          <w:bCs/>
          <w:color w:val="000000"/>
          <w:sz w:val="24"/>
          <w:szCs w:val="24"/>
        </w:rPr>
        <w:t xml:space="preserve">Annexure E </w:t>
      </w:r>
      <w:r>
        <w:rPr>
          <w:b w:val="0"/>
          <w:bCs/>
          <w:color w:val="000000"/>
          <w:sz w:val="24"/>
          <w:szCs w:val="24"/>
        </w:rPr>
        <w:t>– Division of Greenway Section 46 Block 15</w:t>
      </w:r>
    </w:p>
    <w:p w:rsidR="003F4A22" w:rsidRDefault="003F4A22">
      <w:pPr>
        <w:pStyle w:val="BodyText"/>
        <w:rPr>
          <w:rFonts w:cs="Arial"/>
          <w:szCs w:val="24"/>
        </w:rPr>
      </w:pPr>
      <w:r>
        <w:rPr>
          <w:bCs/>
          <w:color w:val="000000"/>
          <w:sz w:val="24"/>
          <w:szCs w:val="24"/>
        </w:rPr>
        <w:t>Annexure F</w:t>
      </w:r>
      <w:r>
        <w:rPr>
          <w:b w:val="0"/>
          <w:bCs/>
          <w:color w:val="000000"/>
          <w:sz w:val="24"/>
          <w:szCs w:val="24"/>
        </w:rPr>
        <w:t xml:space="preserve"> – Division of Phillip Sections 81,156, 158, 176 and 177</w:t>
      </w:r>
    </w:p>
    <w:p w:rsidR="003F4A22" w:rsidRDefault="003F4A22"/>
    <w:p w:rsidR="003F4A22" w:rsidRDefault="003F4A22"/>
    <w:p w:rsidR="003F4A22" w:rsidRDefault="003F4A22"/>
    <w:p w:rsidR="003F4A22" w:rsidRDefault="003F4A22"/>
    <w:p w:rsidR="003F4A22" w:rsidRDefault="003F4A22">
      <w:pPr>
        <w:rPr>
          <w:rFonts w:cs="Arial"/>
          <w:szCs w:val="24"/>
          <w:lang w:eastAsia="en-AU"/>
        </w:rPr>
      </w:pPr>
      <w:r>
        <w:rPr>
          <w:rFonts w:cs="Arial"/>
          <w:szCs w:val="24"/>
          <w:lang w:eastAsia="en-AU"/>
        </w:rPr>
        <w:t>Kelvin Walsh</w:t>
      </w:r>
    </w:p>
    <w:p w:rsidR="003F4A22" w:rsidRDefault="003F4A22">
      <w:r>
        <w:t>Delegate of Planning and Land Authority</w:t>
      </w:r>
    </w:p>
    <w:p w:rsidR="003F4A22" w:rsidRDefault="003F4A22">
      <w:pPr>
        <w:rPr>
          <w:color w:val="000000"/>
        </w:rPr>
      </w:pPr>
      <w:r>
        <w:rPr>
          <w:color w:val="000000"/>
        </w:rPr>
        <w:t>Date: 24 May 2010</w:t>
      </w:r>
    </w:p>
    <w:p w:rsidR="003F4A22" w:rsidRDefault="003F4A22">
      <w:pPr>
        <w:jc w:val="center"/>
        <w:rPr>
          <w:rFonts w:cs="Arial"/>
          <w:b/>
          <w:bCs/>
        </w:rPr>
      </w:pPr>
      <w:r>
        <w:rPr>
          <w:color w:val="000000"/>
        </w:rPr>
        <w:br w:type="page"/>
      </w:r>
      <w:r>
        <w:rPr>
          <w:rFonts w:cs="Arial"/>
          <w:b/>
          <w:bCs/>
        </w:rPr>
        <w:lastRenderedPageBreak/>
        <w:t xml:space="preserve">THIS IS PAGE ONE OF ANNEXURE A </w:t>
      </w:r>
    </w:p>
    <w:p w:rsidR="003F4A22" w:rsidRDefault="003F4A22">
      <w:pPr>
        <w:jc w:val="center"/>
        <w:rPr>
          <w:rFonts w:cs="Arial"/>
          <w:b/>
          <w:bCs/>
        </w:rPr>
      </w:pPr>
      <w:r>
        <w:rPr>
          <w:rFonts w:cs="Arial"/>
          <w:b/>
          <w:bCs/>
        </w:rPr>
        <w:t>TO NOTIFIABLE INSTRUMENT NI2010 –258</w:t>
      </w:r>
    </w:p>
    <w:p w:rsidR="003F4A22" w:rsidRDefault="003F4A22">
      <w:pPr>
        <w:rPr>
          <w:rFonts w:cs="Arial"/>
          <w:b/>
          <w:bCs/>
        </w:rPr>
      </w:pPr>
      <w:r>
        <w:rPr>
          <w:rFonts w:cs="Arial"/>
          <w:b/>
          <w:bCs/>
        </w:rPr>
        <w:tab/>
      </w:r>
      <w:r>
        <w:rPr>
          <w:rFonts w:cs="Arial"/>
          <w:b/>
          <w:bCs/>
        </w:rPr>
        <w:tab/>
      </w:r>
      <w:r w:rsidR="00716014">
        <w:rPr>
          <w:rFonts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363.75pt">
            <v:imagedata r:id="rId7" o:title=""/>
          </v:shape>
        </w:pict>
      </w:r>
    </w:p>
    <w:p w:rsidR="003F4A22" w:rsidRDefault="003F4A22">
      <w:pPr>
        <w:rPr>
          <w:rFonts w:cs="Arial"/>
          <w:b/>
          <w:bCs/>
        </w:rPr>
      </w:pPr>
      <w:r>
        <w:rPr>
          <w:rFonts w:cs="Arial"/>
          <w:b/>
          <w:bCs/>
        </w:rPr>
        <w:tab/>
      </w:r>
      <w:r>
        <w:rPr>
          <w:rFonts w:cs="Arial"/>
          <w:b/>
          <w:bCs/>
        </w:rPr>
        <w:tab/>
      </w:r>
    </w:p>
    <w:p w:rsidR="003F4A22" w:rsidRDefault="003F4A22">
      <w:pPr>
        <w:ind w:left="3600"/>
        <w:jc w:val="both"/>
      </w:pPr>
    </w:p>
    <w:p w:rsidR="003F4A22" w:rsidRDefault="003F4A22">
      <w:pPr>
        <w:ind w:left="3600"/>
      </w:pPr>
    </w:p>
    <w:p w:rsidR="003F4A22" w:rsidRDefault="003F4A22">
      <w:pPr>
        <w:ind w:left="2880" w:firstLine="720"/>
        <w:rPr>
          <w:rFonts w:cs="Arial"/>
          <w:szCs w:val="24"/>
          <w:lang w:eastAsia="en-AU"/>
        </w:rPr>
      </w:pPr>
      <w:r>
        <w:rPr>
          <w:rFonts w:cs="Arial"/>
          <w:szCs w:val="24"/>
          <w:lang w:eastAsia="en-AU"/>
        </w:rPr>
        <w:t>Kelvin Walsh</w:t>
      </w:r>
    </w:p>
    <w:p w:rsidR="003F4A22" w:rsidRDefault="003F4A22">
      <w:pPr>
        <w:ind w:left="2880" w:firstLine="720"/>
        <w:rPr>
          <w:rFonts w:cs="Arial"/>
        </w:rPr>
      </w:pPr>
      <w:r>
        <w:t xml:space="preserve">Delegate of </w:t>
      </w:r>
      <w:r>
        <w:rPr>
          <w:rFonts w:cs="Arial"/>
        </w:rPr>
        <w:t>Planning and Land Authority</w:t>
      </w:r>
    </w:p>
    <w:p w:rsidR="003F4A22" w:rsidRDefault="003F4A22">
      <w:pPr>
        <w:ind w:left="2880" w:firstLine="720"/>
        <w:rPr>
          <w:rFonts w:cs="Arial"/>
          <w:b/>
          <w:bCs/>
        </w:rPr>
      </w:pPr>
      <w:r>
        <w:t>Date: 24 May 2010</w:t>
      </w:r>
    </w:p>
    <w:p w:rsidR="003F4A22" w:rsidRDefault="003F4A22">
      <w:pPr>
        <w:jc w:val="center"/>
        <w:rPr>
          <w:rFonts w:cs="Arial"/>
          <w:b/>
          <w:bCs/>
        </w:rPr>
      </w:pPr>
      <w:r>
        <w:rPr>
          <w:color w:val="000000"/>
        </w:rPr>
        <w:br w:type="page"/>
      </w:r>
      <w:r>
        <w:rPr>
          <w:rFonts w:cs="Arial"/>
          <w:b/>
          <w:bCs/>
        </w:rPr>
        <w:lastRenderedPageBreak/>
        <w:t>THIS IS PAGE ONE OF ANNEXURE B</w:t>
      </w:r>
    </w:p>
    <w:p w:rsidR="003F4A22" w:rsidRDefault="003F4A22">
      <w:pPr>
        <w:jc w:val="center"/>
        <w:rPr>
          <w:rFonts w:cs="Arial"/>
          <w:b/>
          <w:bCs/>
        </w:rPr>
      </w:pPr>
      <w:r>
        <w:rPr>
          <w:rFonts w:cs="Arial"/>
          <w:b/>
          <w:bCs/>
        </w:rPr>
        <w:t>TO NOTIFIABLE INSTRUMENT NI2010 –258</w:t>
      </w:r>
    </w:p>
    <w:p w:rsidR="003F4A22" w:rsidRDefault="003F4A22">
      <w:pPr>
        <w:rPr>
          <w:rFonts w:cs="Arial"/>
          <w:b/>
          <w:bCs/>
        </w:rPr>
      </w:pPr>
      <w:r>
        <w:rPr>
          <w:rFonts w:cs="Arial"/>
          <w:b/>
          <w:bCs/>
        </w:rPr>
        <w:tab/>
      </w:r>
      <w:r>
        <w:rPr>
          <w:rFonts w:cs="Arial"/>
          <w:b/>
          <w:bCs/>
        </w:rPr>
        <w:tab/>
      </w:r>
    </w:p>
    <w:p w:rsidR="003F4A22" w:rsidRDefault="003F4A22">
      <w:pPr>
        <w:rPr>
          <w:rFonts w:cs="Arial"/>
          <w:b/>
          <w:bCs/>
        </w:rPr>
      </w:pPr>
      <w:r>
        <w:rPr>
          <w:rFonts w:cs="Arial"/>
          <w:b/>
          <w:bCs/>
        </w:rPr>
        <w:tab/>
      </w:r>
      <w:r>
        <w:rPr>
          <w:rFonts w:cs="Arial"/>
          <w:b/>
          <w:bCs/>
        </w:rPr>
        <w:tab/>
      </w:r>
      <w:r w:rsidR="00716014">
        <w:rPr>
          <w:rFonts w:cs="Arial"/>
          <w:b/>
          <w:bCs/>
        </w:rPr>
        <w:pict>
          <v:shape id="_x0000_i1026" type="#_x0000_t75" style="width:412.5pt;height:306pt">
            <v:imagedata r:id="rId8" o:title=""/>
          </v:shape>
        </w:pict>
      </w:r>
    </w:p>
    <w:p w:rsidR="003F4A22" w:rsidRDefault="003F4A22">
      <w:pPr>
        <w:ind w:left="3600"/>
        <w:jc w:val="both"/>
      </w:pPr>
    </w:p>
    <w:p w:rsidR="003F4A22" w:rsidRDefault="003F4A22">
      <w:pPr>
        <w:ind w:left="3600"/>
      </w:pPr>
    </w:p>
    <w:p w:rsidR="003F4A22" w:rsidRDefault="003F4A22">
      <w:pPr>
        <w:ind w:left="2880" w:firstLine="720"/>
        <w:rPr>
          <w:rFonts w:cs="Arial"/>
          <w:szCs w:val="24"/>
          <w:lang w:eastAsia="en-AU"/>
        </w:rPr>
      </w:pPr>
      <w:r>
        <w:rPr>
          <w:rFonts w:cs="Arial"/>
          <w:szCs w:val="24"/>
          <w:lang w:eastAsia="en-AU"/>
        </w:rPr>
        <w:t>Kelvin Walsh</w:t>
      </w:r>
    </w:p>
    <w:p w:rsidR="003F4A22" w:rsidRDefault="003F4A22">
      <w:pPr>
        <w:ind w:left="2880" w:firstLine="720"/>
        <w:rPr>
          <w:rFonts w:cs="Arial"/>
        </w:rPr>
      </w:pPr>
      <w:r>
        <w:t xml:space="preserve">Delegate of </w:t>
      </w:r>
      <w:r>
        <w:rPr>
          <w:rFonts w:cs="Arial"/>
        </w:rPr>
        <w:t>Planning and Land Authority</w:t>
      </w:r>
    </w:p>
    <w:p w:rsidR="003F4A22" w:rsidRDefault="003F4A22">
      <w:pPr>
        <w:ind w:left="2880" w:firstLine="720"/>
        <w:rPr>
          <w:rFonts w:cs="Arial"/>
          <w:b/>
          <w:bCs/>
        </w:rPr>
      </w:pPr>
      <w:r>
        <w:t>Date: 24 May 2010</w:t>
      </w:r>
    </w:p>
    <w:p w:rsidR="003F4A22" w:rsidRDefault="003F4A22">
      <w:pPr>
        <w:jc w:val="center"/>
        <w:rPr>
          <w:rFonts w:cs="Arial"/>
          <w:b/>
          <w:bCs/>
        </w:rPr>
      </w:pPr>
      <w:r>
        <w:rPr>
          <w:color w:val="000000"/>
        </w:rPr>
        <w:br w:type="page"/>
      </w:r>
      <w:r>
        <w:rPr>
          <w:rFonts w:cs="Arial"/>
          <w:b/>
          <w:bCs/>
        </w:rPr>
        <w:t xml:space="preserve">THIS IS PAGE ONE OF ANNEXURE C </w:t>
      </w:r>
    </w:p>
    <w:p w:rsidR="003F4A22" w:rsidRDefault="003F4A22">
      <w:pPr>
        <w:jc w:val="center"/>
        <w:rPr>
          <w:rFonts w:cs="Arial"/>
          <w:b/>
          <w:bCs/>
        </w:rPr>
      </w:pPr>
      <w:r>
        <w:rPr>
          <w:rFonts w:cs="Arial"/>
          <w:b/>
          <w:bCs/>
        </w:rPr>
        <w:t>TO NOTIFIABLE INSTRUMENT NI2010 –258</w:t>
      </w:r>
    </w:p>
    <w:p w:rsidR="003F4A22" w:rsidRDefault="003F4A22">
      <w:pPr>
        <w:rPr>
          <w:rFonts w:cs="Arial"/>
          <w:b/>
          <w:bCs/>
        </w:rPr>
      </w:pPr>
      <w:r>
        <w:rPr>
          <w:rFonts w:cs="Arial"/>
          <w:b/>
          <w:bCs/>
        </w:rPr>
        <w:tab/>
      </w:r>
      <w:r>
        <w:rPr>
          <w:rFonts w:cs="Arial"/>
          <w:b/>
          <w:bCs/>
        </w:rPr>
        <w:tab/>
      </w:r>
    </w:p>
    <w:p w:rsidR="003F4A22" w:rsidRDefault="003F4A22">
      <w:pPr>
        <w:rPr>
          <w:rFonts w:cs="Arial"/>
          <w:b/>
          <w:bCs/>
        </w:rPr>
      </w:pPr>
      <w:r>
        <w:rPr>
          <w:rFonts w:cs="Arial"/>
          <w:b/>
          <w:bCs/>
        </w:rPr>
        <w:tab/>
      </w:r>
      <w:r>
        <w:rPr>
          <w:rFonts w:cs="Arial"/>
          <w:b/>
          <w:bCs/>
        </w:rPr>
        <w:tab/>
      </w:r>
      <w:r w:rsidR="00716014">
        <w:rPr>
          <w:rFonts w:cs="Arial"/>
          <w:b/>
          <w:bCs/>
        </w:rPr>
        <w:pict>
          <v:shape id="_x0000_i1027" type="#_x0000_t75" style="width:424.5pt;height:328.5pt">
            <v:imagedata r:id="rId9" o:title=""/>
          </v:shape>
        </w:pict>
      </w:r>
    </w:p>
    <w:p w:rsidR="003F4A22" w:rsidRDefault="003F4A22">
      <w:pPr>
        <w:ind w:left="3600"/>
        <w:jc w:val="both"/>
      </w:pPr>
    </w:p>
    <w:p w:rsidR="003F4A22" w:rsidRDefault="003F4A22">
      <w:pPr>
        <w:ind w:left="3600"/>
      </w:pPr>
    </w:p>
    <w:p w:rsidR="003F4A22" w:rsidRDefault="003F4A22">
      <w:pPr>
        <w:ind w:left="2880" w:firstLine="720"/>
        <w:rPr>
          <w:rFonts w:cs="Arial"/>
          <w:szCs w:val="24"/>
          <w:lang w:eastAsia="en-AU"/>
        </w:rPr>
      </w:pPr>
      <w:r>
        <w:rPr>
          <w:rFonts w:cs="Arial"/>
          <w:szCs w:val="24"/>
          <w:lang w:eastAsia="en-AU"/>
        </w:rPr>
        <w:t>Kelvin Walsh</w:t>
      </w:r>
    </w:p>
    <w:p w:rsidR="003F4A22" w:rsidRDefault="003F4A22">
      <w:pPr>
        <w:ind w:left="2880" w:firstLine="720"/>
        <w:rPr>
          <w:rFonts w:cs="Arial"/>
        </w:rPr>
      </w:pPr>
      <w:r>
        <w:t xml:space="preserve">Delegate of </w:t>
      </w:r>
      <w:r>
        <w:rPr>
          <w:rFonts w:cs="Arial"/>
        </w:rPr>
        <w:t>Planning and Land Authority</w:t>
      </w:r>
    </w:p>
    <w:p w:rsidR="003F4A22" w:rsidRDefault="003F4A22">
      <w:pPr>
        <w:ind w:left="2880" w:firstLine="720"/>
        <w:rPr>
          <w:rFonts w:cs="Arial"/>
          <w:b/>
          <w:bCs/>
        </w:rPr>
      </w:pPr>
      <w:r>
        <w:t>Date: 24 May 2010</w:t>
      </w:r>
    </w:p>
    <w:p w:rsidR="003F4A22" w:rsidRDefault="003F4A22">
      <w:pPr>
        <w:jc w:val="center"/>
        <w:rPr>
          <w:rFonts w:cs="Arial"/>
          <w:b/>
          <w:bCs/>
        </w:rPr>
      </w:pPr>
      <w:r>
        <w:rPr>
          <w:color w:val="000000"/>
        </w:rPr>
        <w:br w:type="page"/>
      </w:r>
      <w:r>
        <w:rPr>
          <w:rFonts w:cs="Arial"/>
          <w:b/>
          <w:bCs/>
        </w:rPr>
        <w:t xml:space="preserve">THIS IS PAGE ONE OF ANNEXURE D </w:t>
      </w:r>
    </w:p>
    <w:p w:rsidR="003F4A22" w:rsidRDefault="003F4A22">
      <w:pPr>
        <w:jc w:val="center"/>
        <w:rPr>
          <w:rFonts w:cs="Arial"/>
          <w:b/>
          <w:bCs/>
        </w:rPr>
      </w:pPr>
      <w:r>
        <w:rPr>
          <w:rFonts w:cs="Arial"/>
          <w:b/>
          <w:bCs/>
        </w:rPr>
        <w:t>TO NOTIFIABLE INSTRUMENT NI2010 –258</w:t>
      </w:r>
    </w:p>
    <w:p w:rsidR="003F4A22" w:rsidRDefault="003F4A22">
      <w:pPr>
        <w:rPr>
          <w:rFonts w:cs="Arial"/>
          <w:b/>
          <w:bCs/>
        </w:rPr>
      </w:pPr>
      <w:r>
        <w:rPr>
          <w:rFonts w:cs="Arial"/>
          <w:b/>
          <w:bCs/>
        </w:rPr>
        <w:tab/>
      </w:r>
      <w:r>
        <w:rPr>
          <w:rFonts w:cs="Arial"/>
          <w:b/>
          <w:bCs/>
        </w:rPr>
        <w:tab/>
      </w:r>
    </w:p>
    <w:p w:rsidR="003F4A22" w:rsidRDefault="003F4A22">
      <w:pPr>
        <w:rPr>
          <w:rFonts w:cs="Arial"/>
          <w:b/>
          <w:bCs/>
        </w:rPr>
      </w:pPr>
      <w:r>
        <w:rPr>
          <w:rFonts w:cs="Arial"/>
          <w:b/>
          <w:bCs/>
        </w:rPr>
        <w:tab/>
      </w:r>
      <w:r>
        <w:rPr>
          <w:rFonts w:cs="Arial"/>
          <w:b/>
          <w:bCs/>
        </w:rPr>
        <w:tab/>
      </w:r>
      <w:r w:rsidR="00716014">
        <w:rPr>
          <w:rFonts w:cs="Arial"/>
          <w:b/>
          <w:bCs/>
        </w:rPr>
        <w:pict>
          <v:shape id="_x0000_i1028" type="#_x0000_t75" style="width:424.5pt;height:364.5pt">
            <v:imagedata r:id="rId10" o:title=""/>
          </v:shape>
        </w:pict>
      </w:r>
    </w:p>
    <w:p w:rsidR="003F4A22" w:rsidRDefault="003F4A22">
      <w:pPr>
        <w:ind w:left="3600"/>
        <w:jc w:val="both"/>
      </w:pPr>
    </w:p>
    <w:p w:rsidR="003F4A22" w:rsidRDefault="003F4A22">
      <w:pPr>
        <w:ind w:left="3600"/>
      </w:pPr>
    </w:p>
    <w:p w:rsidR="003F4A22" w:rsidRDefault="003F4A22">
      <w:pPr>
        <w:ind w:left="2880" w:firstLine="720"/>
        <w:rPr>
          <w:rFonts w:cs="Arial"/>
          <w:szCs w:val="24"/>
          <w:lang w:eastAsia="en-AU"/>
        </w:rPr>
      </w:pPr>
      <w:r>
        <w:rPr>
          <w:rFonts w:cs="Arial"/>
          <w:szCs w:val="24"/>
          <w:lang w:eastAsia="en-AU"/>
        </w:rPr>
        <w:t>Kelvin Walsh</w:t>
      </w:r>
    </w:p>
    <w:p w:rsidR="003F4A22" w:rsidRDefault="003F4A22">
      <w:pPr>
        <w:ind w:left="2880" w:firstLine="720"/>
        <w:rPr>
          <w:rFonts w:cs="Arial"/>
        </w:rPr>
      </w:pPr>
      <w:r>
        <w:t xml:space="preserve">Delegate of </w:t>
      </w:r>
      <w:r>
        <w:rPr>
          <w:rFonts w:cs="Arial"/>
        </w:rPr>
        <w:t>Planning and Land Authority</w:t>
      </w:r>
    </w:p>
    <w:p w:rsidR="003F4A22" w:rsidRDefault="003F4A22">
      <w:pPr>
        <w:ind w:left="2880" w:firstLine="720"/>
        <w:rPr>
          <w:rFonts w:cs="Arial"/>
          <w:b/>
          <w:bCs/>
        </w:rPr>
      </w:pPr>
      <w:r>
        <w:t>Date: 24 May 2010</w:t>
      </w:r>
    </w:p>
    <w:p w:rsidR="003F4A22" w:rsidRDefault="003F4A22">
      <w:pPr>
        <w:jc w:val="center"/>
        <w:rPr>
          <w:rFonts w:cs="Arial"/>
          <w:b/>
          <w:bCs/>
        </w:rPr>
      </w:pPr>
      <w:r>
        <w:rPr>
          <w:color w:val="000000"/>
        </w:rPr>
        <w:br w:type="page"/>
      </w:r>
      <w:r>
        <w:rPr>
          <w:rFonts w:cs="Arial"/>
          <w:b/>
          <w:bCs/>
        </w:rPr>
        <w:t>THIS IS PAGE ONE OF ANNEXURE E</w:t>
      </w:r>
    </w:p>
    <w:p w:rsidR="003F4A22" w:rsidRDefault="003F4A22">
      <w:pPr>
        <w:jc w:val="center"/>
        <w:rPr>
          <w:rFonts w:cs="Arial"/>
          <w:b/>
          <w:bCs/>
        </w:rPr>
      </w:pPr>
      <w:r>
        <w:rPr>
          <w:rFonts w:cs="Arial"/>
          <w:b/>
          <w:bCs/>
        </w:rPr>
        <w:t>TO NOTIFIABLE INSTRUMENT NI2010 –258</w:t>
      </w:r>
    </w:p>
    <w:p w:rsidR="003F4A22" w:rsidRDefault="003F4A22">
      <w:pPr>
        <w:rPr>
          <w:rFonts w:cs="Arial"/>
          <w:b/>
          <w:bCs/>
        </w:rPr>
      </w:pPr>
      <w:r>
        <w:rPr>
          <w:rFonts w:cs="Arial"/>
          <w:b/>
          <w:bCs/>
        </w:rPr>
        <w:tab/>
      </w:r>
      <w:r>
        <w:rPr>
          <w:rFonts w:cs="Arial"/>
          <w:b/>
          <w:bCs/>
        </w:rPr>
        <w:tab/>
      </w:r>
    </w:p>
    <w:p w:rsidR="003F4A22" w:rsidRDefault="003F4A22">
      <w:pPr>
        <w:rPr>
          <w:rFonts w:cs="Arial"/>
          <w:b/>
          <w:bCs/>
        </w:rPr>
      </w:pPr>
      <w:r>
        <w:rPr>
          <w:rFonts w:cs="Arial"/>
          <w:b/>
          <w:bCs/>
        </w:rPr>
        <w:tab/>
      </w:r>
      <w:r>
        <w:rPr>
          <w:rFonts w:cs="Arial"/>
          <w:b/>
          <w:bCs/>
        </w:rPr>
        <w:tab/>
      </w:r>
      <w:r w:rsidR="00716014">
        <w:rPr>
          <w:rFonts w:cs="Arial"/>
          <w:b/>
          <w:bCs/>
        </w:rPr>
        <w:pict>
          <v:shape id="_x0000_i1029" type="#_x0000_t75" style="width:406.5pt;height:441pt">
            <v:imagedata r:id="rId11" o:title=""/>
          </v:shape>
        </w:pict>
      </w:r>
    </w:p>
    <w:p w:rsidR="003F4A22" w:rsidRDefault="003F4A22">
      <w:pPr>
        <w:ind w:left="3600"/>
        <w:jc w:val="both"/>
      </w:pPr>
    </w:p>
    <w:p w:rsidR="003F4A22" w:rsidRDefault="003F4A22">
      <w:pPr>
        <w:ind w:left="3600"/>
      </w:pPr>
    </w:p>
    <w:p w:rsidR="003F4A22" w:rsidRDefault="003F4A22">
      <w:pPr>
        <w:ind w:left="2880" w:firstLine="720"/>
        <w:rPr>
          <w:rFonts w:cs="Arial"/>
          <w:szCs w:val="24"/>
          <w:lang w:eastAsia="en-AU"/>
        </w:rPr>
      </w:pPr>
      <w:r>
        <w:rPr>
          <w:rFonts w:cs="Arial"/>
          <w:szCs w:val="24"/>
          <w:lang w:eastAsia="en-AU"/>
        </w:rPr>
        <w:t>Kelvin Walsh</w:t>
      </w:r>
    </w:p>
    <w:p w:rsidR="003F4A22" w:rsidRDefault="003F4A22">
      <w:pPr>
        <w:ind w:left="2880" w:firstLine="720"/>
        <w:rPr>
          <w:rFonts w:cs="Arial"/>
        </w:rPr>
      </w:pPr>
      <w:r>
        <w:t xml:space="preserve">Delegate of </w:t>
      </w:r>
      <w:r>
        <w:rPr>
          <w:rFonts w:cs="Arial"/>
        </w:rPr>
        <w:t>Planning and Land Authority</w:t>
      </w:r>
    </w:p>
    <w:p w:rsidR="003F4A22" w:rsidRDefault="003F4A22">
      <w:pPr>
        <w:ind w:left="2880" w:firstLine="720"/>
        <w:rPr>
          <w:rFonts w:cs="Arial"/>
          <w:b/>
          <w:bCs/>
        </w:rPr>
      </w:pPr>
      <w:r>
        <w:t>Date: 24 May 2010</w:t>
      </w:r>
    </w:p>
    <w:p w:rsidR="003F4A22" w:rsidRDefault="003F4A22">
      <w:pPr>
        <w:jc w:val="center"/>
        <w:rPr>
          <w:rFonts w:cs="Arial"/>
          <w:b/>
          <w:bCs/>
        </w:rPr>
      </w:pPr>
      <w:r>
        <w:rPr>
          <w:color w:val="000000"/>
        </w:rPr>
        <w:br w:type="page"/>
      </w:r>
      <w:r>
        <w:rPr>
          <w:rFonts w:cs="Arial"/>
          <w:b/>
          <w:bCs/>
        </w:rPr>
        <w:t>THIS IS PAGE ONE OF ANNEXURE F</w:t>
      </w:r>
    </w:p>
    <w:p w:rsidR="003F4A22" w:rsidRDefault="003F4A22">
      <w:pPr>
        <w:jc w:val="center"/>
        <w:rPr>
          <w:rFonts w:cs="Arial"/>
          <w:b/>
          <w:bCs/>
        </w:rPr>
      </w:pPr>
      <w:r>
        <w:rPr>
          <w:rFonts w:cs="Arial"/>
          <w:b/>
          <w:bCs/>
        </w:rPr>
        <w:t>TO NOTIFIABLE INSTRUMENT NI2010 –258</w:t>
      </w:r>
    </w:p>
    <w:p w:rsidR="003F4A22" w:rsidRDefault="003F4A22">
      <w:pPr>
        <w:rPr>
          <w:rFonts w:cs="Arial"/>
          <w:b/>
          <w:bCs/>
        </w:rPr>
      </w:pPr>
      <w:r>
        <w:rPr>
          <w:rFonts w:cs="Arial"/>
          <w:b/>
          <w:bCs/>
        </w:rPr>
        <w:tab/>
      </w:r>
      <w:r>
        <w:rPr>
          <w:rFonts w:cs="Arial"/>
          <w:b/>
          <w:bCs/>
        </w:rPr>
        <w:tab/>
      </w:r>
    </w:p>
    <w:p w:rsidR="003F4A22" w:rsidRDefault="003F4A22">
      <w:pPr>
        <w:rPr>
          <w:rFonts w:cs="Arial"/>
          <w:b/>
          <w:bCs/>
        </w:rPr>
      </w:pPr>
      <w:r>
        <w:rPr>
          <w:rFonts w:cs="Arial"/>
          <w:b/>
          <w:bCs/>
        </w:rPr>
        <w:tab/>
      </w:r>
      <w:r>
        <w:rPr>
          <w:rFonts w:cs="Arial"/>
          <w:b/>
          <w:bCs/>
        </w:rPr>
        <w:tab/>
      </w:r>
      <w:r w:rsidR="00716014">
        <w:rPr>
          <w:rFonts w:cs="Arial"/>
          <w:b/>
          <w:bCs/>
        </w:rPr>
        <w:pict>
          <v:shape id="_x0000_i1030" type="#_x0000_t75" style="width:393pt;height:501pt">
            <v:imagedata r:id="rId12" o:title=""/>
          </v:shape>
        </w:pict>
      </w:r>
    </w:p>
    <w:p w:rsidR="003F4A22" w:rsidRDefault="003F4A22">
      <w:pPr>
        <w:ind w:left="3600"/>
        <w:jc w:val="both"/>
      </w:pPr>
    </w:p>
    <w:p w:rsidR="003F4A22" w:rsidRDefault="003F4A22">
      <w:pPr>
        <w:ind w:left="3600"/>
      </w:pPr>
    </w:p>
    <w:p w:rsidR="003F4A22" w:rsidRDefault="003F4A22">
      <w:pPr>
        <w:ind w:left="2880" w:firstLine="720"/>
        <w:rPr>
          <w:rFonts w:cs="Arial"/>
          <w:szCs w:val="24"/>
          <w:lang w:eastAsia="en-AU"/>
        </w:rPr>
      </w:pPr>
      <w:r>
        <w:rPr>
          <w:rFonts w:cs="Arial"/>
          <w:szCs w:val="24"/>
          <w:lang w:eastAsia="en-AU"/>
        </w:rPr>
        <w:t>Kelvin Walsh</w:t>
      </w:r>
    </w:p>
    <w:p w:rsidR="003F4A22" w:rsidRDefault="003F4A22">
      <w:pPr>
        <w:ind w:left="2880" w:firstLine="720"/>
        <w:rPr>
          <w:rFonts w:cs="Arial"/>
        </w:rPr>
      </w:pPr>
      <w:r>
        <w:t xml:space="preserve">Delegate of </w:t>
      </w:r>
      <w:r>
        <w:rPr>
          <w:rFonts w:cs="Arial"/>
        </w:rPr>
        <w:t>Planning and Land Authority</w:t>
      </w:r>
    </w:p>
    <w:p w:rsidR="003F4A22" w:rsidRDefault="003F4A22">
      <w:pPr>
        <w:ind w:left="2880" w:firstLine="720"/>
        <w:rPr>
          <w:rFonts w:cs="Arial"/>
          <w:b/>
          <w:bCs/>
        </w:rPr>
      </w:pPr>
      <w:r>
        <w:t>Date: 24 May 2010</w:t>
      </w:r>
    </w:p>
    <w:p w:rsidR="003F4A22" w:rsidRDefault="003F4A22">
      <w:pPr>
        <w:rPr>
          <w:color w:val="000000"/>
        </w:rPr>
      </w:pPr>
    </w:p>
    <w:sectPr w:rsidR="003F4A22">
      <w:headerReference w:type="even" r:id="rId13"/>
      <w:headerReference w:type="default" r:id="rId14"/>
      <w:footerReference w:type="even" r:id="rId15"/>
      <w:footerReference w:type="default" r:id="rId16"/>
      <w:headerReference w:type="first" r:id="rId17"/>
      <w:footerReference w:type="first" r:id="rId18"/>
      <w:type w:val="continuous"/>
      <w:pgSz w:w="11907" w:h="16840"/>
      <w:pgMar w:top="1440" w:right="1559" w:bottom="1440" w:left="1797" w:header="720" w:footer="720" w:gutter="0"/>
      <w:paperSrc w:first="7" w:other="7"/>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F34" w:rsidRDefault="00872F34">
      <w:r>
        <w:separator/>
      </w:r>
    </w:p>
  </w:endnote>
  <w:endnote w:type="continuationSeparator" w:id="0">
    <w:p w:rsidR="00872F34" w:rsidRDefault="0087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05" w:rsidRDefault="002C6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22" w:rsidRPr="002C6305" w:rsidRDefault="002C6305" w:rsidP="002C6305">
    <w:pPr>
      <w:pStyle w:val="Footer"/>
      <w:jc w:val="center"/>
      <w:rPr>
        <w:rFonts w:cs="Arial"/>
        <w:sz w:val="14"/>
      </w:rPr>
    </w:pPr>
    <w:r w:rsidRPr="002C630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22" w:rsidRPr="002C6305" w:rsidRDefault="002C6305" w:rsidP="002C6305">
    <w:pPr>
      <w:pStyle w:val="Footer"/>
      <w:jc w:val="center"/>
      <w:rPr>
        <w:rFonts w:cs="Arial"/>
        <w:sz w:val="14"/>
      </w:rPr>
    </w:pPr>
    <w:r w:rsidRPr="002C6305">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F34" w:rsidRDefault="00872F34">
      <w:r>
        <w:separator/>
      </w:r>
    </w:p>
  </w:footnote>
  <w:footnote w:type="continuationSeparator" w:id="0">
    <w:p w:rsidR="00872F34" w:rsidRDefault="00872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05" w:rsidRDefault="002C6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05" w:rsidRDefault="002C6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22" w:rsidRDefault="003F4A22">
    <w:pPr>
      <w:pStyle w:val="Header"/>
      <w:tabs>
        <w:tab w:val="center" w:pos="2693"/>
        <w:tab w:val="right" w:pos="7484"/>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color w:val="auto"/>
        <w:sz w:val="16"/>
      </w:rPr>
    </w:lvl>
  </w:abstractNum>
  <w:abstractNum w:abstractNumId="10"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3"/>
  </w:num>
  <w:num w:numId="5">
    <w:abstractNumId w:val="4"/>
  </w:num>
  <w:num w:numId="6">
    <w:abstractNumId w:val="1"/>
  </w:num>
  <w:num w:numId="7">
    <w:abstractNumId w:val="12"/>
  </w:num>
  <w:num w:numId="8">
    <w:abstractNumId w:val="7"/>
  </w:num>
  <w:num w:numId="9">
    <w:abstractNumId w:val="6"/>
  </w:num>
  <w:num w:numId="10">
    <w:abstractNumId w:val="10"/>
  </w:num>
  <w:num w:numId="11">
    <w:abstractNumId w:val="2"/>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A22"/>
    <w:rsid w:val="002C6305"/>
    <w:rsid w:val="003F4A22"/>
    <w:rsid w:val="00524EC3"/>
    <w:rsid w:val="00610A11"/>
    <w:rsid w:val="0063479B"/>
    <w:rsid w:val="00716014"/>
    <w:rsid w:val="00854957"/>
    <w:rsid w:val="00872F34"/>
    <w:rsid w:val="00C0130C"/>
    <w:rsid w:val="00FE3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efaultImageDpi w14:val="0"/>
  <w15:docId w15:val="{6A51C838-173F-4299-B1CA-D2778AF1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0"/>
      <w:lang w:eastAsia="en-US"/>
    </w:rPr>
  </w:style>
  <w:style w:type="paragraph" w:styleId="Heading1">
    <w:name w:val="heading 1"/>
    <w:basedOn w:val="Normal"/>
    <w:next w:val="Normal"/>
    <w:link w:val="Heading1Char"/>
    <w:uiPriority w:val="99"/>
    <w:qFormat/>
    <w:pPr>
      <w:keepNext/>
      <w:ind w:right="386" w:firstLine="720"/>
      <w:outlineLvl w:val="0"/>
    </w:pPr>
    <w:rPr>
      <w:b/>
    </w:rPr>
  </w:style>
  <w:style w:type="paragraph" w:styleId="Heading5">
    <w:name w:val="heading 5"/>
    <w:basedOn w:val="Normal"/>
    <w:next w:val="Normal"/>
    <w:link w:val="Heading5Char"/>
    <w:uiPriority w:val="99"/>
    <w:qFormat/>
    <w:pPr>
      <w:keepNext/>
      <w:outlineLvl w:val="4"/>
    </w:pPr>
    <w:rPr>
      <w:b/>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Footer">
    <w:name w:val="footer"/>
    <w:basedOn w:val="Normal"/>
    <w:link w:val="FooterChar"/>
    <w:uiPriority w:val="99"/>
    <w:pPr>
      <w:tabs>
        <w:tab w:val="center" w:pos="4252"/>
        <w:tab w:val="right" w:pos="8504"/>
      </w:tabs>
    </w:pPr>
    <w:rPr>
      <w:sz w:val="16"/>
      <w:lang w:val="en-GB"/>
    </w:rPr>
  </w:style>
  <w:style w:type="character" w:customStyle="1" w:styleId="FooterChar">
    <w:name w:val="Footer Char"/>
    <w:basedOn w:val="DefaultParagraphFont"/>
    <w:link w:val="Footer"/>
    <w:uiPriority w:val="99"/>
    <w:semiHidden/>
    <w:locked/>
    <w:rPr>
      <w:rFonts w:ascii="Arial" w:hAnsi="Arial" w:cs="Times New Roman"/>
      <w:sz w:val="20"/>
      <w:szCs w:val="20"/>
      <w:lang w:val="x-none" w:eastAsia="en-US"/>
    </w:rPr>
  </w:style>
  <w:style w:type="paragraph" w:styleId="Header">
    <w:name w:val="header"/>
    <w:basedOn w:val="Normal"/>
    <w:link w:val="HeaderChar"/>
    <w:uiPriority w:val="99"/>
    <w:pPr>
      <w:tabs>
        <w:tab w:val="center" w:pos="4819"/>
        <w:tab w:val="right" w:pos="9071"/>
      </w:tabs>
    </w:pPr>
    <w:rPr>
      <w:lang w:val="en-GB"/>
    </w:rPr>
  </w:style>
  <w:style w:type="character" w:customStyle="1" w:styleId="HeaderChar">
    <w:name w:val="Header Char"/>
    <w:basedOn w:val="DefaultParagraphFont"/>
    <w:link w:val="Header"/>
    <w:uiPriority w:val="99"/>
    <w:semiHidden/>
    <w:locked/>
    <w:rPr>
      <w:rFonts w:ascii="Arial" w:hAnsi="Arial" w:cs="Times New Roman"/>
      <w:sz w:val="20"/>
      <w:szCs w:val="20"/>
      <w:lang w:val="x-none" w:eastAsia="en-US"/>
    </w:rPr>
  </w:style>
  <w:style w:type="paragraph" w:styleId="BodyText">
    <w:name w:val="Body Text"/>
    <w:basedOn w:val="Normal"/>
    <w:link w:val="BodyTextChar"/>
    <w:uiPriority w:val="99"/>
    <w:rPr>
      <w:b/>
      <w:sz w:val="28"/>
      <w:lang w:val="en-GB"/>
    </w:rPr>
  </w:style>
  <w:style w:type="character" w:customStyle="1" w:styleId="BodyTextChar">
    <w:name w:val="Body Text Char"/>
    <w:basedOn w:val="DefaultParagraphFont"/>
    <w:link w:val="BodyText"/>
    <w:uiPriority w:val="99"/>
    <w:semiHidden/>
    <w:locked/>
    <w:rPr>
      <w:rFonts w:ascii="Arial" w:hAnsi="Arial" w:cs="Times New Roman"/>
      <w:sz w:val="20"/>
      <w:szCs w:val="20"/>
      <w:lang w:val="x-none" w:eastAsia="en-US"/>
    </w:rPr>
  </w:style>
  <w:style w:type="paragraph" w:customStyle="1" w:styleId="Billname">
    <w:name w:val="Billname"/>
    <w:basedOn w:val="Normal"/>
    <w:uiPriority w:val="99"/>
    <w:pPr>
      <w:tabs>
        <w:tab w:val="left" w:pos="2400"/>
        <w:tab w:val="left" w:pos="2880"/>
      </w:tabs>
      <w:spacing w:before="1220" w:after="100"/>
    </w:pPr>
    <w:rPr>
      <w:b/>
      <w:sz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b/>
    </w:rPr>
  </w:style>
  <w:style w:type="paragraph" w:customStyle="1" w:styleId="06Copyright">
    <w:name w:val="06Copyright"/>
    <w:basedOn w:val="Normal"/>
    <w:uiPriority w:val="99"/>
    <w:pPr>
      <w:tabs>
        <w:tab w:val="left" w:pos="2880"/>
      </w:tabs>
    </w:pPr>
    <w:rPr>
      <w:lang w:val="en-US"/>
    </w:rPr>
  </w:style>
  <w:style w:type="paragraph" w:styleId="BlockText">
    <w:name w:val="Block Text"/>
    <w:basedOn w:val="Normal"/>
    <w:uiPriority w:val="99"/>
    <w:pPr>
      <w:tabs>
        <w:tab w:val="left" w:pos="-720"/>
      </w:tabs>
      <w:ind w:left="284" w:right="386" w:hanging="284"/>
    </w:pPr>
  </w:style>
  <w:style w:type="paragraph" w:styleId="BodyText2">
    <w:name w:val="Body Text 2"/>
    <w:basedOn w:val="Normal"/>
    <w:link w:val="BodyText2Char"/>
    <w:uiPriority w:val="99"/>
    <w:pPr>
      <w:ind w:right="386"/>
    </w:pPr>
    <w:rPr>
      <w:b/>
    </w:rPr>
  </w:style>
  <w:style w:type="character" w:customStyle="1" w:styleId="BodyText2Char">
    <w:name w:val="Body Text 2 Char"/>
    <w:basedOn w:val="DefaultParagraphFont"/>
    <w:link w:val="BodyText2"/>
    <w:uiPriority w:val="99"/>
    <w:semiHidden/>
    <w:locked/>
    <w:rPr>
      <w:rFonts w:ascii="Arial" w:hAnsi="Arial" w:cs="Times New Roman"/>
      <w:sz w:val="20"/>
      <w:szCs w:val="20"/>
      <w:lang w:val="x-none" w:eastAsia="en-US"/>
    </w:rPr>
  </w:style>
  <w:style w:type="paragraph" w:customStyle="1" w:styleId="hidden">
    <w:name w:val="hidden"/>
    <w:basedOn w:val="Normal"/>
    <w:next w:val="Normal"/>
    <w:uiPriority w:val="99"/>
    <w:rPr>
      <w:rFonts w:cs="Arial"/>
      <w:vanish/>
      <w:color w:val="FF0000"/>
    </w:rPr>
  </w:style>
  <w:style w:type="character" w:styleId="Hyperlink">
    <w:name w:val="Hyperlink"/>
    <w:basedOn w:val="DefaultParagraphFont"/>
    <w:uiPriority w:val="99"/>
    <w:rPr>
      <w:rFonts w:cs="Times New Roman"/>
      <w:color w:val="0000FF"/>
      <w:u w:val="single"/>
    </w:rPr>
  </w:style>
  <w:style w:type="paragraph" w:customStyle="1" w:styleId="aDefpara">
    <w:name w:val="aDef para"/>
    <w:basedOn w:val="Normal"/>
    <w:uiPriority w:val="99"/>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uiPriority w:val="99"/>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uiPriority w:val="99"/>
    <w:pPr>
      <w:tabs>
        <w:tab w:val="right" w:pos="900"/>
        <w:tab w:val="left" w:pos="1100"/>
      </w:tabs>
      <w:spacing w:before="80" w:after="60"/>
      <w:ind w:left="1100" w:hanging="1100"/>
      <w:jc w:val="both"/>
      <w:outlineLvl w:val="5"/>
    </w:pPr>
    <w:rPr>
      <w:rFonts w:ascii="Times New Roman" w:hAnsi="Times New Roman"/>
      <w:szCs w:val="24"/>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EnvelopeAddress">
    <w:name w:val="envelope address"/>
    <w:basedOn w:val="Normal"/>
    <w:uiPriority w:val="99"/>
    <w:pPr>
      <w:framePr w:w="7920" w:h="1980" w:hRule="exact" w:hSpace="180" w:wrap="auto" w:hAnchor="page" w:xAlign="center" w:yAlign="bottom"/>
      <w:ind w:left="28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1648</Characters>
  <Application>Microsoft Office Word</Application>
  <DocSecurity>0</DocSecurity>
  <Lines>105</Lines>
  <Paragraphs>48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2010-05-20T05:51:00Z</cp:lastPrinted>
  <dcterms:created xsi:type="dcterms:W3CDTF">2018-08-28T03:14:00Z</dcterms:created>
  <dcterms:modified xsi:type="dcterms:W3CDTF">2018-08-28T03:14:00Z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VeGwM1PgtfLm+UJS6e+YjB5+JQUYhWjMW7OhY1Bn2ZSfcWf+Og4vT/tOIpqSwxRMU_x000d__x000d_9ss0rPPcqHC5mNhf40bbOTBELvMH8GgQobsZ7TYHa432KfG5EvqrbltlO+t6Pg4znRcDwblHBlGL_x000d__x000d_n1Ma3kPaVhw2GC7UHQf//pRf2sH/qP2LZjryVQ3wRnArK7dqRhHiukqfhSYo00xBXx7o1AZ6HHtL_x000d__x000d_XpM+SO3UWbG//aNK6</vt:lpwstr>
  </property>
  <property fmtid="{D5CDD505-2E9C-101B-9397-08002B2CF9AE}" pid="3" name="MAIL_MSG_ID2">
    <vt:lpwstr>biTZ26whGjtYfoDh4S93wVU5kLxfyfV0qcp9azsKtSdr8q6KAFYPB77VdBF_x000d__x000d_IPri05bIRucN69Dtb5o5x5GsogU=</vt:lpwstr>
  </property>
  <property fmtid="{D5CDD505-2E9C-101B-9397-08002B2CF9AE}" pid="4" name="RESPONSE_SENDER_NAME">
    <vt:lpwstr>sAAAUYtyAkeNWR6iwOY5Ri6/KL6Ju5nFdvX0t645SEWYt+w=</vt:lpwstr>
  </property>
  <property fmtid="{D5CDD505-2E9C-101B-9397-08002B2CF9AE}" pid="5" name="EMAIL_OWNER_ADDRESS">
    <vt:lpwstr>4AAAMz5NUQ6P8J8I0ftSghJmnVE0dU6w0RiRy6uyiSwIW5cTlwFFrxWbbg==</vt:lpwstr>
  </property>
  <property fmtid="{D5CDD505-2E9C-101B-9397-08002B2CF9AE}" pid="6" name="Objective-Id">
    <vt:lpwstr>A5559479</vt:lpwstr>
  </property>
  <property fmtid="{D5CDD505-2E9C-101B-9397-08002B2CF9AE}" pid="7" name="Objective-Comment">
    <vt:lpwstr> </vt:lpwstr>
  </property>
  <property fmtid="{D5CDD505-2E9C-101B-9397-08002B2CF9AE}" pid="8" name="Objective-CreationStamp">
    <vt:filetime>2010-05-10T14:00:00Z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2010-05-17T14:00:00Z</vt:filetime>
  </property>
  <property fmtid="{D5CDD505-2E9C-101B-9397-08002B2CF9AE}" pid="12" name="Objective-ModificationStamp">
    <vt:filetime>2010-05-17T14:00:00Z</vt:filetime>
  </property>
  <property fmtid="{D5CDD505-2E9C-101B-9397-08002B2CF9AE}" pid="13" name="Objective-Owner">
    <vt:lpwstr>Marijke Gilchrist</vt:lpwstr>
  </property>
  <property fmtid="{D5CDD505-2E9C-101B-9397-08002B2CF9AE}" pid="14" name="Objective-Path">
    <vt:lpwstr>Whole of ACT Government:ACTPLA:BRANCH - Planning Services:Development Policy:04 - Territory Plan Variation Unit - New ((Active 20091126):01 Territory Plan Management (Variations, Technical Amendments, Planning Reports and Proposals):2 Technical Amendments</vt:lpwstr>
  </property>
  <property fmtid="{D5CDD505-2E9C-101B-9397-08002B2CF9AE}" pid="15" name="Objective-Parent">
    <vt:lpwstr>02 Notifiable Instruement and new TP map</vt:lpwstr>
  </property>
  <property fmtid="{D5CDD505-2E9C-101B-9397-08002B2CF9AE}" pid="16" name="Objective-State">
    <vt:lpwstr>Published</vt:lpwstr>
  </property>
  <property fmtid="{D5CDD505-2E9C-101B-9397-08002B2CF9AE}" pid="17" name="Objective-Title">
    <vt:lpwstr>TA2010-15</vt:lpwstr>
  </property>
  <property fmtid="{D5CDD505-2E9C-101B-9397-08002B2CF9AE}" pid="18" name="Objective-Version">
    <vt:lpwstr>1.0</vt:lpwstr>
  </property>
  <property fmtid="{D5CDD505-2E9C-101B-9397-08002B2CF9AE}" pid="19" name="Objective-VersionComment">
    <vt:lpwstr> </vt:lpwstr>
  </property>
  <property fmtid="{D5CDD505-2E9C-101B-9397-08002B2CF9AE}" pid="20" name="Objective-VersionNumber">
    <vt:i4>2</vt:i4>
  </property>
  <property fmtid="{D5CDD505-2E9C-101B-9397-08002B2CF9AE}" pid="21" name="Objective-FileNumber">
    <vt:lpwstr>1-2010/06294</vt:lpwstr>
  </property>
  <property fmtid="{D5CDD505-2E9C-101B-9397-08002B2CF9AE}" pid="22" name="Objective-Classification">
    <vt:lpwstr>Not classified</vt:lpwstr>
  </property>
  <property fmtid="{D5CDD505-2E9C-101B-9397-08002B2CF9AE}" pid="23" name="Objective-Caveats">
    <vt:lpwstr> </vt:lpwstr>
  </property>
  <property fmtid="{D5CDD505-2E9C-101B-9397-08002B2CF9AE}" pid="24" name="Objective-Owner Agency [system]">
    <vt:lpwstr>ACTPLA</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vt:lpwstr>
  </property>
  <property fmtid="{D5CDD505-2E9C-101B-9397-08002B2CF9AE}" pid="29" name="Objective-Add Place [system]">
    <vt:lpwstr> </vt:lpwstr>
  </property>
  <property fmtid="{D5CDD505-2E9C-101B-9397-08002B2CF9AE}" pid="30" name="Objective-Places [system]">
    <vt:lpwstr> </vt:lpwstr>
  </property>
  <property fmtid="{D5CDD505-2E9C-101B-9397-08002B2CF9AE}" pid="31" name="Objective-Transaction Reference [system]">
    <vt:lpwstr> </vt:lpwstr>
  </property>
  <property fmtid="{D5CDD505-2E9C-101B-9397-08002B2CF9AE}" pid="32" name="Objective-Document Created By [system]">
    <vt:lpwstr> </vt:lpwstr>
  </property>
  <property fmtid="{D5CDD505-2E9C-101B-9397-08002B2CF9AE}" pid="33" name="Objective-Document Created On [system]">
    <vt:lpwstr> </vt:lpwstr>
  </property>
  <property fmtid="{D5CDD505-2E9C-101B-9397-08002B2CF9AE}" pid="34" name="Objective-Covers Period From [system]">
    <vt:lpwstr> </vt:lpwstr>
  </property>
  <property fmtid="{D5CDD505-2E9C-101B-9397-08002B2CF9AE}" pid="35" name="Objective-Covers Period To [system]">
    <vt:lpwstr> </vt:lpwstr>
  </property>
</Properties>
</file>