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FD3" w:rsidRDefault="000F3FD3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0F3FD3" w:rsidRDefault="000F3FD3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0F3FD3" w:rsidRDefault="000F3FD3">
      <w:pPr>
        <w:pStyle w:val="Billname"/>
        <w:spacing w:before="120" w:after="120"/>
        <w:rPr>
          <w:rFonts w:cs="Arial"/>
        </w:rPr>
      </w:pPr>
      <w:r>
        <w:rPr>
          <w:rFonts w:cs="Arial"/>
        </w:rPr>
        <w:t>Planning and Development (Technical Amendment</w:t>
      </w:r>
      <w:r>
        <w:rPr>
          <w:rFonts w:cs="Arial"/>
          <w:color w:val="000000"/>
        </w:rPr>
        <w:t>—C</w:t>
      </w:r>
      <w:r>
        <w:rPr>
          <w:rFonts w:cs="Arial"/>
        </w:rPr>
        <w:t xml:space="preserve">asey) Plan Variation 2010 (No 2) </w:t>
      </w:r>
    </w:p>
    <w:p w:rsidR="000F3FD3" w:rsidRDefault="000F3FD3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instrument NI2010—382</w:t>
      </w:r>
    </w:p>
    <w:p w:rsidR="000F3FD3" w:rsidRDefault="000F3FD3">
      <w:pPr>
        <w:rPr>
          <w:b/>
          <w:bCs/>
        </w:rPr>
      </w:pPr>
      <w:r>
        <w:rPr>
          <w:b/>
          <w:bCs/>
        </w:rPr>
        <w:t>Technical Amendment No 2010-20</w:t>
      </w:r>
    </w:p>
    <w:p w:rsidR="000F3FD3" w:rsidRDefault="000F3FD3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0F3FD3" w:rsidRDefault="000F3FD3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 (Making technical amendments) (s96 land ceases to be in future urban area)</w:t>
      </w:r>
    </w:p>
    <w:p w:rsidR="000F3FD3" w:rsidRDefault="000F3FD3">
      <w:pPr>
        <w:pStyle w:val="N-line3"/>
        <w:pBdr>
          <w:bottom w:val="none" w:sz="0" w:space="0" w:color="auto"/>
        </w:pBdr>
        <w:rPr>
          <w:rFonts w:cs="Arial"/>
        </w:rPr>
      </w:pPr>
    </w:p>
    <w:p w:rsidR="000F3FD3" w:rsidRDefault="000F3FD3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0F3FD3" w:rsidRDefault="000F3FD3">
      <w:pPr>
        <w:pStyle w:val="BodyTex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This plan variation commences on the day after it is notified.</w:t>
      </w:r>
    </w:p>
    <w:p w:rsidR="000F3FD3" w:rsidRDefault="000F3FD3">
      <w:pPr>
        <w:pStyle w:val="BodyText"/>
        <w:rPr>
          <w:b w:val="0"/>
          <w:bCs/>
          <w:sz w:val="24"/>
          <w:szCs w:val="24"/>
        </w:rPr>
      </w:pPr>
    </w:p>
    <w:p w:rsidR="000F3FD3" w:rsidRDefault="000F3FD3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Variation </w:t>
      </w:r>
      <w:r>
        <w:rPr>
          <w:b w:val="0"/>
          <w:bCs/>
          <w:color w:val="000000"/>
          <w:sz w:val="24"/>
          <w:szCs w:val="24"/>
        </w:rPr>
        <w:t xml:space="preserve">No 2010-20 </w:t>
      </w:r>
      <w:r>
        <w:rPr>
          <w:b w:val="0"/>
          <w:bCs/>
          <w:sz w:val="24"/>
          <w:szCs w:val="24"/>
        </w:rPr>
        <w:t xml:space="preserve">to the </w:t>
      </w:r>
      <w:r>
        <w:rPr>
          <w:b w:val="0"/>
          <w:sz w:val="24"/>
          <w:szCs w:val="24"/>
        </w:rPr>
        <w:t xml:space="preserve">Territory Plan </w:t>
      </w:r>
      <w:r>
        <w:rPr>
          <w:b w:val="0"/>
          <w:bCs/>
          <w:color w:val="000000"/>
          <w:sz w:val="24"/>
          <w:szCs w:val="24"/>
        </w:rPr>
        <w:t>has been approved by the Planning and Land Authority</w:t>
      </w:r>
    </w:p>
    <w:p w:rsidR="000F3FD3" w:rsidRDefault="000F3FD3">
      <w:pPr>
        <w:pStyle w:val="BodyText"/>
        <w:rPr>
          <w:b w:val="0"/>
          <w:bCs/>
          <w:color w:val="000000"/>
          <w:sz w:val="24"/>
          <w:szCs w:val="24"/>
        </w:rPr>
      </w:pPr>
    </w:p>
    <w:p w:rsidR="000F3FD3" w:rsidRDefault="000F3FD3">
      <w:pPr>
        <w:pStyle w:val="BodyText"/>
        <w:rPr>
          <w:b w:val="0"/>
          <w:sz w:val="24"/>
          <w:szCs w:val="24"/>
        </w:rPr>
      </w:pPr>
      <w:r>
        <w:rPr>
          <w:b w:val="0"/>
          <w:bCs/>
          <w:color w:val="000000"/>
          <w:sz w:val="24"/>
          <w:szCs w:val="24"/>
        </w:rPr>
        <w:t xml:space="preserve">The variation specifies that the land identified on the map at Annexure A being land within the Division of </w:t>
      </w:r>
      <w:r>
        <w:rPr>
          <w:b w:val="0"/>
          <w:bCs/>
          <w:sz w:val="24"/>
          <w:szCs w:val="24"/>
        </w:rPr>
        <w:t>Casey</w:t>
      </w:r>
      <w:r>
        <w:rPr>
          <w:b w:val="0"/>
          <w:bCs/>
          <w:color w:val="000000"/>
          <w:sz w:val="24"/>
          <w:szCs w:val="24"/>
        </w:rPr>
        <w:t>, may be used for the purposes indicated in the Annexure.</w:t>
      </w:r>
    </w:p>
    <w:p w:rsidR="000F3FD3" w:rsidRDefault="000F3FD3">
      <w:pPr>
        <w:pStyle w:val="Header"/>
        <w:tabs>
          <w:tab w:val="clear" w:pos="4819"/>
          <w:tab w:val="clear" w:pos="9071"/>
          <w:tab w:val="left" w:pos="-720"/>
        </w:tabs>
        <w:rPr>
          <w:rFonts w:cs="Arial"/>
          <w:szCs w:val="24"/>
          <w:lang w:val="en-AU"/>
        </w:rPr>
      </w:pPr>
    </w:p>
    <w:p w:rsidR="000F3FD3" w:rsidRDefault="000F3FD3">
      <w:pPr>
        <w:pStyle w:val="BodyText"/>
        <w:rPr>
          <w:rFonts w:cs="Arial"/>
          <w:b w:val="0"/>
          <w:sz w:val="24"/>
          <w:szCs w:val="24"/>
        </w:rPr>
      </w:pPr>
      <w:r>
        <w:rPr>
          <w:rFonts w:cs="Arial"/>
          <w:b w:val="0"/>
          <w:sz w:val="24"/>
          <w:szCs w:val="24"/>
        </w:rPr>
        <w:t>The variation also introduces a Casey Precinct Code at Section 10.4 of the Territory Plan as identified at Annexure B.</w:t>
      </w:r>
    </w:p>
    <w:p w:rsidR="000F3FD3" w:rsidRDefault="000F3FD3">
      <w:pPr>
        <w:rPr>
          <w:szCs w:val="24"/>
        </w:rPr>
      </w:pPr>
    </w:p>
    <w:p w:rsidR="000F3FD3" w:rsidRDefault="000F3FD3">
      <w:pPr>
        <w:rPr>
          <w:szCs w:val="24"/>
        </w:rPr>
      </w:pPr>
    </w:p>
    <w:p w:rsidR="000F3FD3" w:rsidRDefault="000F3FD3">
      <w:pPr>
        <w:rPr>
          <w:szCs w:val="24"/>
        </w:rPr>
      </w:pPr>
    </w:p>
    <w:p w:rsidR="000F3FD3" w:rsidRDefault="000F3FD3"/>
    <w:p w:rsidR="000F3FD3" w:rsidRDefault="000F3FD3">
      <w:pPr>
        <w:rPr>
          <w:rFonts w:cs="Arial"/>
          <w:szCs w:val="24"/>
          <w:lang w:eastAsia="en-AU"/>
        </w:rPr>
      </w:pPr>
      <w:r>
        <w:rPr>
          <w:rFonts w:cs="Arial"/>
          <w:szCs w:val="24"/>
          <w:lang w:eastAsia="en-AU"/>
        </w:rPr>
        <w:t>Kelvin Walsh</w:t>
      </w:r>
    </w:p>
    <w:p w:rsidR="000F3FD3" w:rsidRDefault="000F3FD3">
      <w:r>
        <w:t>Delegate of Planning and Land Authority</w:t>
      </w:r>
    </w:p>
    <w:p w:rsidR="000F3FD3" w:rsidRDefault="000F3FD3">
      <w:pPr>
        <w:rPr>
          <w:color w:val="000000"/>
        </w:rPr>
      </w:pPr>
      <w:r>
        <w:rPr>
          <w:color w:val="000000"/>
        </w:rPr>
        <w:t>Date: 12 July 2010</w:t>
      </w:r>
    </w:p>
    <w:p w:rsidR="000F3FD3" w:rsidRDefault="000F3FD3">
      <w:pPr>
        <w:rPr>
          <w:color w:val="000000"/>
        </w:rPr>
      </w:pPr>
    </w:p>
    <w:p w:rsidR="000F3FD3" w:rsidRDefault="000F3FD3">
      <w:pPr>
        <w:jc w:val="center"/>
        <w:rPr>
          <w:color w:val="000000"/>
        </w:rPr>
        <w:sectPr w:rsidR="000F3FD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7" w:h="16840"/>
          <w:pgMar w:top="1440" w:right="1559" w:bottom="1440" w:left="1797" w:header="720" w:footer="720" w:gutter="0"/>
          <w:paperSrc w:first="7" w:other="7"/>
          <w:cols w:space="720"/>
          <w:titlePg/>
          <w:rtlGutter/>
        </w:sectPr>
      </w:pPr>
    </w:p>
    <w:p w:rsidR="000F3FD3" w:rsidRDefault="000F3FD3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 xml:space="preserve">THIS IS PAGE ONE OF ANNEXURE A </w:t>
      </w:r>
    </w:p>
    <w:p w:rsidR="000F3FD3" w:rsidRDefault="000F3FD3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NI2010 –382</w:t>
      </w:r>
    </w:p>
    <w:p w:rsidR="000F3FD3" w:rsidRDefault="000F3FD3">
      <w:pPr>
        <w:jc w:val="center"/>
        <w:rPr>
          <w:rFonts w:cs="Arial"/>
          <w:b/>
          <w:bCs/>
        </w:rPr>
      </w:pPr>
    </w:p>
    <w:p w:rsidR="000F3FD3" w:rsidRDefault="000F3FD3">
      <w:pPr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p w:rsidR="000F3FD3" w:rsidRDefault="006A60F8">
      <w:pPr>
        <w:ind w:left="3600"/>
      </w:pPr>
      <w:r>
        <w:rPr>
          <w:noProof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.8pt;margin-top:4.4pt;width:317.05pt;height:457.3pt;z-index:-251658240" wrapcoords="-52 0 -52 21564 21600 21564 21600 0 -52 0" o:allowoverlap="f">
            <v:imagedata r:id="rId13" o:title=""/>
          </v:shape>
        </w:pict>
      </w:r>
      <w:r w:rsidR="000F3FD3">
        <w:rPr>
          <w:rFonts w:cs="Arial"/>
          <w:b/>
          <w:bCs/>
        </w:rPr>
        <w:tab/>
      </w: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3600"/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  <w:r>
        <w:rPr>
          <w:rFonts w:cs="Arial"/>
          <w:szCs w:val="24"/>
          <w:lang w:eastAsia="en-AU"/>
        </w:rPr>
        <w:t>Kelvin Walsh</w:t>
      </w:r>
    </w:p>
    <w:p w:rsidR="000F3FD3" w:rsidRDefault="000F3FD3">
      <w:pPr>
        <w:ind w:left="2880" w:firstLine="720"/>
        <w:rPr>
          <w:rFonts w:cs="Arial"/>
        </w:rPr>
      </w:pPr>
      <w:r>
        <w:t xml:space="preserve">Delegate of </w:t>
      </w:r>
      <w:r>
        <w:rPr>
          <w:rFonts w:cs="Arial"/>
        </w:rPr>
        <w:t>Planning and Land Authority</w:t>
      </w:r>
    </w:p>
    <w:p w:rsidR="000F3FD3" w:rsidRDefault="000F3FD3">
      <w:pPr>
        <w:ind w:left="2880" w:firstLine="720"/>
        <w:rPr>
          <w:rFonts w:cs="Arial"/>
          <w:b/>
          <w:bCs/>
        </w:rPr>
      </w:pPr>
      <w:r>
        <w:t>Date: 12 July 2010</w:t>
      </w:r>
    </w:p>
    <w:p w:rsidR="000F3FD3" w:rsidRDefault="000F3FD3">
      <w:pPr>
        <w:rPr>
          <w:color w:val="000000"/>
        </w:rPr>
      </w:pPr>
    </w:p>
    <w:p w:rsidR="000F3FD3" w:rsidRDefault="000F3FD3">
      <w:pPr>
        <w:rPr>
          <w:color w:val="000000"/>
        </w:rPr>
      </w:pPr>
    </w:p>
    <w:p w:rsidR="000F3FD3" w:rsidRDefault="000F3FD3">
      <w:pPr>
        <w:rPr>
          <w:color w:val="000000"/>
        </w:rPr>
      </w:pPr>
    </w:p>
    <w:p w:rsidR="000F3FD3" w:rsidRDefault="000F3FD3">
      <w:pPr>
        <w:rPr>
          <w:color w:val="000000"/>
        </w:rPr>
      </w:pPr>
    </w:p>
    <w:p w:rsidR="000F3FD3" w:rsidRDefault="000F3FD3">
      <w:pPr>
        <w:rPr>
          <w:color w:val="000000"/>
        </w:rPr>
      </w:pPr>
    </w:p>
    <w:p w:rsidR="000F3FD3" w:rsidRDefault="000F3FD3">
      <w:pPr>
        <w:rPr>
          <w:color w:val="000000"/>
        </w:rPr>
        <w:sectPr w:rsidR="000F3FD3">
          <w:pgSz w:w="11907" w:h="16840"/>
          <w:pgMar w:top="1440" w:right="1559" w:bottom="1440" w:left="1797" w:header="720" w:footer="720" w:gutter="0"/>
          <w:paperSrc w:first="7" w:other="7"/>
          <w:cols w:space="720"/>
          <w:titlePg/>
        </w:sectPr>
      </w:pPr>
    </w:p>
    <w:p w:rsidR="000F3FD3" w:rsidRDefault="000F3FD3">
      <w:pPr>
        <w:rPr>
          <w:color w:val="000000"/>
        </w:rPr>
      </w:pPr>
    </w:p>
    <w:p w:rsidR="000F3FD3" w:rsidRDefault="000F3FD3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THIS IS PAGE ONE OF ANNEXURE B</w:t>
      </w:r>
    </w:p>
    <w:p w:rsidR="000F3FD3" w:rsidRDefault="000F3FD3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NI2010 –382</w:t>
      </w:r>
    </w:p>
    <w:p w:rsidR="000F3FD3" w:rsidRDefault="000F3FD3">
      <w:pPr>
        <w:rPr>
          <w:color w:val="000000"/>
        </w:rPr>
      </w:pPr>
    </w:p>
    <w:p w:rsidR="000F3FD3" w:rsidRDefault="000F3FD3">
      <w:pPr>
        <w:rPr>
          <w:color w:val="000000"/>
        </w:rPr>
      </w:pPr>
    </w:p>
    <w:p w:rsidR="000F3FD3" w:rsidRDefault="000F3FD3">
      <w:pPr>
        <w:rPr>
          <w:color w:val="000000"/>
        </w:rPr>
      </w:pPr>
    </w:p>
    <w:p w:rsidR="000F3FD3" w:rsidRDefault="000F3FD3">
      <w:r>
        <w:object w:dxaOrig="15178" w:dyaOrig="6181">
          <v:shape id="_x0000_i1025" type="#_x0000_t75" style="width:189.75pt;height:77.25pt" o:ole="">
            <v:imagedata r:id="rId14" o:title=""/>
          </v:shape>
          <o:OLEObject Type="Embed" ProgID="MSPhotoEd.3" ShapeID="_x0000_i1025" DrawAspect="Content" ObjectID="_1596968356" r:id="rId15"/>
        </w:object>
      </w:r>
    </w:p>
    <w:p w:rsidR="000F3FD3" w:rsidRDefault="000F3FD3"/>
    <w:p w:rsidR="000F3FD3" w:rsidRDefault="000F3FD3"/>
    <w:p w:rsidR="000F3FD3" w:rsidRDefault="000F3FD3"/>
    <w:p w:rsidR="000F3FD3" w:rsidRDefault="000F3FD3"/>
    <w:p w:rsidR="000F3FD3" w:rsidRDefault="000F3FD3"/>
    <w:p w:rsidR="000F3FD3" w:rsidRDefault="000F3FD3">
      <w:pPr>
        <w:pStyle w:val="codeTitle"/>
      </w:pPr>
      <w:r>
        <w:t>Casey Precinct Code</w:t>
      </w:r>
    </w:p>
    <w:p w:rsidR="000F3FD3" w:rsidRDefault="000F3FD3">
      <w:pPr>
        <w:spacing w:before="1440"/>
        <w:jc w:val="center"/>
        <w:rPr>
          <w:rFonts w:cs="Arial"/>
          <w:b/>
          <w:bCs/>
          <w:sz w:val="40"/>
        </w:rPr>
      </w:pPr>
      <w:r>
        <w:rPr>
          <w:rFonts w:cs="Arial"/>
          <w:b/>
          <w:bCs/>
          <w:sz w:val="40"/>
        </w:rPr>
        <w:t>Covering the Division of Casey</w:t>
      </w:r>
    </w:p>
    <w:p w:rsidR="000F3FD3" w:rsidRDefault="000F3FD3">
      <w:pPr>
        <w:pStyle w:val="ContentsTitle"/>
      </w:pPr>
    </w:p>
    <w:p w:rsidR="000F3FD3" w:rsidRDefault="000F3FD3">
      <w:pPr>
        <w:pStyle w:val="ContentsTitle"/>
        <w:sectPr w:rsidR="000F3FD3">
          <w:headerReference w:type="first" r:id="rId16"/>
          <w:pgSz w:w="11907" w:h="16840"/>
          <w:pgMar w:top="1440" w:right="1559" w:bottom="1440" w:left="1797" w:header="720" w:footer="720" w:gutter="0"/>
          <w:paperSrc w:first="7" w:other="7"/>
          <w:cols w:space="720"/>
          <w:titlePg/>
        </w:sectPr>
      </w:pPr>
    </w:p>
    <w:p w:rsidR="000F3FD3" w:rsidRDefault="000F3FD3">
      <w:pPr>
        <w:pStyle w:val="ContentsTitle"/>
      </w:pPr>
      <w:r>
        <w:t>Contents</w:t>
      </w:r>
    </w:p>
    <w:p w:rsidR="000F3FD3" w:rsidRDefault="000F3FD3">
      <w:pPr>
        <w:pStyle w:val="TOC1"/>
        <w:rPr>
          <w:rFonts w:ascii="Times New Roman" w:hAnsi="Times New Roman" w:cs="Times New Roman"/>
          <w:b w:val="0"/>
          <w:bCs w:val="0"/>
          <w:noProof/>
          <w:sz w:val="24"/>
          <w:szCs w:val="24"/>
          <w:lang w:eastAsia="en-AU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TOC \h \z \t "CodeItem,4,elementHeading,3,partHeading,1,zoneHeading,2" </w:instrText>
      </w:r>
      <w:r>
        <w:rPr>
          <w:b w:val="0"/>
          <w:bCs w:val="0"/>
        </w:rPr>
        <w:fldChar w:fldCharType="separate"/>
      </w:r>
      <w:hyperlink w:anchor="_Toc266443806" w:history="1">
        <w:r>
          <w:rPr>
            <w:rStyle w:val="Hyperlink"/>
            <w:rFonts w:cs="Arial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_Toc266443806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F3FD3" w:rsidRDefault="006A60F8">
      <w:pPr>
        <w:pStyle w:val="TOC1"/>
        <w:rPr>
          <w:rFonts w:ascii="Times New Roman" w:hAnsi="Times New Roman" w:cs="Times New Roman"/>
          <w:b w:val="0"/>
          <w:bCs w:val="0"/>
          <w:noProof/>
          <w:sz w:val="24"/>
          <w:szCs w:val="24"/>
          <w:lang w:eastAsia="en-AU"/>
        </w:rPr>
      </w:pPr>
      <w:hyperlink w:anchor="_Toc266443807" w:history="1">
        <w:r w:rsidR="000F3FD3">
          <w:rPr>
            <w:rStyle w:val="Hyperlink"/>
            <w:rFonts w:cs="Arial"/>
            <w:noProof/>
          </w:rPr>
          <w:t>Part A Suburb of Casey – ongoing block specific provisions</w:t>
        </w:r>
        <w:r w:rsidR="000F3FD3">
          <w:rPr>
            <w:noProof/>
            <w:webHidden/>
          </w:rPr>
          <w:tab/>
        </w:r>
        <w:r w:rsidR="000F3FD3">
          <w:rPr>
            <w:noProof/>
            <w:webHidden/>
          </w:rPr>
          <w:fldChar w:fldCharType="begin"/>
        </w:r>
        <w:r w:rsidR="000F3FD3">
          <w:rPr>
            <w:noProof/>
            <w:webHidden/>
          </w:rPr>
          <w:instrText xml:space="preserve"> PAGEREF _Toc266443807 \h </w:instrText>
        </w:r>
        <w:r w:rsidR="000F3FD3">
          <w:rPr>
            <w:noProof/>
            <w:webHidden/>
          </w:rPr>
        </w:r>
        <w:r w:rsidR="000F3FD3">
          <w:rPr>
            <w:noProof/>
            <w:webHidden/>
          </w:rPr>
          <w:fldChar w:fldCharType="separate"/>
        </w:r>
        <w:r w:rsidR="000F3FD3">
          <w:rPr>
            <w:noProof/>
            <w:webHidden/>
          </w:rPr>
          <w:t>3</w:t>
        </w:r>
        <w:r w:rsidR="000F3FD3">
          <w:rPr>
            <w:noProof/>
            <w:webHidden/>
          </w:rPr>
          <w:fldChar w:fldCharType="end"/>
        </w:r>
      </w:hyperlink>
    </w:p>
    <w:p w:rsidR="000F3FD3" w:rsidRDefault="000F3FD3">
      <w:pPr>
        <w:rPr>
          <w:b/>
          <w:bCs/>
        </w:rPr>
      </w:pPr>
      <w:r>
        <w:rPr>
          <w:b/>
          <w:bCs/>
        </w:rPr>
        <w:fldChar w:fldCharType="end"/>
      </w:r>
    </w:p>
    <w:p w:rsidR="000F3FD3" w:rsidRDefault="000F3FD3">
      <w:r>
        <w:rPr>
          <w:b/>
          <w:bCs/>
        </w:rPr>
        <w:br w:type="page"/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3"/>
      </w:tblGrid>
      <w:tr w:rsidR="000F3FD3">
        <w:tc>
          <w:tcPr>
            <w:tcW w:w="9243" w:type="dxa"/>
            <w:tcBorders>
              <w:top w:val="single" w:sz="4" w:space="0" w:color="auto"/>
              <w:bottom w:val="single" w:sz="4" w:space="0" w:color="auto"/>
            </w:tcBorders>
            <w:shd w:val="clear" w:color="auto" w:fill="404040"/>
          </w:tcPr>
          <w:p w:rsidR="000F3FD3" w:rsidRDefault="000F3FD3">
            <w:pPr>
              <w:pStyle w:val="partHeading"/>
            </w:pPr>
            <w:bookmarkStart w:id="2" w:name="_Toc162256014"/>
            <w:bookmarkStart w:id="3" w:name="_Toc266443806"/>
            <w:r>
              <w:t>Introduction</w:t>
            </w:r>
            <w:bookmarkEnd w:id="2"/>
            <w:bookmarkEnd w:id="3"/>
          </w:p>
        </w:tc>
      </w:tr>
    </w:tbl>
    <w:p w:rsidR="000F3FD3" w:rsidRDefault="000F3FD3">
      <w:pPr>
        <w:pStyle w:val="bodySubheading"/>
      </w:pPr>
    </w:p>
    <w:p w:rsidR="000F3FD3" w:rsidRDefault="000F3FD3">
      <w:pPr>
        <w:pStyle w:val="bodySubheading"/>
      </w:pPr>
      <w:r>
        <w:t>Name</w:t>
      </w:r>
    </w:p>
    <w:p w:rsidR="000F3FD3" w:rsidRDefault="000F3FD3">
      <w:pPr>
        <w:pStyle w:val="bodySubheading"/>
        <w:rPr>
          <w:b w:val="0"/>
        </w:rPr>
      </w:pPr>
      <w:r>
        <w:rPr>
          <w:b w:val="0"/>
        </w:rPr>
        <w:t>The name of this code is the Casey Precinct Code.</w:t>
      </w:r>
    </w:p>
    <w:p w:rsidR="000F3FD3" w:rsidRDefault="000F3FD3">
      <w:pPr>
        <w:pStyle w:val="bodySubheading"/>
      </w:pPr>
    </w:p>
    <w:p w:rsidR="000F3FD3" w:rsidRDefault="000F3FD3">
      <w:pPr>
        <w:pStyle w:val="bodySubheading"/>
      </w:pPr>
      <w:r>
        <w:t xml:space="preserve">Application </w:t>
      </w:r>
    </w:p>
    <w:p w:rsidR="000F3FD3" w:rsidRDefault="000F3FD3">
      <w:pPr>
        <w:pStyle w:val="bodyText0"/>
      </w:pPr>
      <w:r>
        <w:t>This Precinct Code applies to the division of Casey.  The provisions applying to individual blocks are identified in the legend and are located in the Single Dwelling Housing Development Code.</w:t>
      </w:r>
    </w:p>
    <w:p w:rsidR="000F3FD3" w:rsidRDefault="000F3FD3">
      <w:pPr>
        <w:pStyle w:val="bodySubheading"/>
        <w:spacing w:before="0" w:line="240" w:lineRule="auto"/>
      </w:pPr>
    </w:p>
    <w:p w:rsidR="000F3FD3" w:rsidRDefault="000F3FD3">
      <w:pPr>
        <w:pStyle w:val="bodyText0"/>
        <w:rPr>
          <w:b/>
          <w:lang w:eastAsia="en-AU"/>
        </w:rPr>
      </w:pPr>
      <w:r>
        <w:rPr>
          <w:b/>
          <w:lang w:eastAsia="en-AU"/>
        </w:rPr>
        <w:t>Purpose of codes</w:t>
      </w:r>
    </w:p>
    <w:p w:rsidR="000F3FD3" w:rsidRDefault="000F3FD3">
      <w:pPr>
        <w:pStyle w:val="bodyText0"/>
        <w:rPr>
          <w:lang w:eastAsia="en-AU"/>
        </w:rPr>
      </w:pPr>
      <w:r>
        <w:rPr>
          <w:lang w:eastAsia="en-AU"/>
        </w:rPr>
        <w:t>Codes provide additional planning, design and environmental controls to support the zone objectives and assessable uses in the Development Tables.</w:t>
      </w:r>
    </w:p>
    <w:p w:rsidR="000F3FD3" w:rsidRDefault="000F3FD3">
      <w:pPr>
        <w:pStyle w:val="bodyText0"/>
      </w:pPr>
      <w:r>
        <w:rPr>
          <w:lang w:eastAsia="en-AU"/>
        </w:rPr>
        <w:t>The Codes are used by the Authority to assess development applications. The Codes therefore also provide guidance to intending applicants in designing their developments and preparing their development applications.</w:t>
      </w:r>
    </w:p>
    <w:p w:rsidR="000F3FD3" w:rsidRDefault="000F3FD3">
      <w:pPr>
        <w:pStyle w:val="bodySubheading"/>
        <w:spacing w:before="0" w:line="240" w:lineRule="auto"/>
      </w:pPr>
    </w:p>
    <w:p w:rsidR="000F3FD3" w:rsidRDefault="000F3FD3">
      <w:pPr>
        <w:pStyle w:val="bodySubheading"/>
      </w:pPr>
      <w:r>
        <w:t xml:space="preserve">Structure </w:t>
      </w:r>
    </w:p>
    <w:p w:rsidR="000F3FD3" w:rsidRDefault="000F3FD3">
      <w:pPr>
        <w:pStyle w:val="bodyText0"/>
      </w:pPr>
      <w:r>
        <w:t>The Casey Precinct Code has one Part:</w:t>
      </w:r>
    </w:p>
    <w:p w:rsidR="000F3FD3" w:rsidRDefault="000F3FD3">
      <w:pPr>
        <w:pStyle w:val="bodyText0"/>
        <w:ind w:left="456"/>
      </w:pPr>
      <w:r>
        <w:rPr>
          <w:b/>
          <w:bCs/>
        </w:rPr>
        <w:t xml:space="preserve">Part A </w:t>
      </w:r>
      <w:r>
        <w:t>provides any ongoing block specific provisions for individual blocks identified in the Precinct Code within the suburb of Casey</w:t>
      </w:r>
    </w:p>
    <w:p w:rsidR="000F3FD3" w:rsidRDefault="000F3FD3">
      <w:pPr>
        <w:autoSpaceDE w:val="0"/>
        <w:autoSpaceDN w:val="0"/>
        <w:adjustRightInd w:val="0"/>
        <w:rPr>
          <w:rFonts w:cs="Arial"/>
          <w:sz w:val="20"/>
          <w:lang w:eastAsia="en-AU"/>
        </w:rPr>
      </w:pPr>
    </w:p>
    <w:p w:rsidR="000F3FD3" w:rsidRDefault="000F3FD3">
      <w:pPr>
        <w:pStyle w:val="bodyText0"/>
        <w:rPr>
          <w:lang w:eastAsia="en-AU"/>
        </w:rPr>
      </w:pPr>
      <w:r>
        <w:rPr>
          <w:lang w:eastAsia="en-AU"/>
        </w:rPr>
        <w:t xml:space="preserve">Where more than one type of Code applies to a development, the order of precedence when there is inconsistency of provisions between Codes, as defined by the Act, is </w:t>
      </w:r>
      <w:r>
        <w:rPr>
          <w:b/>
          <w:bCs/>
          <w:lang w:eastAsia="en-AU"/>
        </w:rPr>
        <w:t>Precinct Code</w:t>
      </w:r>
      <w:r>
        <w:rPr>
          <w:lang w:eastAsia="en-AU"/>
        </w:rPr>
        <w:t xml:space="preserve">, then </w:t>
      </w:r>
      <w:r>
        <w:rPr>
          <w:b/>
          <w:bCs/>
          <w:lang w:eastAsia="en-AU"/>
        </w:rPr>
        <w:t>Development Code</w:t>
      </w:r>
      <w:r>
        <w:rPr>
          <w:lang w:eastAsia="en-AU"/>
        </w:rPr>
        <w:t xml:space="preserve">, and then </w:t>
      </w:r>
      <w:r>
        <w:rPr>
          <w:b/>
          <w:bCs/>
          <w:lang w:eastAsia="en-AU"/>
        </w:rPr>
        <w:t>General Code</w:t>
      </w:r>
      <w:r>
        <w:rPr>
          <w:lang w:eastAsia="en-AU"/>
        </w:rPr>
        <w:t>.</w:t>
      </w:r>
    </w:p>
    <w:p w:rsidR="000F3FD3" w:rsidRDefault="000F3FD3">
      <w:pPr>
        <w:pStyle w:val="bodyText0"/>
      </w:pPr>
    </w:p>
    <w:p w:rsidR="000F3FD3" w:rsidRDefault="000F3FD3">
      <w:pPr>
        <w:pStyle w:val="bodyText0"/>
        <w:rPr>
          <w:b/>
        </w:rPr>
      </w:pPr>
      <w:r>
        <w:rPr>
          <w:b/>
        </w:rPr>
        <w:t>Further information</w:t>
      </w:r>
    </w:p>
    <w:p w:rsidR="000F3FD3" w:rsidRDefault="000F3FD3">
      <w:pPr>
        <w:pStyle w:val="bodyText0"/>
      </w:pPr>
      <w:r>
        <w:t xml:space="preserve">Please refer also to the Casey Concept Plan for other relevant or applicable planning provisions. </w:t>
      </w:r>
    </w:p>
    <w:p w:rsidR="000F3FD3" w:rsidRDefault="000F3FD3">
      <w:pPr>
        <w:pStyle w:val="bodyText0"/>
        <w:rPr>
          <w:szCs w:val="22"/>
        </w:rPr>
      </w:pPr>
      <w:r>
        <w:br w:type="page"/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3"/>
      </w:tblGrid>
      <w:tr w:rsidR="000F3FD3">
        <w:tc>
          <w:tcPr>
            <w:tcW w:w="9243" w:type="dxa"/>
            <w:tcBorders>
              <w:top w:val="single" w:sz="4" w:space="0" w:color="auto"/>
              <w:bottom w:val="single" w:sz="4" w:space="0" w:color="auto"/>
            </w:tcBorders>
            <w:shd w:val="clear" w:color="auto" w:fill="404040"/>
          </w:tcPr>
          <w:p w:rsidR="000F3FD3" w:rsidRDefault="000F3FD3">
            <w:pPr>
              <w:pStyle w:val="partHeading"/>
            </w:pPr>
            <w:bookmarkStart w:id="4" w:name="_Toc162256016"/>
            <w:bookmarkStart w:id="5" w:name="_Toc185838514"/>
            <w:bookmarkStart w:id="6" w:name="_Toc266443807"/>
            <w:r>
              <w:t xml:space="preserve">Part A </w:t>
            </w:r>
            <w:bookmarkEnd w:id="4"/>
            <w:bookmarkEnd w:id="5"/>
            <w:r>
              <w:t>Suburb of Casey – ongoing block specific provisions</w:t>
            </w:r>
            <w:bookmarkEnd w:id="6"/>
          </w:p>
        </w:tc>
      </w:tr>
    </w:tbl>
    <w:p w:rsidR="000F3FD3" w:rsidRDefault="000F3FD3">
      <w:pPr>
        <w:rPr>
          <w:rFonts w:cs="Arial"/>
          <w:sz w:val="22"/>
          <w:szCs w:val="22"/>
        </w:rPr>
      </w:pPr>
    </w:p>
    <w:p w:rsidR="000F3FD3" w:rsidRDefault="006A60F8">
      <w:r>
        <w:rPr>
          <w:noProof/>
          <w:lang w:eastAsia="en-AU"/>
        </w:rPr>
        <w:pict>
          <v:shape id="_x0000_s1027" type="#_x0000_t75" style="position:absolute;margin-left:31.2pt;margin-top:4.95pt;width:397.55pt;height:513pt;z-index:-251657216" wrapcoords="-38 0 -38 21571 21600 21571 21600 0 -38 0">
            <v:imagedata r:id="rId17" o:title=""/>
          </v:shape>
        </w:pict>
      </w: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Cs w:val="24"/>
          <w:lang w:eastAsia="en-AU"/>
        </w:rPr>
      </w:pPr>
    </w:p>
    <w:p w:rsidR="000F3FD3" w:rsidRDefault="000F3FD3">
      <w:pPr>
        <w:ind w:left="2880" w:firstLine="720"/>
        <w:rPr>
          <w:rFonts w:cs="Arial"/>
          <w:sz w:val="22"/>
          <w:szCs w:val="22"/>
          <w:lang w:eastAsia="en-AU"/>
        </w:rPr>
      </w:pPr>
      <w:r>
        <w:rPr>
          <w:rFonts w:cs="Arial"/>
          <w:sz w:val="22"/>
          <w:szCs w:val="22"/>
          <w:lang w:eastAsia="en-AU"/>
        </w:rPr>
        <w:t>Kelvin Walsh</w:t>
      </w:r>
    </w:p>
    <w:p w:rsidR="000F3FD3" w:rsidRDefault="000F3FD3">
      <w:pPr>
        <w:ind w:left="2880" w:firstLine="720"/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Delegate of </w:t>
      </w:r>
      <w:r>
        <w:rPr>
          <w:rFonts w:cs="Arial"/>
          <w:sz w:val="22"/>
          <w:szCs w:val="22"/>
        </w:rPr>
        <w:t>Planning and Land Authority</w:t>
      </w:r>
    </w:p>
    <w:p w:rsidR="000F3FD3" w:rsidRDefault="000F3FD3">
      <w:pPr>
        <w:ind w:left="2880" w:firstLine="720"/>
        <w:rPr>
          <w:color w:val="000000"/>
          <w:sz w:val="22"/>
          <w:szCs w:val="22"/>
        </w:rPr>
      </w:pPr>
      <w:r>
        <w:rPr>
          <w:sz w:val="22"/>
          <w:szCs w:val="22"/>
        </w:rPr>
        <w:t>Date: 12 July 2010</w:t>
      </w:r>
    </w:p>
    <w:sectPr w:rsidR="000F3FD3">
      <w:headerReference w:type="first" r:id="rId18"/>
      <w:footerReference w:type="first" r:id="rId19"/>
      <w:pgSz w:w="11907" w:h="16840"/>
      <w:pgMar w:top="1440" w:right="1559" w:bottom="1440" w:left="1797" w:header="720" w:footer="720" w:gutter="0"/>
      <w:paperSrc w:first="7" w:other="7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FD3" w:rsidRDefault="000F3FD3">
      <w:r>
        <w:separator/>
      </w:r>
    </w:p>
  </w:endnote>
  <w:endnote w:type="continuationSeparator" w:id="0">
    <w:p w:rsidR="000F3FD3" w:rsidRDefault="000F3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560" w:rsidRDefault="00F625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FD3" w:rsidRDefault="000F3FD3">
    <w:pPr>
      <w:pStyle w:val="Footer"/>
      <w:rPr>
        <w:snapToGrid w:val="0"/>
      </w:rPr>
    </w:pPr>
    <w:r>
      <w:rPr>
        <w:snapToGrid w:val="0"/>
      </w:rPr>
      <w:tab/>
      <w:t xml:space="preserve">-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E47A45">
      <w:rPr>
        <w:noProof/>
        <w:snapToGrid w:val="0"/>
      </w:rPr>
      <w:t>2</w:t>
    </w:r>
    <w:r>
      <w:rPr>
        <w:snapToGrid w:val="0"/>
      </w:rPr>
      <w:fldChar w:fldCharType="end"/>
    </w:r>
    <w:r>
      <w:rPr>
        <w:snapToGrid w:val="0"/>
      </w:rPr>
      <w:t xml:space="preserve"> -</w:t>
    </w:r>
  </w:p>
  <w:p w:rsidR="000F3FD3" w:rsidRPr="00F62560" w:rsidRDefault="00F62560" w:rsidP="00F62560">
    <w:pPr>
      <w:pStyle w:val="Footer"/>
      <w:jc w:val="center"/>
      <w:rPr>
        <w:rFonts w:cs="Arial"/>
        <w:sz w:val="14"/>
      </w:rPr>
    </w:pPr>
    <w:r w:rsidRPr="00F62560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FD3" w:rsidRDefault="000F3FD3">
    <w:pPr>
      <w:framePr w:w="10206" w:hSpace="181" w:wrap="auto" w:vAnchor="page" w:hAnchor="page" w:x="681" w:y="16161"/>
      <w:jc w:val="right"/>
      <w:rPr>
        <w:vanish/>
        <w:sz w:val="13"/>
      </w:rPr>
    </w:pPr>
  </w:p>
  <w:p w:rsidR="000F3FD3" w:rsidRPr="00F62560" w:rsidRDefault="00F62560" w:rsidP="00F62560">
    <w:pPr>
      <w:pStyle w:val="Footer"/>
      <w:jc w:val="center"/>
      <w:rPr>
        <w:rFonts w:cs="Arial"/>
        <w:sz w:val="14"/>
      </w:rPr>
    </w:pPr>
    <w:r w:rsidRPr="00F62560">
      <w:rPr>
        <w:rFonts w:cs="Arial"/>
        <w:sz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FD3" w:rsidRDefault="000F3FD3">
    <w:pPr>
      <w:framePr w:w="10206" w:hSpace="181" w:wrap="auto" w:vAnchor="page" w:hAnchor="page" w:x="681" w:y="16161"/>
      <w:jc w:val="right"/>
      <w:rPr>
        <w:vanish/>
        <w:sz w:val="13"/>
      </w:rPr>
    </w:pPr>
  </w:p>
  <w:p w:rsidR="000F3FD3" w:rsidRDefault="000F3FD3">
    <w:pPr>
      <w:pStyle w:val="Footer"/>
      <w:jc w:val="center"/>
      <w:rPr>
        <w:snapToGrid w:val="0"/>
      </w:rPr>
    </w:pPr>
    <w:r>
      <w:rPr>
        <w:snapToGrid w:val="0"/>
      </w:rPr>
      <w:t xml:space="preserve">-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E47A45">
      <w:rPr>
        <w:noProof/>
        <w:snapToGrid w:val="0"/>
      </w:rPr>
      <w:t>1</w:t>
    </w:r>
    <w:r>
      <w:rPr>
        <w:snapToGrid w:val="0"/>
      </w:rPr>
      <w:fldChar w:fldCharType="end"/>
    </w:r>
    <w:r>
      <w:rPr>
        <w:snapToGrid w:val="0"/>
      </w:rPr>
      <w:t xml:space="preserve"> -</w:t>
    </w:r>
  </w:p>
  <w:p w:rsidR="000F3FD3" w:rsidRPr="00F62560" w:rsidRDefault="00F62560" w:rsidP="00F62560">
    <w:pPr>
      <w:pStyle w:val="Footer"/>
      <w:jc w:val="center"/>
      <w:rPr>
        <w:rFonts w:cs="Arial"/>
        <w:sz w:val="14"/>
      </w:rPr>
    </w:pPr>
    <w:r w:rsidRPr="00F62560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FD3" w:rsidRDefault="000F3FD3">
      <w:r>
        <w:separator/>
      </w:r>
    </w:p>
  </w:footnote>
  <w:footnote w:type="continuationSeparator" w:id="0">
    <w:p w:rsidR="000F3FD3" w:rsidRDefault="000F3F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560" w:rsidRDefault="00F625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560" w:rsidRDefault="00F6256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FD3" w:rsidRDefault="000F3FD3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FD3" w:rsidRDefault="000F3FD3">
    <w:pPr>
      <w:pStyle w:val="Header"/>
      <w:tabs>
        <w:tab w:val="center" w:pos="2693"/>
        <w:tab w:val="right" w:pos="7484"/>
      </w:tabs>
      <w:rPr>
        <w:sz w:val="22"/>
        <w:lang w:val="en-AU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FD3" w:rsidRDefault="000F3FD3">
    <w:pPr>
      <w:pStyle w:val="Header"/>
      <w:tabs>
        <w:tab w:val="center" w:pos="2693"/>
        <w:tab w:val="right" w:pos="7484"/>
      </w:tabs>
      <w:rPr>
        <w:sz w:val="22"/>
        <w:lang w:val="en-A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3FD3"/>
    <w:rsid w:val="000F3FD3"/>
    <w:rsid w:val="00157DC2"/>
    <w:rsid w:val="006A60F8"/>
    <w:rsid w:val="008F1475"/>
    <w:rsid w:val="00E47A45"/>
    <w:rsid w:val="00F6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."/>
  <w:listSeparator w:val=","/>
  <w14:defaultImageDpi w14:val="0"/>
  <w15:docId w15:val="{9ECBF015-DD48-45D8-A66B-1D2AF39F2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Arial" w:hAnsi="Arial"/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right="386" w:firstLine="72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Arial" w:hAnsi="Arial"/>
      <w:sz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/>
      <w:sz w:val="24"/>
      <w:szCs w:val="20"/>
      <w:lang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uiPriority w:val="99"/>
    <w:pPr>
      <w:spacing w:before="180" w:after="60"/>
      <w:jc w:val="both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uiPriority w:val="99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szCs w:val="20"/>
      <w:lang w:eastAsia="en-US"/>
    </w:rPr>
  </w:style>
  <w:style w:type="paragraph" w:customStyle="1" w:styleId="hidden">
    <w:name w:val="hidden"/>
    <w:basedOn w:val="Normal"/>
    <w:next w:val="Normal"/>
    <w:uiPriority w:val="99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uiPriority w:val="99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uiPriority w:val="99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uiPriority w:val="99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customStyle="1" w:styleId="codeTitle">
    <w:name w:val="codeTitle"/>
    <w:basedOn w:val="Heading1"/>
    <w:uiPriority w:val="99"/>
    <w:pPr>
      <w:spacing w:before="1440"/>
      <w:ind w:right="0" w:firstLine="0"/>
      <w:jc w:val="center"/>
    </w:pPr>
    <w:rPr>
      <w:rFonts w:cs="Arial"/>
      <w:bCs/>
      <w:sz w:val="52"/>
    </w:rPr>
  </w:style>
  <w:style w:type="paragraph" w:customStyle="1" w:styleId="ContentsTitle">
    <w:name w:val="ContentsTitle"/>
    <w:basedOn w:val="Heading2"/>
    <w:uiPriority w:val="99"/>
    <w:pPr>
      <w:spacing w:before="120" w:after="120"/>
    </w:pPr>
    <w:rPr>
      <w:i w:val="0"/>
      <w:iCs w:val="0"/>
      <w:szCs w:val="20"/>
    </w:rPr>
  </w:style>
  <w:style w:type="paragraph" w:styleId="TOC1">
    <w:name w:val="toc 1"/>
    <w:basedOn w:val="Normal"/>
    <w:next w:val="Normal"/>
    <w:autoRedefine/>
    <w:uiPriority w:val="99"/>
    <w:semiHidden/>
    <w:pPr>
      <w:tabs>
        <w:tab w:val="right" w:leader="dot" w:pos="9027"/>
      </w:tabs>
      <w:spacing w:before="120"/>
    </w:pPr>
    <w:rPr>
      <w:rFonts w:ascii="Arial Bold" w:hAnsi="Arial Bold" w:cs="Arial"/>
      <w:b/>
      <w:bCs/>
      <w:sz w:val="20"/>
    </w:rPr>
  </w:style>
  <w:style w:type="paragraph" w:customStyle="1" w:styleId="bodyText0">
    <w:name w:val="bodyText"/>
    <w:basedOn w:val="Normal"/>
    <w:uiPriority w:val="99"/>
    <w:pPr>
      <w:spacing w:before="120" w:line="288" w:lineRule="auto"/>
    </w:pPr>
    <w:rPr>
      <w:rFonts w:cs="Arial"/>
      <w:sz w:val="20"/>
    </w:rPr>
  </w:style>
  <w:style w:type="paragraph" w:customStyle="1" w:styleId="bodySubheading">
    <w:name w:val="bodySubheading"/>
    <w:basedOn w:val="bodyText0"/>
    <w:uiPriority w:val="99"/>
    <w:rPr>
      <w:b/>
      <w:bCs/>
    </w:rPr>
  </w:style>
  <w:style w:type="paragraph" w:customStyle="1" w:styleId="partHeading">
    <w:name w:val="partHeading"/>
    <w:basedOn w:val="Normal"/>
    <w:uiPriority w:val="99"/>
    <w:pPr>
      <w:spacing w:before="60" w:after="60"/>
    </w:pPr>
    <w:rPr>
      <w:rFonts w:cs="Arial"/>
      <w:b/>
      <w:bCs/>
      <w:color w:val="FFFFFF"/>
      <w:sz w:val="32"/>
    </w:rPr>
  </w:style>
  <w:style w:type="character" w:styleId="PageNumber">
    <w:name w:val="page number"/>
    <w:basedOn w:val="DefaultParagraphFont"/>
    <w:uiPriority w:val="9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390</Words>
  <Characters>2095</Characters>
  <Application>Microsoft Office Word</Application>
  <DocSecurity>0</DocSecurity>
  <Lines>179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/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2010-07-12T05:49:00Z</cp:lastPrinted>
  <dcterms:created xsi:type="dcterms:W3CDTF">2018-08-28T03:33:00Z</dcterms:created>
  <dcterms:modified xsi:type="dcterms:W3CDTF">2018-08-28T03:33:00Z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A5696945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2010-07-07T14:00:00Z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2010-07-11T14:00:00Z</vt:filetime>
  </property>
  <property fmtid="{D5CDD505-2E9C-101B-9397-08002B2CF9AE}" pid="12" name="Objective-ModificationStamp">
    <vt:filetime>2010-07-11T14:00:00Z</vt:filetime>
  </property>
  <property fmtid="{D5CDD505-2E9C-101B-9397-08002B2CF9AE}" pid="13" name="Objective-Owner">
    <vt:lpwstr>Chris Thompson</vt:lpwstr>
  </property>
  <property fmtid="{D5CDD505-2E9C-101B-9397-08002B2CF9AE}" pid="14" name="Objective-Path">
    <vt:lpwstr>Whole of ACT Government:ACTPLA:BRANCH - Planning Services:Development Policy:04 - Territory Plan Variation Unit - New ((Active 20091126):01 Territory Plan Management (Variations, Technical Amendments, Planning Reports and Proposals):2 Technical Amendments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TA2010-20 - notifiable instrument</vt:lpwstr>
  </property>
  <property fmtid="{D5CDD505-2E9C-101B-9397-08002B2CF9AE}" pid="18" name="Objective-Version">
    <vt:lpwstr>4.0</vt:lpwstr>
  </property>
  <property fmtid="{D5CDD505-2E9C-101B-9397-08002B2CF9AE}" pid="19" name="Objective-VersionComment">
    <vt:lpwstr>insert 'No'</vt:lpwstr>
  </property>
  <property fmtid="{D5CDD505-2E9C-101B-9397-08002B2CF9AE}" pid="20" name="Objective-VersionNumber">
    <vt:i4>5</vt:i4>
  </property>
  <property fmtid="{D5CDD505-2E9C-101B-9397-08002B2CF9AE}" pid="21" name="Objective-FileNumber">
    <vt:lpwstr>1-2010/09853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ACTPLA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