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015" w:rsidRDefault="00E92015">
      <w:pPr>
        <w:pStyle w:val="Header"/>
        <w:spacing w:before="120"/>
        <w:rPr>
          <w:rFonts w:cs="Arial"/>
        </w:rPr>
      </w:pPr>
      <w:bookmarkStart w:id="0" w:name="_GoBack"/>
      <w:bookmarkEnd w:id="0"/>
      <w:smartTag w:uri="urn:schemas-microsoft-com:office:smarttags" w:element="State">
        <w:smartTag w:uri="urn:schemas-microsoft-com:office:smarttags" w:element="place">
          <w:r>
            <w:rPr>
              <w:rFonts w:cs="Arial"/>
            </w:rPr>
            <w:t>Australian Capital Territory</w:t>
          </w:r>
        </w:smartTag>
      </w:smartTag>
    </w:p>
    <w:p w:rsidR="00E92015" w:rsidRDefault="00E92015">
      <w:pPr>
        <w:pStyle w:val="Header"/>
        <w:spacing w:before="120"/>
        <w:rPr>
          <w:rFonts w:cs="Arial"/>
        </w:rPr>
      </w:pPr>
    </w:p>
    <w:p w:rsidR="00E92015" w:rsidRDefault="00E92015">
      <w:pPr>
        <w:pStyle w:val="TAheading"/>
        <w:rPr>
          <w:rFonts w:cs="Arial"/>
        </w:rPr>
      </w:pPr>
      <w:r>
        <w:rPr>
          <w:rFonts w:cs="Arial"/>
        </w:rPr>
        <w:t xml:space="preserve">Planning and Development (Technical Amendment </w:t>
      </w:r>
      <w:r>
        <w:rPr>
          <w:rFonts w:cs="Arial"/>
          <w:color w:val="000000"/>
        </w:rPr>
        <w:t>—</w:t>
      </w:r>
      <w:r>
        <w:rPr>
          <w:rFonts w:cs="Arial"/>
        </w:rPr>
        <w:t xml:space="preserve"> Miscellaneous Amendments and Corrections) Plan Variation 2010 </w:t>
      </w:r>
      <w:r w:rsidR="00AE6E2A">
        <w:rPr>
          <w:rFonts w:cs="Arial"/>
        </w:rPr>
        <w:t>(No 2)*</w:t>
      </w:r>
    </w:p>
    <w:p w:rsidR="00E92015" w:rsidRDefault="00E92015">
      <w:pPr>
        <w:rPr>
          <w:rStyle w:val="TAannexureAtext"/>
          <w:rFonts w:cs="Arial"/>
        </w:rPr>
      </w:pPr>
      <w:r>
        <w:rPr>
          <w:rStyle w:val="TAannexureAtext"/>
          <w:rFonts w:cs="Arial"/>
        </w:rPr>
        <w:t>Notifiable instrument NI</w:t>
      </w:r>
      <w:r w:rsidR="00AE6E2A">
        <w:rPr>
          <w:rStyle w:val="TAannexureAtext"/>
          <w:rFonts w:cs="Arial"/>
        </w:rPr>
        <w:t>2010</w:t>
      </w:r>
      <w:r>
        <w:rPr>
          <w:rStyle w:val="TAannexureAtext"/>
          <w:rFonts w:cs="Arial"/>
        </w:rPr>
        <w:t>—602</w:t>
      </w:r>
    </w:p>
    <w:p w:rsidR="00E92015" w:rsidRDefault="00E92015">
      <w:pPr>
        <w:rPr>
          <w:rStyle w:val="TAannexureAtext"/>
          <w:rFonts w:cs="Arial"/>
        </w:rPr>
      </w:pPr>
      <w:r>
        <w:rPr>
          <w:rStyle w:val="TAannexureAtext"/>
          <w:rFonts w:cs="Arial"/>
        </w:rPr>
        <w:t>Technical Amendment No 2010-22</w:t>
      </w:r>
    </w:p>
    <w:p w:rsidR="00E92015" w:rsidRDefault="00E92015">
      <w:pPr>
        <w:pStyle w:val="TALAtext"/>
        <w:rPr>
          <w:rFonts w:cs="Arial"/>
        </w:rPr>
      </w:pPr>
      <w:r>
        <w:rPr>
          <w:rFonts w:cs="Arial"/>
        </w:rPr>
        <w:t>made under the</w:t>
      </w:r>
    </w:p>
    <w:p w:rsidR="00E92015" w:rsidRDefault="00E92015">
      <w:pPr>
        <w:pStyle w:val="TA-LAitalicstext"/>
        <w:rPr>
          <w:rFonts w:cs="Arial"/>
        </w:rPr>
      </w:pPr>
      <w:r>
        <w:rPr>
          <w:rFonts w:cs="Arial"/>
        </w:rPr>
        <w:t xml:space="preserve">Planning and Development Act 2007, </w:t>
      </w:r>
      <w:bookmarkStart w:id="1" w:name="S89"/>
      <w:r>
        <w:rPr>
          <w:rFonts w:cs="Arial"/>
        </w:rPr>
        <w:t xml:space="preserve">section 89 (Making technical amendments) </w:t>
      </w:r>
      <w:bookmarkEnd w:id="1"/>
      <w:r>
        <w:rPr>
          <w:rFonts w:cs="Arial"/>
        </w:rPr>
        <w:t xml:space="preserve">  </w:t>
      </w:r>
    </w:p>
    <w:p w:rsidR="00E92015" w:rsidRDefault="00E92015">
      <w:pPr>
        <w:pStyle w:val="TAline"/>
        <w:rPr>
          <w:rFonts w:cs="Arial"/>
        </w:rPr>
      </w:pPr>
    </w:p>
    <w:p w:rsidR="00E92015" w:rsidRDefault="00E92015">
      <w:pPr>
        <w:pStyle w:val="TAbody"/>
        <w:rPr>
          <w:rFonts w:cs="Arial"/>
          <w:color w:val="000000"/>
        </w:rPr>
      </w:pPr>
      <w:r>
        <w:rPr>
          <w:rFonts w:cs="Arial"/>
          <w:color w:val="000000"/>
        </w:rPr>
        <w:t>This technical amendment commences on 29 October 2010.</w:t>
      </w:r>
    </w:p>
    <w:p w:rsidR="00E92015" w:rsidRDefault="00E92015">
      <w:pPr>
        <w:pStyle w:val="TAbody"/>
        <w:rPr>
          <w:rFonts w:cs="Arial"/>
          <w:color w:val="000000"/>
        </w:rPr>
      </w:pPr>
    </w:p>
    <w:p w:rsidR="00E92015" w:rsidRDefault="00E92015">
      <w:pPr>
        <w:pStyle w:val="TAbody"/>
        <w:rPr>
          <w:rFonts w:cs="Arial"/>
          <w:color w:val="000000"/>
        </w:rPr>
      </w:pPr>
      <w:bookmarkStart w:id="2" w:name="S89_1"/>
      <w:r>
        <w:rPr>
          <w:rFonts w:cs="Arial"/>
          <w:color w:val="000000"/>
        </w:rPr>
        <w:t xml:space="preserve">Technical amendment </w:t>
      </w:r>
      <w:bookmarkStart w:id="3" w:name="Techincal_amendment2"/>
      <w:r>
        <w:rPr>
          <w:rFonts w:cs="Arial"/>
          <w:color w:val="000000"/>
        </w:rPr>
        <w:t>number</w:t>
      </w:r>
      <w:bookmarkEnd w:id="3"/>
      <w:r>
        <w:rPr>
          <w:rFonts w:cs="Arial"/>
          <w:color w:val="000000"/>
        </w:rPr>
        <w:t xml:space="preserve"> 2010-22 to the Territory Plan has been approved by the Planning and Land Authority.</w:t>
      </w:r>
    </w:p>
    <w:bookmarkEnd w:id="2"/>
    <w:p w:rsidR="00E92015" w:rsidRDefault="00E92015">
      <w:pPr>
        <w:pStyle w:val="TAbody"/>
        <w:rPr>
          <w:rFonts w:cs="Arial"/>
          <w:color w:val="000000"/>
        </w:rPr>
      </w:pPr>
    </w:p>
    <w:p w:rsidR="00E92015" w:rsidRDefault="00E92015">
      <w:pPr>
        <w:pStyle w:val="TAbody"/>
        <w:rPr>
          <w:rFonts w:cs="Arial"/>
          <w:color w:val="000000"/>
          <w:szCs w:val="24"/>
        </w:rPr>
      </w:pPr>
    </w:p>
    <w:p w:rsidR="00E92015" w:rsidRDefault="00E92015">
      <w:pPr>
        <w:pStyle w:val="TAbody"/>
        <w:rPr>
          <w:rFonts w:cs="Arial"/>
          <w:color w:val="000000"/>
        </w:rPr>
      </w:pPr>
    </w:p>
    <w:p w:rsidR="00E92015" w:rsidRDefault="00E92015">
      <w:pPr>
        <w:pStyle w:val="TAbody"/>
        <w:rPr>
          <w:rFonts w:cs="Arial"/>
          <w:color w:val="000000"/>
        </w:rPr>
      </w:pPr>
    </w:p>
    <w:p w:rsidR="00E92015" w:rsidRDefault="00E92015">
      <w:pPr>
        <w:pStyle w:val="TAbody"/>
        <w:rPr>
          <w:rFonts w:cs="Arial"/>
          <w:color w:val="000000"/>
        </w:rPr>
      </w:pPr>
    </w:p>
    <w:p w:rsidR="00E92015" w:rsidRDefault="00E92015">
      <w:pPr>
        <w:pStyle w:val="TAbody"/>
        <w:rPr>
          <w:rFonts w:cs="Arial"/>
          <w:color w:val="000000"/>
        </w:rPr>
      </w:pPr>
      <w:r>
        <w:rPr>
          <w:rFonts w:cs="Arial"/>
          <w:color w:val="000000"/>
        </w:rPr>
        <w:t>Kelvin Walsh</w:t>
      </w:r>
    </w:p>
    <w:p w:rsidR="00E92015" w:rsidRDefault="00E92015">
      <w:pPr>
        <w:pStyle w:val="TAbody"/>
        <w:rPr>
          <w:rFonts w:cs="Arial"/>
          <w:color w:val="000000"/>
        </w:rPr>
      </w:pPr>
      <w:r>
        <w:rPr>
          <w:rFonts w:cs="Arial"/>
          <w:color w:val="000000"/>
        </w:rPr>
        <w:t>Delegate of Planning and Land Authority</w:t>
      </w:r>
    </w:p>
    <w:p w:rsidR="00E92015" w:rsidRDefault="00E92015">
      <w:pPr>
        <w:pStyle w:val="TAbody"/>
        <w:rPr>
          <w:rFonts w:cs="Arial"/>
          <w:color w:val="000000"/>
        </w:rPr>
      </w:pPr>
    </w:p>
    <w:p w:rsidR="00E92015" w:rsidRDefault="00E92015">
      <w:pPr>
        <w:pStyle w:val="TAbody"/>
        <w:rPr>
          <w:rFonts w:cs="Arial"/>
          <w:color w:val="000000"/>
        </w:rPr>
      </w:pPr>
      <w:r>
        <w:rPr>
          <w:rFonts w:cs="Arial"/>
          <w:color w:val="000000"/>
        </w:rPr>
        <w:t>22 October 2010</w:t>
      </w:r>
    </w:p>
    <w:p w:rsidR="00E92015" w:rsidRDefault="00E92015">
      <w:pPr>
        <w:pStyle w:val="Heading1"/>
        <w:ind w:firstLine="0"/>
      </w:pPr>
    </w:p>
    <w:p w:rsidR="00E92015" w:rsidRDefault="00E92015"/>
    <w:p w:rsidR="00E92015" w:rsidRDefault="00E92015"/>
    <w:p w:rsidR="00E92015" w:rsidRDefault="00E92015">
      <w:pPr>
        <w:pStyle w:val="BodyText"/>
        <w:jc w:val="center"/>
        <w:rPr>
          <w:rFonts w:cs="Arial"/>
          <w:sz w:val="32"/>
        </w:rPr>
        <w:sectPr w:rsidR="00E92015" w:rsidSect="001368E0">
          <w:headerReference w:type="even" r:id="rId7"/>
          <w:headerReference w:type="default" r:id="rId8"/>
          <w:footerReference w:type="even" r:id="rId9"/>
          <w:footerReference w:type="default" r:id="rId10"/>
          <w:headerReference w:type="first" r:id="rId11"/>
          <w:footerReference w:type="first" r:id="rId12"/>
          <w:pgSz w:w="11907" w:h="16840" w:code="9"/>
          <w:pgMar w:top="1418" w:right="1418" w:bottom="1418" w:left="1418" w:header="720" w:footer="352" w:gutter="0"/>
          <w:pgNumType w:start="0"/>
          <w:cols w:space="720"/>
          <w:titlePg/>
          <w:rtlGutter/>
        </w:sectPr>
      </w:pPr>
    </w:p>
    <w:p w:rsidR="00E92015" w:rsidRDefault="00E92015">
      <w:pPr>
        <w:pStyle w:val="BodyText"/>
        <w:jc w:val="center"/>
        <w:rPr>
          <w:rFonts w:cs="Arial"/>
          <w:sz w:val="32"/>
        </w:rPr>
      </w:pPr>
    </w:p>
    <w:p w:rsidR="00E92015" w:rsidRDefault="00E92015">
      <w:pPr>
        <w:pStyle w:val="BodyText"/>
        <w:jc w:val="center"/>
        <w:rPr>
          <w:rFonts w:cs="Arial"/>
          <w:sz w:val="32"/>
        </w:rPr>
      </w:pPr>
    </w:p>
    <w:p w:rsidR="00E92015" w:rsidRDefault="00E92015">
      <w:pPr>
        <w:pStyle w:val="BodyText"/>
        <w:jc w:val="center"/>
        <w:rPr>
          <w:rFonts w:cs="Arial"/>
          <w:sz w:val="32"/>
        </w:rPr>
      </w:pPr>
    </w:p>
    <w:p w:rsidR="00E92015" w:rsidRDefault="005B0A61">
      <w:pPr>
        <w:pStyle w:val="BodyText"/>
        <w:jc w:val="center"/>
        <w:rPr>
          <w:rFonts w:cs="Arial"/>
          <w:sz w:val="32"/>
        </w:rPr>
      </w:pPr>
      <w:r>
        <w:rPr>
          <w:rFonts w:cs="Arial"/>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o:bordertopcolor="this" o:borderleftcolor="this" o:borderbottomcolor="this" o:borderrightcolor="this">
            <v:imagedata r:id="rId13" o:title=""/>
          </v:shape>
        </w:pict>
      </w:r>
      <w:r w:rsidR="00E92015">
        <w:rPr>
          <w:rFonts w:cs="Arial"/>
          <w:sz w:val="32"/>
        </w:rPr>
        <w:t xml:space="preserve"> </w:t>
      </w:r>
    </w:p>
    <w:p w:rsidR="00E92015" w:rsidRDefault="00E92015">
      <w:pPr>
        <w:pStyle w:val="BodyText"/>
        <w:jc w:val="center"/>
        <w:rPr>
          <w:rFonts w:cs="Arial"/>
          <w:sz w:val="32"/>
        </w:rPr>
      </w:pPr>
    </w:p>
    <w:p w:rsidR="00E92015" w:rsidRDefault="00E92015">
      <w:pPr>
        <w:pStyle w:val="BodyText"/>
        <w:jc w:val="center"/>
        <w:rPr>
          <w:rFonts w:cs="Arial"/>
          <w:b w:val="0"/>
          <w:sz w:val="32"/>
        </w:rPr>
      </w:pPr>
      <w:r>
        <w:rPr>
          <w:rFonts w:cs="Arial"/>
          <w:b w:val="0"/>
          <w:sz w:val="32"/>
        </w:rPr>
        <w:t>Planning &amp; Development Act 2007</w:t>
      </w:r>
    </w:p>
    <w:p w:rsidR="00E92015" w:rsidRDefault="00E92015">
      <w:pPr>
        <w:jc w:val="center"/>
        <w:rPr>
          <w:rFonts w:cs="Arial"/>
          <w:sz w:val="36"/>
        </w:rPr>
      </w:pPr>
    </w:p>
    <w:p w:rsidR="00E92015" w:rsidRDefault="00E92015">
      <w:pPr>
        <w:jc w:val="center"/>
        <w:rPr>
          <w:rFonts w:cs="Arial"/>
          <w:sz w:val="36"/>
        </w:rPr>
      </w:pPr>
    </w:p>
    <w:p w:rsidR="00E92015" w:rsidRDefault="00E92015">
      <w:pPr>
        <w:jc w:val="center"/>
        <w:rPr>
          <w:rFonts w:cs="Arial"/>
          <w:sz w:val="36"/>
        </w:rPr>
      </w:pPr>
    </w:p>
    <w:p w:rsidR="00E92015" w:rsidRDefault="00E92015">
      <w:pPr>
        <w:pStyle w:val="Header"/>
        <w:tabs>
          <w:tab w:val="left" w:pos="-720"/>
        </w:tabs>
        <w:rPr>
          <w:rFonts w:cs="Arial"/>
        </w:rPr>
      </w:pPr>
    </w:p>
    <w:p w:rsidR="00E92015" w:rsidRDefault="00E92015">
      <w:pPr>
        <w:pStyle w:val="BodyText"/>
        <w:pBdr>
          <w:top w:val="single" w:sz="4" w:space="1" w:color="auto"/>
          <w:left w:val="single" w:sz="4" w:space="4" w:color="auto"/>
          <w:bottom w:val="single" w:sz="4" w:space="1" w:color="auto"/>
          <w:right w:val="single" w:sz="4" w:space="4" w:color="auto"/>
        </w:pBdr>
        <w:shd w:val="clear" w:color="auto" w:fill="F3F3F3"/>
        <w:jc w:val="center"/>
        <w:rPr>
          <w:rFonts w:cs="Arial"/>
          <w:bCs/>
          <w:sz w:val="72"/>
        </w:rPr>
      </w:pPr>
      <w:r>
        <w:rPr>
          <w:rFonts w:cs="Arial"/>
          <w:bCs/>
          <w:sz w:val="72"/>
        </w:rPr>
        <w:t xml:space="preserve">Technical Amendment </w:t>
      </w:r>
    </w:p>
    <w:p w:rsidR="00E92015" w:rsidRDefault="00E92015">
      <w:pPr>
        <w:pStyle w:val="BodyText"/>
        <w:pBdr>
          <w:top w:val="single" w:sz="4" w:space="1" w:color="auto"/>
          <w:left w:val="single" w:sz="4" w:space="4" w:color="auto"/>
          <w:bottom w:val="single" w:sz="4" w:space="1" w:color="auto"/>
          <w:right w:val="single" w:sz="4" w:space="4" w:color="auto"/>
        </w:pBdr>
        <w:shd w:val="clear" w:color="auto" w:fill="F3F3F3"/>
        <w:jc w:val="center"/>
        <w:rPr>
          <w:rFonts w:cs="Arial"/>
          <w:bCs/>
          <w:sz w:val="72"/>
        </w:rPr>
      </w:pPr>
      <w:r>
        <w:rPr>
          <w:rFonts w:cs="Arial"/>
          <w:bCs/>
          <w:sz w:val="72"/>
        </w:rPr>
        <w:t>to the Territory Plan</w:t>
      </w:r>
    </w:p>
    <w:p w:rsidR="00E92015" w:rsidRDefault="00E92015">
      <w:pPr>
        <w:pStyle w:val="BodyText"/>
        <w:pBdr>
          <w:top w:val="single" w:sz="4" w:space="1" w:color="auto"/>
          <w:left w:val="single" w:sz="4" w:space="4" w:color="auto"/>
          <w:bottom w:val="single" w:sz="4" w:space="1" w:color="auto"/>
          <w:right w:val="single" w:sz="4" w:space="4" w:color="auto"/>
        </w:pBdr>
        <w:shd w:val="clear" w:color="auto" w:fill="F3F3F3"/>
        <w:jc w:val="center"/>
        <w:rPr>
          <w:rFonts w:cs="Arial"/>
          <w:sz w:val="72"/>
        </w:rPr>
      </w:pPr>
      <w:r>
        <w:rPr>
          <w:rFonts w:cs="Arial"/>
          <w:bCs/>
          <w:sz w:val="72"/>
        </w:rPr>
        <w:t>Variation 2010-22</w:t>
      </w:r>
    </w:p>
    <w:p w:rsidR="00E92015" w:rsidRDefault="00E92015">
      <w:pPr>
        <w:tabs>
          <w:tab w:val="left" w:pos="-720"/>
        </w:tabs>
        <w:rPr>
          <w:rFonts w:cs="Arial"/>
          <w:sz w:val="48"/>
        </w:rPr>
      </w:pPr>
    </w:p>
    <w:p w:rsidR="00E92015" w:rsidRDefault="00E92015">
      <w:pPr>
        <w:jc w:val="center"/>
        <w:rPr>
          <w:rFonts w:cs="Arial"/>
          <w:sz w:val="48"/>
        </w:rPr>
      </w:pPr>
    </w:p>
    <w:p w:rsidR="00E92015" w:rsidRDefault="00E92015">
      <w:pPr>
        <w:jc w:val="center"/>
        <w:rPr>
          <w:rFonts w:cs="Arial"/>
          <w:sz w:val="48"/>
        </w:rPr>
      </w:pPr>
    </w:p>
    <w:p w:rsidR="00E92015" w:rsidRDefault="00E92015">
      <w:pPr>
        <w:jc w:val="center"/>
        <w:rPr>
          <w:rFonts w:cs="Arial"/>
          <w:sz w:val="44"/>
          <w:szCs w:val="44"/>
        </w:rPr>
      </w:pPr>
      <w:r>
        <w:rPr>
          <w:rFonts w:cs="Arial"/>
          <w:sz w:val="44"/>
          <w:szCs w:val="44"/>
        </w:rPr>
        <w:t>Miscellaneous amendments and corrections</w:t>
      </w:r>
    </w:p>
    <w:p w:rsidR="00E92015" w:rsidRDefault="00E92015">
      <w:pPr>
        <w:rPr>
          <w:rFonts w:cs="Arial"/>
          <w:sz w:val="44"/>
          <w:szCs w:val="44"/>
        </w:rPr>
      </w:pPr>
    </w:p>
    <w:p w:rsidR="00E92015" w:rsidRDefault="00E92015">
      <w:pPr>
        <w:rPr>
          <w:rFonts w:cs="Arial"/>
          <w:sz w:val="44"/>
          <w:szCs w:val="44"/>
        </w:rPr>
      </w:pPr>
    </w:p>
    <w:p w:rsidR="00E92015" w:rsidRDefault="00E92015">
      <w:pPr>
        <w:jc w:val="center"/>
        <w:rPr>
          <w:rFonts w:cs="Arial"/>
          <w:sz w:val="44"/>
          <w:szCs w:val="44"/>
        </w:rPr>
      </w:pPr>
      <w:bookmarkStart w:id="4" w:name="Month_Year"/>
      <w:r>
        <w:rPr>
          <w:rFonts w:cs="Arial"/>
          <w:sz w:val="44"/>
          <w:szCs w:val="44"/>
        </w:rPr>
        <w:t>October 2010</w:t>
      </w:r>
    </w:p>
    <w:bookmarkEnd w:id="4"/>
    <w:p w:rsidR="00E92015" w:rsidRDefault="00E92015">
      <w:pPr>
        <w:jc w:val="center"/>
        <w:rPr>
          <w:rFonts w:cs="Arial"/>
          <w:b/>
          <w:sz w:val="32"/>
          <w:szCs w:val="32"/>
        </w:rPr>
      </w:pPr>
      <w:r>
        <w:rPr>
          <w:rFonts w:cs="Arial"/>
          <w:b/>
          <w:sz w:val="32"/>
          <w:szCs w:val="32"/>
        </w:rPr>
        <w:br w:type="page"/>
      </w:r>
      <w:r>
        <w:rPr>
          <w:rFonts w:cs="Arial"/>
          <w:b/>
          <w:sz w:val="32"/>
          <w:szCs w:val="32"/>
        </w:rPr>
        <w:lastRenderedPageBreak/>
        <w:t>Table of Contents</w:t>
      </w:r>
    </w:p>
    <w:p w:rsidR="00E92015" w:rsidRDefault="00E92015">
      <w:pPr>
        <w:rPr>
          <w:rFonts w:cs="Arial"/>
          <w:color w:val="0066CC"/>
        </w:rPr>
      </w:pPr>
    </w:p>
    <w:p w:rsidR="00E92015" w:rsidRDefault="00E92015">
      <w:pPr>
        <w:pStyle w:val="TOC1"/>
        <w:tabs>
          <w:tab w:val="left" w:pos="480"/>
          <w:tab w:val="right" w:leader="dot" w:pos="9061"/>
        </w:tabs>
        <w:rPr>
          <w:rFonts w:ascii="Arial" w:hAnsi="Arial" w:cs="Arial"/>
          <w:caps w:val="0"/>
          <w:szCs w:val="24"/>
          <w:lang w:eastAsia="en-AU"/>
        </w:rPr>
      </w:pPr>
      <w:r>
        <w:rPr>
          <w:rFonts w:ascii="Arial" w:hAnsi="Arial" w:cs="Arial"/>
          <w:color w:val="0066CC"/>
        </w:rPr>
        <w:fldChar w:fldCharType="begin"/>
      </w:r>
      <w:r>
        <w:rPr>
          <w:rFonts w:ascii="Arial" w:hAnsi="Arial" w:cs="Arial"/>
          <w:color w:val="0066CC"/>
        </w:rPr>
        <w:instrText xml:space="preserve"> TOC \o "1-3" \h \z \u </w:instrText>
      </w:r>
      <w:r>
        <w:rPr>
          <w:rFonts w:ascii="Arial" w:hAnsi="Arial" w:cs="Arial"/>
          <w:color w:val="0066CC"/>
        </w:rPr>
        <w:fldChar w:fldCharType="separate"/>
      </w:r>
      <w:hyperlink w:anchor="_Toc266365532" w:history="1">
        <w:r>
          <w:rPr>
            <w:rStyle w:val="Hyperlink"/>
            <w:rFonts w:ascii="Arial" w:hAnsi="Arial" w:cs="Arial"/>
          </w:rPr>
          <w:t>1</w:t>
        </w:r>
        <w:r>
          <w:rPr>
            <w:rFonts w:ascii="Arial" w:hAnsi="Arial" w:cs="Arial"/>
            <w:caps w:val="0"/>
            <w:szCs w:val="24"/>
            <w:lang w:eastAsia="en-AU"/>
          </w:rPr>
          <w:tab/>
        </w:r>
        <w:r>
          <w:rPr>
            <w:rStyle w:val="Hyperlink"/>
            <w:rFonts w:ascii="Arial" w:hAnsi="Arial" w:cs="Arial"/>
          </w:rPr>
          <w:t>INTRODUCTION</w:t>
        </w:r>
        <w:r>
          <w:rPr>
            <w:rFonts w:ascii="Arial" w:hAnsi="Arial" w:cs="Arial"/>
            <w:webHidden/>
          </w:rPr>
          <w:tab/>
        </w:r>
        <w:r>
          <w:rPr>
            <w:rFonts w:ascii="Arial" w:hAnsi="Arial" w:cs="Arial"/>
            <w:webHidden/>
          </w:rPr>
          <w:fldChar w:fldCharType="begin"/>
        </w:r>
        <w:r>
          <w:rPr>
            <w:rFonts w:ascii="Arial" w:hAnsi="Arial" w:cs="Arial"/>
            <w:webHidden/>
          </w:rPr>
          <w:instrText xml:space="preserve"> PAGEREF _Toc266365532 \h </w:instrText>
        </w:r>
        <w:r>
          <w:rPr>
            <w:rFonts w:ascii="Arial" w:hAnsi="Arial" w:cs="Arial"/>
            <w:webHidden/>
          </w:rPr>
        </w:r>
        <w:r>
          <w:rPr>
            <w:rFonts w:ascii="Arial" w:hAnsi="Arial" w:cs="Arial"/>
            <w:webHidden/>
          </w:rPr>
          <w:fldChar w:fldCharType="separate"/>
        </w:r>
        <w:r>
          <w:rPr>
            <w:rFonts w:ascii="Arial" w:hAnsi="Arial" w:cs="Arial"/>
            <w:webHidden/>
          </w:rPr>
          <w:t>2</w:t>
        </w:r>
        <w:r>
          <w:rPr>
            <w:rFonts w:ascii="Arial" w:hAnsi="Arial" w:cs="Arial"/>
            <w:webHidden/>
          </w:rPr>
          <w:fldChar w:fldCharType="end"/>
        </w:r>
      </w:hyperlink>
    </w:p>
    <w:p w:rsidR="00E92015" w:rsidRDefault="005B0A61">
      <w:pPr>
        <w:pStyle w:val="TOC2"/>
        <w:tabs>
          <w:tab w:val="right" w:leader="dot" w:pos="9061"/>
        </w:tabs>
        <w:rPr>
          <w:rFonts w:ascii="Arial" w:hAnsi="Arial" w:cs="Arial"/>
          <w:noProof/>
          <w:szCs w:val="24"/>
          <w:lang w:eastAsia="en-AU"/>
        </w:rPr>
      </w:pPr>
      <w:hyperlink w:anchor="_Toc266365533" w:history="1">
        <w:r w:rsidR="00E92015">
          <w:rPr>
            <w:rStyle w:val="Hyperlink"/>
            <w:rFonts w:ascii="Arial" w:hAnsi="Arial" w:cs="Arial"/>
            <w:noProof/>
          </w:rPr>
          <w:t>Outline of the process</w:t>
        </w:r>
        <w:r w:rsidR="00E92015">
          <w:rPr>
            <w:rFonts w:ascii="Arial" w:hAnsi="Arial" w:cs="Arial"/>
            <w:noProof/>
            <w:webHidden/>
          </w:rPr>
          <w:tab/>
        </w:r>
        <w:r w:rsidR="00E92015">
          <w:rPr>
            <w:rFonts w:ascii="Arial" w:hAnsi="Arial" w:cs="Arial"/>
            <w:noProof/>
            <w:webHidden/>
          </w:rPr>
          <w:fldChar w:fldCharType="begin"/>
        </w:r>
        <w:r w:rsidR="00E92015">
          <w:rPr>
            <w:rFonts w:ascii="Arial" w:hAnsi="Arial" w:cs="Arial"/>
            <w:noProof/>
            <w:webHidden/>
          </w:rPr>
          <w:instrText xml:space="preserve"> PAGEREF _Toc266365533 \h </w:instrText>
        </w:r>
        <w:r w:rsidR="00E92015">
          <w:rPr>
            <w:rFonts w:ascii="Arial" w:hAnsi="Arial" w:cs="Arial"/>
            <w:noProof/>
            <w:webHidden/>
          </w:rPr>
        </w:r>
        <w:r w:rsidR="00E92015">
          <w:rPr>
            <w:rFonts w:ascii="Arial" w:hAnsi="Arial" w:cs="Arial"/>
            <w:noProof/>
            <w:webHidden/>
          </w:rPr>
          <w:fldChar w:fldCharType="separate"/>
        </w:r>
        <w:r w:rsidR="00E92015">
          <w:rPr>
            <w:rFonts w:ascii="Arial" w:hAnsi="Arial" w:cs="Arial"/>
            <w:noProof/>
            <w:webHidden/>
          </w:rPr>
          <w:t>2</w:t>
        </w:r>
        <w:r w:rsidR="00E92015">
          <w:rPr>
            <w:rFonts w:ascii="Arial" w:hAnsi="Arial" w:cs="Arial"/>
            <w:noProof/>
            <w:webHidden/>
          </w:rPr>
          <w:fldChar w:fldCharType="end"/>
        </w:r>
      </w:hyperlink>
    </w:p>
    <w:p w:rsidR="00E92015" w:rsidRDefault="005B0A61">
      <w:pPr>
        <w:pStyle w:val="TOC1"/>
        <w:tabs>
          <w:tab w:val="left" w:pos="480"/>
          <w:tab w:val="right" w:leader="dot" w:pos="9061"/>
        </w:tabs>
        <w:rPr>
          <w:rFonts w:ascii="Arial" w:hAnsi="Arial" w:cs="Arial"/>
          <w:caps w:val="0"/>
          <w:szCs w:val="24"/>
          <w:lang w:eastAsia="en-AU"/>
        </w:rPr>
      </w:pPr>
      <w:hyperlink w:anchor="_Toc266365534" w:history="1">
        <w:r w:rsidR="00E92015">
          <w:rPr>
            <w:rStyle w:val="Hyperlink"/>
            <w:rFonts w:ascii="Arial" w:hAnsi="Arial" w:cs="Arial"/>
          </w:rPr>
          <w:t>2</w:t>
        </w:r>
        <w:r w:rsidR="00E92015">
          <w:rPr>
            <w:rFonts w:ascii="Arial" w:hAnsi="Arial" w:cs="Arial"/>
            <w:caps w:val="0"/>
            <w:szCs w:val="24"/>
            <w:lang w:eastAsia="en-AU"/>
          </w:rPr>
          <w:tab/>
        </w:r>
        <w:r w:rsidR="00E92015">
          <w:rPr>
            <w:rStyle w:val="Hyperlink"/>
            <w:rFonts w:ascii="Arial" w:hAnsi="Arial" w:cs="Arial"/>
          </w:rPr>
          <w:t>EXPLANATORY STATEMENT</w:t>
        </w:r>
        <w:r w:rsidR="00E92015">
          <w:rPr>
            <w:rFonts w:ascii="Arial" w:hAnsi="Arial" w:cs="Arial"/>
            <w:webHidden/>
          </w:rPr>
          <w:tab/>
        </w:r>
        <w:r w:rsidR="00E92015">
          <w:rPr>
            <w:rFonts w:ascii="Arial" w:hAnsi="Arial" w:cs="Arial"/>
            <w:webHidden/>
          </w:rPr>
          <w:fldChar w:fldCharType="begin"/>
        </w:r>
        <w:r w:rsidR="00E92015">
          <w:rPr>
            <w:rFonts w:ascii="Arial" w:hAnsi="Arial" w:cs="Arial"/>
            <w:webHidden/>
          </w:rPr>
          <w:instrText xml:space="preserve"> PAGEREF _Toc266365534 \h </w:instrText>
        </w:r>
        <w:r w:rsidR="00E92015">
          <w:rPr>
            <w:rFonts w:ascii="Arial" w:hAnsi="Arial" w:cs="Arial"/>
            <w:webHidden/>
          </w:rPr>
        </w:r>
        <w:r w:rsidR="00E92015">
          <w:rPr>
            <w:rFonts w:ascii="Arial" w:hAnsi="Arial" w:cs="Arial"/>
            <w:webHidden/>
          </w:rPr>
          <w:fldChar w:fldCharType="separate"/>
        </w:r>
        <w:r w:rsidR="00E92015">
          <w:rPr>
            <w:rFonts w:ascii="Arial" w:hAnsi="Arial" w:cs="Arial"/>
            <w:webHidden/>
          </w:rPr>
          <w:t>2</w:t>
        </w:r>
        <w:r w:rsidR="00E92015">
          <w:rPr>
            <w:rFonts w:ascii="Arial" w:hAnsi="Arial" w:cs="Arial"/>
            <w:webHidden/>
          </w:rPr>
          <w:fldChar w:fldCharType="end"/>
        </w:r>
      </w:hyperlink>
    </w:p>
    <w:p w:rsidR="00E92015" w:rsidRDefault="005B0A61">
      <w:pPr>
        <w:pStyle w:val="TOC2"/>
        <w:tabs>
          <w:tab w:val="right" w:leader="dot" w:pos="9061"/>
        </w:tabs>
        <w:rPr>
          <w:rFonts w:ascii="Arial" w:hAnsi="Arial" w:cs="Arial"/>
          <w:noProof/>
          <w:szCs w:val="24"/>
          <w:lang w:eastAsia="en-AU"/>
        </w:rPr>
      </w:pPr>
      <w:hyperlink w:anchor="_Toc266365535" w:history="1">
        <w:r w:rsidR="00E92015">
          <w:rPr>
            <w:rStyle w:val="Hyperlink"/>
            <w:rFonts w:ascii="Arial" w:hAnsi="Arial" w:cs="Arial"/>
            <w:noProof/>
          </w:rPr>
          <w:t>Proposed Changes and Reasons</w:t>
        </w:r>
        <w:r w:rsidR="00E92015">
          <w:rPr>
            <w:rFonts w:ascii="Arial" w:hAnsi="Arial" w:cs="Arial"/>
            <w:noProof/>
            <w:webHidden/>
          </w:rPr>
          <w:tab/>
        </w:r>
        <w:r w:rsidR="00E92015">
          <w:rPr>
            <w:rFonts w:ascii="Arial" w:hAnsi="Arial" w:cs="Arial"/>
            <w:noProof/>
            <w:webHidden/>
          </w:rPr>
          <w:fldChar w:fldCharType="begin"/>
        </w:r>
        <w:r w:rsidR="00E92015">
          <w:rPr>
            <w:rFonts w:ascii="Arial" w:hAnsi="Arial" w:cs="Arial"/>
            <w:noProof/>
            <w:webHidden/>
          </w:rPr>
          <w:instrText xml:space="preserve"> PAGEREF _Toc266365535 \h </w:instrText>
        </w:r>
        <w:r w:rsidR="00E92015">
          <w:rPr>
            <w:rFonts w:ascii="Arial" w:hAnsi="Arial" w:cs="Arial"/>
            <w:noProof/>
            <w:webHidden/>
          </w:rPr>
        </w:r>
        <w:r w:rsidR="00E92015">
          <w:rPr>
            <w:rFonts w:ascii="Arial" w:hAnsi="Arial" w:cs="Arial"/>
            <w:noProof/>
            <w:webHidden/>
          </w:rPr>
          <w:fldChar w:fldCharType="separate"/>
        </w:r>
        <w:r w:rsidR="00E92015">
          <w:rPr>
            <w:rFonts w:ascii="Arial" w:hAnsi="Arial" w:cs="Arial"/>
            <w:noProof/>
            <w:webHidden/>
          </w:rPr>
          <w:t>2</w:t>
        </w:r>
        <w:r w:rsidR="00E92015">
          <w:rPr>
            <w:rFonts w:ascii="Arial" w:hAnsi="Arial" w:cs="Arial"/>
            <w:noProof/>
            <w:webHidden/>
          </w:rPr>
          <w:fldChar w:fldCharType="end"/>
        </w:r>
      </w:hyperlink>
    </w:p>
    <w:p w:rsidR="00E92015" w:rsidRDefault="005B0A61">
      <w:pPr>
        <w:pStyle w:val="TOC1"/>
        <w:tabs>
          <w:tab w:val="left" w:pos="480"/>
          <w:tab w:val="right" w:leader="dot" w:pos="9061"/>
        </w:tabs>
        <w:rPr>
          <w:rFonts w:ascii="Arial" w:hAnsi="Arial" w:cs="Arial"/>
          <w:caps w:val="0"/>
          <w:szCs w:val="24"/>
          <w:lang w:eastAsia="en-AU"/>
        </w:rPr>
      </w:pPr>
      <w:hyperlink w:anchor="_Toc266365536" w:history="1">
        <w:r w:rsidR="00E92015">
          <w:rPr>
            <w:rStyle w:val="Hyperlink"/>
            <w:rFonts w:ascii="Arial" w:hAnsi="Arial" w:cs="Arial"/>
          </w:rPr>
          <w:t>3.</w:t>
        </w:r>
        <w:r w:rsidR="00E92015">
          <w:rPr>
            <w:rFonts w:ascii="Arial" w:hAnsi="Arial" w:cs="Arial"/>
            <w:caps w:val="0"/>
            <w:szCs w:val="24"/>
            <w:lang w:eastAsia="en-AU"/>
          </w:rPr>
          <w:tab/>
        </w:r>
        <w:r w:rsidR="00E92015">
          <w:rPr>
            <w:rStyle w:val="Hyperlink"/>
            <w:rFonts w:ascii="Arial" w:hAnsi="Arial" w:cs="Arial"/>
          </w:rPr>
          <w:t>TECHNICAL AMENDMENT</w:t>
        </w:r>
        <w:r w:rsidR="00E92015">
          <w:rPr>
            <w:rFonts w:ascii="Arial" w:hAnsi="Arial" w:cs="Arial"/>
            <w:webHidden/>
          </w:rPr>
          <w:tab/>
        </w:r>
        <w:r w:rsidR="00E92015">
          <w:rPr>
            <w:rFonts w:ascii="Arial" w:hAnsi="Arial" w:cs="Arial"/>
            <w:webHidden/>
          </w:rPr>
          <w:fldChar w:fldCharType="begin"/>
        </w:r>
        <w:r w:rsidR="00E92015">
          <w:rPr>
            <w:rFonts w:ascii="Arial" w:hAnsi="Arial" w:cs="Arial"/>
            <w:webHidden/>
          </w:rPr>
          <w:instrText xml:space="preserve"> PAGEREF _Toc266365536 \h </w:instrText>
        </w:r>
        <w:r w:rsidR="00E92015">
          <w:rPr>
            <w:rFonts w:ascii="Arial" w:hAnsi="Arial" w:cs="Arial"/>
            <w:webHidden/>
          </w:rPr>
        </w:r>
        <w:r w:rsidR="00E92015">
          <w:rPr>
            <w:rFonts w:ascii="Arial" w:hAnsi="Arial" w:cs="Arial"/>
            <w:webHidden/>
          </w:rPr>
          <w:fldChar w:fldCharType="separate"/>
        </w:r>
        <w:r w:rsidR="00E92015">
          <w:rPr>
            <w:rFonts w:ascii="Arial" w:hAnsi="Arial" w:cs="Arial"/>
            <w:webHidden/>
          </w:rPr>
          <w:t>5</w:t>
        </w:r>
        <w:r w:rsidR="00E92015">
          <w:rPr>
            <w:rFonts w:ascii="Arial" w:hAnsi="Arial" w:cs="Arial"/>
            <w:webHidden/>
          </w:rPr>
          <w:fldChar w:fldCharType="end"/>
        </w:r>
      </w:hyperlink>
    </w:p>
    <w:p w:rsidR="00E92015" w:rsidRDefault="00E92015">
      <w:pPr>
        <w:rPr>
          <w:rFonts w:cs="Arial"/>
          <w:color w:val="0066CC"/>
        </w:rPr>
      </w:pPr>
      <w:r>
        <w:rPr>
          <w:rFonts w:cs="Arial"/>
          <w:color w:val="0066CC"/>
        </w:rPr>
        <w:fldChar w:fldCharType="end"/>
      </w:r>
      <w:bookmarkStart w:id="5" w:name="_Toc199324057"/>
      <w:r>
        <w:rPr>
          <w:rFonts w:cs="Arial"/>
          <w:color w:val="0066CC"/>
        </w:rPr>
        <w:t xml:space="preserve"> </w:t>
      </w:r>
    </w:p>
    <w:p w:rsidR="00E92015" w:rsidRDefault="00E92015">
      <w:pPr>
        <w:rPr>
          <w:rFonts w:cs="Arial"/>
          <w:color w:val="0066CC"/>
        </w:rPr>
        <w:sectPr w:rsidR="00E92015" w:rsidSect="001368E0">
          <w:footerReference w:type="first" r:id="rId14"/>
          <w:pgSz w:w="11907" w:h="16840" w:code="9"/>
          <w:pgMar w:top="1418" w:right="1418" w:bottom="1418" w:left="1418" w:header="720" w:footer="624" w:gutter="0"/>
          <w:pgNumType w:start="0"/>
          <w:cols w:space="720"/>
          <w:titlePg/>
        </w:sectPr>
      </w:pPr>
    </w:p>
    <w:p w:rsidR="00E92015" w:rsidRDefault="00E92015">
      <w:pPr>
        <w:pStyle w:val="Heading1"/>
        <w:ind w:firstLine="0"/>
        <w:rPr>
          <w:rFonts w:cs="Arial"/>
          <w:sz w:val="36"/>
          <w:szCs w:val="36"/>
        </w:rPr>
      </w:pPr>
      <w:bookmarkStart w:id="6" w:name="_Toc266365532"/>
      <w:r>
        <w:rPr>
          <w:rFonts w:cs="Arial"/>
          <w:sz w:val="36"/>
          <w:szCs w:val="36"/>
        </w:rPr>
        <w:t>1</w:t>
      </w:r>
      <w:r>
        <w:rPr>
          <w:rFonts w:cs="Arial"/>
          <w:sz w:val="36"/>
          <w:szCs w:val="36"/>
        </w:rPr>
        <w:tab/>
        <w:t>INTRODUCTION</w:t>
      </w:r>
      <w:bookmarkEnd w:id="6"/>
    </w:p>
    <w:p w:rsidR="00E92015" w:rsidRDefault="00E92015">
      <w:pPr>
        <w:pStyle w:val="Heading2"/>
        <w:rPr>
          <w:i w:val="0"/>
          <w:sz w:val="32"/>
          <w:szCs w:val="32"/>
        </w:rPr>
      </w:pPr>
      <w:bookmarkStart w:id="7" w:name="_Toc266365533"/>
      <w:r>
        <w:rPr>
          <w:i w:val="0"/>
          <w:sz w:val="32"/>
          <w:szCs w:val="32"/>
        </w:rPr>
        <w:t>Outline of the process</w:t>
      </w:r>
      <w:bookmarkEnd w:id="5"/>
      <w:bookmarkEnd w:id="7"/>
    </w:p>
    <w:p w:rsidR="00E92015" w:rsidRDefault="00E92015">
      <w:pPr>
        <w:rPr>
          <w:rFonts w:cs="Arial"/>
        </w:rPr>
      </w:pPr>
    </w:p>
    <w:p w:rsidR="00E92015" w:rsidRDefault="00E92015">
      <w:pPr>
        <w:rPr>
          <w:szCs w:val="24"/>
        </w:rPr>
      </w:pPr>
      <w:r>
        <w:rPr>
          <w:szCs w:val="24"/>
          <w:lang w:eastAsia="en-AU"/>
        </w:rPr>
        <w:t xml:space="preserve">The Commonwealth’s </w:t>
      </w:r>
      <w:smartTag w:uri="urn:schemas-microsoft-com:office:smarttags" w:element="State">
        <w:smartTag w:uri="urn:schemas-microsoft-com:office:smarttags" w:element="place">
          <w:smartTag w:uri="urn:schemas-microsoft-com:office:smarttags" w:element="PersonName">
            <w:r>
              <w:rPr>
                <w:i/>
                <w:iCs/>
                <w:szCs w:val="24"/>
                <w:lang w:eastAsia="en-AU"/>
              </w:rPr>
              <w:t>Australian Capital Territory</w:t>
            </w:r>
          </w:smartTag>
        </w:smartTag>
      </w:smartTag>
      <w:r>
        <w:rPr>
          <w:i/>
          <w:iCs/>
          <w:szCs w:val="24"/>
          <w:lang w:eastAsia="en-AU"/>
        </w:rPr>
        <w:t xml:space="preserve"> (Planning and Land Management) Act 1988 </w:t>
      </w:r>
      <w:r>
        <w:rPr>
          <w:szCs w:val="24"/>
          <w:lang w:eastAsia="en-AU"/>
        </w:rPr>
        <w:t xml:space="preserve">allows for the Legislative Assembly to make laws to establish a Territory Planning Authority and for that Authority to prepare and administer a Territory Plan.  The </w:t>
      </w:r>
      <w:r>
        <w:rPr>
          <w:i/>
          <w:iCs/>
          <w:szCs w:val="24"/>
          <w:lang w:eastAsia="en-AU"/>
        </w:rPr>
        <w:t xml:space="preserve">Planning and Development Act 2007 </w:t>
      </w:r>
      <w:r>
        <w:rPr>
          <w:iCs/>
          <w:szCs w:val="24"/>
          <w:lang w:eastAsia="en-AU"/>
        </w:rPr>
        <w:t>(the Act)</w:t>
      </w:r>
      <w:r>
        <w:rPr>
          <w:i/>
          <w:iCs/>
          <w:szCs w:val="24"/>
          <w:lang w:eastAsia="en-AU"/>
        </w:rPr>
        <w:t xml:space="preserve"> </w:t>
      </w:r>
      <w:r>
        <w:rPr>
          <w:szCs w:val="24"/>
          <w:lang w:eastAsia="en-AU"/>
        </w:rPr>
        <w:t xml:space="preserve">establishes the ACT Planning and Land Authority as the Authority which prepares and administers the Territory Plan, including continually reviewing and proposing amendments as necessary.  Part 5.4 section 87 of the Act allows for technical amendments to be made to the Territory Plan in a number of circumstances.  </w:t>
      </w:r>
    </w:p>
    <w:p w:rsidR="00E92015" w:rsidRDefault="00E92015">
      <w:pPr>
        <w:autoSpaceDE w:val="0"/>
        <w:autoSpaceDN w:val="0"/>
        <w:adjustRightInd w:val="0"/>
        <w:rPr>
          <w:szCs w:val="24"/>
          <w:lang w:eastAsia="en-AU"/>
        </w:rPr>
      </w:pPr>
    </w:p>
    <w:p w:rsidR="00E92015" w:rsidRDefault="00E92015">
      <w:pPr>
        <w:autoSpaceDE w:val="0"/>
        <w:autoSpaceDN w:val="0"/>
        <w:adjustRightInd w:val="0"/>
        <w:rPr>
          <w:szCs w:val="24"/>
          <w:lang w:eastAsia="en-AU"/>
        </w:rPr>
      </w:pPr>
      <w:r>
        <w:rPr>
          <w:szCs w:val="24"/>
          <w:lang w:eastAsia="en-AU"/>
        </w:rPr>
        <w:t>This technical amendment is subject to approval of the ACT Planning and Land Authority (the Authority) under sections 87(a) and 87(e) of the Act.</w:t>
      </w:r>
    </w:p>
    <w:p w:rsidR="00E92015" w:rsidRDefault="00E92015">
      <w:pPr>
        <w:autoSpaceDE w:val="0"/>
        <w:autoSpaceDN w:val="0"/>
        <w:adjustRightInd w:val="0"/>
        <w:rPr>
          <w:szCs w:val="24"/>
          <w:lang w:eastAsia="en-AU"/>
        </w:rPr>
      </w:pPr>
    </w:p>
    <w:p w:rsidR="00E92015" w:rsidRDefault="00E92015">
      <w:pPr>
        <w:pStyle w:val="TAIntroductiontext"/>
      </w:pPr>
      <w:r>
        <w:t>A variation under section 87(a) is a technical amendment that:</w:t>
      </w:r>
    </w:p>
    <w:p w:rsidR="00E92015" w:rsidRDefault="00E92015">
      <w:pPr>
        <w:pStyle w:val="BodyText"/>
        <w:tabs>
          <w:tab w:val="left" w:pos="540"/>
          <w:tab w:val="left" w:pos="1080"/>
        </w:tabs>
        <w:rPr>
          <w:b w:val="0"/>
          <w:sz w:val="24"/>
          <w:szCs w:val="24"/>
        </w:rPr>
      </w:pPr>
      <w:r>
        <w:rPr>
          <w:b w:val="0"/>
          <w:sz w:val="24"/>
          <w:szCs w:val="24"/>
        </w:rPr>
        <w:tab/>
        <w:t>(i)</w:t>
      </w:r>
      <w:r>
        <w:rPr>
          <w:b w:val="0"/>
          <w:sz w:val="24"/>
          <w:szCs w:val="24"/>
        </w:rPr>
        <w:tab/>
        <w:t>would not adversely affect anyone’s rights if approved; and</w:t>
      </w:r>
    </w:p>
    <w:p w:rsidR="00E92015" w:rsidRDefault="00E92015">
      <w:pPr>
        <w:pStyle w:val="BodyText"/>
        <w:tabs>
          <w:tab w:val="left" w:pos="540"/>
          <w:tab w:val="left" w:pos="1080"/>
        </w:tabs>
        <w:rPr>
          <w:b w:val="0"/>
          <w:sz w:val="24"/>
          <w:szCs w:val="24"/>
        </w:rPr>
      </w:pPr>
      <w:r>
        <w:rPr>
          <w:b w:val="0"/>
          <w:sz w:val="24"/>
          <w:szCs w:val="24"/>
        </w:rPr>
        <w:tab/>
        <w:t>(ii)</w:t>
      </w:r>
      <w:r>
        <w:rPr>
          <w:b w:val="0"/>
          <w:sz w:val="24"/>
          <w:szCs w:val="24"/>
        </w:rPr>
        <w:tab/>
        <w:t xml:space="preserve">has as its only object the correction of a formal error in the plan. </w:t>
      </w:r>
    </w:p>
    <w:p w:rsidR="00E92015" w:rsidRDefault="00E92015">
      <w:pPr>
        <w:autoSpaceDE w:val="0"/>
        <w:autoSpaceDN w:val="0"/>
        <w:adjustRightInd w:val="0"/>
        <w:rPr>
          <w:szCs w:val="24"/>
          <w:lang w:eastAsia="en-AU"/>
        </w:rPr>
      </w:pPr>
    </w:p>
    <w:p w:rsidR="00E92015" w:rsidRDefault="00E92015">
      <w:pPr>
        <w:rPr>
          <w:rFonts w:cs="Arial"/>
          <w:highlight w:val="yellow"/>
          <w:lang w:eastAsia="en-AU"/>
        </w:rPr>
      </w:pPr>
    </w:p>
    <w:p w:rsidR="00E92015" w:rsidRDefault="00E92015">
      <w:pPr>
        <w:pStyle w:val="Heading1"/>
        <w:ind w:firstLine="0"/>
        <w:rPr>
          <w:rFonts w:cs="Arial"/>
          <w:sz w:val="36"/>
          <w:szCs w:val="36"/>
        </w:rPr>
      </w:pPr>
      <w:bookmarkStart w:id="8" w:name="_Toc266365534"/>
      <w:r>
        <w:rPr>
          <w:rFonts w:cs="Arial"/>
          <w:sz w:val="36"/>
          <w:szCs w:val="36"/>
        </w:rPr>
        <w:t>2</w:t>
      </w:r>
      <w:r>
        <w:rPr>
          <w:rFonts w:cs="Arial"/>
          <w:sz w:val="36"/>
          <w:szCs w:val="36"/>
        </w:rPr>
        <w:tab/>
        <w:t>EXPLANATORY STATEMENT</w:t>
      </w:r>
      <w:bookmarkEnd w:id="8"/>
    </w:p>
    <w:p w:rsidR="00E92015" w:rsidRDefault="00E92015">
      <w:pPr>
        <w:pStyle w:val="Heading2"/>
        <w:rPr>
          <w:i w:val="0"/>
          <w:sz w:val="32"/>
          <w:szCs w:val="32"/>
        </w:rPr>
      </w:pPr>
      <w:bookmarkStart w:id="9" w:name="_Toc266365535"/>
      <w:r>
        <w:rPr>
          <w:i w:val="0"/>
          <w:sz w:val="32"/>
          <w:szCs w:val="32"/>
        </w:rPr>
        <w:t>Proposed Changes and Reasons</w:t>
      </w:r>
      <w:bookmarkEnd w:id="9"/>
    </w:p>
    <w:p w:rsidR="00E92015" w:rsidRDefault="00E92015">
      <w:pPr>
        <w:rPr>
          <w:rFonts w:cs="Arial"/>
        </w:rPr>
      </w:pPr>
    </w:p>
    <w:p w:rsidR="00E92015" w:rsidRDefault="00E92015">
      <w:pPr>
        <w:numPr>
          <w:ilvl w:val="0"/>
          <w:numId w:val="17"/>
        </w:numPr>
        <w:rPr>
          <w:b/>
        </w:rPr>
      </w:pPr>
      <w:r>
        <w:rPr>
          <w:b/>
        </w:rPr>
        <w:t>Correction to defect in form of structure of precinct codes in contents page of Territory Plan (item 1)</w:t>
      </w:r>
    </w:p>
    <w:p w:rsidR="00E92015" w:rsidRDefault="00E92015"/>
    <w:p w:rsidR="00E92015" w:rsidRDefault="00E92015">
      <w:pPr>
        <w:ind w:left="540"/>
        <w:rPr>
          <w:rFonts w:cs="Arial"/>
          <w:b/>
          <w:color w:val="000000"/>
        </w:rPr>
      </w:pPr>
      <w:r>
        <w:t>There is currently a limitation in the structure of the Territory Plan which does not make provision for the introduction of suburb specific precinct codes.  These suburb specific precinct codes are being prepared which contain the ongoing provisions resulting from approved estate development plans.  It is proposed to amend the current structure of section 10 Precinct Codes in the Territory Plan by reordering and renumbering into two sub-sections – one for precinct codes by suburbs and one for all other precinct codes.  This outcome will also allow for additional categories of precinct codes to be added to the structure at a later date, if required.</w:t>
      </w:r>
    </w:p>
    <w:p w:rsidR="00E92015" w:rsidRDefault="00E92015">
      <w:pPr>
        <w:rPr>
          <w:rFonts w:cs="Arial"/>
          <w:b/>
          <w:color w:val="000000"/>
        </w:rPr>
      </w:pPr>
    </w:p>
    <w:p w:rsidR="00E92015" w:rsidRDefault="00E92015">
      <w:pPr>
        <w:numPr>
          <w:ilvl w:val="0"/>
          <w:numId w:val="17"/>
        </w:numPr>
        <w:rPr>
          <w:rFonts w:cs="Arial"/>
          <w:b/>
          <w:color w:val="000000"/>
        </w:rPr>
      </w:pPr>
      <w:r>
        <w:rPr>
          <w:rFonts w:cs="Arial"/>
          <w:b/>
          <w:color w:val="000000"/>
        </w:rPr>
        <w:t>Correction to spelling in part 2.1 Statement of Strategic Directions (item 2)</w:t>
      </w:r>
    </w:p>
    <w:p w:rsidR="00E92015" w:rsidRDefault="00E92015">
      <w:pPr>
        <w:ind w:left="540" w:hanging="540"/>
        <w:rPr>
          <w:rFonts w:cs="Arial"/>
          <w:color w:val="000000"/>
        </w:rPr>
      </w:pPr>
    </w:p>
    <w:p w:rsidR="00E92015" w:rsidRDefault="00E92015">
      <w:pPr>
        <w:ind w:left="540"/>
        <w:rPr>
          <w:rFonts w:cs="Arial"/>
          <w:color w:val="000000"/>
        </w:rPr>
      </w:pPr>
      <w:r>
        <w:rPr>
          <w:rFonts w:cs="Arial"/>
          <w:color w:val="000000"/>
        </w:rPr>
        <w:t xml:space="preserve">The word ‘net’ is spelt incorrectly in paragraph 1.8 of the section on Principles for Sustainable Development. </w:t>
      </w:r>
    </w:p>
    <w:p w:rsidR="00E92015" w:rsidRDefault="00E92015">
      <w:pPr>
        <w:ind w:left="540" w:hanging="540"/>
        <w:rPr>
          <w:rFonts w:cs="Arial"/>
          <w:color w:val="000000"/>
        </w:rPr>
      </w:pPr>
    </w:p>
    <w:p w:rsidR="00E92015" w:rsidRDefault="00E92015" w:rsidP="001368E0">
      <w:pPr>
        <w:keepNext/>
        <w:numPr>
          <w:ilvl w:val="0"/>
          <w:numId w:val="17"/>
        </w:numPr>
        <w:rPr>
          <w:rFonts w:cs="Arial"/>
          <w:b/>
          <w:color w:val="000000"/>
        </w:rPr>
      </w:pPr>
      <w:r>
        <w:rPr>
          <w:rFonts w:cs="Arial"/>
          <w:b/>
          <w:color w:val="000000"/>
        </w:rPr>
        <w:t>Correction to alphabetical order in commercial CZ4 local centres zone development table (item 7b)</w:t>
      </w:r>
    </w:p>
    <w:p w:rsidR="00E92015" w:rsidRDefault="00E92015">
      <w:pPr>
        <w:rPr>
          <w:rFonts w:cs="Arial"/>
          <w:color w:val="000000"/>
        </w:rPr>
      </w:pPr>
    </w:p>
    <w:p w:rsidR="00E92015" w:rsidRDefault="00E92015">
      <w:pPr>
        <w:ind w:left="540"/>
        <w:rPr>
          <w:rFonts w:cs="Arial"/>
          <w:color w:val="000000"/>
        </w:rPr>
      </w:pPr>
      <w:r>
        <w:rPr>
          <w:rFonts w:cs="Arial"/>
          <w:color w:val="000000"/>
        </w:rPr>
        <w:t xml:space="preserve">The uses of ‘restaurant’ and ‘recyclable materials collection’ are in the incorrect alphabetical order and will be changed so that recyclable materials collection is placed above restaurant in the merit assessment development table. </w:t>
      </w:r>
    </w:p>
    <w:p w:rsidR="00E92015" w:rsidRDefault="00E92015">
      <w:pPr>
        <w:rPr>
          <w:rFonts w:cs="Arial"/>
        </w:rPr>
      </w:pPr>
    </w:p>
    <w:p w:rsidR="00E92015" w:rsidRDefault="00E92015">
      <w:pPr>
        <w:numPr>
          <w:ilvl w:val="0"/>
          <w:numId w:val="17"/>
        </w:numPr>
        <w:rPr>
          <w:rFonts w:cs="Arial"/>
          <w:b/>
        </w:rPr>
      </w:pPr>
      <w:r>
        <w:rPr>
          <w:rFonts w:cs="Arial"/>
          <w:b/>
          <w:color w:val="000000"/>
        </w:rPr>
        <w:t>Amendments</w:t>
      </w:r>
      <w:r>
        <w:rPr>
          <w:rFonts w:cs="Arial"/>
          <w:b/>
        </w:rPr>
        <w:t xml:space="preserve"> to inconsistent use of ‘NON RETAIL COMMERCIAL USE’ in commercial development tables and codes</w:t>
      </w:r>
    </w:p>
    <w:p w:rsidR="00E92015" w:rsidRDefault="00E92015">
      <w:pPr>
        <w:ind w:firstLine="540"/>
        <w:rPr>
          <w:rFonts w:cs="Arial"/>
          <w:b/>
        </w:rPr>
      </w:pPr>
      <w:r>
        <w:rPr>
          <w:rFonts w:cs="Arial"/>
          <w:b/>
        </w:rPr>
        <w:t>(items 4-6, 7a, 8, 9)</w:t>
      </w:r>
    </w:p>
    <w:p w:rsidR="00E92015" w:rsidRDefault="00E92015">
      <w:pPr>
        <w:rPr>
          <w:rFonts w:cs="Arial"/>
        </w:rPr>
      </w:pPr>
    </w:p>
    <w:p w:rsidR="00E92015" w:rsidRDefault="00E92015">
      <w:pPr>
        <w:ind w:left="540"/>
        <w:rPr>
          <w:rFonts w:cs="Arial"/>
        </w:rPr>
      </w:pPr>
      <w:r>
        <w:rPr>
          <w:rFonts w:cs="Arial"/>
        </w:rPr>
        <w:t>The commercial zone development tables refer to ‘NON RETAIL COMMERCIAL’ whereas the correct terminology is ‘NON RETAIL COMMERCIAL USE’.  These references in the development tables will be changed to ‘NON RETAIL COMMERCIAL USE’ in line with the correct terminology.  A correction is also made in the town centres development code to refer to the correct terminology.</w:t>
      </w:r>
    </w:p>
    <w:p w:rsidR="00E92015" w:rsidRDefault="00E92015">
      <w:pPr>
        <w:rPr>
          <w:rFonts w:cs="Arial"/>
        </w:rPr>
      </w:pPr>
    </w:p>
    <w:p w:rsidR="00E92015" w:rsidRDefault="00E92015">
      <w:pPr>
        <w:numPr>
          <w:ilvl w:val="0"/>
          <w:numId w:val="17"/>
        </w:numPr>
        <w:rPr>
          <w:rFonts w:cs="Arial"/>
          <w:b/>
        </w:rPr>
      </w:pPr>
      <w:r>
        <w:rPr>
          <w:rFonts w:cs="Arial"/>
          <w:b/>
          <w:color w:val="000000"/>
        </w:rPr>
        <w:t>Standardisation</w:t>
      </w:r>
      <w:r>
        <w:rPr>
          <w:rFonts w:cs="Arial"/>
          <w:b/>
        </w:rPr>
        <w:t xml:space="preserve"> of terminology ‘Exempt Development’ and ‘Prohibited Development’ in development tables for various zones (items 3, 11-21)</w:t>
      </w:r>
    </w:p>
    <w:p w:rsidR="00E92015" w:rsidRDefault="00E92015">
      <w:pPr>
        <w:pStyle w:val="Heading1"/>
        <w:ind w:firstLine="0"/>
        <w:rPr>
          <w:color w:val="0066CC"/>
        </w:rPr>
      </w:pPr>
    </w:p>
    <w:p w:rsidR="00E92015" w:rsidRDefault="00E92015">
      <w:pPr>
        <w:ind w:left="540"/>
      </w:pPr>
      <w:r>
        <w:t xml:space="preserve">There is inconsistent use of the terms ‘Exempt’ and ‘Exempt Development’ and ‘Prohibited’ and ‘Prohibited Development’ in some of the development tables in various zones.  This amendment aims to standardise the terminology in these development tables where the correct terms are to be changed to “Exempt Development’ and ‘Prohibited Development’. </w:t>
      </w:r>
    </w:p>
    <w:p w:rsidR="00E92015" w:rsidRDefault="00E92015">
      <w:pPr>
        <w:ind w:left="540"/>
      </w:pPr>
    </w:p>
    <w:p w:rsidR="00E92015" w:rsidRDefault="00E92015">
      <w:pPr>
        <w:numPr>
          <w:ilvl w:val="0"/>
          <w:numId w:val="17"/>
        </w:numPr>
        <w:rPr>
          <w:b/>
        </w:rPr>
      </w:pPr>
      <w:r>
        <w:rPr>
          <w:b/>
        </w:rPr>
        <w:t>Correction of commercial zone boundaries for Erindale group centre in group centres development code (item 10)</w:t>
      </w:r>
    </w:p>
    <w:p w:rsidR="00E92015" w:rsidRDefault="00E92015">
      <w:pPr>
        <w:ind w:left="540"/>
      </w:pPr>
    </w:p>
    <w:p w:rsidR="00E92015" w:rsidRDefault="00E92015">
      <w:pPr>
        <w:ind w:left="540"/>
      </w:pPr>
      <w:r>
        <w:t>There is an inconsistency between the commercial group centre zone boundaries depicted on the Territory Plan map and in the group centres development code for the Erindale group centre in the suburb of Wanniassa.  The Territory Plan map shows the correct zone boundaries consistent with the previous Territory Plan prior to 31 March 2008, whereas the boundaries shown in Figure A12 of the group centres development code are incorrect.  Figure A12 will be revised to show the correct boundaries as part of this technical amendment.</w:t>
      </w:r>
    </w:p>
    <w:p w:rsidR="00E92015" w:rsidRDefault="00E92015">
      <w:pPr>
        <w:ind w:left="540"/>
      </w:pPr>
    </w:p>
    <w:p w:rsidR="00E92015" w:rsidRDefault="00E92015">
      <w:pPr>
        <w:numPr>
          <w:ilvl w:val="0"/>
          <w:numId w:val="17"/>
        </w:numPr>
        <w:rPr>
          <w:b/>
        </w:rPr>
      </w:pPr>
      <w:r>
        <w:rPr>
          <w:b/>
        </w:rPr>
        <w:t xml:space="preserve">Correction to commercial CZ2 and CZ3 city centre zone and </w:t>
      </w:r>
      <w:smartTag w:uri="urn:schemas-microsoft-com:office:smarttags" w:element="Street">
        <w:smartTag w:uri="urn:schemas-microsoft-com:office:smarttags" w:element="address">
          <w:r>
            <w:rPr>
              <w:b/>
            </w:rPr>
            <w:t>CZ2 Northbourne Avenue</w:t>
          </w:r>
        </w:smartTag>
      </w:smartTag>
      <w:r>
        <w:rPr>
          <w:b/>
        </w:rPr>
        <w:t xml:space="preserve"> precinct parking rates for Office in the parking and vehicular access general code (items 22-23)</w:t>
      </w:r>
    </w:p>
    <w:p w:rsidR="00E92015" w:rsidRDefault="00E92015">
      <w:pPr>
        <w:ind w:left="540"/>
      </w:pPr>
    </w:p>
    <w:p w:rsidR="00E92015" w:rsidRDefault="00E92015">
      <w:pPr>
        <w:ind w:left="540"/>
      </w:pPr>
      <w:r>
        <w:t>Under the previous Territory Plan the city centre areas were divided into precincts.  The ACT Parking and Vehicular Access Guidelines (transcribed into the parking and vehicular access general code) prescribed parking rates for various commercial uses (including Office) depending on the location of the precinct.  When the Territory Plan was restructured in 2008, the precincts were translated into zones.  Precincts b2, b3 and b4 in the city centre were incorporated into the commercial CZ2 zone and precinct c was included in the CZ3 zone.  The parking rates for precincts b2, b4 and c were assigned a rate of 2 spaces per 100m</w:t>
      </w:r>
      <w:r>
        <w:rPr>
          <w:vertAlign w:val="superscript"/>
        </w:rPr>
        <w:t>2</w:t>
      </w:r>
      <w:r>
        <w:t xml:space="preserve"> gross floor area (GFA) and precinct b3 a rate of 2.5 spaces/100m</w:t>
      </w:r>
      <w:r>
        <w:rPr>
          <w:vertAlign w:val="superscript"/>
        </w:rPr>
        <w:t>2</w:t>
      </w:r>
      <w:r>
        <w:t xml:space="preserve"> GFA.  In July 2008, Technical Amendment 2008-05 changed the rate for the CZ2 zone from 2.0 spaces/100m</w:t>
      </w:r>
      <w:r>
        <w:rPr>
          <w:vertAlign w:val="superscript"/>
        </w:rPr>
        <w:t>2</w:t>
      </w:r>
      <w:r>
        <w:t xml:space="preserve"> GFA to 2.5 spaces/100m</w:t>
      </w:r>
      <w:r>
        <w:rPr>
          <w:vertAlign w:val="superscript"/>
        </w:rPr>
        <w:t>2</w:t>
      </w:r>
      <w:r>
        <w:t xml:space="preserve"> GFA.  However, the more appropriate rate for this zone is 2 spaces per 100m</w:t>
      </w:r>
      <w:r>
        <w:rPr>
          <w:vertAlign w:val="superscript"/>
        </w:rPr>
        <w:t xml:space="preserve">2 </w:t>
      </w:r>
      <w:r>
        <w:t>GFA as per the previous Guidelines.  The rate for the CZ3 zone (precinct c in the previous Territory Plan) will also be changed to 2 spaces per 100m</w:t>
      </w:r>
      <w:r>
        <w:rPr>
          <w:vertAlign w:val="superscript"/>
        </w:rPr>
        <w:t xml:space="preserve">2 </w:t>
      </w:r>
      <w:r>
        <w:t xml:space="preserve">GFA in accordance with the previous Guidelines.  This is the appropriate rate for this zone due to its proximity to </w:t>
      </w:r>
      <w:smartTag w:uri="urn:schemas-microsoft-com:office:smarttags" w:element="Street">
        <w:smartTag w:uri="urn:schemas-microsoft-com:office:smarttags" w:element="address">
          <w:r>
            <w:t>Northbourne Avenue</w:t>
          </w:r>
        </w:smartTag>
      </w:smartTag>
      <w:r>
        <w:t xml:space="preserve"> which is a major public transport route to and from the city. </w:t>
      </w:r>
    </w:p>
    <w:p w:rsidR="00E92015" w:rsidRDefault="00E92015">
      <w:pPr>
        <w:ind w:left="540"/>
      </w:pPr>
    </w:p>
    <w:p w:rsidR="00E92015" w:rsidRDefault="00E92015">
      <w:pPr>
        <w:ind w:left="540"/>
      </w:pPr>
      <w:r>
        <w:t xml:space="preserve">Part of the CZ2 zone in city centre adjacent </w:t>
      </w:r>
      <w:smartTag w:uri="urn:schemas-microsoft-com:office:smarttags" w:element="Street">
        <w:smartTag w:uri="urn:schemas-microsoft-com:office:smarttags" w:element="address">
          <w:r>
            <w:t>Northbourne Avenue</w:t>
          </w:r>
        </w:smartTag>
      </w:smartTag>
      <w:r>
        <w:t xml:space="preserve"> between </w:t>
      </w:r>
      <w:smartTag w:uri="urn:schemas-microsoft-com:office:smarttags" w:element="Street">
        <w:smartTag w:uri="urn:schemas-microsoft-com:office:smarttags" w:element="address">
          <w:r>
            <w:t>Moore Street</w:t>
          </w:r>
        </w:smartTag>
      </w:smartTag>
      <w:r>
        <w:t xml:space="preserve">, </w:t>
      </w:r>
      <w:smartTag w:uri="urn:schemas-microsoft-com:office:smarttags" w:element="Street">
        <w:smartTag w:uri="urn:schemas-microsoft-com:office:smarttags" w:element="address">
          <w:r>
            <w:t>Barry Drive</w:t>
          </w:r>
        </w:smartTag>
      </w:smartTag>
      <w:r>
        <w:t xml:space="preserve"> and </w:t>
      </w:r>
      <w:smartTag w:uri="urn:schemas-microsoft-com:office:smarttags" w:element="Street">
        <w:smartTag w:uri="urn:schemas-microsoft-com:office:smarttags" w:element="address">
          <w:r>
            <w:t>Masson Street</w:t>
          </w:r>
        </w:smartTag>
      </w:smartTag>
      <w:r>
        <w:t xml:space="preserve"> in Turner and between </w:t>
      </w:r>
      <w:smartTag w:uri="urn:schemas-microsoft-com:office:smarttags" w:element="Street">
        <w:smartTag w:uri="urn:schemas-microsoft-com:office:smarttags" w:element="address">
          <w:r>
            <w:t>Mort Street</w:t>
          </w:r>
        </w:smartTag>
      </w:smartTag>
      <w:r>
        <w:t xml:space="preserve">, </w:t>
      </w:r>
      <w:smartTag w:uri="urn:schemas-microsoft-com:office:smarttags" w:element="Street">
        <w:smartTag w:uri="urn:schemas-microsoft-com:office:smarttags" w:element="address">
          <w:r>
            <w:t>Cooyong Street</w:t>
          </w:r>
        </w:smartTag>
      </w:smartTag>
      <w:r>
        <w:t xml:space="preserve"> and </w:t>
      </w:r>
      <w:smartTag w:uri="urn:schemas-microsoft-com:office:smarttags" w:element="Street">
        <w:smartTag w:uri="urn:schemas-microsoft-com:office:smarttags" w:element="address">
          <w:r>
            <w:t>Girrahween Street</w:t>
          </w:r>
        </w:smartTag>
      </w:smartTag>
      <w:r>
        <w:t xml:space="preserve"> in Braddon is within the </w:t>
      </w:r>
      <w:smartTag w:uri="urn:schemas-microsoft-com:office:smarttags" w:element="Street">
        <w:smartTag w:uri="urn:schemas-microsoft-com:office:smarttags" w:element="address">
          <w:r>
            <w:t>Northbourne Avenue</w:t>
          </w:r>
        </w:smartTag>
      </w:smartTag>
      <w:r>
        <w:t xml:space="preserve"> precinct area.  The parking and vehicular access general code has a specific column in the schedule of p</w:t>
      </w:r>
      <w:r>
        <w:rPr>
          <w:rFonts w:cs="Arial"/>
        </w:rPr>
        <w:t xml:space="preserve">arking provision rates for commercial zones for CZ2 zones outside centres and </w:t>
      </w:r>
      <w:smartTag w:uri="urn:schemas-microsoft-com:office:smarttags" w:element="Street">
        <w:smartTag w:uri="urn:schemas-microsoft-com:office:smarttags" w:element="address">
          <w:r>
            <w:rPr>
              <w:rFonts w:cs="Arial"/>
            </w:rPr>
            <w:t>Northbourne Avenue</w:t>
          </w:r>
        </w:smartTag>
      </w:smartTag>
      <w:r>
        <w:rPr>
          <w:rFonts w:cs="Arial"/>
        </w:rPr>
        <w:t xml:space="preserve"> precinct.  The parking rates for office in this column specifies </w:t>
      </w:r>
      <w:r>
        <w:t>2.5 spaces/100m</w:t>
      </w:r>
      <w:r>
        <w:rPr>
          <w:vertAlign w:val="superscript"/>
        </w:rPr>
        <w:t>2</w:t>
      </w:r>
      <w:r>
        <w:t xml:space="preserve"> GFA however to be consistent with the previous Guidelines and in recognition of the close proximity of the CZ2 zone (within the Northbourne Avenue precinct area) to Northbourne Avenue as a major public transport route the rate will be changed to 2 spaces per 100m</w:t>
      </w:r>
      <w:r>
        <w:rPr>
          <w:vertAlign w:val="superscript"/>
        </w:rPr>
        <w:t xml:space="preserve">2 </w:t>
      </w:r>
      <w:r>
        <w:t xml:space="preserve">GFA.  This rate will only apply to development within the Northbourne Avenue CZ2 precinct. </w:t>
      </w:r>
    </w:p>
    <w:p w:rsidR="00E92015" w:rsidRDefault="00E92015">
      <w:pPr>
        <w:ind w:left="540"/>
      </w:pPr>
    </w:p>
    <w:p w:rsidR="00E92015" w:rsidRDefault="00E92015">
      <w:pPr>
        <w:numPr>
          <w:ilvl w:val="0"/>
          <w:numId w:val="17"/>
        </w:numPr>
      </w:pPr>
      <w:r>
        <w:rPr>
          <w:rFonts w:cs="Arial"/>
          <w:b/>
        </w:rPr>
        <w:t>Correction to surge protection line in the Coombs and Wright concept plan (item 24)</w:t>
      </w:r>
    </w:p>
    <w:p w:rsidR="00E92015" w:rsidRDefault="00E92015">
      <w:pPr>
        <w:rPr>
          <w:rFonts w:cs="Arial"/>
          <w:b/>
        </w:rPr>
      </w:pPr>
    </w:p>
    <w:p w:rsidR="00E92015" w:rsidRDefault="00E92015">
      <w:pPr>
        <w:ind w:left="540"/>
      </w:pPr>
      <w:r>
        <w:t>Revised flood level maps have been provided to ACTPLA showing a reduction in the extreme flood levels estimates compared to previous modelling which was previously revised in the concept plan via technical amendment 2010-06.</w:t>
      </w:r>
    </w:p>
    <w:p w:rsidR="00E92015" w:rsidRDefault="00E92015">
      <w:pPr>
        <w:ind w:left="540"/>
      </w:pPr>
    </w:p>
    <w:p w:rsidR="00E92015" w:rsidRDefault="00E92015">
      <w:pPr>
        <w:ind w:left="540"/>
      </w:pPr>
      <w:r>
        <w:t xml:space="preserve">The consequence of this change is that the area of Coombs, North Weston and small areas of Molonglo 2 impacted by the surge protection line constraints has been reduced. </w:t>
      </w:r>
    </w:p>
    <w:p w:rsidR="00E92015" w:rsidRDefault="00E92015">
      <w:pPr>
        <w:ind w:left="540"/>
      </w:pPr>
    </w:p>
    <w:p w:rsidR="00E92015" w:rsidRDefault="00E92015">
      <w:pPr>
        <w:ind w:left="540"/>
      </w:pPr>
      <w:r>
        <w:t>An amended diagram is provided to replace the existing Figure 4 in the concept plan.</w:t>
      </w:r>
    </w:p>
    <w:p w:rsidR="00E92015" w:rsidRDefault="00E92015">
      <w:pPr>
        <w:ind w:left="540"/>
      </w:pPr>
      <w:r>
        <w:br w:type="page"/>
      </w:r>
    </w:p>
    <w:p w:rsidR="00E92015" w:rsidRDefault="00E92015">
      <w:pPr>
        <w:pStyle w:val="Heading1"/>
        <w:ind w:firstLine="0"/>
      </w:pPr>
      <w:bookmarkStart w:id="10" w:name="_Toc266365536"/>
      <w:r>
        <w:rPr>
          <w:rFonts w:cs="Arial"/>
          <w:sz w:val="36"/>
          <w:szCs w:val="36"/>
        </w:rPr>
        <w:t>3.</w:t>
      </w:r>
      <w:r>
        <w:rPr>
          <w:rFonts w:cs="Arial"/>
          <w:sz w:val="36"/>
          <w:szCs w:val="36"/>
        </w:rPr>
        <w:tab/>
        <w:t>TECHNICAL AMENDMENT</w:t>
      </w:r>
      <w:bookmarkEnd w:id="10"/>
    </w:p>
    <w:p w:rsidR="00E92015" w:rsidRDefault="00E92015">
      <w:bookmarkStart w:id="11" w:name="_Toc220902129"/>
    </w:p>
    <w:p w:rsidR="00E92015" w:rsidRDefault="00E92015">
      <w:pPr>
        <w:pStyle w:val="StyleHeading4Arial16ptNotBold"/>
      </w:pPr>
      <w:r>
        <w:t xml:space="preserve">Variation to website layout </w:t>
      </w:r>
    </w:p>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Style w:val="BodyTextChar"/>
          <w:sz w:val="24"/>
          <w:szCs w:val="24"/>
        </w:rPr>
      </w:pPr>
      <w:r>
        <w:rPr>
          <w:rFonts w:cs="Arial"/>
          <w:b/>
        </w:rPr>
        <w:t>Territory</w:t>
      </w:r>
      <w:r>
        <w:rPr>
          <w:rStyle w:val="BodyTextChar"/>
          <w:b w:val="0"/>
          <w:sz w:val="24"/>
          <w:szCs w:val="24"/>
        </w:rPr>
        <w:t xml:space="preserve"> </w:t>
      </w:r>
      <w:r>
        <w:rPr>
          <w:rStyle w:val="BodyTextChar"/>
          <w:sz w:val="24"/>
          <w:szCs w:val="24"/>
        </w:rPr>
        <w:t>Plan page on ACT legislation register</w:t>
      </w:r>
      <w:r>
        <w:rPr>
          <w:rStyle w:val="BodyTextChar"/>
          <w:sz w:val="24"/>
        </w:rPr>
        <w:t xml:space="preserve"> section 10 Precinct Codes</w:t>
      </w:r>
    </w:p>
    <w:p w:rsidR="00E92015" w:rsidRDefault="00E92015">
      <w:pPr>
        <w:pStyle w:val="BodyText"/>
        <w:rPr>
          <w:b w:val="0"/>
          <w:sz w:val="24"/>
          <w:szCs w:val="24"/>
          <w:highlight w:val="yellow"/>
        </w:rPr>
      </w:pPr>
    </w:p>
    <w:p w:rsidR="00E92015" w:rsidRDefault="00E92015">
      <w:pPr>
        <w:ind w:left="360"/>
        <w:rPr>
          <w:rFonts w:cs="Arial"/>
          <w:i/>
          <w:szCs w:val="24"/>
        </w:rPr>
      </w:pPr>
      <w:r>
        <w:rPr>
          <w:rFonts w:cs="Arial"/>
          <w:i/>
          <w:szCs w:val="24"/>
        </w:rPr>
        <w:t>Substitute with</w:t>
      </w:r>
    </w:p>
    <w:p w:rsidR="00E92015" w:rsidRDefault="00E92015">
      <w:pPr>
        <w:ind w:left="360"/>
        <w:rPr>
          <w:rFonts w:cs="Arial"/>
          <w:szCs w:val="24"/>
        </w:rPr>
      </w:pPr>
    </w:p>
    <w:p w:rsidR="00E92015" w:rsidRDefault="00E92015">
      <w:pPr>
        <w:spacing w:after="60"/>
        <w:ind w:left="360"/>
        <w:rPr>
          <w:rFonts w:cs="Arial"/>
          <w:sz w:val="20"/>
        </w:rPr>
      </w:pPr>
      <w:r>
        <w:rPr>
          <w:rFonts w:cs="Arial"/>
          <w:sz w:val="20"/>
        </w:rPr>
        <w:t xml:space="preserve">10.1 </w:t>
      </w:r>
      <w:r>
        <w:rPr>
          <w:rFonts w:cs="Arial"/>
          <w:sz w:val="20"/>
        </w:rPr>
        <w:tab/>
        <w:t>Precinct Code by Suburb</w:t>
      </w:r>
    </w:p>
    <w:p w:rsidR="00E92015" w:rsidRDefault="00E92015">
      <w:pPr>
        <w:numPr>
          <w:ilvl w:val="0"/>
          <w:numId w:val="22"/>
        </w:numPr>
        <w:spacing w:after="60"/>
        <w:rPr>
          <w:rFonts w:cs="Arial"/>
          <w:sz w:val="20"/>
        </w:rPr>
      </w:pPr>
      <w:r>
        <w:rPr>
          <w:color w:val="0000FF"/>
          <w:sz w:val="20"/>
          <w:u w:val="single"/>
        </w:rPr>
        <w:t>Casey Precinct Code (pdf)</w:t>
      </w:r>
      <w:r>
        <w:rPr>
          <w:sz w:val="20"/>
        </w:rPr>
        <w:t xml:space="preserve"> (143KB)</w:t>
      </w:r>
    </w:p>
    <w:p w:rsidR="00E92015" w:rsidRDefault="00E92015">
      <w:pPr>
        <w:spacing w:after="60"/>
        <w:ind w:left="1440"/>
        <w:rPr>
          <w:rFonts w:cs="Arial"/>
          <w:sz w:val="20"/>
        </w:rPr>
      </w:pPr>
    </w:p>
    <w:p w:rsidR="00E92015" w:rsidRDefault="00E92015">
      <w:pPr>
        <w:numPr>
          <w:ilvl w:val="1"/>
          <w:numId w:val="23"/>
        </w:numPr>
        <w:spacing w:after="60"/>
        <w:rPr>
          <w:rFonts w:cs="Arial"/>
          <w:sz w:val="20"/>
        </w:rPr>
      </w:pPr>
      <w:r>
        <w:rPr>
          <w:rFonts w:cs="Arial"/>
          <w:sz w:val="20"/>
        </w:rPr>
        <w:t>Other Precinct Codes</w:t>
      </w:r>
    </w:p>
    <w:p w:rsidR="00E92015" w:rsidRDefault="00E92015">
      <w:pPr>
        <w:numPr>
          <w:ilvl w:val="0"/>
          <w:numId w:val="22"/>
        </w:numPr>
        <w:spacing w:after="60"/>
        <w:ind w:left="1797" w:hanging="357"/>
        <w:rPr>
          <w:sz w:val="20"/>
          <w:lang w:eastAsia="en-AU"/>
        </w:rPr>
      </w:pPr>
      <w:smartTag w:uri="urn:schemas-microsoft-com:office:smarttags" w:element="Street">
        <w:smartTag w:uri="urn:schemas-microsoft-com:office:smarttags" w:element="address">
          <w:r>
            <w:rPr>
              <w:color w:val="0000FF"/>
              <w:sz w:val="20"/>
              <w:u w:val="single"/>
              <w:lang w:eastAsia="en-AU"/>
            </w:rPr>
            <w:t>Northbourne Avenue</w:t>
          </w:r>
        </w:smartTag>
      </w:smartTag>
      <w:r>
        <w:rPr>
          <w:color w:val="0000FF"/>
          <w:sz w:val="20"/>
          <w:u w:val="single"/>
          <w:lang w:eastAsia="en-AU"/>
        </w:rPr>
        <w:t xml:space="preserve"> Precinct Code (pdf)</w:t>
      </w:r>
      <w:r>
        <w:rPr>
          <w:sz w:val="20"/>
          <w:lang w:eastAsia="en-AU"/>
        </w:rPr>
        <w:t xml:space="preserve"> (602KB)</w:t>
      </w:r>
    </w:p>
    <w:p w:rsidR="00E92015" w:rsidRDefault="00E92015">
      <w:pPr>
        <w:numPr>
          <w:ilvl w:val="0"/>
          <w:numId w:val="22"/>
        </w:numPr>
        <w:spacing w:after="60"/>
        <w:ind w:left="1797" w:hanging="357"/>
        <w:rPr>
          <w:sz w:val="20"/>
          <w:lang w:eastAsia="en-AU"/>
        </w:rPr>
      </w:pPr>
      <w:smartTag w:uri="urn:schemas-microsoft-com:office:smarttags" w:element="PlaceName">
        <w:smartTag w:uri="urn:schemas-microsoft-com:office:smarttags" w:element="place">
          <w:r>
            <w:rPr>
              <w:color w:val="0000FF"/>
              <w:sz w:val="20"/>
              <w:u w:val="single"/>
              <w:lang w:eastAsia="en-AU"/>
            </w:rPr>
            <w:t>Rural</w:t>
          </w:r>
        </w:smartTag>
        <w:r>
          <w:rPr>
            <w:color w:val="0000FF"/>
            <w:sz w:val="20"/>
            <w:u w:val="single"/>
            <w:lang w:eastAsia="en-AU"/>
          </w:rPr>
          <w:t xml:space="preserve"> </w:t>
        </w:r>
        <w:smartTag w:uri="urn:schemas-microsoft-com:office:smarttags" w:element="PlaceType">
          <w:r>
            <w:rPr>
              <w:color w:val="0000FF"/>
              <w:sz w:val="20"/>
              <w:u w:val="single"/>
              <w:lang w:eastAsia="en-AU"/>
            </w:rPr>
            <w:t>Village</w:t>
          </w:r>
        </w:smartTag>
      </w:smartTag>
      <w:r>
        <w:rPr>
          <w:color w:val="0000FF"/>
          <w:sz w:val="20"/>
          <w:u w:val="single"/>
          <w:lang w:eastAsia="en-AU"/>
        </w:rPr>
        <w:t xml:space="preserve"> Precinct Code (pdf)</w:t>
      </w:r>
      <w:r>
        <w:rPr>
          <w:sz w:val="20"/>
          <w:lang w:eastAsia="en-AU"/>
        </w:rPr>
        <w:t xml:space="preserve"> (215KB)</w:t>
      </w:r>
    </w:p>
    <w:p w:rsidR="00E92015" w:rsidRDefault="00E92015">
      <w:pPr>
        <w:numPr>
          <w:ilvl w:val="0"/>
          <w:numId w:val="22"/>
        </w:numPr>
        <w:spacing w:after="60"/>
        <w:ind w:left="1797" w:hanging="357"/>
        <w:rPr>
          <w:sz w:val="20"/>
          <w:lang w:eastAsia="en-AU"/>
        </w:rPr>
      </w:pPr>
      <w:r>
        <w:rPr>
          <w:color w:val="0000FF"/>
          <w:sz w:val="20"/>
          <w:u w:val="single"/>
          <w:lang w:eastAsia="en-AU"/>
        </w:rPr>
        <w:t>Inner North Precinct Code (pdf)</w:t>
      </w:r>
      <w:r>
        <w:rPr>
          <w:sz w:val="20"/>
          <w:lang w:eastAsia="en-AU"/>
        </w:rPr>
        <w:t xml:space="preserve"> (1.191MB)</w:t>
      </w:r>
    </w:p>
    <w:p w:rsidR="00E92015" w:rsidRDefault="00E92015">
      <w:pPr>
        <w:rPr>
          <w:rFonts w:ascii="Times New Roman" w:hAnsi="Times New Roman"/>
        </w:rPr>
      </w:pPr>
    </w:p>
    <w:p w:rsidR="00E92015" w:rsidRDefault="00E92015">
      <w:pPr>
        <w:rPr>
          <w:rFonts w:ascii="Times New Roman" w:hAnsi="Times New Roman"/>
        </w:rPr>
      </w:pPr>
    </w:p>
    <w:p w:rsidR="00E92015" w:rsidRDefault="00E92015">
      <w:r>
        <w:rPr>
          <w:rFonts w:cs="Arial"/>
          <w:sz w:val="32"/>
          <w:szCs w:val="32"/>
        </w:rPr>
        <w:t>Variation to 2.1 Statement of Strategic Directions</w:t>
      </w:r>
    </w:p>
    <w:p w:rsidR="00E92015" w:rsidRDefault="00E92015"/>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Principles for Sustainable Development, Environmental Sustainability, 1.8</w:t>
      </w:r>
    </w:p>
    <w:p w:rsidR="00E92015" w:rsidRDefault="00E92015"/>
    <w:p w:rsidR="00E92015" w:rsidRDefault="00E92015">
      <w:pPr>
        <w:ind w:firstLine="360"/>
        <w:rPr>
          <w:i/>
        </w:rPr>
      </w:pPr>
      <w:r>
        <w:rPr>
          <w:i/>
        </w:rPr>
        <w:t>Substitute ‘nett’ with</w:t>
      </w:r>
    </w:p>
    <w:p w:rsidR="00E92015" w:rsidRDefault="00E92015">
      <w:pPr>
        <w:ind w:firstLine="360"/>
        <w:rPr>
          <w:i/>
        </w:rPr>
      </w:pPr>
    </w:p>
    <w:p w:rsidR="00E92015" w:rsidRDefault="00E92015">
      <w:pPr>
        <w:spacing w:after="120"/>
        <w:ind w:firstLine="357"/>
        <w:rPr>
          <w:sz w:val="22"/>
          <w:szCs w:val="22"/>
        </w:rPr>
      </w:pPr>
      <w:r>
        <w:rPr>
          <w:i/>
        </w:rPr>
        <w:tab/>
      </w:r>
      <w:r>
        <w:rPr>
          <w:sz w:val="22"/>
          <w:szCs w:val="22"/>
        </w:rPr>
        <w:t>net</w:t>
      </w:r>
    </w:p>
    <w:p w:rsidR="00E92015" w:rsidRDefault="00E92015">
      <w:pPr>
        <w:pStyle w:val="Heading4"/>
        <w:rPr>
          <w:rFonts w:ascii="Arial" w:hAnsi="Arial" w:cs="Arial"/>
          <w:b w:val="0"/>
          <w:sz w:val="32"/>
          <w:szCs w:val="32"/>
        </w:rPr>
      </w:pPr>
      <w:r>
        <w:rPr>
          <w:rFonts w:ascii="Arial" w:hAnsi="Arial" w:cs="Arial"/>
          <w:b w:val="0"/>
          <w:sz w:val="32"/>
          <w:szCs w:val="32"/>
        </w:rPr>
        <w:t xml:space="preserve">Variation to CZ1 - Core Zone </w:t>
      </w:r>
    </w:p>
    <w:p w:rsidR="00E92015" w:rsidRDefault="00E92015"/>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CZ1 – Core Zone Development Table</w:t>
      </w:r>
    </w:p>
    <w:p w:rsidR="00E92015" w:rsidRDefault="00E92015"/>
    <w:p w:rsidR="00E92015" w:rsidRDefault="00E92015">
      <w:pPr>
        <w:ind w:firstLine="360"/>
        <w:rPr>
          <w:i/>
        </w:rPr>
      </w:pPr>
      <w:r>
        <w:rPr>
          <w:i/>
        </w:rPr>
        <w:t>Substitute ‘PROHIBITED’ with</w:t>
      </w:r>
    </w:p>
    <w:p w:rsidR="00E92015" w:rsidRDefault="00E92015"/>
    <w:p w:rsidR="00E92015" w:rsidRDefault="00E92015">
      <w:pPr>
        <w:ind w:firstLine="720"/>
      </w:pPr>
      <w:r>
        <w:t>PROHIBITED DEVELOPMENT</w:t>
      </w:r>
    </w:p>
    <w:p w:rsidR="00E92015" w:rsidRDefault="00E92015"/>
    <w:p w:rsidR="00E92015" w:rsidRDefault="00E92015">
      <w:pPr>
        <w:pStyle w:val="Heading4"/>
        <w:rPr>
          <w:rFonts w:ascii="Arial" w:hAnsi="Arial" w:cs="Arial"/>
          <w:b w:val="0"/>
          <w:sz w:val="32"/>
          <w:szCs w:val="32"/>
        </w:rPr>
      </w:pPr>
      <w:r>
        <w:rPr>
          <w:rFonts w:ascii="Arial" w:hAnsi="Arial" w:cs="Arial"/>
          <w:b w:val="0"/>
          <w:sz w:val="32"/>
          <w:szCs w:val="32"/>
        </w:rPr>
        <w:t>Variation to CZ1 - Core Zone Development Table</w:t>
      </w:r>
    </w:p>
    <w:p w:rsidR="00E92015" w:rsidRDefault="00E92015">
      <w:pPr>
        <w:rPr>
          <w:rFonts w:cs="Arial"/>
          <w:szCs w:val="24"/>
        </w:rPr>
      </w:pPr>
    </w:p>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Minimum assessment track merit</w:t>
      </w:r>
    </w:p>
    <w:p w:rsidR="00E92015" w:rsidRDefault="00E92015">
      <w:pPr>
        <w:rPr>
          <w:rFonts w:cs="Arial"/>
          <w:szCs w:val="24"/>
        </w:rPr>
      </w:pPr>
    </w:p>
    <w:p w:rsidR="00E92015" w:rsidRDefault="00E92015">
      <w:pPr>
        <w:ind w:firstLine="360"/>
        <w:rPr>
          <w:i/>
        </w:rPr>
      </w:pPr>
      <w:r>
        <w:rPr>
          <w:i/>
        </w:rPr>
        <w:t>Substitute ‘</w:t>
      </w:r>
      <w:r>
        <w:t>NON RETAIL COMMERCIAL’</w:t>
      </w:r>
      <w:r>
        <w:rPr>
          <w:i/>
        </w:rPr>
        <w:t xml:space="preserve"> with</w:t>
      </w:r>
    </w:p>
    <w:p w:rsidR="00E92015" w:rsidRDefault="00E92015"/>
    <w:p w:rsidR="00E92015" w:rsidRDefault="00E92015">
      <w:pPr>
        <w:tabs>
          <w:tab w:val="left" w:pos="360"/>
        </w:tabs>
        <w:rPr>
          <w:sz w:val="20"/>
        </w:rPr>
      </w:pPr>
      <w:r>
        <w:tab/>
      </w:r>
      <w:r>
        <w:tab/>
      </w:r>
      <w:r>
        <w:rPr>
          <w:sz w:val="20"/>
        </w:rPr>
        <w:t>NON RETAIL COMMERCIAL USE</w:t>
      </w:r>
    </w:p>
    <w:p w:rsidR="00E92015" w:rsidRDefault="00E92015"/>
    <w:p w:rsidR="00E92015" w:rsidRDefault="00E92015">
      <w:pPr>
        <w:pStyle w:val="Heading4"/>
        <w:rPr>
          <w:rFonts w:ascii="Arial" w:hAnsi="Arial" w:cs="Arial"/>
          <w:b w:val="0"/>
          <w:sz w:val="32"/>
          <w:szCs w:val="32"/>
        </w:rPr>
      </w:pPr>
      <w:r>
        <w:rPr>
          <w:rFonts w:ascii="Arial" w:hAnsi="Arial" w:cs="Arial"/>
          <w:b w:val="0"/>
          <w:sz w:val="32"/>
          <w:szCs w:val="32"/>
        </w:rPr>
        <w:t>Variation to CZ2 - Business Zone Development Table</w:t>
      </w:r>
    </w:p>
    <w:p w:rsidR="00E92015" w:rsidRDefault="00E92015">
      <w:pPr>
        <w:rPr>
          <w:rFonts w:cs="Arial"/>
          <w:szCs w:val="24"/>
        </w:rPr>
      </w:pPr>
    </w:p>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Minimum assessment track merit</w:t>
      </w:r>
    </w:p>
    <w:p w:rsidR="00E92015" w:rsidRDefault="00E92015">
      <w:pPr>
        <w:rPr>
          <w:rFonts w:cs="Arial"/>
          <w:szCs w:val="24"/>
        </w:rPr>
      </w:pPr>
    </w:p>
    <w:p w:rsidR="00E92015" w:rsidRDefault="00E92015">
      <w:pPr>
        <w:ind w:firstLine="360"/>
        <w:rPr>
          <w:i/>
        </w:rPr>
      </w:pPr>
      <w:r>
        <w:rPr>
          <w:i/>
        </w:rPr>
        <w:t>Substitute ‘</w:t>
      </w:r>
      <w:r>
        <w:t>NON RETAIL COMMERCIAL’</w:t>
      </w:r>
      <w:r>
        <w:rPr>
          <w:i/>
        </w:rPr>
        <w:t xml:space="preserve"> with</w:t>
      </w:r>
    </w:p>
    <w:p w:rsidR="00E92015" w:rsidRDefault="00E92015"/>
    <w:p w:rsidR="00E92015" w:rsidRDefault="00E92015">
      <w:pPr>
        <w:tabs>
          <w:tab w:val="left" w:pos="360"/>
        </w:tabs>
        <w:rPr>
          <w:sz w:val="20"/>
        </w:rPr>
      </w:pPr>
      <w:r>
        <w:tab/>
      </w:r>
      <w:r>
        <w:tab/>
      </w:r>
      <w:r>
        <w:rPr>
          <w:sz w:val="20"/>
        </w:rPr>
        <w:t>NON RETAIL COMMERCIAL USE</w:t>
      </w:r>
    </w:p>
    <w:p w:rsidR="00E92015" w:rsidRDefault="00E92015"/>
    <w:p w:rsidR="00E92015" w:rsidRDefault="00E92015">
      <w:pPr>
        <w:pStyle w:val="Heading4"/>
        <w:rPr>
          <w:rFonts w:ascii="Arial" w:hAnsi="Arial" w:cs="Arial"/>
          <w:b w:val="0"/>
          <w:sz w:val="32"/>
          <w:szCs w:val="32"/>
        </w:rPr>
      </w:pPr>
      <w:r>
        <w:rPr>
          <w:rFonts w:ascii="Arial" w:hAnsi="Arial" w:cs="Arial"/>
          <w:b w:val="0"/>
          <w:sz w:val="32"/>
          <w:szCs w:val="32"/>
        </w:rPr>
        <w:t>Variation to CZ3 - Services Zone Development Table</w:t>
      </w:r>
    </w:p>
    <w:p w:rsidR="00E92015" w:rsidRDefault="00E92015">
      <w:pPr>
        <w:rPr>
          <w:rFonts w:cs="Arial"/>
          <w:szCs w:val="24"/>
        </w:rPr>
      </w:pPr>
    </w:p>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Minimum assessment track merit</w:t>
      </w:r>
    </w:p>
    <w:p w:rsidR="00E92015" w:rsidRDefault="00E92015">
      <w:pPr>
        <w:rPr>
          <w:rFonts w:cs="Arial"/>
          <w:szCs w:val="24"/>
        </w:rPr>
      </w:pPr>
    </w:p>
    <w:p w:rsidR="00E92015" w:rsidRDefault="00E92015">
      <w:pPr>
        <w:ind w:firstLine="360"/>
        <w:rPr>
          <w:i/>
        </w:rPr>
      </w:pPr>
      <w:r>
        <w:rPr>
          <w:i/>
        </w:rPr>
        <w:t>Substitute ‘</w:t>
      </w:r>
      <w:r>
        <w:t>NON RETAIL COMMERCIAL’</w:t>
      </w:r>
      <w:r>
        <w:rPr>
          <w:i/>
        </w:rPr>
        <w:t xml:space="preserve"> with</w:t>
      </w:r>
    </w:p>
    <w:p w:rsidR="00E92015" w:rsidRDefault="00E92015"/>
    <w:p w:rsidR="00E92015" w:rsidRDefault="00E92015">
      <w:pPr>
        <w:tabs>
          <w:tab w:val="left" w:pos="360"/>
        </w:tabs>
        <w:spacing w:after="120"/>
        <w:rPr>
          <w:sz w:val="20"/>
        </w:rPr>
      </w:pPr>
      <w:r>
        <w:tab/>
      </w:r>
      <w:r>
        <w:tab/>
      </w:r>
      <w:r>
        <w:rPr>
          <w:sz w:val="20"/>
        </w:rPr>
        <w:t>NON RETAIL COMMERCIAL USE</w:t>
      </w:r>
    </w:p>
    <w:p w:rsidR="00E92015" w:rsidRDefault="00E92015">
      <w:pPr>
        <w:pStyle w:val="Heading4"/>
        <w:rPr>
          <w:rFonts w:ascii="Arial" w:hAnsi="Arial" w:cs="Arial"/>
          <w:b w:val="0"/>
          <w:sz w:val="32"/>
          <w:szCs w:val="32"/>
        </w:rPr>
      </w:pPr>
      <w:r>
        <w:rPr>
          <w:rFonts w:ascii="Arial" w:hAnsi="Arial" w:cs="Arial"/>
          <w:b w:val="0"/>
          <w:sz w:val="32"/>
          <w:szCs w:val="32"/>
        </w:rPr>
        <w:t>Variation to CZ4 - Local Centre Zone Development Table</w:t>
      </w:r>
    </w:p>
    <w:p w:rsidR="00E92015" w:rsidRDefault="00E92015">
      <w:pPr>
        <w:rPr>
          <w:rFonts w:cs="Arial"/>
          <w:szCs w:val="24"/>
        </w:rPr>
      </w:pPr>
    </w:p>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Minimum assessment track merit</w:t>
      </w:r>
    </w:p>
    <w:p w:rsidR="00E92015" w:rsidRDefault="00E92015">
      <w:pPr>
        <w:rPr>
          <w:rFonts w:cs="Arial"/>
          <w:szCs w:val="24"/>
        </w:rPr>
      </w:pPr>
    </w:p>
    <w:p w:rsidR="00E92015" w:rsidRDefault="00E92015">
      <w:pPr>
        <w:numPr>
          <w:ilvl w:val="0"/>
          <w:numId w:val="16"/>
        </w:numPr>
        <w:rPr>
          <w:i/>
        </w:rPr>
      </w:pPr>
      <w:r>
        <w:rPr>
          <w:i/>
        </w:rPr>
        <w:t>Substitute ’</w:t>
      </w:r>
      <w:r>
        <w:t>NON RETAIL COMMERCIAL’</w:t>
      </w:r>
      <w:r>
        <w:rPr>
          <w:i/>
        </w:rPr>
        <w:t xml:space="preserve"> with</w:t>
      </w:r>
    </w:p>
    <w:p w:rsidR="00E92015" w:rsidRDefault="00E92015"/>
    <w:p w:rsidR="00E92015" w:rsidRDefault="00E92015">
      <w:pPr>
        <w:tabs>
          <w:tab w:val="left" w:pos="360"/>
        </w:tabs>
        <w:rPr>
          <w:sz w:val="20"/>
        </w:rPr>
      </w:pPr>
      <w:r>
        <w:tab/>
      </w:r>
      <w:r>
        <w:tab/>
      </w:r>
      <w:r>
        <w:tab/>
      </w:r>
      <w:r>
        <w:rPr>
          <w:sz w:val="20"/>
        </w:rPr>
        <w:t>NON RETAIL COMMERCIAL USE</w:t>
      </w:r>
    </w:p>
    <w:p w:rsidR="00E92015" w:rsidRDefault="00E92015">
      <w:pPr>
        <w:ind w:left="360"/>
        <w:rPr>
          <w:rFonts w:cs="Arial"/>
          <w:i/>
          <w:szCs w:val="24"/>
        </w:rPr>
      </w:pPr>
    </w:p>
    <w:p w:rsidR="00E92015" w:rsidRDefault="00E92015">
      <w:pPr>
        <w:numPr>
          <w:ilvl w:val="0"/>
          <w:numId w:val="16"/>
        </w:numPr>
        <w:spacing w:after="120"/>
        <w:ind w:left="714" w:hanging="357"/>
        <w:rPr>
          <w:rFonts w:cs="Arial"/>
          <w:i/>
          <w:szCs w:val="24"/>
        </w:rPr>
      </w:pPr>
      <w:r>
        <w:rPr>
          <w:rFonts w:cs="Arial"/>
          <w:i/>
          <w:szCs w:val="24"/>
        </w:rPr>
        <w:t>Reorder ‘restaurant’ and ‘recyclable materials collection’ in alphabetical order.</w:t>
      </w:r>
    </w:p>
    <w:bookmarkEnd w:id="11"/>
    <w:p w:rsidR="00E92015" w:rsidRDefault="00E92015">
      <w:pPr>
        <w:pStyle w:val="Heading4"/>
        <w:rPr>
          <w:rFonts w:ascii="Arial" w:hAnsi="Arial" w:cs="Arial"/>
          <w:b w:val="0"/>
          <w:sz w:val="32"/>
          <w:szCs w:val="32"/>
        </w:rPr>
      </w:pPr>
      <w:r>
        <w:rPr>
          <w:rFonts w:ascii="Arial" w:hAnsi="Arial" w:cs="Arial"/>
          <w:b w:val="0"/>
          <w:sz w:val="32"/>
          <w:szCs w:val="32"/>
        </w:rPr>
        <w:t>Variation to CZ5 - Mixed Use Zone Development Table</w:t>
      </w:r>
    </w:p>
    <w:p w:rsidR="00E92015" w:rsidRDefault="00E92015">
      <w:pPr>
        <w:rPr>
          <w:rFonts w:cs="Arial"/>
          <w:szCs w:val="24"/>
        </w:rPr>
      </w:pPr>
    </w:p>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Minimum assessment track merit</w:t>
      </w:r>
    </w:p>
    <w:p w:rsidR="00E92015" w:rsidRDefault="00E92015">
      <w:pPr>
        <w:rPr>
          <w:rFonts w:cs="Arial"/>
          <w:szCs w:val="24"/>
        </w:rPr>
      </w:pPr>
    </w:p>
    <w:p w:rsidR="00E92015" w:rsidRDefault="00E92015">
      <w:pPr>
        <w:ind w:firstLine="360"/>
        <w:rPr>
          <w:i/>
        </w:rPr>
      </w:pPr>
      <w:r>
        <w:rPr>
          <w:i/>
        </w:rPr>
        <w:t>Substitute ‘</w:t>
      </w:r>
      <w:r>
        <w:t>NON RETAIL COMMERCIAL’</w:t>
      </w:r>
      <w:r>
        <w:rPr>
          <w:i/>
        </w:rPr>
        <w:t xml:space="preserve"> with</w:t>
      </w:r>
    </w:p>
    <w:p w:rsidR="00E92015" w:rsidRDefault="00E92015"/>
    <w:p w:rsidR="00E92015" w:rsidRDefault="00E92015">
      <w:pPr>
        <w:tabs>
          <w:tab w:val="left" w:pos="360"/>
        </w:tabs>
        <w:rPr>
          <w:sz w:val="20"/>
        </w:rPr>
      </w:pPr>
      <w:r>
        <w:tab/>
      </w:r>
      <w:r>
        <w:tab/>
      </w:r>
      <w:r>
        <w:rPr>
          <w:sz w:val="20"/>
        </w:rPr>
        <w:t>NON RETAIL COMMERCIAL USE</w:t>
      </w:r>
    </w:p>
    <w:p w:rsidR="00E92015" w:rsidRDefault="00E92015"/>
    <w:p w:rsidR="00E92015" w:rsidRDefault="00E92015">
      <w:pPr>
        <w:pStyle w:val="Heading4"/>
        <w:rPr>
          <w:rFonts w:ascii="Arial" w:hAnsi="Arial" w:cs="Arial"/>
          <w:b w:val="0"/>
          <w:sz w:val="32"/>
          <w:szCs w:val="32"/>
        </w:rPr>
      </w:pPr>
      <w:r>
        <w:rPr>
          <w:rFonts w:ascii="Arial" w:hAnsi="Arial" w:cs="Arial"/>
          <w:b w:val="0"/>
          <w:sz w:val="32"/>
          <w:szCs w:val="32"/>
        </w:rPr>
        <w:t>Variation to the town centres development code</w:t>
      </w:r>
    </w:p>
    <w:p w:rsidR="00E92015" w:rsidRDefault="00E92015">
      <w:pPr>
        <w:rPr>
          <w:rFonts w:cs="Arial"/>
          <w:szCs w:val="24"/>
        </w:rPr>
      </w:pPr>
    </w:p>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Part A(2) – CZ2 Business Zone, Element 1 Restrictions on Use, Item 1.5 Woden – Phillip Section 23, C23</w:t>
      </w:r>
    </w:p>
    <w:p w:rsidR="00E92015" w:rsidRDefault="00E92015">
      <w:pPr>
        <w:tabs>
          <w:tab w:val="left" w:pos="360"/>
          <w:tab w:val="left" w:pos="540"/>
        </w:tabs>
        <w:rPr>
          <w:rFonts w:cs="Arial"/>
          <w:szCs w:val="24"/>
        </w:rPr>
      </w:pPr>
    </w:p>
    <w:p w:rsidR="00E92015" w:rsidRDefault="00E92015">
      <w:pPr>
        <w:tabs>
          <w:tab w:val="left" w:pos="360"/>
          <w:tab w:val="left" w:pos="540"/>
        </w:tabs>
        <w:ind w:left="360"/>
        <w:rPr>
          <w:rFonts w:cs="Arial"/>
          <w:sz w:val="20"/>
        </w:rPr>
      </w:pPr>
      <w:r>
        <w:rPr>
          <w:rFonts w:cs="Arial"/>
          <w:i/>
          <w:szCs w:val="24"/>
        </w:rPr>
        <w:tab/>
        <w:t>Substitute with</w:t>
      </w:r>
    </w:p>
    <w:p w:rsidR="00E92015" w:rsidRDefault="00E92015">
      <w:pPr>
        <w:rPr>
          <w:rFonts w:cs="Arial"/>
          <w:szCs w:val="24"/>
        </w:rPr>
      </w:pPr>
    </w:p>
    <w:p w:rsidR="00E92015" w:rsidRDefault="00E92015">
      <w:pPr>
        <w:tabs>
          <w:tab w:val="left" w:pos="540"/>
        </w:tabs>
        <w:ind w:left="720"/>
        <w:rPr>
          <w:rFonts w:cs="Arial"/>
          <w:sz w:val="20"/>
        </w:rPr>
      </w:pPr>
      <w:r>
        <w:rPr>
          <w:rFonts w:cs="Arial"/>
          <w:sz w:val="20"/>
        </w:rPr>
        <w:t xml:space="preserve">NON RETAIL COMMERCIAL USE is only permitted on land contiguous with the Phillip Oval where of a type compatible with the operation of a day and night sporting oval. </w:t>
      </w:r>
    </w:p>
    <w:p w:rsidR="00E92015" w:rsidRDefault="00E92015">
      <w:pPr>
        <w:rPr>
          <w:rFonts w:cs="Arial"/>
          <w:b/>
        </w:rPr>
      </w:pPr>
    </w:p>
    <w:p w:rsidR="00E92015" w:rsidRDefault="00E92015">
      <w:pPr>
        <w:pStyle w:val="Heading4"/>
        <w:rPr>
          <w:rFonts w:ascii="Arial" w:hAnsi="Arial" w:cs="Arial"/>
          <w:b w:val="0"/>
          <w:sz w:val="32"/>
          <w:szCs w:val="32"/>
        </w:rPr>
      </w:pPr>
      <w:r>
        <w:rPr>
          <w:rFonts w:ascii="Arial" w:hAnsi="Arial" w:cs="Arial"/>
          <w:b w:val="0"/>
          <w:sz w:val="32"/>
          <w:szCs w:val="32"/>
        </w:rPr>
        <w:t>Variation to the group centres development code</w:t>
      </w:r>
    </w:p>
    <w:p w:rsidR="00E92015" w:rsidRDefault="00E92015">
      <w:pPr>
        <w:rPr>
          <w:rFonts w:cs="Arial"/>
          <w:szCs w:val="24"/>
        </w:rPr>
      </w:pPr>
    </w:p>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Part A - Group Centres - Overview, Group Centres Tuggeranong, Figure A12 Erindale Group Centre Zones (Wanniassa)</w:t>
      </w:r>
    </w:p>
    <w:p w:rsidR="00E92015" w:rsidRDefault="00E92015">
      <w:pPr>
        <w:tabs>
          <w:tab w:val="left" w:pos="360"/>
          <w:tab w:val="left" w:pos="540"/>
        </w:tabs>
        <w:rPr>
          <w:rFonts w:cs="Arial"/>
          <w:szCs w:val="24"/>
        </w:rPr>
      </w:pPr>
    </w:p>
    <w:p w:rsidR="00E92015" w:rsidRDefault="00E92015">
      <w:pPr>
        <w:tabs>
          <w:tab w:val="left" w:pos="360"/>
          <w:tab w:val="left" w:pos="540"/>
        </w:tabs>
        <w:ind w:left="360"/>
        <w:rPr>
          <w:rFonts w:cs="Arial"/>
          <w:sz w:val="20"/>
        </w:rPr>
      </w:pPr>
      <w:r>
        <w:rPr>
          <w:rFonts w:cs="Arial"/>
          <w:i/>
          <w:szCs w:val="24"/>
        </w:rPr>
        <w:tab/>
        <w:t>Substitute</w:t>
      </w:r>
    </w:p>
    <w:p w:rsidR="00E92015" w:rsidRDefault="00E92015"/>
    <w:p w:rsidR="00E92015" w:rsidRDefault="00DD77D2">
      <w:pPr>
        <w:ind w:left="720"/>
      </w:pPr>
      <w:r>
        <w:pict>
          <v:shape id="_x0000_i1027" type="#_x0000_t75" style="width:330.75pt;height:472.5pt">
            <v:imagedata r:id="rId15" o:title=""/>
          </v:shape>
        </w:pict>
      </w:r>
    </w:p>
    <w:p w:rsidR="00E92015" w:rsidRDefault="00E92015">
      <w:pPr>
        <w:rPr>
          <w:b/>
          <w:sz w:val="20"/>
        </w:rPr>
      </w:pPr>
    </w:p>
    <w:p w:rsidR="00E92015" w:rsidRDefault="00E92015">
      <w:pPr>
        <w:tabs>
          <w:tab w:val="left" w:pos="1440"/>
        </w:tabs>
        <w:rPr>
          <w:rFonts w:cs="Arial"/>
          <w:b/>
          <w:sz w:val="20"/>
        </w:rPr>
      </w:pPr>
      <w:r>
        <w:rPr>
          <w:rFonts w:cs="Arial"/>
          <w:b/>
          <w:sz w:val="22"/>
          <w:szCs w:val="22"/>
        </w:rPr>
        <w:tab/>
        <w:t xml:space="preserve">Figure A12 </w:t>
      </w:r>
      <w:r>
        <w:rPr>
          <w:rFonts w:cs="Arial"/>
          <w:b/>
          <w:sz w:val="22"/>
          <w:szCs w:val="22"/>
        </w:rPr>
        <w:tab/>
        <w:t>Erindale Group Centre Zones (Wanniassa</w:t>
      </w:r>
      <w:r>
        <w:rPr>
          <w:rFonts w:cs="Arial"/>
          <w:b/>
          <w:sz w:val="20"/>
        </w:rPr>
        <w:t xml:space="preserve">) </w:t>
      </w:r>
    </w:p>
    <w:p w:rsidR="00E92015" w:rsidRDefault="00E92015">
      <w:pPr>
        <w:rPr>
          <w:rFonts w:cs="Arial"/>
          <w:b/>
        </w:rPr>
      </w:pPr>
    </w:p>
    <w:p w:rsidR="00E92015" w:rsidRDefault="00E92015">
      <w:pPr>
        <w:pStyle w:val="Heading4"/>
        <w:rPr>
          <w:rFonts w:ascii="Arial" w:hAnsi="Arial" w:cs="Arial"/>
          <w:b w:val="0"/>
          <w:sz w:val="32"/>
          <w:szCs w:val="32"/>
        </w:rPr>
      </w:pPr>
      <w:r>
        <w:rPr>
          <w:rFonts w:ascii="Arial" w:hAnsi="Arial" w:cs="Arial"/>
          <w:b w:val="0"/>
          <w:sz w:val="32"/>
          <w:szCs w:val="32"/>
        </w:rPr>
        <w:t>Variation to IZ2 – Industrial Mixed Use Zone</w:t>
      </w:r>
    </w:p>
    <w:p w:rsidR="00E92015" w:rsidRPr="001368E0" w:rsidRDefault="00E92015" w:rsidP="001368E0">
      <w:pPr>
        <w:keepNext/>
        <w:rPr>
          <w:sz w:val="16"/>
          <w:szCs w:val="16"/>
        </w:rPr>
      </w:pPr>
    </w:p>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IZ2 – Industrial Mixed Use Zone Development Table</w:t>
      </w:r>
    </w:p>
    <w:p w:rsidR="00E92015" w:rsidRDefault="00E92015"/>
    <w:p w:rsidR="00E92015" w:rsidRDefault="00E92015">
      <w:pPr>
        <w:ind w:firstLine="360"/>
        <w:rPr>
          <w:i/>
        </w:rPr>
      </w:pPr>
      <w:r>
        <w:rPr>
          <w:i/>
        </w:rPr>
        <w:t>a)</w:t>
      </w:r>
      <w:r>
        <w:rPr>
          <w:i/>
        </w:rPr>
        <w:tab/>
        <w:t>Substitute ‘EXEMPT’ with</w:t>
      </w:r>
    </w:p>
    <w:p w:rsidR="00E92015" w:rsidRDefault="00E92015"/>
    <w:p w:rsidR="00E92015" w:rsidRDefault="00E92015">
      <w:pPr>
        <w:ind w:left="720" w:firstLine="720"/>
      </w:pPr>
      <w:r>
        <w:t>EXEMPT DEVELOPMENT</w:t>
      </w:r>
    </w:p>
    <w:p w:rsidR="00E92015" w:rsidRDefault="00E92015">
      <w:pPr>
        <w:ind w:firstLine="360"/>
        <w:rPr>
          <w:i/>
        </w:rPr>
      </w:pPr>
    </w:p>
    <w:p w:rsidR="00E92015" w:rsidRDefault="00E92015">
      <w:pPr>
        <w:ind w:firstLine="360"/>
        <w:rPr>
          <w:i/>
        </w:rPr>
      </w:pPr>
      <w:r>
        <w:rPr>
          <w:i/>
        </w:rPr>
        <w:t>b)</w:t>
      </w:r>
      <w:r>
        <w:rPr>
          <w:i/>
        </w:rPr>
        <w:tab/>
        <w:t>Substitute ‘PROHIBITED’ with</w:t>
      </w:r>
    </w:p>
    <w:p w:rsidR="00E92015" w:rsidRDefault="00E92015"/>
    <w:p w:rsidR="00E92015" w:rsidRDefault="00E92015">
      <w:pPr>
        <w:ind w:left="720" w:firstLine="720"/>
      </w:pPr>
      <w:r>
        <w:t>PROHIBITED DEVELOPMENT</w:t>
      </w:r>
    </w:p>
    <w:p w:rsidR="00E92015" w:rsidRDefault="00E92015">
      <w:pPr>
        <w:rPr>
          <w:rFonts w:cs="Arial"/>
        </w:rPr>
      </w:pPr>
    </w:p>
    <w:p w:rsidR="00E92015" w:rsidRDefault="00E92015">
      <w:pPr>
        <w:pStyle w:val="Heading4"/>
        <w:spacing w:after="0"/>
        <w:rPr>
          <w:rFonts w:ascii="Arial" w:hAnsi="Arial" w:cs="Arial"/>
          <w:b w:val="0"/>
          <w:sz w:val="32"/>
          <w:szCs w:val="32"/>
        </w:rPr>
      </w:pPr>
      <w:r>
        <w:rPr>
          <w:rFonts w:ascii="Arial" w:hAnsi="Arial" w:cs="Arial"/>
          <w:b w:val="0"/>
          <w:sz w:val="32"/>
          <w:szCs w:val="32"/>
        </w:rPr>
        <w:t>Variation to CFZ – Community Facility Zone</w:t>
      </w:r>
    </w:p>
    <w:p w:rsidR="00E92015" w:rsidRPr="001368E0" w:rsidRDefault="00E92015">
      <w:pPr>
        <w:rPr>
          <w:sz w:val="16"/>
          <w:szCs w:val="16"/>
        </w:rPr>
      </w:pPr>
    </w:p>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CFZ – Community Facility Zone Development Table</w:t>
      </w:r>
    </w:p>
    <w:p w:rsidR="00E92015" w:rsidRDefault="00E92015"/>
    <w:p w:rsidR="00E92015" w:rsidRDefault="00E92015">
      <w:pPr>
        <w:ind w:firstLine="360"/>
        <w:rPr>
          <w:i/>
        </w:rPr>
      </w:pPr>
      <w:r>
        <w:rPr>
          <w:i/>
        </w:rPr>
        <w:t>a)</w:t>
      </w:r>
      <w:r>
        <w:rPr>
          <w:i/>
        </w:rPr>
        <w:tab/>
        <w:t>Substitute ‘EXEMPT’ with</w:t>
      </w:r>
    </w:p>
    <w:p w:rsidR="00E92015" w:rsidRDefault="00E92015"/>
    <w:p w:rsidR="00E92015" w:rsidRDefault="00E92015">
      <w:pPr>
        <w:ind w:left="720" w:firstLine="720"/>
      </w:pPr>
      <w:r>
        <w:t>EXEMPT DEVELOPMENT</w:t>
      </w:r>
    </w:p>
    <w:p w:rsidR="00E92015" w:rsidRDefault="00E92015">
      <w:pPr>
        <w:ind w:firstLine="360"/>
        <w:rPr>
          <w:i/>
        </w:rPr>
      </w:pPr>
    </w:p>
    <w:p w:rsidR="00E92015" w:rsidRDefault="00E92015">
      <w:pPr>
        <w:ind w:firstLine="360"/>
        <w:rPr>
          <w:i/>
        </w:rPr>
      </w:pPr>
      <w:r>
        <w:rPr>
          <w:i/>
        </w:rPr>
        <w:t>b)</w:t>
      </w:r>
      <w:r>
        <w:rPr>
          <w:i/>
        </w:rPr>
        <w:tab/>
        <w:t>Substitute ‘PROHIBITED’ with</w:t>
      </w:r>
    </w:p>
    <w:p w:rsidR="00E92015" w:rsidRDefault="00E92015"/>
    <w:p w:rsidR="00E92015" w:rsidRDefault="00E92015">
      <w:pPr>
        <w:ind w:left="720" w:firstLine="720"/>
      </w:pPr>
      <w:r>
        <w:t>PROHIBITED DEVELOPMENT</w:t>
      </w:r>
    </w:p>
    <w:p w:rsidR="00E92015" w:rsidRDefault="00E92015">
      <w:pPr>
        <w:rPr>
          <w:rFonts w:cs="Arial"/>
        </w:rPr>
      </w:pPr>
    </w:p>
    <w:p w:rsidR="00E92015" w:rsidRDefault="00E92015">
      <w:pPr>
        <w:pStyle w:val="Heading4"/>
        <w:spacing w:before="120" w:after="0"/>
        <w:rPr>
          <w:rFonts w:ascii="Arial" w:hAnsi="Arial" w:cs="Arial"/>
          <w:b w:val="0"/>
          <w:sz w:val="32"/>
          <w:szCs w:val="32"/>
        </w:rPr>
      </w:pPr>
      <w:r>
        <w:rPr>
          <w:rFonts w:ascii="Arial" w:hAnsi="Arial" w:cs="Arial"/>
          <w:b w:val="0"/>
          <w:sz w:val="32"/>
          <w:szCs w:val="32"/>
        </w:rPr>
        <w:t>Variation to PRZ1 – Urban Open Space Zone</w:t>
      </w:r>
    </w:p>
    <w:p w:rsidR="00E92015" w:rsidRPr="001368E0" w:rsidRDefault="00E92015">
      <w:pPr>
        <w:rPr>
          <w:sz w:val="16"/>
          <w:szCs w:val="16"/>
        </w:rPr>
      </w:pPr>
    </w:p>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PRZ1 – Urban Open Space Zone Development Table</w:t>
      </w:r>
    </w:p>
    <w:p w:rsidR="00E92015" w:rsidRDefault="00E92015"/>
    <w:p w:rsidR="00E92015" w:rsidRDefault="00E92015">
      <w:pPr>
        <w:ind w:firstLine="360"/>
        <w:rPr>
          <w:i/>
        </w:rPr>
      </w:pPr>
      <w:r>
        <w:rPr>
          <w:i/>
        </w:rPr>
        <w:t>a)</w:t>
      </w:r>
      <w:r>
        <w:rPr>
          <w:i/>
        </w:rPr>
        <w:tab/>
        <w:t>Substitute ‘EXEMPT’ with</w:t>
      </w:r>
    </w:p>
    <w:p w:rsidR="00E92015" w:rsidRDefault="00E92015"/>
    <w:p w:rsidR="00E92015" w:rsidRDefault="00E92015">
      <w:pPr>
        <w:ind w:left="720" w:firstLine="720"/>
      </w:pPr>
      <w:r>
        <w:t>EXEMPT DEVELOPMENT</w:t>
      </w:r>
    </w:p>
    <w:p w:rsidR="00E92015" w:rsidRDefault="00E92015">
      <w:pPr>
        <w:ind w:firstLine="360"/>
        <w:rPr>
          <w:i/>
        </w:rPr>
      </w:pPr>
    </w:p>
    <w:p w:rsidR="00E92015" w:rsidRDefault="00E92015">
      <w:pPr>
        <w:ind w:firstLine="360"/>
        <w:rPr>
          <w:i/>
        </w:rPr>
      </w:pPr>
      <w:r>
        <w:rPr>
          <w:i/>
        </w:rPr>
        <w:t>b)</w:t>
      </w:r>
      <w:r>
        <w:rPr>
          <w:i/>
        </w:rPr>
        <w:tab/>
        <w:t>Substitute ‘PROHIBITED’ with</w:t>
      </w:r>
    </w:p>
    <w:p w:rsidR="00E92015" w:rsidRDefault="00E92015"/>
    <w:p w:rsidR="00E92015" w:rsidRDefault="00E92015">
      <w:pPr>
        <w:ind w:left="720" w:firstLine="720"/>
      </w:pPr>
      <w:r>
        <w:t>PROHIBITED DEVELOPMENT</w:t>
      </w:r>
    </w:p>
    <w:p w:rsidR="00E92015" w:rsidRDefault="00E92015">
      <w:pPr>
        <w:rPr>
          <w:rFonts w:cs="Arial"/>
        </w:rPr>
      </w:pPr>
    </w:p>
    <w:p w:rsidR="00E92015" w:rsidRDefault="00E92015">
      <w:pPr>
        <w:pStyle w:val="Heading4"/>
        <w:spacing w:before="120" w:after="0"/>
        <w:rPr>
          <w:rFonts w:ascii="Arial" w:hAnsi="Arial" w:cs="Arial"/>
          <w:b w:val="0"/>
          <w:sz w:val="32"/>
          <w:szCs w:val="32"/>
        </w:rPr>
      </w:pPr>
      <w:r>
        <w:rPr>
          <w:rFonts w:ascii="Arial" w:hAnsi="Arial" w:cs="Arial"/>
          <w:b w:val="0"/>
          <w:sz w:val="32"/>
          <w:szCs w:val="32"/>
        </w:rPr>
        <w:t>Variation to PRZ2 – Restricted Access Recreation Zone</w:t>
      </w:r>
    </w:p>
    <w:p w:rsidR="00E92015" w:rsidRPr="001368E0" w:rsidRDefault="00E92015">
      <w:pPr>
        <w:rPr>
          <w:sz w:val="16"/>
          <w:szCs w:val="16"/>
        </w:rPr>
      </w:pPr>
    </w:p>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PRZ2 – Restricted Access Recreation Zone Development Table</w:t>
      </w:r>
    </w:p>
    <w:p w:rsidR="00E92015" w:rsidRDefault="00E92015"/>
    <w:p w:rsidR="00E92015" w:rsidRDefault="00E92015">
      <w:pPr>
        <w:ind w:firstLine="360"/>
        <w:rPr>
          <w:i/>
        </w:rPr>
      </w:pPr>
      <w:r>
        <w:rPr>
          <w:i/>
        </w:rPr>
        <w:t>a)</w:t>
      </w:r>
      <w:r>
        <w:rPr>
          <w:i/>
        </w:rPr>
        <w:tab/>
        <w:t>Substitute ‘EXEMPT’ with</w:t>
      </w:r>
    </w:p>
    <w:p w:rsidR="00E92015" w:rsidRDefault="00E92015"/>
    <w:p w:rsidR="00E92015" w:rsidRDefault="00E92015">
      <w:pPr>
        <w:ind w:left="720" w:firstLine="720"/>
      </w:pPr>
      <w:r>
        <w:t>EXEMPT DEVELOPMENT</w:t>
      </w:r>
    </w:p>
    <w:p w:rsidR="00E92015" w:rsidRDefault="00E92015">
      <w:pPr>
        <w:ind w:firstLine="360"/>
        <w:rPr>
          <w:i/>
        </w:rPr>
      </w:pPr>
    </w:p>
    <w:p w:rsidR="00E92015" w:rsidRDefault="00E92015">
      <w:pPr>
        <w:ind w:firstLine="360"/>
        <w:rPr>
          <w:i/>
        </w:rPr>
      </w:pPr>
      <w:r>
        <w:rPr>
          <w:i/>
        </w:rPr>
        <w:t>b)</w:t>
      </w:r>
      <w:r>
        <w:rPr>
          <w:i/>
        </w:rPr>
        <w:tab/>
        <w:t>Substitute ‘PROHIBITED’ with</w:t>
      </w:r>
    </w:p>
    <w:p w:rsidR="00E92015" w:rsidRDefault="00E92015"/>
    <w:p w:rsidR="00E92015" w:rsidRDefault="00E92015">
      <w:pPr>
        <w:ind w:left="720" w:firstLine="720"/>
      </w:pPr>
      <w:r>
        <w:t>PROHIBITED DEVELOPMENT</w:t>
      </w:r>
    </w:p>
    <w:p w:rsidR="00E92015" w:rsidRDefault="00E92015">
      <w:pPr>
        <w:rPr>
          <w:rFonts w:cs="Arial"/>
        </w:rPr>
      </w:pPr>
    </w:p>
    <w:p w:rsidR="00E92015" w:rsidRDefault="00E92015">
      <w:pPr>
        <w:pStyle w:val="Heading4"/>
        <w:spacing w:before="120" w:after="0"/>
        <w:rPr>
          <w:rFonts w:ascii="Arial" w:hAnsi="Arial" w:cs="Arial"/>
          <w:b w:val="0"/>
          <w:sz w:val="32"/>
          <w:szCs w:val="32"/>
        </w:rPr>
      </w:pPr>
      <w:r>
        <w:rPr>
          <w:rFonts w:ascii="Arial" w:hAnsi="Arial" w:cs="Arial"/>
          <w:b w:val="0"/>
          <w:sz w:val="32"/>
          <w:szCs w:val="32"/>
        </w:rPr>
        <w:t>Variation to TSZ1 – Transport Zone</w:t>
      </w:r>
    </w:p>
    <w:p w:rsidR="00E92015" w:rsidRDefault="00E92015"/>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TSZ1 – Transport Zone Development Table</w:t>
      </w:r>
    </w:p>
    <w:p w:rsidR="00E92015" w:rsidRDefault="00E92015"/>
    <w:p w:rsidR="00E92015" w:rsidRDefault="00E92015">
      <w:pPr>
        <w:ind w:firstLine="360"/>
        <w:rPr>
          <w:i/>
        </w:rPr>
      </w:pPr>
      <w:r>
        <w:rPr>
          <w:i/>
        </w:rPr>
        <w:t>a)</w:t>
      </w:r>
      <w:r>
        <w:rPr>
          <w:i/>
        </w:rPr>
        <w:tab/>
        <w:t>Substitute ‘EXEMPT’ with</w:t>
      </w:r>
    </w:p>
    <w:p w:rsidR="00E92015" w:rsidRDefault="00E92015"/>
    <w:p w:rsidR="00E92015" w:rsidRDefault="00E92015">
      <w:pPr>
        <w:ind w:left="720" w:firstLine="720"/>
      </w:pPr>
      <w:r>
        <w:t>EXEMPT DEVELOPMENT</w:t>
      </w:r>
    </w:p>
    <w:p w:rsidR="00E92015" w:rsidRDefault="00E92015">
      <w:pPr>
        <w:ind w:firstLine="360"/>
        <w:rPr>
          <w:i/>
        </w:rPr>
      </w:pPr>
    </w:p>
    <w:p w:rsidR="00E92015" w:rsidRDefault="00E92015">
      <w:pPr>
        <w:ind w:firstLine="360"/>
        <w:rPr>
          <w:i/>
        </w:rPr>
      </w:pPr>
      <w:r>
        <w:rPr>
          <w:i/>
        </w:rPr>
        <w:t>b)</w:t>
      </w:r>
      <w:r>
        <w:rPr>
          <w:i/>
        </w:rPr>
        <w:tab/>
        <w:t>Substitute ‘PROHIBITED’ with</w:t>
      </w:r>
    </w:p>
    <w:p w:rsidR="00E92015" w:rsidRDefault="00E92015"/>
    <w:p w:rsidR="00E92015" w:rsidRDefault="00E92015">
      <w:pPr>
        <w:ind w:left="720" w:firstLine="720"/>
      </w:pPr>
      <w:r>
        <w:t>PROHIBITED DEVELOPMENT</w:t>
      </w:r>
    </w:p>
    <w:p w:rsidR="00E92015" w:rsidRDefault="00E92015">
      <w:pPr>
        <w:pStyle w:val="Heading4"/>
        <w:spacing w:after="0"/>
        <w:rPr>
          <w:rFonts w:ascii="Arial" w:hAnsi="Arial" w:cs="Arial"/>
          <w:b w:val="0"/>
          <w:sz w:val="32"/>
          <w:szCs w:val="32"/>
        </w:rPr>
      </w:pPr>
      <w:r>
        <w:rPr>
          <w:rFonts w:ascii="Arial" w:hAnsi="Arial" w:cs="Arial"/>
          <w:b w:val="0"/>
          <w:sz w:val="32"/>
          <w:szCs w:val="32"/>
        </w:rPr>
        <w:t>Variation to TSZ2 – Services Zone</w:t>
      </w:r>
    </w:p>
    <w:p w:rsidR="00E92015" w:rsidRPr="001368E0" w:rsidRDefault="00E92015">
      <w:pPr>
        <w:rPr>
          <w:sz w:val="16"/>
          <w:szCs w:val="16"/>
        </w:rPr>
      </w:pPr>
    </w:p>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TSZ2 – Services Zone Development Table</w:t>
      </w:r>
    </w:p>
    <w:p w:rsidR="00E92015" w:rsidRDefault="00E92015"/>
    <w:p w:rsidR="00E92015" w:rsidRDefault="00E92015">
      <w:pPr>
        <w:ind w:firstLine="360"/>
        <w:rPr>
          <w:i/>
        </w:rPr>
      </w:pPr>
      <w:r>
        <w:rPr>
          <w:i/>
        </w:rPr>
        <w:t>a)</w:t>
      </w:r>
      <w:r>
        <w:rPr>
          <w:i/>
        </w:rPr>
        <w:tab/>
        <w:t>Substitute ‘EXEMPT’ with</w:t>
      </w:r>
    </w:p>
    <w:p w:rsidR="00E92015" w:rsidRDefault="00E92015"/>
    <w:p w:rsidR="00E92015" w:rsidRDefault="00E92015">
      <w:pPr>
        <w:ind w:left="720" w:firstLine="720"/>
      </w:pPr>
      <w:r>
        <w:t>EXEMPT DEVELOPMENT</w:t>
      </w:r>
    </w:p>
    <w:p w:rsidR="00E92015" w:rsidRDefault="00E92015">
      <w:pPr>
        <w:ind w:firstLine="360"/>
        <w:rPr>
          <w:i/>
        </w:rPr>
      </w:pPr>
    </w:p>
    <w:p w:rsidR="00E92015" w:rsidRDefault="00E92015">
      <w:pPr>
        <w:ind w:firstLine="360"/>
        <w:rPr>
          <w:i/>
        </w:rPr>
      </w:pPr>
      <w:r>
        <w:rPr>
          <w:i/>
        </w:rPr>
        <w:t>b)</w:t>
      </w:r>
      <w:r>
        <w:rPr>
          <w:i/>
        </w:rPr>
        <w:tab/>
        <w:t>Substitute ‘PROHIBITED’ with</w:t>
      </w:r>
    </w:p>
    <w:p w:rsidR="00E92015" w:rsidRDefault="00E92015"/>
    <w:p w:rsidR="00E92015" w:rsidRDefault="00E92015">
      <w:pPr>
        <w:ind w:left="720" w:firstLine="720"/>
      </w:pPr>
      <w:r>
        <w:t>PROHIBITED DEVELOPMENT</w:t>
      </w:r>
    </w:p>
    <w:p w:rsidR="00E92015" w:rsidRDefault="00E92015">
      <w:pPr>
        <w:rPr>
          <w:rFonts w:cs="Arial"/>
        </w:rPr>
      </w:pPr>
    </w:p>
    <w:p w:rsidR="00E92015" w:rsidRDefault="00E92015">
      <w:pPr>
        <w:pStyle w:val="Heading4"/>
        <w:spacing w:before="120" w:after="0"/>
        <w:rPr>
          <w:rFonts w:ascii="Arial" w:hAnsi="Arial" w:cs="Arial"/>
          <w:b w:val="0"/>
          <w:sz w:val="32"/>
          <w:szCs w:val="32"/>
        </w:rPr>
      </w:pPr>
      <w:r>
        <w:rPr>
          <w:rFonts w:ascii="Arial" w:hAnsi="Arial" w:cs="Arial"/>
          <w:b w:val="0"/>
          <w:sz w:val="32"/>
          <w:szCs w:val="32"/>
        </w:rPr>
        <w:t>Variation to NUZ1 – Broadacre Zone</w:t>
      </w:r>
    </w:p>
    <w:p w:rsidR="00E92015" w:rsidRDefault="00E92015"/>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NUZ1 – Broadacre Zone Development Table</w:t>
      </w:r>
    </w:p>
    <w:p w:rsidR="00E92015" w:rsidRDefault="00E92015"/>
    <w:p w:rsidR="00E92015" w:rsidRDefault="00E92015">
      <w:pPr>
        <w:ind w:firstLine="360"/>
        <w:rPr>
          <w:i/>
        </w:rPr>
      </w:pPr>
      <w:r>
        <w:rPr>
          <w:i/>
        </w:rPr>
        <w:t>a)</w:t>
      </w:r>
      <w:r>
        <w:rPr>
          <w:i/>
        </w:rPr>
        <w:tab/>
        <w:t>Substitute ‘EXEMPT’ with</w:t>
      </w:r>
    </w:p>
    <w:p w:rsidR="00E92015" w:rsidRDefault="00E92015"/>
    <w:p w:rsidR="00E92015" w:rsidRDefault="00E92015">
      <w:pPr>
        <w:ind w:left="720" w:firstLine="720"/>
      </w:pPr>
      <w:r>
        <w:t>EXEMPT DEVELOPMENT</w:t>
      </w:r>
    </w:p>
    <w:p w:rsidR="00E92015" w:rsidRDefault="00E92015">
      <w:pPr>
        <w:ind w:firstLine="360"/>
        <w:rPr>
          <w:i/>
        </w:rPr>
      </w:pPr>
    </w:p>
    <w:p w:rsidR="00E92015" w:rsidRDefault="00E92015">
      <w:pPr>
        <w:ind w:firstLine="360"/>
        <w:rPr>
          <w:i/>
        </w:rPr>
      </w:pPr>
      <w:r>
        <w:rPr>
          <w:i/>
        </w:rPr>
        <w:t>b)</w:t>
      </w:r>
      <w:r>
        <w:rPr>
          <w:i/>
        </w:rPr>
        <w:tab/>
        <w:t>Substitute ‘PROHIBITED’ with</w:t>
      </w:r>
    </w:p>
    <w:p w:rsidR="00E92015" w:rsidRDefault="00E92015"/>
    <w:p w:rsidR="00E92015" w:rsidRDefault="00E92015">
      <w:pPr>
        <w:ind w:left="720" w:firstLine="720"/>
      </w:pPr>
      <w:r>
        <w:t>PROHIBITED DEVELOPMENT</w:t>
      </w:r>
    </w:p>
    <w:p w:rsidR="00E92015" w:rsidRDefault="00E92015">
      <w:pPr>
        <w:ind w:firstLine="720"/>
      </w:pPr>
    </w:p>
    <w:p w:rsidR="00E92015" w:rsidRDefault="00E92015">
      <w:pPr>
        <w:pStyle w:val="Heading4"/>
        <w:spacing w:before="120" w:after="0"/>
        <w:rPr>
          <w:rFonts w:ascii="Arial" w:hAnsi="Arial" w:cs="Arial"/>
          <w:b w:val="0"/>
          <w:sz w:val="32"/>
          <w:szCs w:val="32"/>
        </w:rPr>
      </w:pPr>
      <w:r>
        <w:rPr>
          <w:rFonts w:ascii="Arial" w:hAnsi="Arial" w:cs="Arial"/>
          <w:b w:val="0"/>
          <w:sz w:val="32"/>
          <w:szCs w:val="32"/>
        </w:rPr>
        <w:t>Variation to NUZ2 – Rural Zone</w:t>
      </w:r>
    </w:p>
    <w:p w:rsidR="00E92015" w:rsidRDefault="00E92015"/>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NUZ2 – Rural Zone Development Table</w:t>
      </w:r>
    </w:p>
    <w:p w:rsidR="00E92015" w:rsidRDefault="00E92015"/>
    <w:p w:rsidR="00E92015" w:rsidRDefault="00E92015">
      <w:pPr>
        <w:ind w:firstLine="360"/>
        <w:rPr>
          <w:i/>
        </w:rPr>
      </w:pPr>
      <w:r>
        <w:rPr>
          <w:i/>
        </w:rPr>
        <w:t>a)</w:t>
      </w:r>
      <w:r>
        <w:rPr>
          <w:i/>
        </w:rPr>
        <w:tab/>
        <w:t>Substitute ‘EXEMPT’ with</w:t>
      </w:r>
    </w:p>
    <w:p w:rsidR="00E92015" w:rsidRDefault="00E92015"/>
    <w:p w:rsidR="00E92015" w:rsidRDefault="00E92015">
      <w:pPr>
        <w:ind w:left="720" w:firstLine="720"/>
      </w:pPr>
      <w:r>
        <w:t>EXEMPT DEVELOPMENT</w:t>
      </w:r>
    </w:p>
    <w:p w:rsidR="00E92015" w:rsidRDefault="00E92015">
      <w:pPr>
        <w:ind w:firstLine="360"/>
        <w:rPr>
          <w:i/>
        </w:rPr>
      </w:pPr>
    </w:p>
    <w:p w:rsidR="00E92015" w:rsidRDefault="00E92015">
      <w:pPr>
        <w:ind w:firstLine="360"/>
        <w:rPr>
          <w:i/>
        </w:rPr>
      </w:pPr>
      <w:r>
        <w:rPr>
          <w:i/>
        </w:rPr>
        <w:t>b)</w:t>
      </w:r>
      <w:r>
        <w:rPr>
          <w:i/>
        </w:rPr>
        <w:tab/>
        <w:t>Substitute ‘PROHIBITED’ with</w:t>
      </w:r>
    </w:p>
    <w:p w:rsidR="00E92015" w:rsidRDefault="00E92015"/>
    <w:p w:rsidR="00E92015" w:rsidRDefault="00E92015">
      <w:pPr>
        <w:ind w:left="720" w:firstLine="720"/>
      </w:pPr>
      <w:r>
        <w:t>PROHIBITED DEVELOPMENT</w:t>
      </w:r>
    </w:p>
    <w:p w:rsidR="00E92015" w:rsidRDefault="00E92015">
      <w:pPr>
        <w:ind w:firstLine="720"/>
      </w:pPr>
    </w:p>
    <w:p w:rsidR="00E92015" w:rsidRDefault="00E92015">
      <w:pPr>
        <w:pStyle w:val="Heading4"/>
        <w:spacing w:before="120" w:after="0"/>
        <w:rPr>
          <w:rFonts w:ascii="Arial" w:hAnsi="Arial" w:cs="Arial"/>
          <w:b w:val="0"/>
          <w:sz w:val="32"/>
          <w:szCs w:val="32"/>
        </w:rPr>
      </w:pPr>
      <w:r>
        <w:rPr>
          <w:rFonts w:ascii="Arial" w:hAnsi="Arial" w:cs="Arial"/>
          <w:b w:val="0"/>
          <w:sz w:val="32"/>
          <w:szCs w:val="32"/>
        </w:rPr>
        <w:t>Variation to NUZ3– Hills Ridges and Buffer Zone</w:t>
      </w:r>
    </w:p>
    <w:p w:rsidR="00E92015" w:rsidRDefault="00E92015"/>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NUZ3 – Hills Ridges and Buffer Zone Development Table</w:t>
      </w:r>
    </w:p>
    <w:p w:rsidR="00E92015" w:rsidRDefault="00E92015"/>
    <w:p w:rsidR="00E92015" w:rsidRDefault="00E92015">
      <w:pPr>
        <w:ind w:firstLine="360"/>
        <w:rPr>
          <w:i/>
        </w:rPr>
      </w:pPr>
      <w:r>
        <w:rPr>
          <w:i/>
        </w:rPr>
        <w:t>a)</w:t>
      </w:r>
      <w:r>
        <w:rPr>
          <w:i/>
        </w:rPr>
        <w:tab/>
        <w:t>Substitute ‘EXEMPT’ with</w:t>
      </w:r>
    </w:p>
    <w:p w:rsidR="00E92015" w:rsidRDefault="00E92015"/>
    <w:p w:rsidR="00E92015" w:rsidRDefault="00E92015">
      <w:pPr>
        <w:ind w:left="720" w:firstLine="720"/>
      </w:pPr>
      <w:r>
        <w:t>EXEMPT DEVELOPMENT</w:t>
      </w:r>
    </w:p>
    <w:p w:rsidR="00E92015" w:rsidRDefault="00E92015">
      <w:pPr>
        <w:ind w:firstLine="360"/>
        <w:rPr>
          <w:i/>
        </w:rPr>
      </w:pPr>
    </w:p>
    <w:p w:rsidR="00E92015" w:rsidRDefault="00E92015">
      <w:pPr>
        <w:ind w:firstLine="360"/>
        <w:rPr>
          <w:i/>
        </w:rPr>
      </w:pPr>
      <w:r>
        <w:rPr>
          <w:i/>
        </w:rPr>
        <w:t>b)</w:t>
      </w:r>
      <w:r>
        <w:rPr>
          <w:i/>
        </w:rPr>
        <w:tab/>
        <w:t>Substitute ‘PROHIBITED’ with</w:t>
      </w:r>
    </w:p>
    <w:p w:rsidR="00E92015" w:rsidRDefault="00E92015"/>
    <w:p w:rsidR="00E92015" w:rsidRDefault="00E92015">
      <w:pPr>
        <w:ind w:left="720" w:firstLine="720"/>
      </w:pPr>
      <w:r>
        <w:t>PROHIBITED DEVELOPMENT</w:t>
      </w:r>
    </w:p>
    <w:p w:rsidR="00E92015" w:rsidRDefault="00E92015">
      <w:pPr>
        <w:pStyle w:val="Heading4"/>
        <w:rPr>
          <w:rFonts w:ascii="Arial" w:hAnsi="Arial" w:cs="Arial"/>
          <w:b w:val="0"/>
          <w:sz w:val="32"/>
          <w:szCs w:val="32"/>
        </w:rPr>
      </w:pPr>
      <w:r>
        <w:rPr>
          <w:rFonts w:ascii="Arial" w:hAnsi="Arial" w:cs="Arial"/>
          <w:b w:val="0"/>
          <w:sz w:val="32"/>
          <w:szCs w:val="32"/>
        </w:rPr>
        <w:t>Variation to NUZ4 – River Corridor Zone</w:t>
      </w:r>
    </w:p>
    <w:p w:rsidR="00E92015" w:rsidRDefault="00E92015"/>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NUZ4 – River Corridor Zone Development Table</w:t>
      </w:r>
    </w:p>
    <w:p w:rsidR="00E92015" w:rsidRDefault="00E92015"/>
    <w:p w:rsidR="00E92015" w:rsidRDefault="00E92015">
      <w:pPr>
        <w:ind w:firstLine="360"/>
        <w:rPr>
          <w:i/>
        </w:rPr>
      </w:pPr>
      <w:r>
        <w:rPr>
          <w:i/>
        </w:rPr>
        <w:t>a)</w:t>
      </w:r>
      <w:r>
        <w:rPr>
          <w:i/>
        </w:rPr>
        <w:tab/>
        <w:t>Substitute ‘EXEMPT’ with</w:t>
      </w:r>
    </w:p>
    <w:p w:rsidR="00E92015" w:rsidRDefault="00E92015"/>
    <w:p w:rsidR="00E92015" w:rsidRDefault="00E92015">
      <w:pPr>
        <w:ind w:left="720" w:firstLine="720"/>
      </w:pPr>
      <w:r>
        <w:t>EXEMPT DEVELOPMENT</w:t>
      </w:r>
    </w:p>
    <w:p w:rsidR="00E92015" w:rsidRDefault="00E92015">
      <w:pPr>
        <w:ind w:firstLine="360"/>
        <w:rPr>
          <w:i/>
        </w:rPr>
      </w:pPr>
    </w:p>
    <w:p w:rsidR="00E92015" w:rsidRDefault="00E92015">
      <w:pPr>
        <w:ind w:firstLine="360"/>
        <w:rPr>
          <w:i/>
        </w:rPr>
      </w:pPr>
      <w:r>
        <w:rPr>
          <w:i/>
        </w:rPr>
        <w:t>b)</w:t>
      </w:r>
      <w:r>
        <w:rPr>
          <w:i/>
        </w:rPr>
        <w:tab/>
        <w:t>Substitute ‘PROHIBITED’ with</w:t>
      </w:r>
    </w:p>
    <w:p w:rsidR="00E92015" w:rsidRDefault="00E92015"/>
    <w:p w:rsidR="00E92015" w:rsidRDefault="00E92015">
      <w:pPr>
        <w:ind w:left="720" w:firstLine="720"/>
      </w:pPr>
      <w:r>
        <w:t>PROHIBITED DEVELOPMENT</w:t>
      </w:r>
    </w:p>
    <w:p w:rsidR="00E92015" w:rsidRDefault="00E92015">
      <w:pPr>
        <w:ind w:firstLine="720"/>
      </w:pPr>
    </w:p>
    <w:p w:rsidR="00E92015" w:rsidRDefault="00E92015">
      <w:pPr>
        <w:pStyle w:val="Heading4"/>
        <w:rPr>
          <w:rFonts w:ascii="Arial" w:hAnsi="Arial" w:cs="Arial"/>
          <w:b w:val="0"/>
          <w:sz w:val="32"/>
          <w:szCs w:val="32"/>
        </w:rPr>
      </w:pPr>
      <w:r>
        <w:rPr>
          <w:rFonts w:ascii="Arial" w:hAnsi="Arial" w:cs="Arial"/>
          <w:b w:val="0"/>
          <w:sz w:val="32"/>
          <w:szCs w:val="32"/>
        </w:rPr>
        <w:t>Variation to NUZ5 – Mountains and Bushland Zone</w:t>
      </w:r>
    </w:p>
    <w:p w:rsidR="00E92015" w:rsidRDefault="00E92015"/>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NUZ5 – Mountains and Bushland Zone Development Table</w:t>
      </w:r>
    </w:p>
    <w:p w:rsidR="00E92015" w:rsidRDefault="00E92015"/>
    <w:p w:rsidR="00E92015" w:rsidRDefault="00E92015">
      <w:pPr>
        <w:ind w:firstLine="360"/>
        <w:rPr>
          <w:i/>
        </w:rPr>
      </w:pPr>
      <w:r>
        <w:rPr>
          <w:i/>
        </w:rPr>
        <w:t>a)</w:t>
      </w:r>
      <w:r>
        <w:rPr>
          <w:i/>
        </w:rPr>
        <w:tab/>
        <w:t>Substitute ‘EXEMPT’ with</w:t>
      </w:r>
    </w:p>
    <w:p w:rsidR="00E92015" w:rsidRDefault="00E92015"/>
    <w:p w:rsidR="00E92015" w:rsidRDefault="00E92015">
      <w:pPr>
        <w:ind w:left="720" w:firstLine="720"/>
      </w:pPr>
      <w:r>
        <w:t>EXEMPT DEVELOPMENT</w:t>
      </w:r>
    </w:p>
    <w:p w:rsidR="00E92015" w:rsidRDefault="00E92015">
      <w:pPr>
        <w:ind w:firstLine="360"/>
        <w:rPr>
          <w:i/>
        </w:rPr>
      </w:pPr>
    </w:p>
    <w:p w:rsidR="00E92015" w:rsidRDefault="00E92015">
      <w:pPr>
        <w:ind w:firstLine="360"/>
        <w:rPr>
          <w:i/>
        </w:rPr>
      </w:pPr>
      <w:r>
        <w:rPr>
          <w:i/>
        </w:rPr>
        <w:t>b)</w:t>
      </w:r>
      <w:r>
        <w:rPr>
          <w:i/>
        </w:rPr>
        <w:tab/>
        <w:t>Substitute ‘PROHIBITED’ with</w:t>
      </w:r>
    </w:p>
    <w:p w:rsidR="00E92015" w:rsidRDefault="00E92015"/>
    <w:p w:rsidR="00E92015" w:rsidRDefault="00E92015">
      <w:pPr>
        <w:ind w:left="720" w:firstLine="720"/>
      </w:pPr>
      <w:r>
        <w:t>PROHIBITED DEVELOPMENT</w:t>
      </w:r>
    </w:p>
    <w:p w:rsidR="00E92015" w:rsidRDefault="00E92015">
      <w:pPr>
        <w:pStyle w:val="Heading4"/>
        <w:rPr>
          <w:rFonts w:ascii="Arial" w:hAnsi="Arial" w:cs="Arial"/>
          <w:b w:val="0"/>
          <w:sz w:val="32"/>
          <w:szCs w:val="32"/>
        </w:rPr>
      </w:pPr>
      <w:r>
        <w:rPr>
          <w:rFonts w:ascii="Arial" w:hAnsi="Arial" w:cs="Arial"/>
          <w:b w:val="0"/>
          <w:sz w:val="32"/>
          <w:szCs w:val="32"/>
        </w:rPr>
        <w:t xml:space="preserve">Variation to parking and vehicular access general code </w:t>
      </w:r>
    </w:p>
    <w:p w:rsidR="00E92015" w:rsidRDefault="00E92015"/>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3.2.5 Schedules of parking provision rates for commercial zones, Schedule 2 Parking provision rates for commercial zones</w:t>
      </w:r>
    </w:p>
    <w:p w:rsidR="00E92015" w:rsidRDefault="00E92015"/>
    <w:p w:rsidR="00E92015" w:rsidRDefault="00E92015">
      <w:pPr>
        <w:ind w:firstLine="360"/>
        <w:rPr>
          <w:rFonts w:cs="Arial"/>
          <w:i/>
        </w:rPr>
      </w:pPr>
      <w:r>
        <w:rPr>
          <w:rFonts w:cs="Arial"/>
          <w:i/>
        </w:rPr>
        <w:t>In the City Centre column for Office:</w:t>
      </w:r>
    </w:p>
    <w:p w:rsidR="00E92015" w:rsidRDefault="00E92015">
      <w:pPr>
        <w:ind w:left="360"/>
        <w:rPr>
          <w:rFonts w:cs="Arial"/>
          <w:i/>
        </w:rPr>
      </w:pPr>
    </w:p>
    <w:p w:rsidR="00E92015" w:rsidRDefault="00E92015">
      <w:pPr>
        <w:numPr>
          <w:ilvl w:val="0"/>
          <w:numId w:val="20"/>
        </w:numPr>
        <w:rPr>
          <w:rFonts w:cs="Arial"/>
          <w:i/>
        </w:rPr>
      </w:pPr>
      <w:r>
        <w:rPr>
          <w:rFonts w:cs="Arial"/>
          <w:i/>
        </w:rPr>
        <w:t>In the ‘CZ2 Zone’ substitute</w:t>
      </w:r>
    </w:p>
    <w:p w:rsidR="00E92015" w:rsidRDefault="00E92015">
      <w:pPr>
        <w:ind w:left="360"/>
        <w:rPr>
          <w:rFonts w:cs="Arial"/>
        </w:rPr>
      </w:pPr>
    </w:p>
    <w:p w:rsidR="00E92015" w:rsidRDefault="00E92015">
      <w:pPr>
        <w:ind w:left="1080" w:hanging="180"/>
        <w:rPr>
          <w:rFonts w:cs="Arial"/>
          <w:sz w:val="20"/>
        </w:rPr>
      </w:pPr>
      <w:r>
        <w:rPr>
          <w:rFonts w:cs="Arial"/>
          <w:sz w:val="20"/>
        </w:rPr>
        <w:t>2.0 spaces/100m</w:t>
      </w:r>
      <w:r>
        <w:rPr>
          <w:rFonts w:cs="Arial"/>
          <w:sz w:val="20"/>
          <w:vertAlign w:val="superscript"/>
        </w:rPr>
        <w:t>2</w:t>
      </w:r>
      <w:r>
        <w:rPr>
          <w:rFonts w:cs="Arial"/>
          <w:sz w:val="20"/>
        </w:rPr>
        <w:t xml:space="preserve"> GFA</w:t>
      </w:r>
    </w:p>
    <w:p w:rsidR="00E92015" w:rsidRDefault="00E92015">
      <w:pPr>
        <w:ind w:left="360"/>
        <w:rPr>
          <w:rFonts w:cs="Arial"/>
        </w:rPr>
      </w:pPr>
    </w:p>
    <w:p w:rsidR="00E92015" w:rsidRDefault="00E92015">
      <w:pPr>
        <w:numPr>
          <w:ilvl w:val="0"/>
          <w:numId w:val="20"/>
        </w:numPr>
        <w:rPr>
          <w:rFonts w:cs="Arial"/>
          <w:i/>
        </w:rPr>
      </w:pPr>
      <w:r>
        <w:rPr>
          <w:rFonts w:cs="Arial"/>
          <w:i/>
        </w:rPr>
        <w:t>In the ‘CZ3 Zone’ substitute</w:t>
      </w:r>
    </w:p>
    <w:p w:rsidR="00E92015" w:rsidRDefault="00E92015">
      <w:pPr>
        <w:ind w:left="360"/>
        <w:rPr>
          <w:rFonts w:cs="Arial"/>
        </w:rPr>
      </w:pPr>
    </w:p>
    <w:p w:rsidR="00E92015" w:rsidRDefault="00E92015">
      <w:pPr>
        <w:ind w:left="720" w:firstLine="180"/>
        <w:rPr>
          <w:rFonts w:cs="Arial"/>
          <w:sz w:val="20"/>
        </w:rPr>
      </w:pPr>
      <w:r>
        <w:rPr>
          <w:rFonts w:cs="Arial"/>
          <w:sz w:val="20"/>
        </w:rPr>
        <w:t>2.0 spaces/100m</w:t>
      </w:r>
      <w:r>
        <w:rPr>
          <w:rFonts w:cs="Arial"/>
          <w:sz w:val="20"/>
          <w:vertAlign w:val="superscript"/>
        </w:rPr>
        <w:t>2</w:t>
      </w:r>
      <w:r>
        <w:rPr>
          <w:rFonts w:cs="Arial"/>
          <w:sz w:val="20"/>
        </w:rPr>
        <w:t xml:space="preserve"> GFA</w:t>
      </w:r>
    </w:p>
    <w:p w:rsidR="00E92015" w:rsidRDefault="00E92015">
      <w:pPr>
        <w:ind w:left="360"/>
        <w:rPr>
          <w:rFonts w:cs="Arial"/>
        </w:rPr>
      </w:pPr>
    </w:p>
    <w:p w:rsidR="00E92015" w:rsidRDefault="00E92015"/>
    <w:p w:rsidR="00E92015" w:rsidRDefault="00E92015">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3.2.5 Schedules of parking provision rates for commercial zones, Schedule 2 Parking provision rates for commercial zones</w:t>
      </w:r>
    </w:p>
    <w:p w:rsidR="00E92015" w:rsidRDefault="00E92015"/>
    <w:p w:rsidR="00E92015" w:rsidRDefault="00E92015">
      <w:pPr>
        <w:ind w:left="360"/>
        <w:rPr>
          <w:rFonts w:cs="Arial"/>
          <w:i/>
        </w:rPr>
      </w:pPr>
      <w:r>
        <w:rPr>
          <w:rFonts w:cs="Arial"/>
          <w:i/>
        </w:rPr>
        <w:t xml:space="preserve">In the Group centres, Local centres and CZ2 zones outside centres and </w:t>
      </w:r>
      <w:smartTag w:uri="urn:schemas-microsoft-com:office:smarttags" w:element="Street">
        <w:smartTag w:uri="urn:schemas-microsoft-com:office:smarttags" w:element="address">
          <w:r>
            <w:rPr>
              <w:rFonts w:cs="Arial"/>
              <w:i/>
            </w:rPr>
            <w:t>Northbourne Avenue</w:t>
          </w:r>
        </w:smartTag>
      </w:smartTag>
      <w:r>
        <w:rPr>
          <w:rFonts w:cs="Arial"/>
          <w:i/>
        </w:rPr>
        <w:t xml:space="preserve"> precinct column associated with Office substitute:</w:t>
      </w:r>
    </w:p>
    <w:p w:rsidR="00E92015" w:rsidRDefault="00E92015">
      <w:pPr>
        <w:ind w:left="360"/>
        <w:rPr>
          <w:rFonts w:cs="Arial"/>
        </w:rPr>
      </w:pPr>
    </w:p>
    <w:p w:rsidR="00E92015" w:rsidRDefault="00E92015">
      <w:pPr>
        <w:ind w:left="900"/>
        <w:rPr>
          <w:rFonts w:cs="Arial"/>
          <w:sz w:val="20"/>
        </w:rPr>
      </w:pPr>
      <w:r>
        <w:rPr>
          <w:rFonts w:cs="Arial"/>
          <w:sz w:val="20"/>
        </w:rPr>
        <w:t>2.5 spaces/100m</w:t>
      </w:r>
      <w:r>
        <w:rPr>
          <w:rFonts w:cs="Arial"/>
          <w:sz w:val="20"/>
          <w:vertAlign w:val="superscript"/>
        </w:rPr>
        <w:t>2</w:t>
      </w:r>
      <w:r>
        <w:rPr>
          <w:rFonts w:cs="Arial"/>
          <w:sz w:val="20"/>
        </w:rPr>
        <w:t xml:space="preserve"> GFA except for </w:t>
      </w:r>
      <w:smartTag w:uri="urn:schemas-microsoft-com:office:smarttags" w:element="Street">
        <w:smartTag w:uri="urn:schemas-microsoft-com:office:smarttags" w:element="address">
          <w:r>
            <w:rPr>
              <w:rFonts w:cs="Arial"/>
              <w:sz w:val="20"/>
            </w:rPr>
            <w:t>Northbourne Avenue</w:t>
          </w:r>
        </w:smartTag>
      </w:smartTag>
      <w:r>
        <w:rPr>
          <w:rFonts w:cs="Arial"/>
          <w:sz w:val="20"/>
        </w:rPr>
        <w:t xml:space="preserve"> precinct where the rate is 2.0 spaces/100m</w:t>
      </w:r>
      <w:r>
        <w:rPr>
          <w:rFonts w:cs="Arial"/>
          <w:sz w:val="20"/>
          <w:vertAlign w:val="superscript"/>
        </w:rPr>
        <w:t>2</w:t>
      </w:r>
      <w:r>
        <w:rPr>
          <w:rFonts w:cs="Arial"/>
          <w:sz w:val="20"/>
        </w:rPr>
        <w:t xml:space="preserve"> GFA</w:t>
      </w:r>
    </w:p>
    <w:p w:rsidR="00E92015" w:rsidRDefault="00E92015">
      <w:pPr>
        <w:rPr>
          <w:rFonts w:cs="Arial"/>
          <w:b/>
        </w:rPr>
      </w:pPr>
    </w:p>
    <w:p w:rsidR="00E92015" w:rsidRDefault="00E92015">
      <w:pPr>
        <w:pStyle w:val="Heading4"/>
        <w:rPr>
          <w:rFonts w:ascii="Arial" w:hAnsi="Arial" w:cs="Arial"/>
          <w:b w:val="0"/>
          <w:sz w:val="32"/>
          <w:szCs w:val="32"/>
        </w:rPr>
      </w:pPr>
      <w:r>
        <w:rPr>
          <w:rFonts w:ascii="Arial" w:hAnsi="Arial" w:cs="Arial"/>
          <w:b w:val="0"/>
          <w:sz w:val="32"/>
          <w:szCs w:val="32"/>
        </w:rPr>
        <w:t xml:space="preserve">Variation to concept plans – Precinct codes for section 93 of the Planning and Development Act 2007 Coombs and Wright </w:t>
      </w:r>
    </w:p>
    <w:p w:rsidR="00E92015" w:rsidRDefault="00E92015"/>
    <w:p w:rsidR="00E92015" w:rsidRDefault="00E92015">
      <w:pPr>
        <w:numPr>
          <w:ilvl w:val="0"/>
          <w:numId w:val="2"/>
        </w:numPr>
        <w:pBdr>
          <w:top w:val="single" w:sz="4" w:space="1" w:color="auto"/>
          <w:left w:val="single" w:sz="4" w:space="4" w:color="auto"/>
          <w:bottom w:val="single" w:sz="4" w:space="1" w:color="auto"/>
          <w:right w:val="single" w:sz="4" w:space="4" w:color="auto"/>
        </w:pBdr>
        <w:shd w:val="clear" w:color="auto" w:fill="D9D9D9"/>
        <w:rPr>
          <w:rFonts w:cs="Arial"/>
          <w:b/>
        </w:rPr>
      </w:pPr>
      <w:r>
        <w:rPr>
          <w:rFonts w:cs="Arial"/>
          <w:b/>
        </w:rPr>
        <w:t xml:space="preserve">Part C – Buildings and structures Figure 4 </w:t>
      </w:r>
    </w:p>
    <w:p w:rsidR="00E92015" w:rsidRDefault="00E92015">
      <w:pPr>
        <w:rPr>
          <w:rFonts w:cs="Arial"/>
          <w:i/>
        </w:rPr>
      </w:pPr>
    </w:p>
    <w:p w:rsidR="00E92015" w:rsidRDefault="00E92015">
      <w:pPr>
        <w:ind w:left="360"/>
        <w:rPr>
          <w:rFonts w:cs="Arial"/>
          <w:i/>
        </w:rPr>
      </w:pPr>
      <w:r>
        <w:rPr>
          <w:rFonts w:cs="Arial"/>
          <w:i/>
        </w:rPr>
        <w:t xml:space="preserve">Substitute with Figure 4 Concept Plan at </w:t>
      </w:r>
      <w:r>
        <w:rPr>
          <w:rFonts w:cs="Arial"/>
          <w:b/>
          <w:i/>
        </w:rPr>
        <w:t>Appendix A</w:t>
      </w:r>
      <w:r>
        <w:rPr>
          <w:rFonts w:cs="Arial"/>
          <w:i/>
        </w:rPr>
        <w:t>.</w:t>
      </w:r>
    </w:p>
    <w:p w:rsidR="00E92015" w:rsidRDefault="00E92015">
      <w:pPr>
        <w:rPr>
          <w:rFonts w:cs="Arial"/>
          <w:color w:val="FF0000"/>
        </w:rPr>
      </w:pPr>
    </w:p>
    <w:p w:rsidR="00E92015" w:rsidRDefault="00E92015">
      <w:pPr>
        <w:rPr>
          <w:rFonts w:cs="Arial"/>
          <w:b/>
        </w:rPr>
      </w:pPr>
    </w:p>
    <w:p w:rsidR="00E92015" w:rsidRDefault="00E92015">
      <w:pPr>
        <w:rPr>
          <w:rFonts w:cs="Arial"/>
          <w:b/>
        </w:rPr>
      </w:pPr>
      <w:r>
        <w:rPr>
          <w:rFonts w:cs="Arial"/>
          <w:b/>
        </w:rPr>
        <w:br w:type="page"/>
        <w:t>Interpretation service</w:t>
      </w:r>
    </w:p>
    <w:p w:rsidR="00E92015" w:rsidRDefault="00E92015">
      <w:pPr>
        <w:rPr>
          <w:rFonts w:cs="Arial"/>
          <w:b/>
        </w:rPr>
      </w:pPr>
    </w:p>
    <w:p w:rsidR="00E92015" w:rsidRDefault="00DD77D2">
      <w:pPr>
        <w:rPr>
          <w:rFonts w:cs="Arial"/>
          <w:color w:val="0066CC"/>
        </w:rPr>
      </w:pPr>
      <w:r>
        <w:rPr>
          <w:rFonts w:cs="Arial"/>
          <w:color w:val="0066CC"/>
        </w:rPr>
        <w:pict>
          <v:shape id="_x0000_i1028" type="#_x0000_t75" style="width:423pt;height:279pt" o:bordertopcolor="this" o:borderleftcolor="this" o:borderbottomcolor="this" o:borderrightcolor="this" fillcolor="window">
            <v:imagedata r:id="rId16" o:title=""/>
          </v:shape>
        </w:pict>
      </w:r>
    </w:p>
    <w:p w:rsidR="00E92015" w:rsidRDefault="00E92015">
      <w:pPr>
        <w:rPr>
          <w:rFonts w:cs="Arial"/>
          <w:color w:val="0066CC"/>
        </w:rPr>
      </w:pPr>
    </w:p>
    <w:p w:rsidR="00E92015" w:rsidRDefault="00E92015">
      <w:pPr>
        <w:rPr>
          <w:rFonts w:cs="Arial"/>
          <w:color w:val="0066CC"/>
        </w:rPr>
      </w:pPr>
    </w:p>
    <w:p w:rsidR="00E92015" w:rsidRDefault="00E92015">
      <w:pPr>
        <w:jc w:val="right"/>
        <w:rPr>
          <w:rFonts w:cs="Arial"/>
          <w:b/>
        </w:rPr>
      </w:pPr>
      <w:r>
        <w:rPr>
          <w:rFonts w:cs="Arial"/>
        </w:rPr>
        <w:br w:type="page"/>
      </w:r>
      <w:r>
        <w:rPr>
          <w:rFonts w:cs="Arial"/>
          <w:b/>
        </w:rPr>
        <w:t>APPENDIX A</w:t>
      </w:r>
    </w:p>
    <w:p w:rsidR="00E92015" w:rsidRDefault="00E92015">
      <w:pPr>
        <w:jc w:val="right"/>
        <w:rPr>
          <w:rFonts w:cs="Arial"/>
        </w:rPr>
      </w:pPr>
    </w:p>
    <w:p w:rsidR="00E92015" w:rsidRDefault="00DD77D2">
      <w:pPr>
        <w:rPr>
          <w:rFonts w:cs="Arial"/>
        </w:rPr>
      </w:pPr>
      <w:r>
        <w:rPr>
          <w:rFonts w:cs="Arial"/>
        </w:rPr>
        <w:pict>
          <v:shape id="_x0000_i1029" type="#_x0000_t75" style="width:413.25pt;height:573.75pt">
            <v:imagedata r:id="rId17" o:title=""/>
          </v:shape>
        </w:pict>
      </w:r>
    </w:p>
    <w:p w:rsidR="00E92015" w:rsidRDefault="00E92015">
      <w:pPr>
        <w:rPr>
          <w:rFonts w:cs="Arial"/>
        </w:rPr>
      </w:pPr>
    </w:p>
    <w:p w:rsidR="00E92015" w:rsidRDefault="00E92015">
      <w:pPr>
        <w:jc w:val="center"/>
        <w:rPr>
          <w:rFonts w:cs="Arial"/>
          <w:b/>
          <w:sz w:val="22"/>
          <w:szCs w:val="22"/>
        </w:rPr>
      </w:pPr>
      <w:r>
        <w:rPr>
          <w:rFonts w:cs="Arial"/>
          <w:b/>
          <w:sz w:val="22"/>
          <w:szCs w:val="22"/>
        </w:rPr>
        <w:t>Figure 4</w:t>
      </w:r>
      <w:r>
        <w:rPr>
          <w:rFonts w:cs="Arial"/>
          <w:b/>
          <w:sz w:val="22"/>
          <w:szCs w:val="22"/>
        </w:rPr>
        <w:tab/>
        <w:t>Concept Plan</w:t>
      </w:r>
    </w:p>
    <w:sectPr w:rsidR="00E92015" w:rsidSect="001368E0">
      <w:footerReference w:type="default" r:id="rId18"/>
      <w:pgSz w:w="11906" w:h="16838" w:code="9"/>
      <w:pgMar w:top="1440" w:right="1797" w:bottom="1440" w:left="1797" w:header="709" w:footer="57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8E0" w:rsidRDefault="001368E0">
      <w:r>
        <w:separator/>
      </w:r>
    </w:p>
  </w:endnote>
  <w:endnote w:type="continuationSeparator" w:id="0">
    <w:p w:rsidR="001368E0" w:rsidRDefault="00136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1AE" w:rsidRDefault="006331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E0" w:rsidRPr="006331AE" w:rsidRDefault="006331AE" w:rsidP="006331AE">
    <w:pPr>
      <w:pStyle w:val="Footer"/>
      <w:tabs>
        <w:tab w:val="clear" w:pos="4153"/>
        <w:tab w:val="clear" w:pos="8306"/>
        <w:tab w:val="left" w:pos="3375"/>
      </w:tabs>
      <w:jc w:val="center"/>
      <w:rPr>
        <w:rFonts w:cs="Arial"/>
        <w:sz w:val="14"/>
      </w:rPr>
    </w:pPr>
    <w:r w:rsidRPr="006331AE">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E0" w:rsidRDefault="001368E0" w:rsidP="00AE6E2A">
    <w:pPr>
      <w:pStyle w:val="Footer"/>
      <w:rPr>
        <w:rFonts w:cs="Arial"/>
        <w:sz w:val="18"/>
        <w:szCs w:val="18"/>
      </w:rPr>
    </w:pPr>
    <w:r>
      <w:rPr>
        <w:rFonts w:cs="Arial"/>
        <w:sz w:val="18"/>
        <w:szCs w:val="18"/>
      </w:rPr>
      <w:t>*Name amended under Legislation Act, s 60</w:t>
    </w:r>
  </w:p>
  <w:p w:rsidR="001368E0" w:rsidRDefault="001368E0">
    <w:pPr>
      <w:pStyle w:val="Footer"/>
      <w:spacing w:after="60"/>
      <w:jc w:val="center"/>
      <w:rPr>
        <w:rFonts w:cs="Arial"/>
        <w:sz w:val="20"/>
      </w:rPr>
    </w:pPr>
    <w:r>
      <w:rPr>
        <w:rFonts w:cs="Arial"/>
        <w:sz w:val="20"/>
      </w:rPr>
      <w:t>TA2010-22 Miscellaneous amendments and corrections</w:t>
    </w:r>
  </w:p>
  <w:p w:rsidR="001368E0" w:rsidRDefault="001368E0">
    <w:pPr>
      <w:pStyle w:val="Footer"/>
      <w:jc w:val="center"/>
      <w:rPr>
        <w:rFonts w:cs="Arial"/>
        <w:sz w:val="20"/>
      </w:rPr>
    </w:pPr>
    <w:r>
      <w:rPr>
        <w:rFonts w:cs="Arial"/>
        <w:sz w:val="20"/>
      </w:rPr>
      <w:t xml:space="preserve">Page </w:t>
    </w:r>
    <w:r>
      <w:rPr>
        <w:rStyle w:val="PageNumber"/>
        <w:rFonts w:cs="Arial"/>
        <w:sz w:val="20"/>
      </w:rPr>
      <w:t>1</w:t>
    </w:r>
  </w:p>
  <w:p w:rsidR="001368E0" w:rsidRPr="006331AE" w:rsidRDefault="006331AE" w:rsidP="006331AE">
    <w:pPr>
      <w:pStyle w:val="Footer"/>
      <w:jc w:val="center"/>
      <w:rPr>
        <w:rFonts w:cs="Arial"/>
        <w:sz w:val="14"/>
      </w:rPr>
    </w:pPr>
    <w:r w:rsidRPr="006331AE">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E0" w:rsidRDefault="001368E0">
    <w:pPr>
      <w:pStyle w:val="Footer"/>
      <w:jc w:val="center"/>
    </w:pPr>
    <w:r>
      <w:object w:dxaOrig="2622"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75pt;height:72.75pt" o:ole="" o:bordertopcolor="this" o:borderleftcolor="this" o:borderbottomcolor="this" o:borderrightcolor="this">
          <v:imagedata r:id="rId1" o:title="" croptop="5139f" cropleft="5549f"/>
        </v:shape>
        <o:OLEObject Type="Embed" ProgID="Imaging.Document" ShapeID="_x0000_i1026" DrawAspect="Content" ObjectID="_1596968578" r:id="rId2"/>
      </w:object>
    </w:r>
  </w:p>
  <w:p w:rsidR="001368E0" w:rsidRPr="006331AE" w:rsidRDefault="006331AE" w:rsidP="006331AE">
    <w:pPr>
      <w:pStyle w:val="Footer"/>
      <w:jc w:val="center"/>
      <w:rPr>
        <w:rFonts w:cs="Arial"/>
        <w:sz w:val="14"/>
      </w:rPr>
    </w:pPr>
    <w:r w:rsidRPr="006331AE">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E0" w:rsidRDefault="001368E0">
    <w:pPr>
      <w:pStyle w:val="TAACTPLAlogo"/>
      <w:rPr>
        <w:rFonts w:cs="Arial"/>
        <w:sz w:val="20"/>
        <w:szCs w:val="20"/>
      </w:rPr>
    </w:pPr>
    <w:r>
      <w:rPr>
        <w:rFonts w:cs="Arial"/>
        <w:sz w:val="20"/>
        <w:szCs w:val="20"/>
      </w:rPr>
      <w:t>TA2010-22 October 2010</w:t>
    </w:r>
  </w:p>
  <w:p w:rsidR="001368E0" w:rsidRDefault="001368E0">
    <w:pPr>
      <w:pStyle w:val="TAACTPLAlogo"/>
      <w:rPr>
        <w:rFonts w:cs="Arial"/>
        <w:sz w:val="20"/>
        <w:szCs w:val="20"/>
      </w:rPr>
    </w:pPr>
    <w:r>
      <w:rPr>
        <w:rFonts w:cs="Arial"/>
        <w:sz w:val="20"/>
        <w:szCs w:val="20"/>
      </w:rPr>
      <w:t xml:space="preserve">Page </w:t>
    </w:r>
    <w:r>
      <w:rPr>
        <w:rStyle w:val="PageNumber"/>
        <w:szCs w:val="20"/>
        <w:lang w:eastAsia="en-US"/>
      </w:rPr>
      <w:fldChar w:fldCharType="begin"/>
    </w:r>
    <w:r>
      <w:rPr>
        <w:rStyle w:val="PageNumber"/>
        <w:szCs w:val="20"/>
        <w:lang w:eastAsia="en-US"/>
      </w:rPr>
      <w:instrText xml:space="preserve"> PAGE </w:instrText>
    </w:r>
    <w:r>
      <w:rPr>
        <w:rStyle w:val="PageNumber"/>
        <w:szCs w:val="20"/>
        <w:lang w:eastAsia="en-US"/>
      </w:rPr>
      <w:fldChar w:fldCharType="separate"/>
    </w:r>
    <w:r w:rsidR="006331AE">
      <w:rPr>
        <w:rStyle w:val="PageNumber"/>
        <w:noProof/>
        <w:szCs w:val="20"/>
        <w:lang w:eastAsia="en-US"/>
      </w:rPr>
      <w:t>2</w:t>
    </w:r>
    <w:r>
      <w:rPr>
        <w:rStyle w:val="PageNumber"/>
        <w:szCs w:val="20"/>
        <w:lang w:eastAsia="en-US"/>
      </w:rPr>
      <w:fldChar w:fldCharType="end"/>
    </w:r>
    <w:r>
      <w:rPr>
        <w:rStyle w:val="PageNumber"/>
        <w:szCs w:val="20"/>
        <w:lang w:eastAsia="en-US"/>
      </w:rPr>
      <w:t xml:space="preserve"> of 13</w:t>
    </w:r>
  </w:p>
  <w:p w:rsidR="001368E0" w:rsidRPr="006331AE" w:rsidRDefault="006331AE" w:rsidP="006331AE">
    <w:pPr>
      <w:pStyle w:val="Footer"/>
      <w:tabs>
        <w:tab w:val="clear" w:pos="4153"/>
        <w:tab w:val="clear" w:pos="8306"/>
        <w:tab w:val="left" w:pos="3375"/>
      </w:tabs>
      <w:jc w:val="center"/>
      <w:rPr>
        <w:rFonts w:cs="Arial"/>
        <w:sz w:val="14"/>
      </w:rPr>
    </w:pPr>
    <w:r w:rsidRPr="006331AE">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8E0" w:rsidRDefault="001368E0">
      <w:r>
        <w:separator/>
      </w:r>
    </w:p>
  </w:footnote>
  <w:footnote w:type="continuationSeparator" w:id="0">
    <w:p w:rsidR="001368E0" w:rsidRDefault="001368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1AE" w:rsidRDefault="006331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1AE" w:rsidRDefault="006331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1AE" w:rsidRDefault="006331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729BC"/>
    <w:multiLevelType w:val="hybridMultilevel"/>
    <w:tmpl w:val="9AC4F158"/>
    <w:lvl w:ilvl="0" w:tplc="0409000F">
      <w:start w:val="1"/>
      <w:numFmt w:val="decimal"/>
      <w:lvlText w:val="%1."/>
      <w:lvlJc w:val="left"/>
      <w:pPr>
        <w:tabs>
          <w:tab w:val="num" w:pos="1080"/>
        </w:tabs>
        <w:ind w:left="1080" w:hanging="360"/>
      </w:pPr>
      <w:rPr>
        <w:rFonts w:cs="Times New Roman"/>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189A0036"/>
    <w:multiLevelType w:val="hybridMultilevel"/>
    <w:tmpl w:val="92961DF2"/>
    <w:lvl w:ilvl="0" w:tplc="BB5EBB90">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2" w15:restartNumberingAfterBreak="0">
    <w:nsid w:val="1B2B0A16"/>
    <w:multiLevelType w:val="hybridMultilevel"/>
    <w:tmpl w:val="1D7C9F7E"/>
    <w:lvl w:ilvl="0" w:tplc="0C090015">
      <w:start w:val="5"/>
      <w:numFmt w:val="upp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213D68AC"/>
    <w:multiLevelType w:val="hybridMultilevel"/>
    <w:tmpl w:val="AFD29784"/>
    <w:lvl w:ilvl="0" w:tplc="93966CE2">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80"/>
        </w:tabs>
        <w:ind w:left="-180" w:hanging="360"/>
      </w:pPr>
      <w:rPr>
        <w:rFonts w:cs="Times New Roman"/>
      </w:rPr>
    </w:lvl>
    <w:lvl w:ilvl="2" w:tplc="0C09001B" w:tentative="1">
      <w:start w:val="1"/>
      <w:numFmt w:val="lowerRoman"/>
      <w:lvlText w:val="%3."/>
      <w:lvlJc w:val="right"/>
      <w:pPr>
        <w:tabs>
          <w:tab w:val="num" w:pos="540"/>
        </w:tabs>
        <w:ind w:left="540" w:hanging="180"/>
      </w:pPr>
      <w:rPr>
        <w:rFonts w:cs="Times New Roman"/>
      </w:rPr>
    </w:lvl>
    <w:lvl w:ilvl="3" w:tplc="0C09000F" w:tentative="1">
      <w:start w:val="1"/>
      <w:numFmt w:val="decimal"/>
      <w:lvlText w:val="%4."/>
      <w:lvlJc w:val="left"/>
      <w:pPr>
        <w:tabs>
          <w:tab w:val="num" w:pos="1260"/>
        </w:tabs>
        <w:ind w:left="1260" w:hanging="360"/>
      </w:pPr>
      <w:rPr>
        <w:rFonts w:cs="Times New Roman"/>
      </w:rPr>
    </w:lvl>
    <w:lvl w:ilvl="4" w:tplc="0C090019" w:tentative="1">
      <w:start w:val="1"/>
      <w:numFmt w:val="lowerLetter"/>
      <w:lvlText w:val="%5."/>
      <w:lvlJc w:val="left"/>
      <w:pPr>
        <w:tabs>
          <w:tab w:val="num" w:pos="1980"/>
        </w:tabs>
        <w:ind w:left="1980" w:hanging="360"/>
      </w:pPr>
      <w:rPr>
        <w:rFonts w:cs="Times New Roman"/>
      </w:rPr>
    </w:lvl>
    <w:lvl w:ilvl="5" w:tplc="0C09001B" w:tentative="1">
      <w:start w:val="1"/>
      <w:numFmt w:val="lowerRoman"/>
      <w:lvlText w:val="%6."/>
      <w:lvlJc w:val="right"/>
      <w:pPr>
        <w:tabs>
          <w:tab w:val="num" w:pos="2700"/>
        </w:tabs>
        <w:ind w:left="2700" w:hanging="180"/>
      </w:pPr>
      <w:rPr>
        <w:rFonts w:cs="Times New Roman"/>
      </w:rPr>
    </w:lvl>
    <w:lvl w:ilvl="6" w:tplc="0C09000F" w:tentative="1">
      <w:start w:val="1"/>
      <w:numFmt w:val="decimal"/>
      <w:lvlText w:val="%7."/>
      <w:lvlJc w:val="left"/>
      <w:pPr>
        <w:tabs>
          <w:tab w:val="num" w:pos="3420"/>
        </w:tabs>
        <w:ind w:left="3420" w:hanging="360"/>
      </w:pPr>
      <w:rPr>
        <w:rFonts w:cs="Times New Roman"/>
      </w:rPr>
    </w:lvl>
    <w:lvl w:ilvl="7" w:tplc="0C090019" w:tentative="1">
      <w:start w:val="1"/>
      <w:numFmt w:val="lowerLetter"/>
      <w:lvlText w:val="%8."/>
      <w:lvlJc w:val="left"/>
      <w:pPr>
        <w:tabs>
          <w:tab w:val="num" w:pos="4140"/>
        </w:tabs>
        <w:ind w:left="4140" w:hanging="360"/>
      </w:pPr>
      <w:rPr>
        <w:rFonts w:cs="Times New Roman"/>
      </w:rPr>
    </w:lvl>
    <w:lvl w:ilvl="8" w:tplc="0C09001B" w:tentative="1">
      <w:start w:val="1"/>
      <w:numFmt w:val="lowerRoman"/>
      <w:lvlText w:val="%9."/>
      <w:lvlJc w:val="right"/>
      <w:pPr>
        <w:tabs>
          <w:tab w:val="num" w:pos="4860"/>
        </w:tabs>
        <w:ind w:left="4860" w:hanging="180"/>
      </w:pPr>
      <w:rPr>
        <w:rFonts w:cs="Times New Roman"/>
      </w:rPr>
    </w:lvl>
  </w:abstractNum>
  <w:abstractNum w:abstractNumId="4" w15:restartNumberingAfterBreak="0">
    <w:nsid w:val="276D49B6"/>
    <w:multiLevelType w:val="hybridMultilevel"/>
    <w:tmpl w:val="1952D3BC"/>
    <w:lvl w:ilvl="0" w:tplc="73BA0FB0">
      <w:start w:val="1"/>
      <w:numFmt w:val="upperLetter"/>
      <w:lvlText w:val="%1"/>
      <w:lvlJc w:val="left"/>
      <w:pPr>
        <w:tabs>
          <w:tab w:val="num" w:pos="540"/>
        </w:tabs>
        <w:ind w:left="540" w:hanging="540"/>
      </w:pPr>
      <w:rPr>
        <w:rFonts w:ascii="Arial" w:hAnsi="Arial" w:cs="Times New Roman" w:hint="default"/>
        <w:b/>
        <w:i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85876A1"/>
    <w:multiLevelType w:val="multilevel"/>
    <w:tmpl w:val="9AE0F52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Letter"/>
      <w:lvlText w:val="%3)"/>
      <w:lvlJc w:val="left"/>
      <w:pPr>
        <w:tabs>
          <w:tab w:val="num" w:pos="1980"/>
        </w:tabs>
        <w:ind w:left="1980" w:hanging="360"/>
      </w:pPr>
      <w:rPr>
        <w:rFonts w:cs="Times New Roman" w:hint="default"/>
        <w:i/>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 w15:restartNumberingAfterBreak="0">
    <w:nsid w:val="2CF15A8F"/>
    <w:multiLevelType w:val="hybridMultilevel"/>
    <w:tmpl w:val="3944506E"/>
    <w:lvl w:ilvl="0" w:tplc="0C090015">
      <w:start w:val="2"/>
      <w:numFmt w:val="upp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4CB05F3"/>
    <w:multiLevelType w:val="hybridMultilevel"/>
    <w:tmpl w:val="D68A076E"/>
    <w:lvl w:ilvl="0" w:tplc="BAACDE82">
      <w:start w:val="1"/>
      <w:numFmt w:val="decimal"/>
      <w:pStyle w:val="TAeditorialitemerrorheading"/>
      <w:lvlText w:val="M%1."/>
      <w:lvlJc w:val="left"/>
      <w:pPr>
        <w:tabs>
          <w:tab w:val="num" w:pos="720"/>
        </w:tabs>
        <w:ind w:left="720" w:hanging="720"/>
      </w:pPr>
      <w:rPr>
        <w:rFonts w:ascii="Arial" w:hAnsi="Arial"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0"/>
        <w:szCs w:val="20"/>
        <w:u w:val="none" w:color="000000"/>
        <w:vertAlign w:val="baseline"/>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6A639C7"/>
    <w:multiLevelType w:val="multilevel"/>
    <w:tmpl w:val="1952D3BC"/>
    <w:lvl w:ilvl="0">
      <w:start w:val="1"/>
      <w:numFmt w:val="upperLetter"/>
      <w:lvlText w:val="%1"/>
      <w:lvlJc w:val="left"/>
      <w:pPr>
        <w:tabs>
          <w:tab w:val="num" w:pos="540"/>
        </w:tabs>
        <w:ind w:left="540" w:hanging="540"/>
      </w:pPr>
      <w:rPr>
        <w:rFonts w:ascii="Arial" w:hAnsi="Arial" w:cs="Times New Roman" w:hint="default"/>
        <w:b/>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42F60812"/>
    <w:multiLevelType w:val="hybridMultilevel"/>
    <w:tmpl w:val="0972A25A"/>
    <w:lvl w:ilvl="0" w:tplc="0C090017">
      <w:start w:val="2"/>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92A06AD"/>
    <w:multiLevelType w:val="hybridMultilevel"/>
    <w:tmpl w:val="E846823A"/>
    <w:lvl w:ilvl="0" w:tplc="56881DAA">
      <w:start w:val="1"/>
      <w:numFmt w:val="upperLetter"/>
      <w:lvlText w:val="%1."/>
      <w:lvlJc w:val="left"/>
      <w:pPr>
        <w:tabs>
          <w:tab w:val="num" w:pos="540"/>
        </w:tabs>
        <w:ind w:left="540" w:hanging="540"/>
      </w:pPr>
      <w:rPr>
        <w:rFonts w:ascii="Arial" w:hAnsi="Arial" w:cs="Arial" w:hint="default"/>
      </w:rPr>
    </w:lvl>
    <w:lvl w:ilvl="1" w:tplc="0409000F">
      <w:start w:val="1"/>
      <w:numFmt w:val="decimal"/>
      <w:lvlText w:val="%2."/>
      <w:lvlJc w:val="left"/>
      <w:pPr>
        <w:tabs>
          <w:tab w:val="num" w:pos="1440"/>
        </w:tabs>
        <w:ind w:left="1440" w:hanging="360"/>
      </w:pPr>
      <w:rPr>
        <w:rFonts w:cs="Times New Roman"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3093743"/>
    <w:multiLevelType w:val="hybridMultilevel"/>
    <w:tmpl w:val="7D5A485A"/>
    <w:lvl w:ilvl="0" w:tplc="93966CE2">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80"/>
        </w:tabs>
        <w:ind w:left="-180" w:hanging="360"/>
      </w:pPr>
      <w:rPr>
        <w:rFonts w:cs="Times New Roman"/>
      </w:rPr>
    </w:lvl>
    <w:lvl w:ilvl="2" w:tplc="0C09001B" w:tentative="1">
      <w:start w:val="1"/>
      <w:numFmt w:val="lowerRoman"/>
      <w:lvlText w:val="%3."/>
      <w:lvlJc w:val="right"/>
      <w:pPr>
        <w:tabs>
          <w:tab w:val="num" w:pos="540"/>
        </w:tabs>
        <w:ind w:left="540" w:hanging="180"/>
      </w:pPr>
      <w:rPr>
        <w:rFonts w:cs="Times New Roman"/>
      </w:rPr>
    </w:lvl>
    <w:lvl w:ilvl="3" w:tplc="0C09000F" w:tentative="1">
      <w:start w:val="1"/>
      <w:numFmt w:val="decimal"/>
      <w:lvlText w:val="%4."/>
      <w:lvlJc w:val="left"/>
      <w:pPr>
        <w:tabs>
          <w:tab w:val="num" w:pos="1260"/>
        </w:tabs>
        <w:ind w:left="1260" w:hanging="360"/>
      </w:pPr>
      <w:rPr>
        <w:rFonts w:cs="Times New Roman"/>
      </w:rPr>
    </w:lvl>
    <w:lvl w:ilvl="4" w:tplc="0C090019" w:tentative="1">
      <w:start w:val="1"/>
      <w:numFmt w:val="lowerLetter"/>
      <w:lvlText w:val="%5."/>
      <w:lvlJc w:val="left"/>
      <w:pPr>
        <w:tabs>
          <w:tab w:val="num" w:pos="1980"/>
        </w:tabs>
        <w:ind w:left="1980" w:hanging="360"/>
      </w:pPr>
      <w:rPr>
        <w:rFonts w:cs="Times New Roman"/>
      </w:rPr>
    </w:lvl>
    <w:lvl w:ilvl="5" w:tplc="0C09001B" w:tentative="1">
      <w:start w:val="1"/>
      <w:numFmt w:val="lowerRoman"/>
      <w:lvlText w:val="%6."/>
      <w:lvlJc w:val="right"/>
      <w:pPr>
        <w:tabs>
          <w:tab w:val="num" w:pos="2700"/>
        </w:tabs>
        <w:ind w:left="2700" w:hanging="180"/>
      </w:pPr>
      <w:rPr>
        <w:rFonts w:cs="Times New Roman"/>
      </w:rPr>
    </w:lvl>
    <w:lvl w:ilvl="6" w:tplc="0C09000F" w:tentative="1">
      <w:start w:val="1"/>
      <w:numFmt w:val="decimal"/>
      <w:lvlText w:val="%7."/>
      <w:lvlJc w:val="left"/>
      <w:pPr>
        <w:tabs>
          <w:tab w:val="num" w:pos="3420"/>
        </w:tabs>
        <w:ind w:left="3420" w:hanging="360"/>
      </w:pPr>
      <w:rPr>
        <w:rFonts w:cs="Times New Roman"/>
      </w:rPr>
    </w:lvl>
    <w:lvl w:ilvl="7" w:tplc="0C090019" w:tentative="1">
      <w:start w:val="1"/>
      <w:numFmt w:val="lowerLetter"/>
      <w:lvlText w:val="%8."/>
      <w:lvlJc w:val="left"/>
      <w:pPr>
        <w:tabs>
          <w:tab w:val="num" w:pos="4140"/>
        </w:tabs>
        <w:ind w:left="4140" w:hanging="360"/>
      </w:pPr>
      <w:rPr>
        <w:rFonts w:cs="Times New Roman"/>
      </w:rPr>
    </w:lvl>
    <w:lvl w:ilvl="8" w:tplc="0C09001B" w:tentative="1">
      <w:start w:val="1"/>
      <w:numFmt w:val="lowerRoman"/>
      <w:lvlText w:val="%9."/>
      <w:lvlJc w:val="right"/>
      <w:pPr>
        <w:tabs>
          <w:tab w:val="num" w:pos="4860"/>
        </w:tabs>
        <w:ind w:left="4860" w:hanging="180"/>
      </w:pPr>
      <w:rPr>
        <w:rFonts w:cs="Times New Roman"/>
      </w:rPr>
    </w:lvl>
  </w:abstractNum>
  <w:abstractNum w:abstractNumId="13" w15:restartNumberingAfterBreak="0">
    <w:nsid w:val="5720313C"/>
    <w:multiLevelType w:val="hybridMultilevel"/>
    <w:tmpl w:val="1B24B380"/>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5D7D4242"/>
    <w:multiLevelType w:val="hybridMultilevel"/>
    <w:tmpl w:val="D5DE5AEA"/>
    <w:lvl w:ilvl="0" w:tplc="04090001">
      <w:start w:val="5"/>
      <w:numFmt w:val="upperLetter"/>
      <w:lvlText w:val="%1."/>
      <w:lvlJc w:val="left"/>
      <w:pPr>
        <w:tabs>
          <w:tab w:val="num" w:pos="720"/>
        </w:tabs>
        <w:ind w:left="720" w:hanging="360"/>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15" w15:restartNumberingAfterBreak="0">
    <w:nsid w:val="5EBA5526"/>
    <w:multiLevelType w:val="hybridMultilevel"/>
    <w:tmpl w:val="C33EA03A"/>
    <w:lvl w:ilvl="0" w:tplc="0C090015">
      <w:start w:val="1"/>
      <w:numFmt w:val="decimal"/>
      <w:lvlText w:val="%1."/>
      <w:lvlJc w:val="left"/>
      <w:pPr>
        <w:tabs>
          <w:tab w:val="num" w:pos="360"/>
        </w:tabs>
        <w:ind w:left="360" w:hanging="360"/>
      </w:pPr>
      <w:rPr>
        <w:rFonts w:cs="Times New Roman"/>
        <w:b/>
      </w:rPr>
    </w:lvl>
    <w:lvl w:ilvl="1" w:tplc="0C090019">
      <w:start w:val="1"/>
      <w:numFmt w:val="lowerLetter"/>
      <w:lvlText w:val="%2."/>
      <w:lvlJc w:val="left"/>
      <w:pPr>
        <w:tabs>
          <w:tab w:val="num" w:pos="1080"/>
        </w:tabs>
        <w:ind w:left="1080" w:hanging="360"/>
      </w:pPr>
      <w:rPr>
        <w:rFonts w:cs="Times New Roman"/>
      </w:rPr>
    </w:lvl>
    <w:lvl w:ilvl="2" w:tplc="0C09001B">
      <w:start w:val="1"/>
      <w:numFmt w:val="lowerLetter"/>
      <w:lvlText w:val="%3)"/>
      <w:lvlJc w:val="left"/>
      <w:pPr>
        <w:tabs>
          <w:tab w:val="num" w:pos="1980"/>
        </w:tabs>
        <w:ind w:left="1980" w:hanging="360"/>
      </w:pPr>
      <w:rPr>
        <w:rFonts w:cs="Times New Roman" w:hint="default"/>
        <w:i/>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5E13AE1"/>
    <w:multiLevelType w:val="multilevel"/>
    <w:tmpl w:val="E81E8606"/>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0"/>
        <w:szCs w:val="20"/>
        <w:u w:val="none" w:color="000000"/>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360"/>
        </w:tabs>
        <w:ind w:left="360" w:hanging="360"/>
      </w:pPr>
      <w:rPr>
        <w:rFonts w:ascii="Arial" w:hAnsi="Arial"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0"/>
        <w:szCs w:val="20"/>
        <w:u w:val="none" w:color="000000"/>
        <w:vertAlign w:val="baseline"/>
      </w:rPr>
    </w:lvl>
    <w:lvl w:ilvl="3">
      <w:start w:val="1"/>
      <w:numFmt w:val="lowerLetter"/>
      <w:lvlText w:val="%4)"/>
      <w:lvlJc w:val="left"/>
      <w:pPr>
        <w:tabs>
          <w:tab w:val="num" w:pos="907"/>
        </w:tabs>
        <w:ind w:left="907" w:hanging="453"/>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7" w15:restartNumberingAfterBreak="0">
    <w:nsid w:val="686A67B8"/>
    <w:multiLevelType w:val="hybridMultilevel"/>
    <w:tmpl w:val="853CDE78"/>
    <w:lvl w:ilvl="0" w:tplc="FFFFFFFF">
      <w:start w:val="2"/>
      <w:numFmt w:val="lowerLetter"/>
      <w:lvlText w:val="%1)"/>
      <w:lvlJc w:val="left"/>
      <w:pPr>
        <w:tabs>
          <w:tab w:val="num" w:pos="720"/>
        </w:tabs>
        <w:ind w:left="720" w:hanging="360"/>
      </w:pPr>
      <w:rPr>
        <w:rFonts w:cs="Times New Roman" w:hint="default"/>
        <w:sz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68D92B3A"/>
    <w:multiLevelType w:val="multilevel"/>
    <w:tmpl w:val="AFD29784"/>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80"/>
        </w:tabs>
        <w:ind w:left="-180" w:hanging="360"/>
      </w:pPr>
      <w:rPr>
        <w:rFonts w:cs="Times New Roman"/>
      </w:rPr>
    </w:lvl>
    <w:lvl w:ilvl="2">
      <w:start w:val="1"/>
      <w:numFmt w:val="lowerRoman"/>
      <w:lvlText w:val="%3."/>
      <w:lvlJc w:val="right"/>
      <w:pPr>
        <w:tabs>
          <w:tab w:val="num" w:pos="540"/>
        </w:tabs>
        <w:ind w:left="540" w:hanging="180"/>
      </w:pPr>
      <w:rPr>
        <w:rFonts w:cs="Times New Roman"/>
      </w:rPr>
    </w:lvl>
    <w:lvl w:ilvl="3">
      <w:start w:val="1"/>
      <w:numFmt w:val="decimal"/>
      <w:lvlText w:val="%4."/>
      <w:lvlJc w:val="left"/>
      <w:pPr>
        <w:tabs>
          <w:tab w:val="num" w:pos="1260"/>
        </w:tabs>
        <w:ind w:left="1260" w:hanging="360"/>
      </w:pPr>
      <w:rPr>
        <w:rFonts w:cs="Times New Roman"/>
      </w:rPr>
    </w:lvl>
    <w:lvl w:ilvl="4">
      <w:start w:val="1"/>
      <w:numFmt w:val="lowerLetter"/>
      <w:lvlText w:val="%5."/>
      <w:lvlJc w:val="left"/>
      <w:pPr>
        <w:tabs>
          <w:tab w:val="num" w:pos="1980"/>
        </w:tabs>
        <w:ind w:left="1980" w:hanging="360"/>
      </w:pPr>
      <w:rPr>
        <w:rFonts w:cs="Times New Roman"/>
      </w:rPr>
    </w:lvl>
    <w:lvl w:ilvl="5">
      <w:start w:val="1"/>
      <w:numFmt w:val="lowerRoman"/>
      <w:lvlText w:val="%6."/>
      <w:lvlJc w:val="right"/>
      <w:pPr>
        <w:tabs>
          <w:tab w:val="num" w:pos="2700"/>
        </w:tabs>
        <w:ind w:left="2700" w:hanging="180"/>
      </w:pPr>
      <w:rPr>
        <w:rFonts w:cs="Times New Roman"/>
      </w:rPr>
    </w:lvl>
    <w:lvl w:ilvl="6">
      <w:start w:val="1"/>
      <w:numFmt w:val="decimal"/>
      <w:lvlText w:val="%7."/>
      <w:lvlJc w:val="left"/>
      <w:pPr>
        <w:tabs>
          <w:tab w:val="num" w:pos="3420"/>
        </w:tabs>
        <w:ind w:left="3420" w:hanging="360"/>
      </w:pPr>
      <w:rPr>
        <w:rFonts w:cs="Times New Roman"/>
      </w:rPr>
    </w:lvl>
    <w:lvl w:ilvl="7">
      <w:start w:val="1"/>
      <w:numFmt w:val="lowerLetter"/>
      <w:lvlText w:val="%8."/>
      <w:lvlJc w:val="left"/>
      <w:pPr>
        <w:tabs>
          <w:tab w:val="num" w:pos="4140"/>
        </w:tabs>
        <w:ind w:left="4140" w:hanging="360"/>
      </w:pPr>
      <w:rPr>
        <w:rFonts w:cs="Times New Roman"/>
      </w:rPr>
    </w:lvl>
    <w:lvl w:ilvl="8">
      <w:start w:val="1"/>
      <w:numFmt w:val="lowerRoman"/>
      <w:lvlText w:val="%9."/>
      <w:lvlJc w:val="right"/>
      <w:pPr>
        <w:tabs>
          <w:tab w:val="num" w:pos="4860"/>
        </w:tabs>
        <w:ind w:left="4860" w:hanging="180"/>
      </w:pPr>
      <w:rPr>
        <w:rFonts w:cs="Times New Roman"/>
      </w:rPr>
    </w:lvl>
  </w:abstractNum>
  <w:abstractNum w:abstractNumId="19" w15:restartNumberingAfterBreak="0">
    <w:nsid w:val="696520DD"/>
    <w:multiLevelType w:val="multilevel"/>
    <w:tmpl w:val="3C5AC7A2"/>
    <w:lvl w:ilvl="0">
      <w:start w:val="1"/>
      <w:numFmt w:val="decimal"/>
      <w:pStyle w:val="RuleList"/>
      <w:suff w:val="space"/>
      <w:lvlText w:val="R%1"/>
      <w:lvlJc w:val="left"/>
      <w:rPr>
        <w:rFonts w:ascii="Arial" w:hAnsi="Arial" w:cs="Times New Roman" w:hint="default"/>
        <w:b w:val="0"/>
        <w:color w:val="auto"/>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0" w15:restartNumberingAfterBreak="0">
    <w:nsid w:val="73E72C3E"/>
    <w:multiLevelType w:val="hybridMultilevel"/>
    <w:tmpl w:val="EF8A4200"/>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80"/>
        </w:tabs>
        <w:ind w:left="-180" w:hanging="360"/>
      </w:pPr>
      <w:rPr>
        <w:rFonts w:cs="Times New Roman"/>
      </w:rPr>
    </w:lvl>
    <w:lvl w:ilvl="2" w:tplc="FFFFFFFF" w:tentative="1">
      <w:start w:val="1"/>
      <w:numFmt w:val="lowerRoman"/>
      <w:lvlText w:val="%3."/>
      <w:lvlJc w:val="right"/>
      <w:pPr>
        <w:tabs>
          <w:tab w:val="num" w:pos="540"/>
        </w:tabs>
        <w:ind w:left="540" w:hanging="180"/>
      </w:pPr>
      <w:rPr>
        <w:rFonts w:cs="Times New Roman"/>
      </w:rPr>
    </w:lvl>
    <w:lvl w:ilvl="3" w:tplc="FFFFFFFF" w:tentative="1">
      <w:start w:val="1"/>
      <w:numFmt w:val="decimal"/>
      <w:lvlText w:val="%4."/>
      <w:lvlJc w:val="left"/>
      <w:pPr>
        <w:tabs>
          <w:tab w:val="num" w:pos="1260"/>
        </w:tabs>
        <w:ind w:left="1260" w:hanging="360"/>
      </w:pPr>
      <w:rPr>
        <w:rFonts w:cs="Times New Roman"/>
      </w:rPr>
    </w:lvl>
    <w:lvl w:ilvl="4" w:tplc="FFFFFFFF" w:tentative="1">
      <w:start w:val="1"/>
      <w:numFmt w:val="lowerLetter"/>
      <w:lvlText w:val="%5."/>
      <w:lvlJc w:val="left"/>
      <w:pPr>
        <w:tabs>
          <w:tab w:val="num" w:pos="1980"/>
        </w:tabs>
        <w:ind w:left="1980" w:hanging="360"/>
      </w:pPr>
      <w:rPr>
        <w:rFonts w:cs="Times New Roman"/>
      </w:rPr>
    </w:lvl>
    <w:lvl w:ilvl="5" w:tplc="FFFFFFFF" w:tentative="1">
      <w:start w:val="1"/>
      <w:numFmt w:val="lowerRoman"/>
      <w:lvlText w:val="%6."/>
      <w:lvlJc w:val="right"/>
      <w:pPr>
        <w:tabs>
          <w:tab w:val="num" w:pos="2700"/>
        </w:tabs>
        <w:ind w:left="2700" w:hanging="180"/>
      </w:pPr>
      <w:rPr>
        <w:rFonts w:cs="Times New Roman"/>
      </w:rPr>
    </w:lvl>
    <w:lvl w:ilvl="6" w:tplc="FFFFFFFF" w:tentative="1">
      <w:start w:val="1"/>
      <w:numFmt w:val="decimal"/>
      <w:lvlText w:val="%7."/>
      <w:lvlJc w:val="left"/>
      <w:pPr>
        <w:tabs>
          <w:tab w:val="num" w:pos="3420"/>
        </w:tabs>
        <w:ind w:left="3420" w:hanging="360"/>
      </w:pPr>
      <w:rPr>
        <w:rFonts w:cs="Times New Roman"/>
      </w:rPr>
    </w:lvl>
    <w:lvl w:ilvl="7" w:tplc="FFFFFFFF" w:tentative="1">
      <w:start w:val="1"/>
      <w:numFmt w:val="lowerLetter"/>
      <w:lvlText w:val="%8."/>
      <w:lvlJc w:val="left"/>
      <w:pPr>
        <w:tabs>
          <w:tab w:val="num" w:pos="4140"/>
        </w:tabs>
        <w:ind w:left="4140" w:hanging="360"/>
      </w:pPr>
      <w:rPr>
        <w:rFonts w:cs="Times New Roman"/>
      </w:rPr>
    </w:lvl>
    <w:lvl w:ilvl="8" w:tplc="FFFFFFFF" w:tentative="1">
      <w:start w:val="1"/>
      <w:numFmt w:val="lowerRoman"/>
      <w:lvlText w:val="%9."/>
      <w:lvlJc w:val="right"/>
      <w:pPr>
        <w:tabs>
          <w:tab w:val="num" w:pos="4860"/>
        </w:tabs>
        <w:ind w:left="4860" w:hanging="180"/>
      </w:pPr>
      <w:rPr>
        <w:rFonts w:cs="Times New Roman"/>
      </w:rPr>
    </w:lvl>
  </w:abstractNum>
  <w:abstractNum w:abstractNumId="21" w15:restartNumberingAfterBreak="0">
    <w:nsid w:val="75644D9E"/>
    <w:multiLevelType w:val="hybridMultilevel"/>
    <w:tmpl w:val="709A6298"/>
    <w:lvl w:ilvl="0" w:tplc="93966CE2">
      <w:start w:val="1"/>
      <w:numFmt w:val="decimal"/>
      <w:lvlText w:val="%1."/>
      <w:lvlJc w:val="left"/>
      <w:pPr>
        <w:tabs>
          <w:tab w:val="num" w:pos="900"/>
        </w:tabs>
        <w:ind w:left="900" w:hanging="360"/>
      </w:pPr>
      <w:rPr>
        <w:rFonts w:cs="Times New Roman" w:hint="default"/>
      </w:rPr>
    </w:lvl>
    <w:lvl w:ilvl="1" w:tplc="0C090019" w:tentative="1">
      <w:start w:val="1"/>
      <w:numFmt w:val="lowerLetter"/>
      <w:lvlText w:val="%2."/>
      <w:lvlJc w:val="left"/>
      <w:pPr>
        <w:tabs>
          <w:tab w:val="num" w:pos="1620"/>
        </w:tabs>
        <w:ind w:left="1620" w:hanging="360"/>
      </w:pPr>
      <w:rPr>
        <w:rFonts w:cs="Times New Roman"/>
      </w:rPr>
    </w:lvl>
    <w:lvl w:ilvl="2" w:tplc="0C09001B" w:tentative="1">
      <w:start w:val="1"/>
      <w:numFmt w:val="lowerRoman"/>
      <w:lvlText w:val="%3."/>
      <w:lvlJc w:val="right"/>
      <w:pPr>
        <w:tabs>
          <w:tab w:val="num" w:pos="2340"/>
        </w:tabs>
        <w:ind w:left="2340" w:hanging="180"/>
      </w:pPr>
      <w:rPr>
        <w:rFonts w:cs="Times New Roman"/>
      </w:rPr>
    </w:lvl>
    <w:lvl w:ilvl="3" w:tplc="0C09000F" w:tentative="1">
      <w:start w:val="1"/>
      <w:numFmt w:val="decimal"/>
      <w:lvlText w:val="%4."/>
      <w:lvlJc w:val="left"/>
      <w:pPr>
        <w:tabs>
          <w:tab w:val="num" w:pos="3060"/>
        </w:tabs>
        <w:ind w:left="3060" w:hanging="360"/>
      </w:pPr>
      <w:rPr>
        <w:rFonts w:cs="Times New Roman"/>
      </w:rPr>
    </w:lvl>
    <w:lvl w:ilvl="4" w:tplc="0C090019" w:tentative="1">
      <w:start w:val="1"/>
      <w:numFmt w:val="lowerLetter"/>
      <w:lvlText w:val="%5."/>
      <w:lvlJc w:val="left"/>
      <w:pPr>
        <w:tabs>
          <w:tab w:val="num" w:pos="3780"/>
        </w:tabs>
        <w:ind w:left="3780" w:hanging="360"/>
      </w:pPr>
      <w:rPr>
        <w:rFonts w:cs="Times New Roman"/>
      </w:rPr>
    </w:lvl>
    <w:lvl w:ilvl="5" w:tplc="0C09001B" w:tentative="1">
      <w:start w:val="1"/>
      <w:numFmt w:val="lowerRoman"/>
      <w:lvlText w:val="%6."/>
      <w:lvlJc w:val="right"/>
      <w:pPr>
        <w:tabs>
          <w:tab w:val="num" w:pos="4500"/>
        </w:tabs>
        <w:ind w:left="4500" w:hanging="180"/>
      </w:pPr>
      <w:rPr>
        <w:rFonts w:cs="Times New Roman"/>
      </w:rPr>
    </w:lvl>
    <w:lvl w:ilvl="6" w:tplc="0C09000F" w:tentative="1">
      <w:start w:val="1"/>
      <w:numFmt w:val="decimal"/>
      <w:lvlText w:val="%7."/>
      <w:lvlJc w:val="left"/>
      <w:pPr>
        <w:tabs>
          <w:tab w:val="num" w:pos="5220"/>
        </w:tabs>
        <w:ind w:left="5220" w:hanging="360"/>
      </w:pPr>
      <w:rPr>
        <w:rFonts w:cs="Times New Roman"/>
      </w:rPr>
    </w:lvl>
    <w:lvl w:ilvl="7" w:tplc="0C090019" w:tentative="1">
      <w:start w:val="1"/>
      <w:numFmt w:val="lowerLetter"/>
      <w:lvlText w:val="%8."/>
      <w:lvlJc w:val="left"/>
      <w:pPr>
        <w:tabs>
          <w:tab w:val="num" w:pos="5940"/>
        </w:tabs>
        <w:ind w:left="5940" w:hanging="360"/>
      </w:pPr>
      <w:rPr>
        <w:rFonts w:cs="Times New Roman"/>
      </w:rPr>
    </w:lvl>
    <w:lvl w:ilvl="8" w:tplc="0C09001B" w:tentative="1">
      <w:start w:val="1"/>
      <w:numFmt w:val="lowerRoman"/>
      <w:lvlText w:val="%9."/>
      <w:lvlJc w:val="right"/>
      <w:pPr>
        <w:tabs>
          <w:tab w:val="num" w:pos="6660"/>
        </w:tabs>
        <w:ind w:left="6660" w:hanging="180"/>
      </w:pPr>
      <w:rPr>
        <w:rFonts w:cs="Times New Roman"/>
      </w:rPr>
    </w:lvl>
  </w:abstractNum>
  <w:abstractNum w:abstractNumId="22" w15:restartNumberingAfterBreak="0">
    <w:nsid w:val="793C4684"/>
    <w:multiLevelType w:val="multilevel"/>
    <w:tmpl w:val="9AE0F52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Letter"/>
      <w:lvlText w:val="%3)"/>
      <w:lvlJc w:val="left"/>
      <w:pPr>
        <w:tabs>
          <w:tab w:val="num" w:pos="1980"/>
        </w:tabs>
        <w:ind w:left="1980" w:hanging="360"/>
      </w:pPr>
      <w:rPr>
        <w:rFonts w:cs="Times New Roman" w:hint="default"/>
        <w:i/>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3" w15:restartNumberingAfterBreak="0">
    <w:nsid w:val="7D0C1763"/>
    <w:multiLevelType w:val="multilevel"/>
    <w:tmpl w:val="D1B83122"/>
    <w:lvl w:ilvl="0">
      <w:start w:val="10"/>
      <w:numFmt w:val="decimal"/>
      <w:lvlText w:val="%1"/>
      <w:lvlJc w:val="left"/>
      <w:pPr>
        <w:tabs>
          <w:tab w:val="num" w:pos="1080"/>
        </w:tabs>
        <w:ind w:left="1080" w:hanging="1080"/>
      </w:pPr>
      <w:rPr>
        <w:rFonts w:cs="Times New Roman" w:hint="default"/>
      </w:rPr>
    </w:lvl>
    <w:lvl w:ilvl="1">
      <w:start w:val="2"/>
      <w:numFmt w:val="decimal"/>
      <w:lvlText w:val="%1.%2"/>
      <w:lvlJc w:val="left"/>
      <w:pPr>
        <w:tabs>
          <w:tab w:val="num" w:pos="1440"/>
        </w:tabs>
        <w:ind w:left="1440" w:hanging="1080"/>
      </w:pPr>
      <w:rPr>
        <w:rFonts w:cs="Times New Roman" w:hint="default"/>
      </w:rPr>
    </w:lvl>
    <w:lvl w:ilvl="2">
      <w:start w:val="1"/>
      <w:numFmt w:val="decimal"/>
      <w:lvlText w:val="%1.%2.%3"/>
      <w:lvlJc w:val="left"/>
      <w:pPr>
        <w:tabs>
          <w:tab w:val="num" w:pos="1800"/>
        </w:tabs>
        <w:ind w:left="1800" w:hanging="108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num w:numId="1">
    <w:abstractNumId w:val="11"/>
  </w:num>
  <w:num w:numId="2">
    <w:abstractNumId w:val="15"/>
  </w:num>
  <w:num w:numId="3">
    <w:abstractNumId w:val="21"/>
  </w:num>
  <w:num w:numId="4">
    <w:abstractNumId w:val="14"/>
  </w:num>
  <w:num w:numId="5">
    <w:abstractNumId w:val="2"/>
  </w:num>
  <w:num w:numId="6">
    <w:abstractNumId w:val="16"/>
  </w:num>
  <w:num w:numId="7">
    <w:abstractNumId w:val="19"/>
  </w:num>
  <w:num w:numId="8">
    <w:abstractNumId w:val="0"/>
  </w:num>
  <w:num w:numId="9">
    <w:abstractNumId w:val="22"/>
  </w:num>
  <w:num w:numId="10">
    <w:abstractNumId w:val="20"/>
  </w:num>
  <w:num w:numId="11">
    <w:abstractNumId w:val="12"/>
  </w:num>
  <w:num w:numId="12">
    <w:abstractNumId w:val="6"/>
  </w:num>
  <w:num w:numId="13">
    <w:abstractNumId w:val="17"/>
  </w:num>
  <w:num w:numId="14">
    <w:abstractNumId w:val="10"/>
  </w:num>
  <w:num w:numId="15">
    <w:abstractNumId w:val="5"/>
  </w:num>
  <w:num w:numId="16">
    <w:abstractNumId w:val="3"/>
  </w:num>
  <w:num w:numId="17">
    <w:abstractNumId w:val="4"/>
  </w:num>
  <w:num w:numId="18">
    <w:abstractNumId w:val="8"/>
  </w:num>
  <w:num w:numId="19">
    <w:abstractNumId w:val="18"/>
  </w:num>
  <w:num w:numId="20">
    <w:abstractNumId w:val="1"/>
  </w:num>
  <w:num w:numId="21">
    <w:abstractNumId w:val="7"/>
  </w:num>
  <w:num w:numId="22">
    <w:abstractNumId w:val="13"/>
  </w:num>
  <w:num w:numId="23">
    <w:abstractNumId w:val="2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6E2A"/>
    <w:rsid w:val="001368E0"/>
    <w:rsid w:val="00182381"/>
    <w:rsid w:val="002032AB"/>
    <w:rsid w:val="005B0A61"/>
    <w:rsid w:val="006241F2"/>
    <w:rsid w:val="006331AE"/>
    <w:rsid w:val="008C542F"/>
    <w:rsid w:val="00AE6E2A"/>
    <w:rsid w:val="00BF594E"/>
    <w:rsid w:val="00DD77D2"/>
    <w:rsid w:val="00E920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F20893C2-06FA-4623-93B2-38C14D538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hAnsi="Arial"/>
      <w:sz w:val="24"/>
      <w:szCs w:val="20"/>
      <w:lang w:eastAsia="en-US"/>
    </w:rPr>
  </w:style>
  <w:style w:type="paragraph" w:styleId="Heading1">
    <w:name w:val="heading 1"/>
    <w:basedOn w:val="Normal"/>
    <w:next w:val="Normal"/>
    <w:link w:val="Heading1Char"/>
    <w:uiPriority w:val="99"/>
    <w:qFormat/>
    <w:pPr>
      <w:keepNext/>
      <w:ind w:right="386" w:firstLine="720"/>
      <w:outlineLvl w:val="0"/>
    </w:pPr>
    <w:rPr>
      <w:b/>
    </w:rPr>
  </w:style>
  <w:style w:type="paragraph" w:styleId="Heading2">
    <w:name w:val="heading 2"/>
    <w:basedOn w:val="Normal"/>
    <w:next w:val="Normal"/>
    <w:link w:val="Heading2Char"/>
    <w:uiPriority w:val="9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9"/>
    <w:qFormat/>
    <w:pPr>
      <w:tabs>
        <w:tab w:val="left" w:pos="1440"/>
      </w:tabs>
      <w:spacing w:after="120" w:line="360" w:lineRule="auto"/>
      <w:ind w:left="1440" w:hanging="1440"/>
      <w:outlineLvl w:val="2"/>
    </w:pPr>
    <w:rPr>
      <w:rFonts w:cs="Arial"/>
      <w:b/>
      <w:sz w:val="28"/>
      <w:szCs w:val="28"/>
      <w:lang w:eastAsia="en-AU"/>
    </w:rPr>
  </w:style>
  <w:style w:type="paragraph" w:styleId="Heading4">
    <w:name w:val="heading 4"/>
    <w:basedOn w:val="Normal"/>
    <w:next w:val="Normal"/>
    <w:link w:val="Heading4Char"/>
    <w:uiPriority w:val="99"/>
    <w:qFormat/>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99"/>
    <w:semiHidden/>
    <w:pPr>
      <w:spacing w:before="360"/>
    </w:pPr>
    <w:rPr>
      <w:rFonts w:ascii="Times New Roman" w:hAnsi="Times New Roman"/>
      <w:caps/>
      <w:noProof/>
    </w:rPr>
  </w:style>
  <w:style w:type="paragraph" w:styleId="TOC2">
    <w:name w:val="toc 2"/>
    <w:basedOn w:val="Normal"/>
    <w:next w:val="Normal"/>
    <w:uiPriority w:val="99"/>
    <w:semiHidden/>
    <w:pPr>
      <w:spacing w:before="240"/>
    </w:pPr>
    <w:rPr>
      <w:rFonts w:ascii="Times New Roman" w:hAnsi="Times New Roman"/>
    </w:rPr>
  </w:style>
  <w:style w:type="paragraph" w:styleId="Header">
    <w:name w:val="header"/>
    <w:basedOn w:val="Normal"/>
    <w:link w:val="HeaderChar"/>
    <w:uiPriority w:val="99"/>
    <w:pPr>
      <w:tabs>
        <w:tab w:val="center" w:pos="4819"/>
        <w:tab w:val="right" w:pos="9071"/>
      </w:tabs>
    </w:pPr>
    <w:rPr>
      <w:lang w:val="en-GB"/>
    </w:rPr>
  </w:style>
  <w:style w:type="character" w:customStyle="1" w:styleId="HeaderChar">
    <w:name w:val="Header Char"/>
    <w:basedOn w:val="DefaultParagraphFont"/>
    <w:link w:val="Header"/>
    <w:uiPriority w:val="99"/>
    <w:semiHidden/>
    <w:locked/>
    <w:rPr>
      <w:rFonts w:ascii="Arial" w:hAnsi="Arial" w:cs="Times New Roman"/>
      <w:sz w:val="20"/>
      <w:szCs w:val="20"/>
      <w:lang w:val="x-none" w:eastAsia="en-US"/>
    </w:rPr>
  </w:style>
  <w:style w:type="paragraph" w:styleId="BodyText">
    <w:name w:val="Body Text"/>
    <w:basedOn w:val="Normal"/>
    <w:link w:val="BodyTextChar"/>
    <w:uiPriority w:val="99"/>
    <w:rPr>
      <w:b/>
      <w:sz w:val="28"/>
      <w:lang w:val="en-GB"/>
    </w:rPr>
  </w:style>
  <w:style w:type="character" w:customStyle="1" w:styleId="BodyTextChar">
    <w:name w:val="Body Text Char"/>
    <w:basedOn w:val="DefaultParagraphFont"/>
    <w:link w:val="BodyText"/>
    <w:uiPriority w:val="99"/>
    <w:semiHidden/>
    <w:locked/>
    <w:rPr>
      <w:rFonts w:ascii="Arial" w:hAnsi="Arial" w:cs="Times New Roman"/>
      <w:b/>
      <w:sz w:val="28"/>
      <w:lang w:val="en-GB" w:eastAsia="en-US" w:bidi="ar-SA"/>
    </w:rPr>
  </w:style>
  <w:style w:type="paragraph" w:customStyle="1" w:styleId="TAeditorialitemerrorheading">
    <w:name w:val="TA editorial item error heading"/>
    <w:basedOn w:val="Normal"/>
    <w:uiPriority w:val="99"/>
    <w:pPr>
      <w:numPr>
        <w:numId w:val="21"/>
      </w:numPr>
      <w:pBdr>
        <w:top w:val="single" w:sz="4" w:space="1" w:color="auto"/>
        <w:left w:val="single" w:sz="4" w:space="4" w:color="auto"/>
        <w:bottom w:val="single" w:sz="4" w:space="1" w:color="auto"/>
        <w:right w:val="single" w:sz="4" w:space="4" w:color="auto"/>
      </w:pBdr>
      <w:shd w:val="clear" w:color="auto" w:fill="D9D9D9"/>
    </w:pPr>
    <w:rPr>
      <w:b/>
      <w:szCs w:val="24"/>
      <w:lang w:eastAsia="en-AU"/>
    </w:rPr>
  </w:style>
  <w:style w:type="paragraph" w:customStyle="1" w:styleId="Billname">
    <w:name w:val="Billname"/>
    <w:basedOn w:val="Normal"/>
    <w:uiPriority w:val="99"/>
    <w:pPr>
      <w:tabs>
        <w:tab w:val="left" w:pos="2400"/>
        <w:tab w:val="left" w:pos="2880"/>
      </w:tabs>
      <w:spacing w:before="1220" w:after="100"/>
    </w:pPr>
    <w:rPr>
      <w:b/>
      <w:sz w:val="40"/>
    </w:rPr>
  </w:style>
  <w:style w:type="paragraph" w:customStyle="1" w:styleId="N-line3">
    <w:name w:val="N-line3"/>
    <w:basedOn w:val="Normal"/>
    <w:next w:val="Normal"/>
    <w:uiPriority w:val="99"/>
    <w:pPr>
      <w:pBdr>
        <w:bottom w:val="single" w:sz="12" w:space="1" w:color="auto"/>
      </w:pBdr>
      <w:jc w:val="both"/>
    </w:pPr>
  </w:style>
  <w:style w:type="paragraph" w:customStyle="1" w:styleId="madeunder">
    <w:name w:val="made under"/>
    <w:basedOn w:val="Normal"/>
    <w:uiPriority w:val="99"/>
    <w:pPr>
      <w:spacing w:before="180" w:after="60"/>
      <w:jc w:val="both"/>
    </w:pPr>
  </w:style>
  <w:style w:type="paragraph" w:customStyle="1" w:styleId="CoverActName">
    <w:name w:val="CoverActName"/>
    <w:basedOn w:val="Normal"/>
    <w:uiPriority w:val="99"/>
    <w:pPr>
      <w:tabs>
        <w:tab w:val="left" w:pos="2600"/>
      </w:tabs>
      <w:spacing w:before="200" w:after="60"/>
      <w:jc w:val="both"/>
    </w:pPr>
    <w:rPr>
      <w:b/>
    </w:rPr>
  </w:style>
  <w:style w:type="paragraph" w:customStyle="1" w:styleId="TAIntroductiontext">
    <w:name w:val="TA Introduction text"/>
    <w:basedOn w:val="BodyText"/>
    <w:uiPriority w:val="99"/>
    <w:pPr>
      <w:tabs>
        <w:tab w:val="left" w:pos="720"/>
        <w:tab w:val="left" w:pos="1440"/>
      </w:tabs>
      <w:spacing w:after="120"/>
    </w:pPr>
    <w:rPr>
      <w:b w:val="0"/>
      <w:sz w:val="24"/>
      <w:szCs w:val="24"/>
      <w:lang w:val="en-AU" w:eastAsia="en-AU"/>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table" w:styleId="TableGrid">
    <w:name w:val="Table Grid"/>
    <w:basedOn w:val="TableNormal"/>
    <w:uiPriority w:val="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itList">
    <w:name w:val="CritList"/>
    <w:basedOn w:val="Normal"/>
    <w:link w:val="CritListCharChar"/>
    <w:uiPriority w:val="99"/>
    <w:pPr>
      <w:numPr>
        <w:numId w:val="6"/>
      </w:numPr>
      <w:spacing w:before="60" w:after="60" w:line="288" w:lineRule="auto"/>
    </w:pPr>
    <w:rPr>
      <w:rFonts w:cs="Arial"/>
      <w:sz w:val="20"/>
    </w:rPr>
  </w:style>
  <w:style w:type="paragraph" w:customStyle="1" w:styleId="RuleList">
    <w:name w:val="RuleList"/>
    <w:basedOn w:val="Normal"/>
    <w:link w:val="RuleListChar"/>
    <w:uiPriority w:val="99"/>
    <w:pPr>
      <w:numPr>
        <w:numId w:val="7"/>
      </w:numPr>
      <w:spacing w:before="60" w:after="60" w:line="288" w:lineRule="auto"/>
    </w:pPr>
    <w:rPr>
      <w:rFonts w:cs="Arial"/>
      <w:sz w:val="20"/>
    </w:rPr>
  </w:style>
  <w:style w:type="character" w:customStyle="1" w:styleId="CritListCharChar">
    <w:name w:val="CritList Char Char"/>
    <w:basedOn w:val="DefaultParagraphFont"/>
    <w:link w:val="CritList"/>
    <w:uiPriority w:val="99"/>
    <w:locked/>
    <w:rPr>
      <w:rFonts w:ascii="Arial" w:hAnsi="Arial" w:cs="Arial"/>
      <w:lang w:val="en-AU" w:eastAsia="en-US" w:bidi="ar-SA"/>
    </w:rPr>
  </w:style>
  <w:style w:type="character" w:customStyle="1" w:styleId="RuleListChar">
    <w:name w:val="RuleList Char"/>
    <w:basedOn w:val="CritListCharChar"/>
    <w:link w:val="RuleList"/>
    <w:uiPriority w:val="99"/>
    <w:locked/>
    <w:rPr>
      <w:rFonts w:ascii="Arial" w:hAnsi="Arial" w:cs="Arial"/>
      <w:lang w:val="en-AU" w:eastAsia="en-US" w:bidi="ar-SA"/>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AE6E2A"/>
    <w:rPr>
      <w:rFonts w:ascii="Arial" w:hAnsi="Arial" w:cs="Times New Roman"/>
      <w:sz w:val="24"/>
      <w:lang w:val="x-none" w:eastAsia="en-US"/>
    </w:rPr>
  </w:style>
  <w:style w:type="paragraph" w:customStyle="1" w:styleId="TAACTPLAlogo">
    <w:name w:val="TA ACTPLA logo"/>
    <w:basedOn w:val="Footer"/>
    <w:uiPriority w:val="99"/>
    <w:pPr>
      <w:jc w:val="center"/>
    </w:pPr>
    <w:rPr>
      <w:szCs w:val="24"/>
      <w:lang w:eastAsia="en-AU"/>
    </w:rPr>
  </w:style>
  <w:style w:type="paragraph" w:customStyle="1" w:styleId="TAfooter">
    <w:name w:val="TA footer"/>
    <w:basedOn w:val="Footer"/>
    <w:link w:val="TAfooterChar"/>
    <w:uiPriority w:val="99"/>
    <w:pPr>
      <w:spacing w:after="60"/>
      <w:jc w:val="center"/>
    </w:pPr>
    <w:rPr>
      <w:rFonts w:cs="Arial"/>
      <w:sz w:val="20"/>
      <w:lang w:eastAsia="en-AU"/>
    </w:rPr>
  </w:style>
  <w:style w:type="paragraph" w:customStyle="1" w:styleId="TApagenumber">
    <w:name w:val="TA page number"/>
    <w:basedOn w:val="TAfooter"/>
    <w:link w:val="TApagenumberChar"/>
    <w:uiPriority w:val="99"/>
  </w:style>
  <w:style w:type="character" w:customStyle="1" w:styleId="TAfooterChar">
    <w:name w:val="TA footer Char"/>
    <w:basedOn w:val="DefaultParagraphFont"/>
    <w:link w:val="TAfooter"/>
    <w:uiPriority w:val="99"/>
    <w:locked/>
    <w:rPr>
      <w:rFonts w:ascii="Arial" w:hAnsi="Arial" w:cs="Arial"/>
      <w:lang w:val="en-AU" w:eastAsia="en-AU" w:bidi="ar-SA"/>
    </w:rPr>
  </w:style>
  <w:style w:type="character" w:customStyle="1" w:styleId="TApagenumberChar">
    <w:name w:val="TA page number Char"/>
    <w:basedOn w:val="TAfooterChar"/>
    <w:link w:val="TApagenumber"/>
    <w:uiPriority w:val="99"/>
    <w:locked/>
    <w:rPr>
      <w:rFonts w:ascii="Arial" w:hAnsi="Arial" w:cs="Arial"/>
      <w:lang w:val="en-AU" w:eastAsia="en-AU" w:bidi="ar-SA"/>
    </w:rPr>
  </w:style>
  <w:style w:type="character" w:styleId="PageNumber">
    <w:name w:val="page number"/>
    <w:basedOn w:val="DefaultParagraphFont"/>
    <w:uiPriority w:val="99"/>
    <w:rPr>
      <w:rFonts w:cs="Times New Roman"/>
    </w:rPr>
  </w:style>
  <w:style w:type="paragraph" w:customStyle="1" w:styleId="StyleHeading4Arial16ptNotBold">
    <w:name w:val="Style Heading 4 + Arial 16 pt Not Bold"/>
    <w:basedOn w:val="Heading4"/>
    <w:uiPriority w:val="99"/>
    <w:pPr>
      <w:spacing w:after="240"/>
    </w:pPr>
    <w:rPr>
      <w:rFonts w:ascii="Arial" w:hAnsi="Arial"/>
      <w:b w:val="0"/>
      <w:bCs w:val="0"/>
      <w:sz w:val="32"/>
      <w:lang w:eastAsia="en-AU"/>
    </w:rPr>
  </w:style>
  <w:style w:type="paragraph" w:customStyle="1" w:styleId="condition">
    <w:name w:val="condition"/>
    <w:basedOn w:val="Normal"/>
    <w:uiPriority w:val="99"/>
    <w:pPr>
      <w:numPr>
        <w:numId w:val="24"/>
      </w:numPr>
      <w:spacing w:after="240"/>
    </w:pPr>
    <w:rPr>
      <w:rFonts w:cs="Arial"/>
    </w:rPr>
  </w:style>
  <w:style w:type="paragraph" w:customStyle="1" w:styleId="subheading">
    <w:name w:val="subheading"/>
    <w:basedOn w:val="Normal"/>
    <w:uiPriority w:val="99"/>
    <w:pPr>
      <w:tabs>
        <w:tab w:val="left" w:pos="8315"/>
      </w:tabs>
      <w:spacing w:after="240"/>
      <w:ind w:right="91"/>
      <w:outlineLvl w:val="1"/>
    </w:pPr>
    <w:rPr>
      <w:rFonts w:cs="Arial"/>
      <w:b/>
      <w:i/>
      <w:color w:val="000000"/>
    </w:rPr>
  </w:style>
  <w:style w:type="character" w:customStyle="1" w:styleId="EmailStyle51">
    <w:name w:val="EmailStyle51"/>
    <w:basedOn w:val="DefaultParagraphFont"/>
    <w:uiPriority w:val="99"/>
    <w:rPr>
      <w:rFonts w:ascii="Arial" w:hAnsi="Arial" w:cs="Arial"/>
      <w:color w:val="auto"/>
      <w:sz w:val="20"/>
    </w:rPr>
  </w:style>
  <w:style w:type="character" w:customStyle="1" w:styleId="EmailStyle52">
    <w:name w:val="EmailStyle52"/>
    <w:basedOn w:val="DefaultParagraphFont"/>
    <w:uiPriority w:val="99"/>
    <w:rPr>
      <w:rFonts w:ascii="Arial" w:hAnsi="Arial" w:cs="Arial"/>
      <w:color w:val="auto"/>
      <w:sz w:val="20"/>
    </w:rPr>
  </w:style>
  <w:style w:type="paragraph" w:styleId="PlainText">
    <w:name w:val="Plain Text"/>
    <w:basedOn w:val="Normal"/>
    <w:link w:val="PlainTextChar"/>
    <w:uiPriority w:val="99"/>
    <w:rPr>
      <w:rFonts w:ascii="Courier New" w:hAnsi="Courier New" w:cs="Courier New"/>
      <w:sz w:val="20"/>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x-none" w:eastAsia="en-US"/>
    </w:rPr>
  </w:style>
  <w:style w:type="paragraph" w:customStyle="1" w:styleId="TAheading">
    <w:name w:val="TA heading"/>
    <w:basedOn w:val="Normal"/>
    <w:uiPriority w:val="99"/>
    <w:pPr>
      <w:tabs>
        <w:tab w:val="left" w:pos="2400"/>
        <w:tab w:val="left" w:pos="2880"/>
      </w:tabs>
      <w:spacing w:before="120" w:after="240"/>
    </w:pPr>
    <w:rPr>
      <w:b/>
      <w:bCs/>
      <w:sz w:val="40"/>
    </w:rPr>
  </w:style>
  <w:style w:type="paragraph" w:customStyle="1" w:styleId="TAbody">
    <w:name w:val="TA body"/>
    <w:basedOn w:val="Normal"/>
    <w:link w:val="TAbodyChar"/>
    <w:uiPriority w:val="99"/>
    <w:rPr>
      <w:lang w:val="en-GB"/>
    </w:rPr>
  </w:style>
  <w:style w:type="character" w:customStyle="1" w:styleId="TAbodyChar">
    <w:name w:val="TA body Char"/>
    <w:basedOn w:val="DefaultParagraphFont"/>
    <w:link w:val="TAbody"/>
    <w:uiPriority w:val="99"/>
    <w:locked/>
    <w:rPr>
      <w:rFonts w:ascii="Arial" w:hAnsi="Arial" w:cs="Times New Roman"/>
      <w:sz w:val="24"/>
      <w:lang w:val="en-GB" w:eastAsia="en-US" w:bidi="ar-SA"/>
    </w:rPr>
  </w:style>
  <w:style w:type="character" w:customStyle="1" w:styleId="TAannexureAtext">
    <w:name w:val="TA annexure A text"/>
    <w:basedOn w:val="DefaultParagraphFont"/>
    <w:uiPriority w:val="99"/>
    <w:rPr>
      <w:rFonts w:cs="Times New Roman"/>
      <w:b/>
      <w:bCs/>
    </w:rPr>
  </w:style>
  <w:style w:type="paragraph" w:customStyle="1" w:styleId="TAline">
    <w:name w:val="TA line"/>
    <w:basedOn w:val="Normal"/>
    <w:uiPriority w:val="99"/>
    <w:pPr>
      <w:pBdr>
        <w:top w:val="single" w:sz="12" w:space="1" w:color="auto"/>
      </w:pBdr>
    </w:pPr>
  </w:style>
  <w:style w:type="paragraph" w:customStyle="1" w:styleId="TALAtext">
    <w:name w:val="TA (LA) text"/>
    <w:basedOn w:val="Normal"/>
    <w:uiPriority w:val="99"/>
    <w:pPr>
      <w:spacing w:before="180" w:after="60"/>
      <w:jc w:val="both"/>
    </w:pPr>
    <w:rPr>
      <w:sz w:val="20"/>
    </w:rPr>
  </w:style>
  <w:style w:type="paragraph" w:customStyle="1" w:styleId="TA-LAitalicstext">
    <w:name w:val="TA - LA italics text"/>
    <w:basedOn w:val="Normal"/>
    <w:next w:val="Normal"/>
    <w:link w:val="TA-LAitalicstextChar"/>
    <w:uiPriority w:val="99"/>
    <w:pPr>
      <w:tabs>
        <w:tab w:val="left" w:pos="2600"/>
      </w:tabs>
      <w:spacing w:after="240"/>
      <w:jc w:val="both"/>
    </w:pPr>
    <w:rPr>
      <w:b/>
      <w:i/>
      <w:sz w:val="18"/>
    </w:rPr>
  </w:style>
  <w:style w:type="character" w:customStyle="1" w:styleId="TA-LAitalicstextChar">
    <w:name w:val="TA - LA italics text Char"/>
    <w:basedOn w:val="DefaultParagraphFont"/>
    <w:link w:val="TA-LAitalicstext"/>
    <w:uiPriority w:val="99"/>
    <w:locked/>
    <w:rPr>
      <w:rFonts w:ascii="Arial" w:hAnsi="Arial" w:cs="Times New Roman"/>
      <w:b/>
      <w:i/>
      <w:sz w:val="18"/>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0533926">
      <w:marLeft w:val="0"/>
      <w:marRight w:val="0"/>
      <w:marTop w:val="0"/>
      <w:marBottom w:val="0"/>
      <w:divBdr>
        <w:top w:val="none" w:sz="0" w:space="0" w:color="auto"/>
        <w:left w:val="none" w:sz="0" w:space="0" w:color="auto"/>
        <w:bottom w:val="none" w:sz="0" w:space="0" w:color="auto"/>
        <w:right w:val="none" w:sz="0" w:space="0" w:color="auto"/>
      </w:divBdr>
      <w:divsChild>
        <w:div w:id="1890533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1929</Words>
  <Characters>10818</Characters>
  <Application>Microsoft Office Word</Application>
  <DocSecurity>0</DocSecurity>
  <Lines>468</Lines>
  <Paragraphs>181</Paragraphs>
  <ScaleCrop>false</ScaleCrop>
  <HeadingPairs>
    <vt:vector size="2" baseType="variant">
      <vt:variant>
        <vt:lpstr>Title</vt:lpstr>
      </vt:variant>
      <vt:variant>
        <vt:i4>1</vt:i4>
      </vt:variant>
    </vt:vector>
  </HeadingPairs>
  <TitlesOfParts>
    <vt:vector size="1" baseType="lpstr">
      <vt:lpstr>Technical Amendment Error s87(a)</vt:lpstr>
    </vt:vector>
  </TitlesOfParts>
  <Company>ACT Planning and Land Authority</Company>
  <LinksUpToDate>false</LinksUpToDate>
  <CharactersWithSpaces>12657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Error s87(a)</dc:title>
  <dc:subject/>
  <dc:creator>ACT Government</dc:creator>
  <cp:keywords/>
  <dc:description/>
  <cp:lastModifiedBy>PCODCS</cp:lastModifiedBy>
  <cp:revision>5</cp:revision>
  <cp:lastPrinted>2010-10-22T04:59:00Z</cp:lastPrinted>
  <dcterms:created xsi:type="dcterms:W3CDTF">2018-08-28T03:35:00Z</dcterms:created>
  <dcterms:modified xsi:type="dcterms:W3CDTF">2018-08-28T03:35:00Z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A5923102</vt:lpwstr>
  </property>
  <property fmtid="{D5CDD505-2E9C-101B-9397-08002B2CF9AE}" pid="4" name="Objective-Comment">
    <vt:lpwstr> </vt:lpwstr>
  </property>
  <property fmtid="{D5CDD505-2E9C-101B-9397-08002B2CF9AE}" pid="5" name="Objective-CreationStamp">
    <vt:filetime>2010-10-20T14:00:00Z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2010-10-20T14:00:00Z</vt:filetime>
  </property>
  <property fmtid="{D5CDD505-2E9C-101B-9397-08002B2CF9AE}" pid="9" name="Objective-ModificationStamp">
    <vt:filetime>2010-10-20T14:00:00Z</vt:filetime>
  </property>
  <property fmtid="{D5CDD505-2E9C-101B-9397-08002B2CF9AE}" pid="10" name="Objective-Owner">
    <vt:lpwstr>Janine Ridsdale</vt:lpwstr>
  </property>
  <property fmtid="{D5CDD505-2E9C-101B-9397-08002B2CF9AE}" pid="11" name="Objective-Path">
    <vt:lpwstr>Whole of ACT Government:ACTPLA:BRANCH - Planning Services:Development Policy:04 - Territory Plan Variation Unit - New ((Active 20091126):01 Territory Plan Management (Variations, Technical Amendments, Planning Reports and Proposals):2 Technical Amendments</vt:lpwstr>
  </property>
  <property fmtid="{D5CDD505-2E9C-101B-9397-08002B2CF9AE}" pid="12" name="Objective-Parent">
    <vt:lpwstr>Commencement docs</vt:lpwstr>
  </property>
  <property fmtid="{D5CDD505-2E9C-101B-9397-08002B2CF9AE}" pid="13" name="Objective-State">
    <vt:lpwstr>Published</vt:lpwstr>
  </property>
  <property fmtid="{D5CDD505-2E9C-101B-9397-08002B2CF9AE}" pid="14" name="Objective-Title">
    <vt:lpwstr>Attachment A Commencement Notice + TA2010-22 - 29 October 2010</vt:lpwstr>
  </property>
  <property fmtid="{D5CDD505-2E9C-101B-9397-08002B2CF9AE}" pid="15" name="Objective-Version">
    <vt:lpwstr>3.0</vt:lpwstr>
  </property>
  <property fmtid="{D5CDD505-2E9C-101B-9397-08002B2CF9AE}" pid="16" name="Objective-VersionComment">
    <vt:lpwstr> </vt:lpwstr>
  </property>
  <property fmtid="{D5CDD505-2E9C-101B-9397-08002B2CF9AE}" pid="17" name="Objective-VersionNumber">
    <vt:i4>3</vt:i4>
  </property>
  <property fmtid="{D5CDD505-2E9C-101B-9397-08002B2CF9AE}" pid="18" name="Objective-FileNumber">
    <vt:lpwstr>1-2010/10625</vt:lpwstr>
  </property>
  <property fmtid="{D5CDD505-2E9C-101B-9397-08002B2CF9AE}" pid="19" name="Objective-Classification">
    <vt:lpwstr>Not classified</vt:lpwstr>
  </property>
  <property fmtid="{D5CDD505-2E9C-101B-9397-08002B2CF9AE}" pid="20" name="Objective-Caveats">
    <vt:lpwstr> </vt:lpwstr>
  </property>
  <property fmtid="{D5CDD505-2E9C-101B-9397-08002B2CF9AE}" pid="21" name="Objective-Owner Agency [system]">
    <vt:lpwstr>ACTPLA</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vt:lpwstr>
  </property>
  <property fmtid="{D5CDD505-2E9C-101B-9397-08002B2CF9AE}" pid="26" name="Objective-Add Place [system]">
    <vt:lpwstr> </vt:lpwstr>
  </property>
  <property fmtid="{D5CDD505-2E9C-101B-9397-08002B2CF9AE}" pid="27" name="Objective-Places [system]">
    <vt:lpwstr> </vt:lpwstr>
  </property>
  <property fmtid="{D5CDD505-2E9C-101B-9397-08002B2CF9AE}" pid="28" name="Objective-Transaction Reference [system]">
    <vt:lpwstr> </vt:lpwstr>
  </property>
  <property fmtid="{D5CDD505-2E9C-101B-9397-08002B2CF9AE}" pid="29" name="Objective-Document Created By [system]">
    <vt:lpwstr> </vt:lpwstr>
  </property>
  <property fmtid="{D5CDD505-2E9C-101B-9397-08002B2CF9AE}" pid="30" name="Objective-Document Created On [system]">
    <vt:lpwstr> </vt:lpwstr>
  </property>
  <property fmtid="{D5CDD505-2E9C-101B-9397-08002B2CF9AE}" pid="31" name="Objective-Covers Period From [system]">
    <vt:lpwstr> </vt:lpwstr>
  </property>
  <property fmtid="{D5CDD505-2E9C-101B-9397-08002B2CF9AE}" pid="32" name="Objective-Covers Period To [system]">
    <vt:lpwstr> </vt:lpwstr>
  </property>
</Properties>
</file>