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03C" w:rsidRDefault="005A103C">
      <w:pPr>
        <w:pStyle w:val="Header"/>
        <w:spacing w:before="120"/>
        <w:rPr>
          <w:rFonts w:ascii="Arial" w:hAnsi="Arial" w:cs="Arial"/>
        </w:rPr>
      </w:pPr>
      <w:bookmarkStart w:id="0" w:name="_GoBack"/>
      <w:bookmarkEnd w:id="0"/>
      <w:smartTag w:uri="urn:schemas-microsoft-com:office:smarttags" w:element="place">
        <w:smartTag w:uri="urn:schemas-microsoft-com:office:smarttags" w:element="State">
          <w:r>
            <w:rPr>
              <w:rFonts w:ascii="Arial" w:hAnsi="Arial" w:cs="Arial"/>
            </w:rPr>
            <w:t>Australian Capital Territory</w:t>
          </w:r>
        </w:smartTag>
      </w:smartTag>
    </w:p>
    <w:p w:rsidR="005A103C" w:rsidRDefault="005A103C">
      <w:pPr>
        <w:pStyle w:val="Header"/>
        <w:spacing w:before="120"/>
        <w:rPr>
          <w:rFonts w:ascii="Arial" w:hAnsi="Arial" w:cs="Arial"/>
        </w:rPr>
      </w:pPr>
    </w:p>
    <w:p w:rsidR="005A103C" w:rsidRDefault="0059504C">
      <w:pPr>
        <w:pStyle w:val="TAheading"/>
        <w:rPr>
          <w:rFonts w:cs="Arial"/>
        </w:rPr>
      </w:pPr>
      <w:r>
        <w:rPr>
          <w:rFonts w:cs="Arial"/>
        </w:rPr>
        <w:t>Planning and Development (Technical Amendment</w:t>
      </w:r>
      <w:r>
        <w:rPr>
          <w:rFonts w:cs="Arial"/>
          <w:color w:val="000000"/>
        </w:rPr>
        <w:t>—</w:t>
      </w:r>
      <w:r>
        <w:rPr>
          <w:rFonts w:cs="Arial"/>
        </w:rPr>
        <w:t>Changes to multi unit housing development code, industrial zones development code, inner north precinct code and parking and vehicular access general code) Plan Variation 2011*</w:t>
      </w:r>
    </w:p>
    <w:p w:rsidR="005A103C" w:rsidRDefault="005A103C">
      <w:pPr>
        <w:rPr>
          <w:rStyle w:val="TAannexureAtext"/>
          <w:rFonts w:ascii="Arial" w:hAnsi="Arial" w:cs="Arial"/>
        </w:rPr>
      </w:pPr>
      <w:r>
        <w:rPr>
          <w:rStyle w:val="TAannexureAtext"/>
          <w:rFonts w:ascii="Arial" w:hAnsi="Arial" w:cs="Arial"/>
        </w:rPr>
        <w:t>Notifiable instrument NI</w:t>
      </w:r>
      <w:r w:rsidR="0059504C">
        <w:rPr>
          <w:rStyle w:val="TAannexureAtext"/>
          <w:rFonts w:ascii="Arial" w:hAnsi="Arial" w:cs="Arial"/>
        </w:rPr>
        <w:t>2011</w:t>
      </w:r>
      <w:r>
        <w:rPr>
          <w:rStyle w:val="TAannexureAtext"/>
          <w:rFonts w:ascii="Arial" w:hAnsi="Arial" w:cs="Arial"/>
        </w:rPr>
        <w:t>–207</w:t>
      </w:r>
    </w:p>
    <w:p w:rsidR="005A103C" w:rsidRDefault="005A103C">
      <w:pPr>
        <w:rPr>
          <w:rStyle w:val="TAannexureAtext"/>
          <w:rFonts w:ascii="Arial" w:hAnsi="Arial" w:cs="Arial"/>
        </w:rPr>
      </w:pPr>
      <w:r>
        <w:rPr>
          <w:rStyle w:val="TAannexureAtext"/>
          <w:rFonts w:ascii="Arial" w:hAnsi="Arial" w:cs="Arial"/>
        </w:rPr>
        <w:t>Technical Amendment No. 2011–04</w:t>
      </w:r>
    </w:p>
    <w:p w:rsidR="005A103C" w:rsidRDefault="005A103C">
      <w:pPr>
        <w:pStyle w:val="TALAtext"/>
        <w:rPr>
          <w:rFonts w:cs="Arial"/>
        </w:rPr>
      </w:pPr>
      <w:r>
        <w:rPr>
          <w:rFonts w:cs="Arial"/>
        </w:rPr>
        <w:t>made under the</w:t>
      </w:r>
    </w:p>
    <w:p w:rsidR="005A103C" w:rsidRDefault="005A103C">
      <w:pPr>
        <w:pStyle w:val="TA-LAitalicstext"/>
        <w:rPr>
          <w:rFonts w:cs="Arial"/>
        </w:rPr>
      </w:pPr>
      <w:r>
        <w:rPr>
          <w:rFonts w:cs="Arial"/>
        </w:rPr>
        <w:t xml:space="preserve">Planning and Development Act 2007, section 89 (Making technical amendments)   </w:t>
      </w:r>
    </w:p>
    <w:p w:rsidR="005A103C" w:rsidRDefault="005A103C">
      <w:pPr>
        <w:pStyle w:val="TAline"/>
        <w:rPr>
          <w:rFonts w:cs="Arial"/>
        </w:rPr>
      </w:pPr>
    </w:p>
    <w:p w:rsidR="005A103C" w:rsidRDefault="005A103C">
      <w:pPr>
        <w:pStyle w:val="TAbody"/>
        <w:rPr>
          <w:rFonts w:cs="Arial"/>
          <w:color w:val="000000"/>
        </w:rPr>
      </w:pPr>
      <w:r>
        <w:rPr>
          <w:rFonts w:cs="Arial"/>
          <w:color w:val="000000"/>
        </w:rPr>
        <w:t>This technical amendment commences on 29 April 2011.</w:t>
      </w:r>
    </w:p>
    <w:p w:rsidR="005A103C" w:rsidRDefault="005A103C">
      <w:pPr>
        <w:pStyle w:val="TAbody"/>
        <w:rPr>
          <w:rFonts w:cs="Arial"/>
          <w:color w:val="000000"/>
        </w:rPr>
      </w:pPr>
    </w:p>
    <w:p w:rsidR="005A103C" w:rsidRDefault="005A103C">
      <w:pPr>
        <w:pStyle w:val="TAbody"/>
        <w:rPr>
          <w:rFonts w:cs="Arial"/>
          <w:color w:val="000000"/>
        </w:rPr>
      </w:pPr>
      <w:r>
        <w:rPr>
          <w:rFonts w:cs="Arial"/>
          <w:color w:val="000000"/>
        </w:rPr>
        <w:t>Technical amendment number 2011-04 to the Territory Plan has been approved by the Planning and Land Authority.</w:t>
      </w:r>
    </w:p>
    <w:p w:rsidR="005A103C" w:rsidRDefault="005A103C">
      <w:pPr>
        <w:pStyle w:val="TAbody"/>
        <w:rPr>
          <w:rFonts w:cs="Arial"/>
          <w:color w:val="000000"/>
        </w:rPr>
      </w:pPr>
    </w:p>
    <w:p w:rsidR="005A103C" w:rsidRDefault="005A103C">
      <w:pPr>
        <w:pStyle w:val="TAbody"/>
        <w:rPr>
          <w:rFonts w:cs="Arial"/>
          <w:color w:val="000000"/>
          <w:szCs w:val="24"/>
        </w:rPr>
      </w:pPr>
    </w:p>
    <w:p w:rsidR="005A103C" w:rsidRDefault="005A103C">
      <w:pPr>
        <w:pStyle w:val="TAbody"/>
        <w:rPr>
          <w:rFonts w:cs="Arial"/>
          <w:color w:val="000000"/>
          <w:szCs w:val="24"/>
        </w:rPr>
      </w:pPr>
    </w:p>
    <w:p w:rsidR="005A103C" w:rsidRDefault="005A103C">
      <w:pPr>
        <w:pStyle w:val="TAbody"/>
        <w:rPr>
          <w:rFonts w:cs="Arial"/>
          <w:color w:val="000000"/>
        </w:rPr>
      </w:pPr>
    </w:p>
    <w:p w:rsidR="005A103C" w:rsidRDefault="005A103C">
      <w:pPr>
        <w:pStyle w:val="TAbody"/>
        <w:rPr>
          <w:rFonts w:cs="Arial"/>
          <w:color w:val="000000"/>
        </w:rPr>
      </w:pPr>
    </w:p>
    <w:p w:rsidR="005A103C" w:rsidRDefault="005A103C">
      <w:pPr>
        <w:pStyle w:val="TAbody"/>
        <w:rPr>
          <w:rFonts w:cs="Arial"/>
          <w:color w:val="000000"/>
        </w:rPr>
      </w:pPr>
    </w:p>
    <w:p w:rsidR="005A103C" w:rsidRDefault="005A103C">
      <w:pPr>
        <w:pStyle w:val="TAbody"/>
        <w:rPr>
          <w:rFonts w:cs="Arial"/>
          <w:color w:val="000000"/>
        </w:rPr>
      </w:pPr>
      <w:r>
        <w:rPr>
          <w:rFonts w:cs="Arial"/>
          <w:color w:val="000000"/>
        </w:rPr>
        <w:t>Neil Savery</w:t>
      </w:r>
    </w:p>
    <w:p w:rsidR="005A103C" w:rsidRDefault="005A103C">
      <w:pPr>
        <w:pStyle w:val="TAbody"/>
        <w:rPr>
          <w:rFonts w:cs="Arial"/>
          <w:color w:val="000000"/>
        </w:rPr>
      </w:pPr>
      <w:r>
        <w:rPr>
          <w:rFonts w:cs="Arial"/>
          <w:color w:val="000000"/>
        </w:rPr>
        <w:t>Delegate of Planning and Land Authority</w:t>
      </w:r>
    </w:p>
    <w:p w:rsidR="005A103C" w:rsidRDefault="005A103C">
      <w:pPr>
        <w:pStyle w:val="TAbody"/>
        <w:rPr>
          <w:rFonts w:cs="Arial"/>
          <w:color w:val="000000"/>
        </w:rPr>
      </w:pPr>
    </w:p>
    <w:p w:rsidR="005A103C" w:rsidRDefault="005A103C">
      <w:pPr>
        <w:pStyle w:val="TAbody"/>
        <w:rPr>
          <w:rFonts w:cs="Arial"/>
          <w:color w:val="000000"/>
        </w:rPr>
      </w:pPr>
      <w:r>
        <w:rPr>
          <w:rFonts w:cs="Arial"/>
          <w:color w:val="000000"/>
        </w:rPr>
        <w:t>18 April 2011</w:t>
      </w:r>
    </w:p>
    <w:p w:rsidR="005A103C" w:rsidRDefault="005A103C">
      <w:pPr>
        <w:pStyle w:val="TAtitlepageplanninganddevelopmentact"/>
        <w:sectPr w:rsidR="005A103C">
          <w:headerReference w:type="even" r:id="rId7"/>
          <w:headerReference w:type="default" r:id="rId8"/>
          <w:footerReference w:type="even" r:id="rId9"/>
          <w:footerReference w:type="default" r:id="rId10"/>
          <w:headerReference w:type="first" r:id="rId11"/>
          <w:footerReference w:type="first" r:id="rId12"/>
          <w:pgSz w:w="11907" w:h="16840" w:code="9"/>
          <w:pgMar w:top="1440" w:right="1797" w:bottom="1440" w:left="1797" w:header="720" w:footer="720" w:gutter="0"/>
          <w:cols w:space="720"/>
          <w:rtlGutter/>
        </w:sectPr>
      </w:pPr>
    </w:p>
    <w:p w:rsidR="005A103C" w:rsidRDefault="002869D0">
      <w:pPr>
        <w:pStyle w:val="TAtitlepageplanninganddevelopmentac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p>
    <w:p w:rsidR="005A103C" w:rsidRDefault="005A103C">
      <w:pPr>
        <w:pStyle w:val="TAtitlepageplanninganddevelopmentact"/>
        <w:rPr>
          <w:rFonts w:ascii="Arial" w:hAnsi="Arial"/>
        </w:rPr>
      </w:pPr>
      <w:r>
        <w:rPr>
          <w:rFonts w:ascii="Arial" w:hAnsi="Arial"/>
        </w:rPr>
        <w:t>Planning &amp; Development Act 2007</w:t>
      </w:r>
    </w:p>
    <w:p w:rsidR="005A103C" w:rsidRDefault="005A103C">
      <w:pPr>
        <w:pStyle w:val="TAbodytext"/>
        <w:rPr>
          <w:rFonts w:cs="Arial"/>
        </w:rPr>
      </w:pPr>
    </w:p>
    <w:p w:rsidR="005A103C" w:rsidRDefault="005A103C">
      <w:pPr>
        <w:pStyle w:val="TATitlepagedocumenttitle"/>
        <w:rPr>
          <w:rFonts w:ascii="Arial" w:hAnsi="Arial"/>
        </w:rPr>
      </w:pPr>
      <w:r>
        <w:rPr>
          <w:rFonts w:ascii="Arial" w:hAnsi="Arial"/>
        </w:rPr>
        <w:t>Technical Amendment</w:t>
      </w:r>
    </w:p>
    <w:p w:rsidR="005A103C" w:rsidRDefault="005A103C">
      <w:pPr>
        <w:pStyle w:val="TATitlepagedocumenttitle"/>
        <w:rPr>
          <w:rFonts w:ascii="Arial" w:hAnsi="Arial"/>
        </w:rPr>
      </w:pPr>
      <w:r>
        <w:rPr>
          <w:rFonts w:ascii="Arial" w:hAnsi="Arial"/>
        </w:rPr>
        <w:t>to the Territory Plan</w:t>
      </w:r>
    </w:p>
    <w:p w:rsidR="005A103C" w:rsidRDefault="005A103C">
      <w:pPr>
        <w:pStyle w:val="TATitlepagedocumenttitle"/>
        <w:rPr>
          <w:rFonts w:ascii="Arial" w:hAnsi="Arial"/>
        </w:rPr>
      </w:pPr>
    </w:p>
    <w:p w:rsidR="005A103C" w:rsidRDefault="005A103C">
      <w:pPr>
        <w:pStyle w:val="TATitlepagedocumenttitle"/>
        <w:rPr>
          <w:rFonts w:ascii="Arial" w:hAnsi="Arial"/>
        </w:rPr>
      </w:pPr>
      <w:bookmarkStart w:id="1" w:name="Variation_number"/>
      <w:r>
        <w:rPr>
          <w:rFonts w:ascii="Arial" w:hAnsi="Arial"/>
        </w:rPr>
        <w:t>Variation 2011-</w:t>
      </w:r>
      <w:bookmarkEnd w:id="1"/>
      <w:r>
        <w:rPr>
          <w:rFonts w:ascii="Arial" w:hAnsi="Arial"/>
        </w:rPr>
        <w:t>04</w:t>
      </w:r>
    </w:p>
    <w:p w:rsidR="005A103C" w:rsidRDefault="005A103C">
      <w:pPr>
        <w:pStyle w:val="TAbodytext"/>
        <w:rPr>
          <w:rFonts w:cs="Arial"/>
        </w:rPr>
      </w:pPr>
    </w:p>
    <w:p w:rsidR="005A103C" w:rsidRDefault="005A103C">
      <w:pPr>
        <w:pStyle w:val="TAbodytext"/>
        <w:rPr>
          <w:rFonts w:cs="Arial"/>
        </w:rPr>
      </w:pPr>
    </w:p>
    <w:p w:rsidR="005A103C" w:rsidRDefault="005A103C">
      <w:pPr>
        <w:pStyle w:val="TAbodytext"/>
        <w:jc w:val="center"/>
        <w:rPr>
          <w:rFonts w:cs="Arial"/>
          <w:sz w:val="40"/>
          <w:szCs w:val="40"/>
        </w:rPr>
      </w:pPr>
      <w:r>
        <w:rPr>
          <w:rFonts w:cs="Arial"/>
          <w:sz w:val="40"/>
          <w:szCs w:val="40"/>
        </w:rPr>
        <w:t xml:space="preserve">Changes to </w:t>
      </w:r>
      <w:bookmarkStart w:id="2" w:name="Month_year"/>
      <w:r>
        <w:rPr>
          <w:rFonts w:cs="Arial"/>
          <w:sz w:val="40"/>
          <w:szCs w:val="40"/>
        </w:rPr>
        <w:t>multi unit housing development code, industrial zones development code, inner north precinct code and parking and vehicular access general code</w:t>
      </w:r>
    </w:p>
    <w:p w:rsidR="005A103C" w:rsidRDefault="005A103C">
      <w:pPr>
        <w:pStyle w:val="TAbodytext"/>
        <w:jc w:val="center"/>
        <w:rPr>
          <w:rFonts w:cs="Arial"/>
        </w:rPr>
      </w:pPr>
    </w:p>
    <w:bookmarkEnd w:id="2"/>
    <w:p w:rsidR="005A103C" w:rsidRDefault="005A103C">
      <w:pPr>
        <w:pStyle w:val="TATitlepagemonthandyear"/>
      </w:pPr>
    </w:p>
    <w:p w:rsidR="005A103C" w:rsidRDefault="005A103C">
      <w:pPr>
        <w:pStyle w:val="TATitlepagemonthandyear"/>
      </w:pPr>
      <w:r>
        <w:t>April 2011</w:t>
      </w:r>
    </w:p>
    <w:p w:rsidR="005A103C" w:rsidRDefault="005A103C">
      <w:pPr>
        <w:pStyle w:val="TATitlepagemonthandyear"/>
        <w:sectPr w:rsidR="005A103C">
          <w:footerReference w:type="default" r:id="rId14"/>
          <w:pgSz w:w="11907" w:h="16840" w:code="9"/>
          <w:pgMar w:top="1440" w:right="1797" w:bottom="1440" w:left="1797" w:header="720" w:footer="720" w:gutter="0"/>
          <w:cols w:space="720"/>
          <w:rtlGutter/>
        </w:sectPr>
      </w:pPr>
    </w:p>
    <w:p w:rsidR="005A103C" w:rsidRDefault="005A103C">
      <w:pPr>
        <w:pStyle w:val="TAbodytext"/>
      </w:pPr>
    </w:p>
    <w:p w:rsidR="005A103C" w:rsidRDefault="005A103C">
      <w:pPr>
        <w:pStyle w:val="TATableofcontentsTitle"/>
      </w:pPr>
      <w:r>
        <w:t>Table of Contents</w:t>
      </w:r>
    </w:p>
    <w:p w:rsidR="005A103C" w:rsidRDefault="005A103C">
      <w:pPr>
        <w:pStyle w:val="TAbodytext"/>
      </w:pPr>
    </w:p>
    <w:p w:rsidR="005A103C" w:rsidRDefault="005A103C">
      <w:pPr>
        <w:pStyle w:val="TOC1"/>
        <w:tabs>
          <w:tab w:val="right" w:leader="dot" w:pos="8835"/>
        </w:tabs>
        <w:rPr>
          <w:rFonts w:ascii="Times New Roman" w:hAnsi="Times New Roman"/>
          <w:caps w:val="0"/>
        </w:rPr>
      </w:pPr>
      <w:r>
        <w:fldChar w:fldCharType="begin"/>
      </w:r>
      <w:r>
        <w:instrText xml:space="preserve"> TOC \h \z \t "TA Appendix heading,3,TA section heading,1,TA section heading 2,2,TA section heading 3,3" </w:instrText>
      </w:r>
      <w:r>
        <w:fldChar w:fldCharType="separate"/>
      </w:r>
      <w:hyperlink w:anchor="_Toc289866665" w:history="1">
        <w:r>
          <w:rPr>
            <w:rStyle w:val="Hyperlink"/>
          </w:rPr>
          <w:t>1. INTRODUCTION</w:t>
        </w:r>
        <w:r>
          <w:rPr>
            <w:webHidden/>
          </w:rPr>
          <w:tab/>
        </w:r>
        <w:r>
          <w:rPr>
            <w:webHidden/>
          </w:rPr>
          <w:fldChar w:fldCharType="begin"/>
        </w:r>
        <w:r>
          <w:rPr>
            <w:webHidden/>
          </w:rPr>
          <w:instrText xml:space="preserve"> PAGEREF _Toc289866665 \h </w:instrText>
        </w:r>
        <w:r>
          <w:rPr>
            <w:webHidden/>
          </w:rPr>
        </w:r>
        <w:r>
          <w:rPr>
            <w:webHidden/>
          </w:rPr>
          <w:fldChar w:fldCharType="separate"/>
        </w:r>
        <w:r>
          <w:rPr>
            <w:webHidden/>
          </w:rPr>
          <w:t>2</w:t>
        </w:r>
        <w:r>
          <w:rPr>
            <w:webHidden/>
          </w:rPr>
          <w:fldChar w:fldCharType="end"/>
        </w:r>
      </w:hyperlink>
    </w:p>
    <w:p w:rsidR="005A103C" w:rsidRDefault="002869D0">
      <w:pPr>
        <w:pStyle w:val="TOC2"/>
        <w:tabs>
          <w:tab w:val="right" w:leader="dot" w:pos="8835"/>
        </w:tabs>
        <w:rPr>
          <w:rFonts w:ascii="Times New Roman" w:hAnsi="Times New Roman"/>
          <w:noProof/>
        </w:rPr>
      </w:pPr>
      <w:hyperlink w:anchor="_Toc289866666" w:history="1">
        <w:r w:rsidR="005A103C">
          <w:rPr>
            <w:rStyle w:val="Hyperlink"/>
            <w:noProof/>
          </w:rPr>
          <w:t>Outline of the process</w:t>
        </w:r>
        <w:r w:rsidR="005A103C">
          <w:rPr>
            <w:noProof/>
            <w:webHidden/>
          </w:rPr>
          <w:tab/>
        </w:r>
        <w:r w:rsidR="005A103C">
          <w:rPr>
            <w:noProof/>
            <w:webHidden/>
          </w:rPr>
          <w:fldChar w:fldCharType="begin"/>
        </w:r>
        <w:r w:rsidR="005A103C">
          <w:rPr>
            <w:noProof/>
            <w:webHidden/>
          </w:rPr>
          <w:instrText xml:space="preserve"> PAGEREF _Toc289866666 \h </w:instrText>
        </w:r>
        <w:r w:rsidR="005A103C">
          <w:rPr>
            <w:noProof/>
            <w:webHidden/>
          </w:rPr>
        </w:r>
        <w:r w:rsidR="005A103C">
          <w:rPr>
            <w:noProof/>
            <w:webHidden/>
          </w:rPr>
          <w:fldChar w:fldCharType="separate"/>
        </w:r>
        <w:r w:rsidR="005A103C">
          <w:rPr>
            <w:noProof/>
            <w:webHidden/>
          </w:rPr>
          <w:t>2</w:t>
        </w:r>
        <w:r w:rsidR="005A103C">
          <w:rPr>
            <w:noProof/>
            <w:webHidden/>
          </w:rPr>
          <w:fldChar w:fldCharType="end"/>
        </w:r>
      </w:hyperlink>
    </w:p>
    <w:p w:rsidR="005A103C" w:rsidRDefault="002869D0">
      <w:pPr>
        <w:pStyle w:val="TOC1"/>
        <w:tabs>
          <w:tab w:val="right" w:leader="dot" w:pos="8835"/>
        </w:tabs>
        <w:rPr>
          <w:rFonts w:ascii="Times New Roman" w:hAnsi="Times New Roman"/>
          <w:caps w:val="0"/>
        </w:rPr>
      </w:pPr>
      <w:hyperlink w:anchor="_Toc289866667" w:history="1">
        <w:r w:rsidR="005A103C">
          <w:rPr>
            <w:rStyle w:val="Hyperlink"/>
          </w:rPr>
          <w:t>2. EXPLANATORY STATEMENT</w:t>
        </w:r>
        <w:r w:rsidR="005A103C">
          <w:rPr>
            <w:webHidden/>
          </w:rPr>
          <w:tab/>
        </w:r>
        <w:r w:rsidR="005A103C">
          <w:rPr>
            <w:webHidden/>
          </w:rPr>
          <w:fldChar w:fldCharType="begin"/>
        </w:r>
        <w:r w:rsidR="005A103C">
          <w:rPr>
            <w:webHidden/>
          </w:rPr>
          <w:instrText xml:space="preserve"> PAGEREF _Toc289866667 \h </w:instrText>
        </w:r>
        <w:r w:rsidR="005A103C">
          <w:rPr>
            <w:webHidden/>
          </w:rPr>
        </w:r>
        <w:r w:rsidR="005A103C">
          <w:rPr>
            <w:webHidden/>
          </w:rPr>
          <w:fldChar w:fldCharType="separate"/>
        </w:r>
        <w:r w:rsidR="005A103C">
          <w:rPr>
            <w:webHidden/>
          </w:rPr>
          <w:t>3</w:t>
        </w:r>
        <w:r w:rsidR="005A103C">
          <w:rPr>
            <w:webHidden/>
          </w:rPr>
          <w:fldChar w:fldCharType="end"/>
        </w:r>
      </w:hyperlink>
    </w:p>
    <w:p w:rsidR="005A103C" w:rsidRDefault="002869D0">
      <w:pPr>
        <w:pStyle w:val="TOC3"/>
        <w:rPr>
          <w:rFonts w:ascii="Times New Roman" w:hAnsi="Times New Roman"/>
          <w:noProof/>
        </w:rPr>
      </w:pPr>
      <w:hyperlink w:anchor="_Toc289866668" w:history="1">
        <w:r w:rsidR="005A103C">
          <w:rPr>
            <w:rStyle w:val="Hyperlink"/>
            <w:noProof/>
          </w:rPr>
          <w:t>2.1 Proposed Changes and Reasons</w:t>
        </w:r>
        <w:r w:rsidR="005A103C">
          <w:rPr>
            <w:noProof/>
            <w:webHidden/>
          </w:rPr>
          <w:tab/>
        </w:r>
        <w:r w:rsidR="005A103C">
          <w:rPr>
            <w:noProof/>
            <w:webHidden/>
          </w:rPr>
          <w:fldChar w:fldCharType="begin"/>
        </w:r>
        <w:r w:rsidR="005A103C">
          <w:rPr>
            <w:noProof/>
            <w:webHidden/>
          </w:rPr>
          <w:instrText xml:space="preserve"> PAGEREF _Toc289866668 \h </w:instrText>
        </w:r>
        <w:r w:rsidR="005A103C">
          <w:rPr>
            <w:noProof/>
            <w:webHidden/>
          </w:rPr>
        </w:r>
        <w:r w:rsidR="005A103C">
          <w:rPr>
            <w:noProof/>
            <w:webHidden/>
          </w:rPr>
          <w:fldChar w:fldCharType="separate"/>
        </w:r>
        <w:r w:rsidR="005A103C">
          <w:rPr>
            <w:noProof/>
            <w:webHidden/>
          </w:rPr>
          <w:t>3</w:t>
        </w:r>
        <w:r w:rsidR="005A103C">
          <w:rPr>
            <w:noProof/>
            <w:webHidden/>
          </w:rPr>
          <w:fldChar w:fldCharType="end"/>
        </w:r>
      </w:hyperlink>
    </w:p>
    <w:p w:rsidR="005A103C" w:rsidRDefault="002869D0">
      <w:pPr>
        <w:pStyle w:val="TOC3"/>
        <w:rPr>
          <w:rFonts w:ascii="Times New Roman" w:hAnsi="Times New Roman"/>
          <w:noProof/>
        </w:rPr>
      </w:pPr>
      <w:hyperlink w:anchor="_Toc289866669" w:history="1">
        <w:r w:rsidR="005A103C">
          <w:rPr>
            <w:rStyle w:val="Hyperlink"/>
            <w:noProof/>
          </w:rPr>
          <w:t>2.2 Statement of compliance with the Planning and Development Act*</w:t>
        </w:r>
        <w:r w:rsidR="005A103C">
          <w:rPr>
            <w:noProof/>
            <w:webHidden/>
          </w:rPr>
          <w:tab/>
        </w:r>
        <w:r w:rsidR="005A103C">
          <w:rPr>
            <w:noProof/>
            <w:webHidden/>
          </w:rPr>
          <w:fldChar w:fldCharType="begin"/>
        </w:r>
        <w:r w:rsidR="005A103C">
          <w:rPr>
            <w:noProof/>
            <w:webHidden/>
          </w:rPr>
          <w:instrText xml:space="preserve"> PAGEREF _Toc289866669 \h </w:instrText>
        </w:r>
        <w:r w:rsidR="005A103C">
          <w:rPr>
            <w:noProof/>
            <w:webHidden/>
          </w:rPr>
        </w:r>
        <w:r w:rsidR="005A103C">
          <w:rPr>
            <w:noProof/>
            <w:webHidden/>
          </w:rPr>
          <w:fldChar w:fldCharType="separate"/>
        </w:r>
        <w:r w:rsidR="005A103C">
          <w:rPr>
            <w:noProof/>
            <w:webHidden/>
          </w:rPr>
          <w:t>4</w:t>
        </w:r>
        <w:r w:rsidR="005A103C">
          <w:rPr>
            <w:noProof/>
            <w:webHidden/>
          </w:rPr>
          <w:fldChar w:fldCharType="end"/>
        </w:r>
      </w:hyperlink>
    </w:p>
    <w:p w:rsidR="005A103C" w:rsidRDefault="002869D0">
      <w:pPr>
        <w:pStyle w:val="TOC1"/>
        <w:tabs>
          <w:tab w:val="right" w:leader="dot" w:pos="8835"/>
        </w:tabs>
        <w:rPr>
          <w:rFonts w:ascii="Times New Roman" w:hAnsi="Times New Roman"/>
          <w:caps w:val="0"/>
        </w:rPr>
      </w:pPr>
      <w:hyperlink w:anchor="_Toc289866670" w:history="1">
        <w:r w:rsidR="005A103C">
          <w:rPr>
            <w:rStyle w:val="Hyperlink"/>
          </w:rPr>
          <w:t>3. TECHNICAL AMENDMENT</w:t>
        </w:r>
        <w:r w:rsidR="005A103C">
          <w:rPr>
            <w:webHidden/>
          </w:rPr>
          <w:tab/>
        </w:r>
        <w:r w:rsidR="005A103C">
          <w:rPr>
            <w:webHidden/>
          </w:rPr>
          <w:fldChar w:fldCharType="begin"/>
        </w:r>
        <w:r w:rsidR="005A103C">
          <w:rPr>
            <w:webHidden/>
          </w:rPr>
          <w:instrText xml:space="preserve"> PAGEREF _Toc289866670 \h </w:instrText>
        </w:r>
        <w:r w:rsidR="005A103C">
          <w:rPr>
            <w:webHidden/>
          </w:rPr>
        </w:r>
        <w:r w:rsidR="005A103C">
          <w:rPr>
            <w:webHidden/>
          </w:rPr>
          <w:fldChar w:fldCharType="separate"/>
        </w:r>
        <w:r w:rsidR="005A103C">
          <w:rPr>
            <w:webHidden/>
          </w:rPr>
          <w:t>7</w:t>
        </w:r>
        <w:r w:rsidR="005A103C">
          <w:rPr>
            <w:webHidden/>
          </w:rPr>
          <w:fldChar w:fldCharType="end"/>
        </w:r>
      </w:hyperlink>
    </w:p>
    <w:p w:rsidR="005A103C" w:rsidRDefault="002869D0">
      <w:pPr>
        <w:pStyle w:val="TOC3"/>
        <w:rPr>
          <w:rFonts w:ascii="Times New Roman" w:hAnsi="Times New Roman"/>
          <w:noProof/>
        </w:rPr>
      </w:pPr>
      <w:hyperlink w:anchor="_Toc289866671" w:history="1">
        <w:r w:rsidR="005A103C">
          <w:rPr>
            <w:rStyle w:val="Hyperlink"/>
            <w:noProof/>
          </w:rPr>
          <w:t>3.3 Code Amendment</w:t>
        </w:r>
        <w:r w:rsidR="005A103C">
          <w:rPr>
            <w:noProof/>
            <w:webHidden/>
          </w:rPr>
          <w:tab/>
        </w:r>
        <w:r w:rsidR="005A103C">
          <w:rPr>
            <w:noProof/>
            <w:webHidden/>
          </w:rPr>
          <w:fldChar w:fldCharType="begin"/>
        </w:r>
        <w:r w:rsidR="005A103C">
          <w:rPr>
            <w:noProof/>
            <w:webHidden/>
          </w:rPr>
          <w:instrText xml:space="preserve"> PAGEREF _Toc289866671 \h </w:instrText>
        </w:r>
        <w:r w:rsidR="005A103C">
          <w:rPr>
            <w:noProof/>
            <w:webHidden/>
          </w:rPr>
        </w:r>
        <w:r w:rsidR="005A103C">
          <w:rPr>
            <w:noProof/>
            <w:webHidden/>
          </w:rPr>
          <w:fldChar w:fldCharType="separate"/>
        </w:r>
        <w:r w:rsidR="005A103C">
          <w:rPr>
            <w:noProof/>
            <w:webHidden/>
          </w:rPr>
          <w:t>7</w:t>
        </w:r>
        <w:r w:rsidR="005A103C">
          <w:rPr>
            <w:noProof/>
            <w:webHidden/>
          </w:rPr>
          <w:fldChar w:fldCharType="end"/>
        </w:r>
      </w:hyperlink>
    </w:p>
    <w:p w:rsidR="005A103C" w:rsidRDefault="005A103C">
      <w:pPr>
        <w:pStyle w:val="TAbodytext"/>
      </w:pPr>
      <w:r>
        <w:fldChar w:fldCharType="end"/>
      </w:r>
    </w:p>
    <w:p w:rsidR="005A103C" w:rsidRDefault="005A103C">
      <w:pPr>
        <w:pStyle w:val="TAbodytext"/>
      </w:pPr>
    </w:p>
    <w:p w:rsidR="005A103C" w:rsidRDefault="005A103C">
      <w:pPr>
        <w:pStyle w:val="TAbodytext"/>
        <w:sectPr w:rsidR="005A103C">
          <w:footerReference w:type="default" r:id="rId15"/>
          <w:pgSz w:w="11907" w:h="16840"/>
          <w:pgMar w:top="1361" w:right="1531" w:bottom="1559" w:left="1531" w:header="720" w:footer="1009" w:gutter="0"/>
          <w:pgNumType w:fmt="lowerRoman" w:start="1"/>
          <w:cols w:space="720"/>
        </w:sectPr>
      </w:pPr>
    </w:p>
    <w:p w:rsidR="005A103C" w:rsidRDefault="005A103C">
      <w:pPr>
        <w:pStyle w:val="TAsectionheading"/>
      </w:pPr>
      <w:bookmarkStart w:id="3" w:name="_Toc254851535"/>
      <w:bookmarkStart w:id="4" w:name="_Toc289866665"/>
      <w:r>
        <w:lastRenderedPageBreak/>
        <w:t>INTRODUCTION</w:t>
      </w:r>
      <w:bookmarkEnd w:id="3"/>
      <w:bookmarkEnd w:id="4"/>
    </w:p>
    <w:p w:rsidR="005A103C" w:rsidRDefault="005A103C">
      <w:pPr>
        <w:pStyle w:val="TAsectionheading2"/>
      </w:pPr>
      <w:bookmarkStart w:id="5" w:name="_Toc254851536"/>
      <w:bookmarkStart w:id="6" w:name="_Toc289866666"/>
      <w:r>
        <w:t>Outline of the process</w:t>
      </w:r>
      <w:bookmarkEnd w:id="5"/>
      <w:bookmarkEnd w:id="6"/>
    </w:p>
    <w:p w:rsidR="005A103C" w:rsidRDefault="005A103C">
      <w:pPr>
        <w:autoSpaceDE w:val="0"/>
        <w:autoSpaceDN w:val="0"/>
        <w:adjustRightInd w:val="0"/>
        <w:rPr>
          <w:rFonts w:ascii="Arial" w:hAnsi="Arial" w:cs="Arial"/>
        </w:rPr>
      </w:pPr>
      <w:r>
        <w:rPr>
          <w:rFonts w:ascii="Arial" w:hAnsi="Arial" w:cs="Arial"/>
        </w:rPr>
        <w:t xml:space="preserve">The Commonwealth’s </w:t>
      </w:r>
      <w:smartTag w:uri="urn:schemas-microsoft-com:office:smarttags" w:element="place">
        <w:smartTag w:uri="urn:schemas-microsoft-com:office:smarttags" w:element="State">
          <w:r>
            <w:rPr>
              <w:rFonts w:ascii="Arial" w:hAnsi="Arial" w:cs="Arial"/>
              <w:i/>
              <w:iCs/>
            </w:rPr>
            <w:t>Australian Capital Territory</w:t>
          </w:r>
        </w:smartTag>
      </w:smartTag>
      <w:r>
        <w:rPr>
          <w:rFonts w:ascii="Arial" w:hAnsi="Arial" w:cs="Arial"/>
          <w:i/>
          <w:iCs/>
        </w:rPr>
        <w:t xml:space="preserve"> (Planning and Land Management) Act 1988 </w:t>
      </w:r>
      <w:r>
        <w:rPr>
          <w:rFonts w:ascii="Arial" w:hAnsi="Arial" w:cs="Arial"/>
        </w:rPr>
        <w:t xml:space="preserve">allows for the Legislative Assembly to make laws to establish a Territory Planning Authority and for that Authority to prepare and administer a territory plan. </w:t>
      </w:r>
    </w:p>
    <w:p w:rsidR="005A103C" w:rsidRDefault="005A103C">
      <w:pPr>
        <w:autoSpaceDE w:val="0"/>
        <w:autoSpaceDN w:val="0"/>
        <w:adjustRightInd w:val="0"/>
        <w:spacing w:before="120"/>
        <w:rPr>
          <w:rFonts w:ascii="Arial" w:hAnsi="Arial" w:cs="Arial"/>
        </w:rPr>
      </w:pPr>
      <w:r>
        <w:rPr>
          <w:rFonts w:ascii="Arial" w:hAnsi="Arial" w:cs="Arial"/>
        </w:rPr>
        <w:t xml:space="preserve">The </w:t>
      </w:r>
      <w:r>
        <w:rPr>
          <w:rFonts w:ascii="Arial" w:hAnsi="Arial" w:cs="Arial"/>
          <w:i/>
          <w:iCs/>
        </w:rPr>
        <w:t>Planning and Development Act 2007</w:t>
      </w:r>
      <w:r>
        <w:rPr>
          <w:rFonts w:ascii="Arial" w:hAnsi="Arial" w:cs="Arial"/>
          <w:iCs/>
        </w:rPr>
        <w:t xml:space="preserve"> (the Act)</w:t>
      </w:r>
      <w:r>
        <w:rPr>
          <w:rFonts w:ascii="Arial" w:hAnsi="Arial" w:cs="Arial"/>
          <w:i/>
          <w:iCs/>
        </w:rPr>
        <w:t xml:space="preserve"> </w:t>
      </w:r>
      <w:r>
        <w:rPr>
          <w:rFonts w:ascii="Arial" w:hAnsi="Arial" w:cs="Arial"/>
        </w:rPr>
        <w:t>establishes the ACT Planning and Land Authority as the Authority which prepares and administers the territory plan, including continually reviewing and proposing amendments as necessary.</w:t>
      </w:r>
    </w:p>
    <w:p w:rsidR="005A103C" w:rsidRDefault="005A103C">
      <w:pPr>
        <w:pStyle w:val="BodyText"/>
        <w:autoSpaceDE w:val="0"/>
        <w:autoSpaceDN w:val="0"/>
        <w:adjustRightInd w:val="0"/>
        <w:spacing w:before="120" w:after="0"/>
        <w:rPr>
          <w:rFonts w:ascii="Arial" w:hAnsi="Arial" w:cs="Arial"/>
        </w:rPr>
      </w:pPr>
      <w:r>
        <w:rPr>
          <w:rFonts w:ascii="Arial" w:hAnsi="Arial" w:cs="Arial"/>
        </w:rPr>
        <w:t xml:space="preserve">Technical amendments to the territory plan are prepared in accordance with the </w:t>
      </w:r>
      <w:r>
        <w:rPr>
          <w:rFonts w:ascii="Arial" w:hAnsi="Arial" w:cs="Arial"/>
          <w:iCs/>
        </w:rPr>
        <w:t>Act</w:t>
      </w:r>
      <w:r>
        <w:rPr>
          <w:rFonts w:ascii="Arial" w:hAnsi="Arial" w:cs="Arial"/>
        </w:rPr>
        <w:t>.  This technical amendment has been prepared in accordance with the following two sections of the Act:</w:t>
      </w:r>
    </w:p>
    <w:p w:rsidR="005A103C" w:rsidRDefault="005A103C">
      <w:pPr>
        <w:pStyle w:val="BodyText"/>
        <w:spacing w:before="120"/>
        <w:rPr>
          <w:rFonts w:ascii="Arial" w:hAnsi="Arial" w:cs="Arial"/>
        </w:rPr>
      </w:pPr>
      <w:r>
        <w:rPr>
          <w:rFonts w:ascii="Arial" w:hAnsi="Arial" w:cs="Arial"/>
        </w:rPr>
        <w:t>A code variation (section 87(b) of the Act) is a technical amendment that</w:t>
      </w:r>
    </w:p>
    <w:p w:rsidR="005A103C" w:rsidRDefault="005A103C">
      <w:pPr>
        <w:pStyle w:val="BodyText"/>
        <w:numPr>
          <w:ilvl w:val="0"/>
          <w:numId w:val="1"/>
        </w:numPr>
        <w:tabs>
          <w:tab w:val="left" w:pos="1440"/>
        </w:tabs>
        <w:ind w:left="1287"/>
        <w:rPr>
          <w:rFonts w:ascii="Arial" w:hAnsi="Arial" w:cs="Arial"/>
        </w:rPr>
      </w:pPr>
      <w:r>
        <w:rPr>
          <w:rFonts w:ascii="Arial" w:hAnsi="Arial" w:cs="Arial"/>
        </w:rPr>
        <w:t>would only change a code; and</w:t>
      </w:r>
    </w:p>
    <w:p w:rsidR="005A103C" w:rsidRDefault="005A103C">
      <w:pPr>
        <w:pStyle w:val="BodyText"/>
        <w:numPr>
          <w:ilvl w:val="0"/>
          <w:numId w:val="1"/>
        </w:numPr>
        <w:tabs>
          <w:tab w:val="left" w:pos="1440"/>
        </w:tabs>
        <w:ind w:left="1440" w:hanging="873"/>
        <w:rPr>
          <w:rFonts w:ascii="Arial" w:hAnsi="Arial" w:cs="Arial"/>
        </w:rPr>
      </w:pPr>
      <w:r>
        <w:rPr>
          <w:rFonts w:ascii="Arial" w:hAnsi="Arial" w:cs="Arial"/>
        </w:rPr>
        <w:t xml:space="preserve">is consistent with the policy purpose and policy framework of the code; and </w:t>
      </w:r>
    </w:p>
    <w:p w:rsidR="005A103C" w:rsidRDefault="005A103C">
      <w:pPr>
        <w:pStyle w:val="BodyText"/>
        <w:numPr>
          <w:ilvl w:val="0"/>
          <w:numId w:val="1"/>
        </w:numPr>
        <w:tabs>
          <w:tab w:val="left" w:pos="1440"/>
        </w:tabs>
        <w:ind w:left="1287"/>
        <w:rPr>
          <w:rFonts w:ascii="Arial" w:hAnsi="Arial" w:cs="Arial"/>
        </w:rPr>
      </w:pPr>
      <w:r>
        <w:rPr>
          <w:rFonts w:ascii="Arial" w:hAnsi="Arial" w:cs="Arial"/>
        </w:rPr>
        <w:t>is not an error variation.</w:t>
      </w:r>
    </w:p>
    <w:p w:rsidR="005A103C" w:rsidRDefault="005A103C">
      <w:pPr>
        <w:pStyle w:val="BodyText"/>
        <w:autoSpaceDE w:val="0"/>
        <w:autoSpaceDN w:val="0"/>
        <w:adjustRightInd w:val="0"/>
        <w:spacing w:after="0"/>
        <w:rPr>
          <w:rFonts w:ascii="Arial" w:hAnsi="Arial" w:cs="Arial"/>
        </w:rPr>
      </w:pPr>
      <w:r>
        <w:rPr>
          <w:rFonts w:ascii="Arial" w:hAnsi="Arial" w:cs="Arial"/>
        </w:rPr>
        <w:t>A variation under section 87(g) of the Act is a technical amendment that clarifies the language in the territory plan, provided it does not change the substance of the plan.</w:t>
      </w:r>
    </w:p>
    <w:p w:rsidR="005A103C" w:rsidRDefault="005A103C">
      <w:pPr>
        <w:pStyle w:val="BodyText"/>
        <w:autoSpaceDE w:val="0"/>
        <w:autoSpaceDN w:val="0"/>
        <w:adjustRightInd w:val="0"/>
        <w:spacing w:after="0"/>
        <w:rPr>
          <w:rFonts w:ascii="Arial" w:hAnsi="Arial" w:cs="Arial"/>
        </w:rPr>
      </w:pPr>
    </w:p>
    <w:p w:rsidR="005A103C" w:rsidRDefault="005A103C">
      <w:pPr>
        <w:pStyle w:val="BodyText"/>
        <w:autoSpaceDE w:val="0"/>
        <w:autoSpaceDN w:val="0"/>
        <w:adjustRightInd w:val="0"/>
        <w:spacing w:after="0"/>
        <w:rPr>
          <w:rFonts w:ascii="Arial" w:hAnsi="Arial" w:cs="Arial"/>
        </w:rPr>
      </w:pPr>
      <w:r>
        <w:rPr>
          <w:rFonts w:ascii="Arial" w:hAnsi="Arial" w:cs="Arial"/>
        </w:rPr>
        <w:t>Following the release of the variation under section 90 of the Act, submissions from the public were invited. At the conclusion of the limited consultation period, representations (if any) were considered by the ACT Planning and Land Authority (the Authority). The Authority then determined a day when the code variation commences by way of a commencement notice.  The date of commencement is provided on the attached notifiable instrument (commencement notice).</w:t>
      </w:r>
    </w:p>
    <w:p w:rsidR="005A103C" w:rsidRDefault="005A103C">
      <w:pPr>
        <w:pStyle w:val="BodyText"/>
        <w:autoSpaceDE w:val="0"/>
        <w:autoSpaceDN w:val="0"/>
        <w:adjustRightInd w:val="0"/>
        <w:spacing w:after="0"/>
        <w:rPr>
          <w:rFonts w:ascii="Arial" w:hAnsi="Arial" w:cs="Arial"/>
        </w:rPr>
      </w:pPr>
    </w:p>
    <w:p w:rsidR="005A103C" w:rsidRDefault="005A103C">
      <w:pPr>
        <w:pStyle w:val="TAsectionheading"/>
      </w:pPr>
      <w:r>
        <w:br w:type="page"/>
      </w:r>
      <w:bookmarkStart w:id="7" w:name="_Toc254851537"/>
      <w:bookmarkStart w:id="8" w:name="_Toc289866667"/>
      <w:r>
        <w:lastRenderedPageBreak/>
        <w:t>EXPLANATORY STATEMENT</w:t>
      </w:r>
      <w:bookmarkEnd w:id="7"/>
      <w:bookmarkEnd w:id="8"/>
    </w:p>
    <w:p w:rsidR="005A103C" w:rsidRDefault="005A103C">
      <w:pPr>
        <w:pStyle w:val="TAsectionheading3"/>
        <w:numPr>
          <w:ilvl w:val="2"/>
          <w:numId w:val="3"/>
        </w:numPr>
        <w:spacing w:after="0" w:line="240" w:lineRule="auto"/>
      </w:pPr>
      <w:bookmarkStart w:id="9" w:name="_Toc254851538"/>
      <w:r>
        <w:t xml:space="preserve"> </w:t>
      </w:r>
      <w:bookmarkStart w:id="10" w:name="_Toc289866668"/>
      <w:r>
        <w:t>Proposed Changes and Reasons</w:t>
      </w:r>
      <w:bookmarkEnd w:id="9"/>
      <w:bookmarkEnd w:id="10"/>
    </w:p>
    <w:p w:rsidR="005A103C" w:rsidRDefault="005A103C">
      <w:pPr>
        <w:pStyle w:val="TAsectionheading3"/>
        <w:numPr>
          <w:ilvl w:val="0"/>
          <w:numId w:val="0"/>
        </w:numPr>
        <w:spacing w:after="0" w:line="240" w:lineRule="auto"/>
      </w:pPr>
    </w:p>
    <w:p w:rsidR="005A103C" w:rsidRDefault="005A103C">
      <w:pPr>
        <w:numPr>
          <w:ilvl w:val="0"/>
          <w:numId w:val="14"/>
        </w:numPr>
        <w:rPr>
          <w:rFonts w:ascii="Arial" w:hAnsi="Arial" w:cs="Arial"/>
          <w:b/>
        </w:rPr>
      </w:pPr>
      <w:r>
        <w:rPr>
          <w:rFonts w:ascii="Arial" w:hAnsi="Arial" w:cs="Arial"/>
          <w:b/>
        </w:rPr>
        <w:t>Multi unit housing development code – changes to rule R24 to remove restrictions on plot ratio for former B1 Area Specific Policy land (Item 1)</w:t>
      </w:r>
    </w:p>
    <w:p w:rsidR="005A103C" w:rsidRDefault="005A103C">
      <w:pPr>
        <w:pStyle w:val="TAexplanatorystatementsubheading"/>
        <w:numPr>
          <w:ilvl w:val="0"/>
          <w:numId w:val="0"/>
        </w:numPr>
        <w:spacing w:after="0"/>
        <w:ind w:left="720" w:hanging="720"/>
        <w:rPr>
          <w:rFonts w:ascii="Arial" w:hAnsi="Arial" w:cs="Arial"/>
        </w:rPr>
      </w:pPr>
    </w:p>
    <w:p w:rsidR="005A103C" w:rsidRDefault="005A103C">
      <w:pPr>
        <w:ind w:left="567"/>
        <w:rPr>
          <w:rFonts w:ascii="Arial" w:hAnsi="Arial" w:cs="Arial"/>
          <w:szCs w:val="24"/>
        </w:rPr>
      </w:pPr>
      <w:r>
        <w:rPr>
          <w:rFonts w:ascii="Arial" w:hAnsi="Arial" w:cs="Arial"/>
          <w:szCs w:val="24"/>
        </w:rPr>
        <w:t xml:space="preserve">Rule R24 restricts the plot ratio for development in the RZ4 medium density residential zone to a maximum of 80%.  The RZ4 zone is made up of land that was previously subject to the B1, B8 and B11 area specific policies (ASP) under the former Territory Plan.  While the B11 ASP did include an 80% plot ratio limit on development the B1 and B8 ASPs did not.  The introduction of the restructured Territory Plan in 2008 intended to remove this anomaly. However it was not intended to apply the plot ratio restriction to sites within the former B1 and B8 areas that had already been sold for development without a plot ratio restriction and which had not been developed.  It was considered appropriate in these instances that the lessees be entitled to develop the land without the plot ratio restrictions imposed by rule R24 in the multi unit housing development code.  As a result this rule has been modified to include an exception to this effect.  </w:t>
      </w:r>
    </w:p>
    <w:p w:rsidR="005A103C" w:rsidRDefault="005A103C">
      <w:pPr>
        <w:ind w:left="567"/>
        <w:rPr>
          <w:rFonts w:ascii="Arial" w:hAnsi="Arial" w:cs="Arial"/>
          <w:szCs w:val="24"/>
        </w:rPr>
      </w:pPr>
    </w:p>
    <w:p w:rsidR="005A103C" w:rsidRDefault="005A103C">
      <w:pPr>
        <w:numPr>
          <w:ilvl w:val="0"/>
          <w:numId w:val="14"/>
        </w:numPr>
        <w:rPr>
          <w:rFonts w:ascii="Arial" w:hAnsi="Arial" w:cs="Arial"/>
          <w:b/>
        </w:rPr>
      </w:pPr>
      <w:r>
        <w:rPr>
          <w:rFonts w:ascii="Arial" w:hAnsi="Arial" w:cs="Arial"/>
          <w:b/>
        </w:rPr>
        <w:t>Industrial zones development code – Hume west new industrial estate bushfire prone blocks (Items 2-3)</w:t>
      </w:r>
    </w:p>
    <w:p w:rsidR="005A103C" w:rsidRDefault="005A103C">
      <w:pPr>
        <w:pStyle w:val="TAexplanatorystatementsubheading"/>
        <w:numPr>
          <w:ilvl w:val="0"/>
          <w:numId w:val="0"/>
        </w:numPr>
        <w:spacing w:after="0"/>
        <w:ind w:left="720" w:hanging="720"/>
        <w:rPr>
          <w:rFonts w:ascii="Arial" w:hAnsi="Arial" w:cs="Arial"/>
          <w:b w:val="0"/>
        </w:rPr>
      </w:pPr>
    </w:p>
    <w:p w:rsidR="005A103C" w:rsidRDefault="005A103C">
      <w:pPr>
        <w:ind w:left="567"/>
        <w:rPr>
          <w:rFonts w:ascii="Arial" w:hAnsi="Arial" w:cs="Arial"/>
        </w:rPr>
      </w:pPr>
      <w:r>
        <w:rPr>
          <w:rFonts w:ascii="Arial" w:hAnsi="Arial" w:cs="Arial"/>
        </w:rPr>
        <w:t>Some blocks within the new Hume West industrial estate were identified through the estate development planning process as being potentially bushfire prone due to their location and proximity to bushland.  Any buildings on these specific blocks are required to be constructed in accordance with the specified construction bushfire attack level (BAL) contained in Australian Standard AS3959.  To enable this requirement to be imposed, a provision and diagram has been incorporated though a change to the industrial zones development code to ensure that future development of this land continues to meet any requirements for specific construction standards based on meeting bushfire risk assessment outcomes. Such ongoing measures would usually be incorporated as a part of a technical amendment (not requiring consultation) for a future urban area uplift, as ongoing provisions. However, in this instance there was no future urban area overlay and therefore it was not possible to use that method.</w:t>
      </w:r>
    </w:p>
    <w:p w:rsidR="005A103C" w:rsidRDefault="005A103C">
      <w:pPr>
        <w:rPr>
          <w:rFonts w:ascii="Arial" w:hAnsi="Arial" w:cs="Arial"/>
          <w:szCs w:val="24"/>
        </w:rPr>
      </w:pPr>
    </w:p>
    <w:p w:rsidR="005A103C" w:rsidRDefault="005A103C">
      <w:pPr>
        <w:numPr>
          <w:ilvl w:val="0"/>
          <w:numId w:val="14"/>
        </w:numPr>
        <w:rPr>
          <w:rFonts w:ascii="Arial" w:hAnsi="Arial" w:cs="Arial"/>
          <w:b/>
          <w:szCs w:val="24"/>
        </w:rPr>
      </w:pPr>
      <w:r>
        <w:rPr>
          <w:rFonts w:ascii="Arial" w:hAnsi="Arial" w:cs="Arial"/>
          <w:b/>
        </w:rPr>
        <w:t>Inner north precinct code – clarification of original intent of criterion C12 (Item 4)</w:t>
      </w:r>
    </w:p>
    <w:p w:rsidR="005A103C" w:rsidRDefault="005A103C">
      <w:pPr>
        <w:ind w:firstLine="540"/>
        <w:rPr>
          <w:rFonts w:ascii="Arial" w:hAnsi="Arial" w:cs="Arial"/>
          <w:b/>
          <w:szCs w:val="24"/>
        </w:rPr>
      </w:pPr>
    </w:p>
    <w:p w:rsidR="005A103C" w:rsidRDefault="005A103C">
      <w:pPr>
        <w:ind w:left="540"/>
        <w:rPr>
          <w:rFonts w:ascii="Arial" w:hAnsi="Arial" w:cs="Arial"/>
          <w:szCs w:val="24"/>
        </w:rPr>
      </w:pPr>
      <w:r>
        <w:rPr>
          <w:rFonts w:ascii="Arial" w:hAnsi="Arial" w:cs="Arial"/>
          <w:szCs w:val="24"/>
        </w:rPr>
        <w:t>Criterion C12 permits a maximum site coverage of 100% in the primary building zone subject to the agreement of adjoining lessees and lodging a plan for integrated development.  However the current wording of the criterion could be interpreted to mean that agreement is not required if 100% site coverage is not reached for a development proposal even if the development is proposed to be built to the boundaries.</w:t>
      </w:r>
    </w:p>
    <w:p w:rsidR="005A103C" w:rsidRDefault="005A103C">
      <w:pPr>
        <w:ind w:firstLine="540"/>
        <w:rPr>
          <w:rFonts w:ascii="Arial" w:hAnsi="Arial" w:cs="Arial"/>
          <w:szCs w:val="24"/>
        </w:rPr>
      </w:pPr>
    </w:p>
    <w:p w:rsidR="005A103C" w:rsidRDefault="005A103C">
      <w:pPr>
        <w:ind w:left="540"/>
        <w:rPr>
          <w:rFonts w:ascii="Arial" w:hAnsi="Arial" w:cs="Arial"/>
          <w:szCs w:val="24"/>
        </w:rPr>
      </w:pPr>
      <w:r>
        <w:rPr>
          <w:rFonts w:ascii="Arial" w:hAnsi="Arial" w:cs="Arial"/>
          <w:szCs w:val="24"/>
        </w:rPr>
        <w:t xml:space="preserve">The original intent of criterion C12 was to accommodate terrace style housing where adjoining owners were in agreement.  In this regard, C12 has used site </w:t>
      </w:r>
      <w:r>
        <w:rPr>
          <w:rFonts w:ascii="Arial" w:hAnsi="Arial" w:cs="Arial"/>
          <w:szCs w:val="24"/>
        </w:rPr>
        <w:lastRenderedPageBreak/>
        <w:t xml:space="preserve">coverage to deal with proposals to build to the boundary (i.e. zero side setback) in the primary building zone.  </w:t>
      </w:r>
    </w:p>
    <w:p w:rsidR="005A103C" w:rsidRDefault="005A103C">
      <w:pPr>
        <w:ind w:firstLine="540"/>
        <w:rPr>
          <w:rFonts w:ascii="Arial" w:hAnsi="Arial" w:cs="Arial"/>
          <w:szCs w:val="24"/>
        </w:rPr>
      </w:pPr>
    </w:p>
    <w:p w:rsidR="005A103C" w:rsidRDefault="005A103C">
      <w:pPr>
        <w:ind w:left="540"/>
        <w:rPr>
          <w:rFonts w:ascii="Arial" w:hAnsi="Arial" w:cs="Arial"/>
          <w:szCs w:val="24"/>
        </w:rPr>
      </w:pPr>
      <w:r>
        <w:rPr>
          <w:rFonts w:ascii="Arial" w:hAnsi="Arial" w:cs="Arial"/>
          <w:szCs w:val="24"/>
        </w:rPr>
        <w:t>The wording of the criterion has been revised by adding a note to clarify the original intent of the provision in that building to the boundary may be permitted subject to the agreement of adjoining lessees.</w:t>
      </w:r>
    </w:p>
    <w:p w:rsidR="005A103C" w:rsidRDefault="005A103C">
      <w:pPr>
        <w:ind w:left="567"/>
        <w:rPr>
          <w:rFonts w:ascii="Arial" w:hAnsi="Arial" w:cs="Arial"/>
          <w:szCs w:val="24"/>
        </w:rPr>
      </w:pPr>
    </w:p>
    <w:p w:rsidR="005A103C" w:rsidRDefault="005A103C">
      <w:pPr>
        <w:numPr>
          <w:ilvl w:val="0"/>
          <w:numId w:val="14"/>
        </w:numPr>
        <w:rPr>
          <w:rFonts w:ascii="Arial" w:hAnsi="Arial" w:cs="Arial"/>
          <w:b/>
          <w:szCs w:val="24"/>
        </w:rPr>
      </w:pPr>
      <w:r>
        <w:rPr>
          <w:rFonts w:ascii="Arial" w:hAnsi="Arial" w:cs="Arial"/>
          <w:b/>
          <w:szCs w:val="24"/>
        </w:rPr>
        <w:t xml:space="preserve">Parking and vehicular access general code – sections 3.1.4 and 3.2.2 </w:t>
      </w:r>
      <w:r>
        <w:rPr>
          <w:rFonts w:ascii="Arial" w:hAnsi="Arial" w:cs="Arial"/>
          <w:b/>
        </w:rPr>
        <w:t>(Items 5 and 6)</w:t>
      </w:r>
    </w:p>
    <w:p w:rsidR="005A103C" w:rsidRDefault="005A103C">
      <w:pPr>
        <w:ind w:firstLine="540"/>
        <w:rPr>
          <w:rFonts w:ascii="Arial" w:hAnsi="Arial" w:cs="Arial"/>
          <w:b/>
          <w:szCs w:val="24"/>
        </w:rPr>
      </w:pPr>
    </w:p>
    <w:p w:rsidR="005A103C" w:rsidRDefault="005A103C">
      <w:pPr>
        <w:ind w:left="540"/>
        <w:rPr>
          <w:rFonts w:ascii="Arial" w:hAnsi="Arial" w:cs="Arial"/>
          <w:szCs w:val="24"/>
        </w:rPr>
      </w:pPr>
      <w:r>
        <w:rPr>
          <w:rFonts w:ascii="Arial" w:hAnsi="Arial" w:cs="Arial"/>
          <w:szCs w:val="24"/>
        </w:rPr>
        <w:t xml:space="preserve">Some changes have been made to the wording of provisions in the parking and vehicular access general code to clarify the intent of the requirements. </w:t>
      </w:r>
    </w:p>
    <w:p w:rsidR="005A103C" w:rsidRDefault="005A103C">
      <w:pPr>
        <w:ind w:left="540"/>
        <w:rPr>
          <w:rFonts w:ascii="Arial" w:hAnsi="Arial" w:cs="Arial"/>
          <w:szCs w:val="24"/>
        </w:rPr>
      </w:pPr>
    </w:p>
    <w:p w:rsidR="005A103C" w:rsidRDefault="005A103C">
      <w:pPr>
        <w:ind w:left="540"/>
        <w:rPr>
          <w:rFonts w:ascii="Arial" w:hAnsi="Arial" w:cs="Arial"/>
          <w:szCs w:val="24"/>
        </w:rPr>
      </w:pPr>
      <w:r>
        <w:rPr>
          <w:rFonts w:ascii="Arial" w:hAnsi="Arial" w:cs="Arial"/>
          <w:szCs w:val="24"/>
        </w:rPr>
        <w:t>Table 3.1.4 has been amended to include visitor parking in the requirements for short stay parking.</w:t>
      </w:r>
    </w:p>
    <w:p w:rsidR="005A103C" w:rsidRDefault="005A103C">
      <w:pPr>
        <w:ind w:left="540"/>
        <w:rPr>
          <w:rFonts w:ascii="Arial" w:hAnsi="Arial" w:cs="Arial"/>
          <w:szCs w:val="24"/>
        </w:rPr>
      </w:pPr>
    </w:p>
    <w:p w:rsidR="005A103C" w:rsidRDefault="005A103C">
      <w:pPr>
        <w:ind w:left="540"/>
        <w:rPr>
          <w:rFonts w:ascii="Arial" w:hAnsi="Arial" w:cs="Arial"/>
          <w:szCs w:val="24"/>
        </w:rPr>
      </w:pPr>
      <w:r>
        <w:rPr>
          <w:rFonts w:ascii="Arial" w:hAnsi="Arial" w:cs="Arial"/>
          <w:szCs w:val="24"/>
        </w:rPr>
        <w:t>The special condition for city centre CZ3 zone (section 3.2.2) has been clarified to ensure that more than one use is required where a parking provision of 3 spaces per 100m</w:t>
      </w:r>
      <w:r>
        <w:rPr>
          <w:rFonts w:ascii="Arial" w:hAnsi="Arial" w:cs="Arial"/>
          <w:szCs w:val="24"/>
          <w:vertAlign w:val="superscript"/>
        </w:rPr>
        <w:t>2</w:t>
      </w:r>
      <w:r>
        <w:rPr>
          <w:rFonts w:ascii="Arial" w:hAnsi="Arial" w:cs="Arial"/>
          <w:szCs w:val="24"/>
        </w:rPr>
        <w:t xml:space="preserve"> GFA is applied.</w:t>
      </w:r>
    </w:p>
    <w:p w:rsidR="005A103C" w:rsidRDefault="005A103C">
      <w:pPr>
        <w:rPr>
          <w:rFonts w:ascii="Arial" w:hAnsi="Arial" w:cs="Arial"/>
          <w:szCs w:val="24"/>
        </w:rPr>
      </w:pPr>
    </w:p>
    <w:p w:rsidR="005A103C" w:rsidRDefault="005A103C">
      <w:pPr>
        <w:ind w:firstLine="540"/>
        <w:rPr>
          <w:rFonts w:ascii="Arial" w:hAnsi="Arial" w:cs="Arial"/>
          <w:szCs w:val="24"/>
        </w:rPr>
      </w:pPr>
    </w:p>
    <w:p w:rsidR="005A103C" w:rsidRDefault="005A103C">
      <w:pPr>
        <w:pStyle w:val="TAsectionheading3"/>
        <w:numPr>
          <w:ilvl w:val="2"/>
          <w:numId w:val="3"/>
        </w:numPr>
        <w:spacing w:after="0" w:line="240" w:lineRule="auto"/>
        <w:rPr>
          <w:szCs w:val="24"/>
        </w:rPr>
      </w:pPr>
      <w:r>
        <w:rPr>
          <w:szCs w:val="24"/>
        </w:rPr>
        <w:t xml:space="preserve"> </w:t>
      </w:r>
      <w:bookmarkStart w:id="11" w:name="_Toc289866669"/>
      <w:r>
        <w:rPr>
          <w:szCs w:val="24"/>
        </w:rPr>
        <w:t>Statement of compliance with the Planning and Development Act*</w:t>
      </w:r>
      <w:bookmarkEnd w:id="11"/>
    </w:p>
    <w:p w:rsidR="005A103C" w:rsidRDefault="005A103C">
      <w:pPr>
        <w:rPr>
          <w:rFonts w:ascii="Arial" w:hAnsi="Arial" w:cs="Arial"/>
        </w:rPr>
      </w:pPr>
      <w:bookmarkStart w:id="12" w:name="_Toc254851539"/>
    </w:p>
    <w:p w:rsidR="005A103C" w:rsidRDefault="005A103C">
      <w:pPr>
        <w:rPr>
          <w:rFonts w:ascii="Arial" w:hAnsi="Arial" w:cs="Arial"/>
        </w:rPr>
      </w:pPr>
      <w:r>
        <w:rPr>
          <w:rFonts w:ascii="Arial" w:hAnsi="Arial" w:cs="Arial"/>
        </w:rPr>
        <w:t>*</w:t>
      </w:r>
      <w:r>
        <w:rPr>
          <w:rFonts w:ascii="Arial" w:hAnsi="Arial" w:cs="Arial"/>
          <w:i/>
          <w:sz w:val="18"/>
        </w:rPr>
        <w:t xml:space="preserve"> Planning and Development Act 2007</w:t>
      </w:r>
    </w:p>
    <w:p w:rsidR="005A103C" w:rsidRDefault="005A103C">
      <w:pPr>
        <w:rPr>
          <w:rFonts w:ascii="Arial" w:hAnsi="Arial" w:cs="Arial"/>
        </w:rPr>
      </w:pPr>
    </w:p>
    <w:p w:rsidR="005A103C" w:rsidRDefault="005A103C">
      <w:pPr>
        <w:tabs>
          <w:tab w:val="left" w:pos="567"/>
        </w:tabs>
        <w:ind w:left="567" w:hanging="567"/>
        <w:rPr>
          <w:rFonts w:ascii="Arial" w:hAnsi="Arial" w:cs="Arial"/>
        </w:rPr>
      </w:pPr>
      <w:r>
        <w:rPr>
          <w:rFonts w:ascii="Arial" w:hAnsi="Arial" w:cs="Arial"/>
          <w:b/>
        </w:rPr>
        <w:t>A</w:t>
      </w:r>
      <w:r>
        <w:rPr>
          <w:rFonts w:ascii="Arial" w:hAnsi="Arial" w:cs="Arial"/>
          <w:b/>
        </w:rPr>
        <w:tab/>
        <w:t>Multi unit housing development code – changes to Rule R24 to remove restrictions on plot ratio for former B1 Area Specific Policy land</w:t>
      </w:r>
    </w:p>
    <w:p w:rsidR="005A103C" w:rsidRDefault="005A103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5A103C" w:rsidRPr="005A103C" w:rsidTr="005A103C">
        <w:tc>
          <w:tcPr>
            <w:tcW w:w="2235" w:type="dxa"/>
          </w:tcPr>
          <w:p w:rsidR="005A103C" w:rsidRPr="005A103C" w:rsidRDefault="005A103C">
            <w:pPr>
              <w:rPr>
                <w:rFonts w:ascii="Arial" w:hAnsi="Arial" w:cs="Arial"/>
                <w:b/>
              </w:rPr>
            </w:pPr>
            <w:r w:rsidRPr="005A103C">
              <w:rPr>
                <w:rFonts w:ascii="Arial" w:hAnsi="Arial" w:cs="Arial"/>
                <w:b/>
              </w:rPr>
              <w:t>Section of Act</w:t>
            </w:r>
          </w:p>
        </w:tc>
        <w:tc>
          <w:tcPr>
            <w:tcW w:w="7051" w:type="dxa"/>
          </w:tcPr>
          <w:p w:rsidR="005A103C" w:rsidRPr="005A103C" w:rsidRDefault="005A103C">
            <w:pPr>
              <w:rPr>
                <w:rFonts w:ascii="Arial" w:hAnsi="Arial" w:cs="Arial"/>
                <w:b/>
              </w:rPr>
            </w:pPr>
            <w:r w:rsidRPr="005A103C">
              <w:rPr>
                <w:rFonts w:ascii="Arial" w:hAnsi="Arial" w:cs="Arial"/>
                <w:b/>
              </w:rPr>
              <w:t>Statement of compliance with Act</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 xml:space="preserve">s87(b) a variation (a code variation) that - </w:t>
            </w:r>
          </w:p>
        </w:tc>
        <w:tc>
          <w:tcPr>
            <w:tcW w:w="7051" w:type="dxa"/>
          </w:tcPr>
          <w:p w:rsidR="005A103C" w:rsidRPr="005A103C" w:rsidRDefault="005A103C">
            <w:pPr>
              <w:rPr>
                <w:rFonts w:ascii="Arial" w:hAnsi="Arial" w:cs="Arial"/>
              </w:rPr>
            </w:pP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 would only change a code; and</w:t>
            </w:r>
          </w:p>
        </w:tc>
        <w:tc>
          <w:tcPr>
            <w:tcW w:w="7051" w:type="dxa"/>
          </w:tcPr>
          <w:p w:rsidR="005A103C" w:rsidRPr="005A103C" w:rsidRDefault="005A103C">
            <w:pPr>
              <w:rPr>
                <w:rFonts w:ascii="Arial" w:hAnsi="Arial" w:cs="Arial"/>
              </w:rPr>
            </w:pPr>
            <w:r w:rsidRPr="005A103C">
              <w:rPr>
                <w:rFonts w:ascii="Arial" w:hAnsi="Arial" w:cs="Arial"/>
              </w:rPr>
              <w:t>Would only modify a rule in the multi unit housing development code.</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(ii) is consistent with the policy purpose and policy framework of the code; and</w:t>
            </w:r>
          </w:p>
        </w:tc>
        <w:tc>
          <w:tcPr>
            <w:tcW w:w="7051" w:type="dxa"/>
          </w:tcPr>
          <w:p w:rsidR="005A103C" w:rsidRPr="005A103C" w:rsidRDefault="005A103C">
            <w:pPr>
              <w:rPr>
                <w:rFonts w:ascii="Arial" w:hAnsi="Arial" w:cs="Arial"/>
              </w:rPr>
            </w:pPr>
            <w:r w:rsidRPr="005A103C">
              <w:rPr>
                <w:rFonts w:ascii="Arial" w:hAnsi="Arial" w:cs="Arial"/>
              </w:rPr>
              <w:t>The purpose of the code is to provide additional planning, design and environmental controls to support the zone objectives and assessable uses in the development tables.  The amendment is considered to be consistent with the purpose of the residential multi unit housing development code.</w:t>
            </w:r>
          </w:p>
          <w:p w:rsidR="005A103C" w:rsidRPr="005A103C" w:rsidRDefault="005A103C">
            <w:pPr>
              <w:rPr>
                <w:rFonts w:ascii="Arial" w:hAnsi="Arial" w:cs="Arial"/>
              </w:rPr>
            </w:pPr>
          </w:p>
          <w:p w:rsidR="005A103C" w:rsidRPr="005A103C" w:rsidRDefault="005A103C">
            <w:pPr>
              <w:rPr>
                <w:rFonts w:ascii="Arial" w:hAnsi="Arial" w:cs="Arial"/>
              </w:rPr>
            </w:pPr>
            <w:r w:rsidRPr="005A103C">
              <w:rPr>
                <w:rFonts w:ascii="Arial" w:hAnsi="Arial" w:cs="Arial"/>
              </w:rPr>
              <w:t>The amendment makes no changes and does not affect the application of the RZ4 medium density zone objectives that provide a framework for the particular provisions contained in the code.  The change to the rule is consistent with the objectives for the specific residential zone.</w:t>
            </w:r>
          </w:p>
          <w:p w:rsidR="005A103C" w:rsidRPr="005A103C" w:rsidRDefault="005A103C">
            <w:pPr>
              <w:rPr>
                <w:rFonts w:ascii="Arial" w:hAnsi="Arial" w:cs="Arial"/>
              </w:rPr>
            </w:pPr>
          </w:p>
          <w:p w:rsidR="005A103C" w:rsidRPr="005A103C" w:rsidRDefault="005A103C">
            <w:pPr>
              <w:rPr>
                <w:rFonts w:ascii="Arial" w:hAnsi="Arial" w:cs="Arial"/>
              </w:rPr>
            </w:pPr>
            <w:r w:rsidRPr="005A103C">
              <w:rPr>
                <w:rFonts w:ascii="Arial" w:hAnsi="Arial" w:cs="Arial"/>
              </w:rPr>
              <w:t xml:space="preserve">The technical amendment seeks to transcribe into the current Territory Plan a requirement contained in the previous Territory Plan that was not incorporated in the current provision at the time the new Territory Plan was introduced. </w:t>
            </w:r>
          </w:p>
          <w:p w:rsidR="005A103C" w:rsidRPr="005A103C" w:rsidRDefault="005A103C">
            <w:pPr>
              <w:rPr>
                <w:rFonts w:ascii="Arial" w:hAnsi="Arial" w:cs="Arial"/>
              </w:rPr>
            </w:pP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(iii) is not an error variation</w:t>
            </w:r>
          </w:p>
        </w:tc>
        <w:tc>
          <w:tcPr>
            <w:tcW w:w="7051" w:type="dxa"/>
          </w:tcPr>
          <w:p w:rsidR="005A103C" w:rsidRPr="005A103C" w:rsidRDefault="005A103C">
            <w:pPr>
              <w:rPr>
                <w:rFonts w:ascii="Arial" w:hAnsi="Arial" w:cs="Arial"/>
              </w:rPr>
            </w:pPr>
            <w:r w:rsidRPr="005A103C">
              <w:rPr>
                <w:rFonts w:ascii="Arial" w:hAnsi="Arial" w:cs="Arial"/>
              </w:rPr>
              <w:t>Is not a formal error</w:t>
            </w:r>
          </w:p>
        </w:tc>
      </w:tr>
    </w:tbl>
    <w:p w:rsidR="005A103C" w:rsidRDefault="005A103C">
      <w:pPr>
        <w:rPr>
          <w:rFonts w:ascii="Arial" w:hAnsi="Arial" w:cs="Arial"/>
          <w:sz w:val="20"/>
        </w:rPr>
      </w:pPr>
    </w:p>
    <w:p w:rsidR="005A103C" w:rsidRDefault="005A103C">
      <w:pPr>
        <w:rPr>
          <w:rFonts w:ascii="Arial" w:hAnsi="Arial" w:cs="Arial"/>
          <w:sz w:val="20"/>
        </w:rPr>
      </w:pPr>
    </w:p>
    <w:p w:rsidR="005A103C" w:rsidRDefault="005A103C">
      <w:pPr>
        <w:tabs>
          <w:tab w:val="left" w:pos="567"/>
        </w:tabs>
        <w:ind w:left="567" w:hanging="567"/>
        <w:rPr>
          <w:rFonts w:ascii="Arial" w:hAnsi="Arial" w:cs="Arial"/>
        </w:rPr>
      </w:pPr>
      <w:r>
        <w:rPr>
          <w:rFonts w:ascii="Arial" w:hAnsi="Arial" w:cs="Arial"/>
          <w:b/>
        </w:rPr>
        <w:t>B.</w:t>
      </w:r>
      <w:r>
        <w:rPr>
          <w:rFonts w:ascii="Arial" w:hAnsi="Arial" w:cs="Arial"/>
          <w:b/>
        </w:rPr>
        <w:tab/>
        <w:t>Industrial zones development code – Hume west new industrial estate bushfire prone blocks</w:t>
      </w:r>
    </w:p>
    <w:p w:rsidR="005A103C" w:rsidRDefault="005A103C">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5A103C" w:rsidRPr="005A103C" w:rsidTr="005A103C">
        <w:tc>
          <w:tcPr>
            <w:tcW w:w="2235" w:type="dxa"/>
          </w:tcPr>
          <w:p w:rsidR="005A103C" w:rsidRPr="005A103C" w:rsidRDefault="005A103C">
            <w:pPr>
              <w:rPr>
                <w:rFonts w:ascii="Arial" w:hAnsi="Arial" w:cs="Arial"/>
                <w:b/>
              </w:rPr>
            </w:pPr>
            <w:r w:rsidRPr="005A103C">
              <w:rPr>
                <w:rFonts w:ascii="Arial" w:hAnsi="Arial" w:cs="Arial"/>
                <w:b/>
              </w:rPr>
              <w:t>Section of Act</w:t>
            </w:r>
          </w:p>
        </w:tc>
        <w:tc>
          <w:tcPr>
            <w:tcW w:w="7051" w:type="dxa"/>
          </w:tcPr>
          <w:p w:rsidR="005A103C" w:rsidRPr="005A103C" w:rsidRDefault="005A103C">
            <w:pPr>
              <w:rPr>
                <w:rFonts w:ascii="Arial" w:hAnsi="Arial" w:cs="Arial"/>
                <w:b/>
              </w:rPr>
            </w:pPr>
            <w:r w:rsidRPr="005A103C">
              <w:rPr>
                <w:rFonts w:ascii="Arial" w:hAnsi="Arial" w:cs="Arial"/>
                <w:b/>
              </w:rPr>
              <w:t>Statement of compliance with Act</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 xml:space="preserve">s87(b) a variation (a code variation) that - </w:t>
            </w:r>
          </w:p>
        </w:tc>
        <w:tc>
          <w:tcPr>
            <w:tcW w:w="7051" w:type="dxa"/>
          </w:tcPr>
          <w:p w:rsidR="005A103C" w:rsidRPr="005A103C" w:rsidRDefault="005A103C">
            <w:pPr>
              <w:rPr>
                <w:rFonts w:ascii="Arial" w:hAnsi="Arial" w:cs="Arial"/>
              </w:rPr>
            </w:pP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 would only change a code; and</w:t>
            </w:r>
          </w:p>
        </w:tc>
        <w:tc>
          <w:tcPr>
            <w:tcW w:w="7051" w:type="dxa"/>
          </w:tcPr>
          <w:p w:rsidR="005A103C" w:rsidRPr="005A103C" w:rsidRDefault="005A103C">
            <w:pPr>
              <w:rPr>
                <w:rFonts w:ascii="Arial" w:hAnsi="Arial" w:cs="Arial"/>
              </w:rPr>
            </w:pPr>
            <w:r w:rsidRPr="005A103C">
              <w:rPr>
                <w:rFonts w:ascii="Arial" w:hAnsi="Arial" w:cs="Arial"/>
              </w:rPr>
              <w:t>Would only add a rule to the industrial zones development code as a result of a condition for approval of the estate development plan to incorporate appropriate bushfire protection requirements into the construction of buildings on the specified bushfire prone blocks.</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(ii) is consistent with the policy purpose and policy framework of the code; and</w:t>
            </w:r>
          </w:p>
        </w:tc>
        <w:tc>
          <w:tcPr>
            <w:tcW w:w="7051" w:type="dxa"/>
          </w:tcPr>
          <w:p w:rsidR="005A103C" w:rsidRPr="005A103C" w:rsidRDefault="005A103C">
            <w:pPr>
              <w:rPr>
                <w:rFonts w:ascii="Arial" w:hAnsi="Arial" w:cs="Arial"/>
              </w:rPr>
            </w:pPr>
            <w:r w:rsidRPr="005A103C">
              <w:rPr>
                <w:rFonts w:ascii="Arial" w:hAnsi="Arial" w:cs="Arial"/>
              </w:rPr>
              <w:t>The purpose of the code is to provide additional planning, design and environmental controls to support the zone objectives and assessable uses in the Development Tables.  The amendment is considered to be consistent with the purpose of the industrial zones development code.</w:t>
            </w:r>
          </w:p>
          <w:p w:rsidR="005A103C" w:rsidRPr="005A103C" w:rsidRDefault="005A103C">
            <w:pPr>
              <w:rPr>
                <w:rFonts w:ascii="Arial" w:hAnsi="Arial" w:cs="Arial"/>
              </w:rPr>
            </w:pP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(iii) is not an error variation</w:t>
            </w:r>
          </w:p>
        </w:tc>
        <w:tc>
          <w:tcPr>
            <w:tcW w:w="7051" w:type="dxa"/>
          </w:tcPr>
          <w:p w:rsidR="005A103C" w:rsidRPr="005A103C" w:rsidRDefault="005A103C">
            <w:pPr>
              <w:rPr>
                <w:rFonts w:ascii="Arial" w:hAnsi="Arial" w:cs="Arial"/>
              </w:rPr>
            </w:pPr>
            <w:r w:rsidRPr="005A103C">
              <w:rPr>
                <w:rFonts w:ascii="Arial" w:hAnsi="Arial" w:cs="Arial"/>
              </w:rPr>
              <w:t>Is not a formal error</w:t>
            </w:r>
          </w:p>
        </w:tc>
      </w:tr>
    </w:tbl>
    <w:p w:rsidR="005A103C" w:rsidRDefault="005A103C">
      <w:pPr>
        <w:tabs>
          <w:tab w:val="left" w:pos="567"/>
        </w:tabs>
        <w:ind w:left="567" w:hanging="567"/>
        <w:rPr>
          <w:rFonts w:ascii="Arial" w:hAnsi="Arial" w:cs="Arial"/>
          <w:b/>
          <w:sz w:val="20"/>
        </w:rPr>
      </w:pPr>
    </w:p>
    <w:p w:rsidR="005A103C" w:rsidRDefault="005A103C">
      <w:pPr>
        <w:tabs>
          <w:tab w:val="left" w:pos="567"/>
        </w:tabs>
        <w:ind w:left="567" w:hanging="567"/>
        <w:rPr>
          <w:rFonts w:ascii="Arial" w:hAnsi="Arial" w:cs="Arial"/>
          <w:b/>
          <w:sz w:val="20"/>
        </w:rPr>
      </w:pPr>
    </w:p>
    <w:p w:rsidR="005A103C" w:rsidRDefault="005A103C">
      <w:pPr>
        <w:tabs>
          <w:tab w:val="left" w:pos="567"/>
        </w:tabs>
        <w:ind w:left="567" w:hanging="567"/>
        <w:rPr>
          <w:rFonts w:ascii="Arial" w:hAnsi="Arial" w:cs="Arial"/>
        </w:rPr>
      </w:pPr>
      <w:r>
        <w:rPr>
          <w:rFonts w:ascii="Arial" w:hAnsi="Arial" w:cs="Arial"/>
          <w:b/>
        </w:rPr>
        <w:t>C.</w:t>
      </w:r>
      <w:r>
        <w:rPr>
          <w:rFonts w:ascii="Arial" w:hAnsi="Arial" w:cs="Arial"/>
          <w:b/>
        </w:rPr>
        <w:tab/>
        <w:t>Changes to parking and vehicular access general code</w:t>
      </w:r>
    </w:p>
    <w:p w:rsidR="005A103C" w:rsidRDefault="005A103C">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5A103C" w:rsidRPr="005A103C" w:rsidTr="005A103C">
        <w:tc>
          <w:tcPr>
            <w:tcW w:w="2235" w:type="dxa"/>
          </w:tcPr>
          <w:p w:rsidR="005A103C" w:rsidRPr="005A103C" w:rsidRDefault="005A103C">
            <w:pPr>
              <w:rPr>
                <w:rFonts w:ascii="Arial" w:hAnsi="Arial" w:cs="Arial"/>
                <w:b/>
              </w:rPr>
            </w:pPr>
            <w:r w:rsidRPr="005A103C">
              <w:rPr>
                <w:rFonts w:ascii="Arial" w:hAnsi="Arial" w:cs="Arial"/>
                <w:b/>
              </w:rPr>
              <w:t>Section of Act</w:t>
            </w:r>
          </w:p>
        </w:tc>
        <w:tc>
          <w:tcPr>
            <w:tcW w:w="7051" w:type="dxa"/>
          </w:tcPr>
          <w:p w:rsidR="005A103C" w:rsidRPr="005A103C" w:rsidRDefault="005A103C">
            <w:pPr>
              <w:rPr>
                <w:rFonts w:ascii="Arial" w:hAnsi="Arial" w:cs="Arial"/>
                <w:b/>
              </w:rPr>
            </w:pPr>
            <w:r w:rsidRPr="005A103C">
              <w:rPr>
                <w:rFonts w:ascii="Arial" w:hAnsi="Arial" w:cs="Arial"/>
                <w:b/>
              </w:rPr>
              <w:t>Statement of compliance with Act</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 xml:space="preserve">s87(b) a variation (a code variation) that - </w:t>
            </w:r>
          </w:p>
        </w:tc>
        <w:tc>
          <w:tcPr>
            <w:tcW w:w="7051" w:type="dxa"/>
          </w:tcPr>
          <w:p w:rsidR="005A103C" w:rsidRPr="005A103C" w:rsidRDefault="005A103C">
            <w:pPr>
              <w:rPr>
                <w:rFonts w:ascii="Arial" w:hAnsi="Arial" w:cs="Arial"/>
              </w:rPr>
            </w:pP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 would only change a code; and</w:t>
            </w:r>
          </w:p>
        </w:tc>
        <w:tc>
          <w:tcPr>
            <w:tcW w:w="7051" w:type="dxa"/>
          </w:tcPr>
          <w:p w:rsidR="005A103C" w:rsidRPr="005A103C" w:rsidRDefault="005A103C">
            <w:pPr>
              <w:rPr>
                <w:rFonts w:ascii="Arial" w:hAnsi="Arial" w:cs="Arial"/>
              </w:rPr>
            </w:pPr>
            <w:r w:rsidRPr="005A103C">
              <w:rPr>
                <w:rFonts w:ascii="Arial" w:hAnsi="Arial" w:cs="Arial"/>
              </w:rPr>
              <w:t xml:space="preserve">Only changes the parking and vehicular access general code sections 3.1.4 and 3.2.2 </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(ii) is consistent with the policy purpose and policy framework of the code; and</w:t>
            </w:r>
          </w:p>
        </w:tc>
        <w:tc>
          <w:tcPr>
            <w:tcW w:w="7051" w:type="dxa"/>
          </w:tcPr>
          <w:p w:rsidR="005A103C" w:rsidRPr="005A103C" w:rsidRDefault="005A103C">
            <w:pPr>
              <w:rPr>
                <w:rFonts w:ascii="Arial" w:hAnsi="Arial" w:cs="Arial"/>
              </w:rPr>
            </w:pPr>
            <w:r w:rsidRPr="005A103C">
              <w:rPr>
                <w:rFonts w:ascii="Arial" w:hAnsi="Arial" w:cs="Arial"/>
              </w:rPr>
              <w:t xml:space="preserve">The purpose of the code is to ensure that development achieves the relevant objectives of the Territory Plan and will be used by the Authority in the assessment of development applications involving development, redevelopment and lease variations. The code specifies vehicular access and parking requirements for development. </w:t>
            </w:r>
          </w:p>
          <w:p w:rsidR="005A103C" w:rsidRPr="005A103C" w:rsidRDefault="005A103C">
            <w:pPr>
              <w:rPr>
                <w:rFonts w:ascii="Arial" w:hAnsi="Arial" w:cs="Arial"/>
              </w:rPr>
            </w:pPr>
          </w:p>
          <w:p w:rsidR="005A103C" w:rsidRPr="005A103C" w:rsidRDefault="005A103C">
            <w:pPr>
              <w:rPr>
                <w:rFonts w:ascii="Arial" w:hAnsi="Arial" w:cs="Arial"/>
              </w:rPr>
            </w:pPr>
            <w:r w:rsidRPr="005A103C">
              <w:rPr>
                <w:rFonts w:ascii="Arial" w:hAnsi="Arial" w:cs="Arial"/>
              </w:rPr>
              <w:t xml:space="preserve">The proposed changes seek to clarify and/or tighten existing controls to ensure better design and development outcomes in terms of parking provision requirements. </w:t>
            </w:r>
          </w:p>
          <w:p w:rsidR="005A103C" w:rsidRPr="005A103C" w:rsidRDefault="005A103C">
            <w:pPr>
              <w:rPr>
                <w:rFonts w:ascii="Arial" w:hAnsi="Arial" w:cs="Arial"/>
              </w:rPr>
            </w:pP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(iii) is not an error variation</w:t>
            </w:r>
          </w:p>
        </w:tc>
        <w:tc>
          <w:tcPr>
            <w:tcW w:w="7051" w:type="dxa"/>
          </w:tcPr>
          <w:p w:rsidR="005A103C" w:rsidRPr="005A103C" w:rsidRDefault="005A103C">
            <w:pPr>
              <w:rPr>
                <w:rFonts w:ascii="Arial" w:hAnsi="Arial" w:cs="Arial"/>
              </w:rPr>
            </w:pPr>
            <w:r w:rsidRPr="005A103C">
              <w:rPr>
                <w:rFonts w:ascii="Arial" w:hAnsi="Arial" w:cs="Arial"/>
              </w:rPr>
              <w:t>Is not a formal error</w:t>
            </w:r>
          </w:p>
        </w:tc>
      </w:tr>
    </w:tbl>
    <w:p w:rsidR="005A103C" w:rsidRDefault="005A103C">
      <w:pPr>
        <w:rPr>
          <w:rFonts w:ascii="Arial" w:hAnsi="Arial" w:cs="Arial"/>
        </w:rPr>
      </w:pPr>
    </w:p>
    <w:p w:rsidR="005A103C" w:rsidRDefault="005A103C">
      <w:pPr>
        <w:tabs>
          <w:tab w:val="left" w:pos="567"/>
        </w:tabs>
        <w:ind w:left="567" w:hanging="567"/>
        <w:rPr>
          <w:rFonts w:ascii="Arial" w:hAnsi="Arial" w:cs="Arial"/>
        </w:rPr>
      </w:pPr>
      <w:r>
        <w:rPr>
          <w:rFonts w:ascii="Arial" w:hAnsi="Arial" w:cs="Arial"/>
          <w:b/>
        </w:rPr>
        <w:t xml:space="preserve"> D.</w:t>
      </w:r>
      <w:r>
        <w:rPr>
          <w:rFonts w:ascii="Arial" w:hAnsi="Arial" w:cs="Arial"/>
          <w:b/>
        </w:rPr>
        <w:tab/>
        <w:t>Inner north precinct code – clarification of original intent of criterion C12</w:t>
      </w:r>
    </w:p>
    <w:p w:rsidR="005A103C" w:rsidRDefault="005A103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5A103C" w:rsidRPr="005A103C" w:rsidTr="005A103C">
        <w:tc>
          <w:tcPr>
            <w:tcW w:w="2235" w:type="dxa"/>
          </w:tcPr>
          <w:p w:rsidR="005A103C" w:rsidRPr="005A103C" w:rsidRDefault="005A103C">
            <w:pPr>
              <w:rPr>
                <w:rFonts w:ascii="Arial" w:hAnsi="Arial" w:cs="Arial"/>
                <w:b/>
              </w:rPr>
            </w:pPr>
            <w:r w:rsidRPr="005A103C">
              <w:rPr>
                <w:rFonts w:ascii="Arial" w:hAnsi="Arial" w:cs="Arial"/>
                <w:b/>
              </w:rPr>
              <w:t>Section of Act</w:t>
            </w:r>
          </w:p>
        </w:tc>
        <w:tc>
          <w:tcPr>
            <w:tcW w:w="7051" w:type="dxa"/>
          </w:tcPr>
          <w:p w:rsidR="005A103C" w:rsidRPr="005A103C" w:rsidRDefault="005A103C">
            <w:pPr>
              <w:rPr>
                <w:rFonts w:ascii="Arial" w:hAnsi="Arial" w:cs="Arial"/>
                <w:b/>
              </w:rPr>
            </w:pPr>
            <w:r w:rsidRPr="005A103C">
              <w:rPr>
                <w:rFonts w:ascii="Arial" w:hAnsi="Arial" w:cs="Arial"/>
                <w:b/>
              </w:rPr>
              <w:t>Statement of compliance with Act</w:t>
            </w:r>
          </w:p>
        </w:tc>
      </w:tr>
      <w:tr w:rsidR="005A103C" w:rsidRPr="005A103C" w:rsidTr="005A103C">
        <w:tc>
          <w:tcPr>
            <w:tcW w:w="2235" w:type="dxa"/>
          </w:tcPr>
          <w:p w:rsidR="005A103C" w:rsidRPr="005A103C" w:rsidRDefault="005A103C">
            <w:pPr>
              <w:rPr>
                <w:rFonts w:ascii="Arial" w:hAnsi="Arial" w:cs="Arial"/>
              </w:rPr>
            </w:pPr>
            <w:r w:rsidRPr="005A103C">
              <w:rPr>
                <w:rFonts w:ascii="Arial" w:hAnsi="Arial" w:cs="Arial"/>
              </w:rPr>
              <w:t xml:space="preserve">s87(g) a variation to clarify the language in the territory plan if it does not change the substance of the plan </w:t>
            </w:r>
          </w:p>
        </w:tc>
        <w:tc>
          <w:tcPr>
            <w:tcW w:w="7051" w:type="dxa"/>
          </w:tcPr>
          <w:p w:rsidR="005A103C" w:rsidRPr="005A103C" w:rsidRDefault="005A103C">
            <w:pPr>
              <w:rPr>
                <w:rFonts w:ascii="Arial" w:hAnsi="Arial" w:cs="Arial"/>
              </w:rPr>
            </w:pPr>
            <w:r w:rsidRPr="005A103C">
              <w:rPr>
                <w:rFonts w:ascii="Arial" w:hAnsi="Arial" w:cs="Arial"/>
              </w:rPr>
              <w:t>The change to C12 is intended to clarify the original intent of the provision through clearer wording of the criterion.</w:t>
            </w:r>
          </w:p>
        </w:tc>
      </w:tr>
    </w:tbl>
    <w:p w:rsidR="005A103C" w:rsidRDefault="005A103C">
      <w:pPr>
        <w:rPr>
          <w:rFonts w:ascii="Arial" w:hAnsi="Arial" w:cs="Arial"/>
        </w:rPr>
      </w:pPr>
    </w:p>
    <w:p w:rsidR="005A103C" w:rsidRDefault="005A103C">
      <w:pPr>
        <w:pStyle w:val="TAsectionheading"/>
      </w:pPr>
      <w:r>
        <w:br w:type="page"/>
      </w:r>
      <w:bookmarkStart w:id="13" w:name="_Toc289866670"/>
      <w:r>
        <w:t>TECHNICAL AMENDMENT</w:t>
      </w:r>
      <w:bookmarkEnd w:id="12"/>
      <w:bookmarkEnd w:id="13"/>
    </w:p>
    <w:p w:rsidR="005A103C" w:rsidRDefault="005A103C">
      <w:pPr>
        <w:pStyle w:val="TAsectionheading3"/>
        <w:numPr>
          <w:ilvl w:val="2"/>
          <w:numId w:val="3"/>
        </w:numPr>
        <w:spacing w:after="0" w:line="240" w:lineRule="auto"/>
      </w:pPr>
      <w:r>
        <w:t xml:space="preserve">  </w:t>
      </w:r>
      <w:bookmarkStart w:id="14" w:name="_Toc289866671"/>
      <w:r>
        <w:t>Code Amendment</w:t>
      </w:r>
      <w:bookmarkEnd w:id="14"/>
    </w:p>
    <w:p w:rsidR="005A103C" w:rsidRDefault="005A103C">
      <w:pPr>
        <w:pStyle w:val="TAsubheadinglocationinterritoryplan"/>
      </w:pPr>
      <w:r>
        <w:t>Variation to multi unit housing development code</w:t>
      </w:r>
    </w:p>
    <w:p w:rsidR="005A103C" w:rsidRDefault="005A103C">
      <w:pPr>
        <w:pStyle w:val="TAeditorialitemgeneralheading"/>
      </w:pPr>
      <w:r>
        <w:t>Part A – Zone Specific Controls, Part A(4) – RZ4 – Medium Density Residential Zone, Element 2: Building and Site Controls, Item 2.4 Plot Ratio, R24</w:t>
      </w:r>
    </w:p>
    <w:p w:rsidR="005A103C" w:rsidRDefault="005A103C">
      <w:pPr>
        <w:pStyle w:val="TAeditorialinstructions"/>
        <w:rPr>
          <w:rFonts w:cs="Arial"/>
          <w:i w:val="0"/>
          <w:iCs w:val="0"/>
        </w:rPr>
      </w:pPr>
    </w:p>
    <w:p w:rsidR="005A103C" w:rsidRDefault="005A103C">
      <w:pPr>
        <w:ind w:left="720"/>
        <w:rPr>
          <w:rFonts w:ascii="Arial" w:hAnsi="Arial" w:cs="Arial"/>
          <w:b/>
          <w:sz w:val="20"/>
        </w:rPr>
      </w:pPr>
      <w:r>
        <w:rPr>
          <w:rFonts w:ascii="Arial" w:hAnsi="Arial" w:cs="Arial"/>
          <w:i/>
        </w:rPr>
        <w:t>Substitute with</w:t>
      </w:r>
    </w:p>
    <w:p w:rsidR="005A103C" w:rsidRDefault="005A103C">
      <w:pPr>
        <w:ind w:left="720"/>
        <w:rPr>
          <w:rFonts w:ascii="Arial" w:hAnsi="Arial" w:cs="Arial"/>
          <w: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tblGrid>
      <w:tr w:rsidR="005A103C" w:rsidRPr="005A103C" w:rsidTr="005A103C">
        <w:tc>
          <w:tcPr>
            <w:tcW w:w="4252" w:type="dxa"/>
          </w:tcPr>
          <w:p w:rsidR="005A103C" w:rsidRPr="005A103C" w:rsidRDefault="005A103C">
            <w:pPr>
              <w:rPr>
                <w:rFonts w:ascii="Arial" w:hAnsi="Arial" w:cs="Arial"/>
                <w:sz w:val="20"/>
              </w:rPr>
            </w:pPr>
            <w:r w:rsidRPr="005A103C">
              <w:rPr>
                <w:rFonts w:ascii="Arial" w:hAnsi="Arial" w:cs="Arial"/>
                <w:sz w:val="20"/>
              </w:rPr>
              <w:t>R24*</w:t>
            </w: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Maximum plot ratio does not exceed 80% except where all of the following are met:</w:t>
            </w:r>
          </w:p>
          <w:p w:rsidR="005A103C" w:rsidRPr="005A103C" w:rsidRDefault="005A103C" w:rsidP="005A103C">
            <w:pPr>
              <w:numPr>
                <w:ilvl w:val="0"/>
                <w:numId w:val="46"/>
              </w:numPr>
              <w:tabs>
                <w:tab w:val="clear" w:pos="1789"/>
              </w:tabs>
              <w:ind w:left="425" w:hanging="425"/>
              <w:rPr>
                <w:rFonts w:ascii="Arial" w:hAnsi="Arial" w:cs="Arial"/>
                <w:sz w:val="20"/>
              </w:rPr>
            </w:pPr>
            <w:r w:rsidRPr="005A103C">
              <w:rPr>
                <w:rFonts w:ascii="Arial" w:hAnsi="Arial" w:cs="Arial"/>
                <w:sz w:val="20"/>
              </w:rPr>
              <w:t xml:space="preserve">the land was subject to either a Residential B1 or B8 area specific policy under the Territory Plan immediately prior to the commencement of the </w:t>
            </w:r>
            <w:r w:rsidRPr="005A103C">
              <w:rPr>
                <w:rFonts w:ascii="Arial" w:hAnsi="Arial" w:cs="Arial"/>
                <w:i/>
                <w:sz w:val="20"/>
              </w:rPr>
              <w:t xml:space="preserve">Planning and Development Act 2007 </w:t>
            </w:r>
            <w:r w:rsidRPr="005A103C">
              <w:rPr>
                <w:rFonts w:ascii="Arial" w:hAnsi="Arial" w:cs="Arial"/>
                <w:sz w:val="20"/>
              </w:rPr>
              <w:t>on</w:t>
            </w:r>
            <w:r w:rsidRPr="005A103C">
              <w:rPr>
                <w:rFonts w:ascii="Arial" w:hAnsi="Arial" w:cs="Arial"/>
                <w:i/>
                <w:sz w:val="20"/>
              </w:rPr>
              <w:t xml:space="preserve"> </w:t>
            </w:r>
            <w:r w:rsidRPr="005A103C">
              <w:rPr>
                <w:rFonts w:ascii="Arial" w:hAnsi="Arial" w:cs="Arial"/>
                <w:sz w:val="20"/>
              </w:rPr>
              <w:t xml:space="preserve">31 March 2008 </w:t>
            </w:r>
          </w:p>
          <w:p w:rsidR="005A103C" w:rsidRPr="005A103C" w:rsidRDefault="005A103C" w:rsidP="005A103C">
            <w:pPr>
              <w:numPr>
                <w:ilvl w:val="0"/>
                <w:numId w:val="46"/>
              </w:numPr>
              <w:tabs>
                <w:tab w:val="clear" w:pos="1789"/>
              </w:tabs>
              <w:ind w:left="425" w:hanging="425"/>
              <w:rPr>
                <w:rFonts w:ascii="Arial" w:hAnsi="Arial" w:cs="Arial"/>
                <w:sz w:val="20"/>
              </w:rPr>
            </w:pPr>
            <w:r w:rsidRPr="005A103C">
              <w:rPr>
                <w:rFonts w:ascii="Arial" w:hAnsi="Arial" w:cs="Arial"/>
                <w:sz w:val="20"/>
              </w:rPr>
              <w:t xml:space="preserve">the land was held under a holding lease immediately prior to the commencement of the </w:t>
            </w:r>
            <w:r w:rsidRPr="005A103C">
              <w:rPr>
                <w:rFonts w:ascii="Arial" w:hAnsi="Arial" w:cs="Arial"/>
                <w:i/>
                <w:sz w:val="20"/>
              </w:rPr>
              <w:t>Planning and Development Act 2007</w:t>
            </w:r>
            <w:r w:rsidRPr="005A103C">
              <w:rPr>
                <w:rFonts w:ascii="Arial" w:hAnsi="Arial" w:cs="Arial"/>
                <w:sz w:val="20"/>
              </w:rPr>
              <w:t xml:space="preserve"> on 31 March 2008.</w:t>
            </w:r>
          </w:p>
        </w:tc>
        <w:tc>
          <w:tcPr>
            <w:tcW w:w="4253" w:type="dxa"/>
          </w:tcPr>
          <w:p w:rsidR="005A103C" w:rsidRPr="005A103C" w:rsidRDefault="005A103C">
            <w:pPr>
              <w:rPr>
                <w:rFonts w:ascii="Arial" w:hAnsi="Arial" w:cs="Arial"/>
                <w:sz w:val="20"/>
              </w:rPr>
            </w:pP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 xml:space="preserve">This is a mandatory requirement.  There is no applicable criterion. </w:t>
            </w:r>
          </w:p>
          <w:p w:rsidR="005A103C" w:rsidRPr="005A103C" w:rsidRDefault="005A103C">
            <w:pPr>
              <w:rPr>
                <w:rFonts w:ascii="Arial" w:hAnsi="Arial" w:cs="Arial"/>
                <w:sz w:val="20"/>
              </w:rPr>
            </w:pPr>
          </w:p>
        </w:tc>
      </w:tr>
    </w:tbl>
    <w:p w:rsidR="005A103C" w:rsidRDefault="005A103C">
      <w:pPr>
        <w:ind w:left="720"/>
        <w:rPr>
          <w:rFonts w:ascii="Arial" w:hAnsi="Arial" w:cs="Arial"/>
        </w:rPr>
      </w:pPr>
    </w:p>
    <w:p w:rsidR="005A103C" w:rsidRDefault="005A103C">
      <w:pPr>
        <w:pStyle w:val="TAsubheadinglocationinterritoryplan"/>
      </w:pPr>
      <w:r>
        <w:t>Variation to industrial zones development code</w:t>
      </w:r>
    </w:p>
    <w:p w:rsidR="005A103C" w:rsidRDefault="005A103C">
      <w:pPr>
        <w:pStyle w:val="TAeditorialitemgeneralheading"/>
      </w:pPr>
      <w:r>
        <w:t>Part A – Zone Specific Controls, Part A(1) – IZ1 – General Industrial Zone, Element 2: Building and Site Controls</w:t>
      </w:r>
    </w:p>
    <w:p w:rsidR="005A103C" w:rsidRDefault="005A103C">
      <w:pPr>
        <w:pStyle w:val="TAeditorialinstructions"/>
        <w:rPr>
          <w:rFonts w:cs="Arial"/>
        </w:rPr>
      </w:pPr>
    </w:p>
    <w:p w:rsidR="005A103C" w:rsidRDefault="005A103C">
      <w:pPr>
        <w:ind w:left="720"/>
        <w:rPr>
          <w:rFonts w:ascii="Arial" w:hAnsi="Arial" w:cs="Arial"/>
          <w:i/>
        </w:rPr>
      </w:pPr>
      <w:r>
        <w:rPr>
          <w:rFonts w:ascii="Arial" w:hAnsi="Arial" w:cs="Arial"/>
          <w:i/>
        </w:rPr>
        <w:t xml:space="preserve">Insert a new item: </w:t>
      </w:r>
    </w:p>
    <w:p w:rsidR="005A103C" w:rsidRDefault="005A103C">
      <w:pPr>
        <w:ind w:left="426"/>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5A103C" w:rsidRPr="005A103C" w:rsidTr="005A103C">
        <w:trPr>
          <w:trHeight w:val="397"/>
        </w:trPr>
        <w:tc>
          <w:tcPr>
            <w:tcW w:w="8529" w:type="dxa"/>
            <w:gridSpan w:val="2"/>
            <w:shd w:val="clear" w:color="auto" w:fill="E6E6E6"/>
            <w:vAlign w:val="center"/>
          </w:tcPr>
          <w:p w:rsidR="005A103C" w:rsidRPr="005A103C" w:rsidRDefault="005A103C" w:rsidP="005A103C">
            <w:pPr>
              <w:tabs>
                <w:tab w:val="left" w:pos="426"/>
              </w:tabs>
              <w:ind w:left="567" w:hanging="567"/>
              <w:rPr>
                <w:rFonts w:ascii="Arial" w:hAnsi="Arial" w:cs="Arial"/>
                <w:b/>
                <w:sz w:val="20"/>
              </w:rPr>
            </w:pPr>
            <w:r w:rsidRPr="005A103C">
              <w:rPr>
                <w:rFonts w:ascii="Arial" w:hAnsi="Arial" w:cs="Arial"/>
                <w:b/>
                <w:sz w:val="20"/>
              </w:rPr>
              <w:t>2.2    Bushfire</w:t>
            </w:r>
          </w:p>
        </w:tc>
      </w:tr>
      <w:tr w:rsidR="005A103C" w:rsidRPr="005A103C" w:rsidTr="005A103C">
        <w:tc>
          <w:tcPr>
            <w:tcW w:w="4264" w:type="dxa"/>
          </w:tcPr>
          <w:p w:rsidR="005A103C" w:rsidRPr="005A103C" w:rsidRDefault="005A103C">
            <w:pPr>
              <w:rPr>
                <w:rFonts w:ascii="Arial" w:hAnsi="Arial" w:cs="Arial"/>
                <w:sz w:val="20"/>
              </w:rPr>
            </w:pPr>
            <w:r w:rsidRPr="005A103C">
              <w:rPr>
                <w:rFonts w:ascii="Arial" w:hAnsi="Arial" w:cs="Arial"/>
                <w:sz w:val="20"/>
              </w:rPr>
              <w:t>R1A</w:t>
            </w: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 xml:space="preserve">Where identified in the figure at Appendix A, buildings are to be designed and constructed in accordance with the specified bushfire construction level of Australian Standard </w:t>
            </w:r>
          </w:p>
          <w:p w:rsidR="005A103C" w:rsidRPr="005A103C" w:rsidRDefault="005A103C">
            <w:pPr>
              <w:rPr>
                <w:rFonts w:ascii="Arial" w:hAnsi="Arial" w:cs="Arial"/>
                <w:sz w:val="20"/>
              </w:rPr>
            </w:pPr>
            <w:r w:rsidRPr="005A103C">
              <w:rPr>
                <w:rFonts w:ascii="Arial" w:hAnsi="Arial" w:cs="Arial"/>
                <w:sz w:val="20"/>
              </w:rPr>
              <w:t>AS3959.</w:t>
            </w:r>
          </w:p>
          <w:p w:rsidR="005A103C" w:rsidRPr="005A103C" w:rsidRDefault="005A103C">
            <w:pPr>
              <w:rPr>
                <w:rFonts w:ascii="Arial" w:hAnsi="Arial" w:cs="Arial"/>
                <w:sz w:val="20"/>
              </w:rPr>
            </w:pPr>
          </w:p>
          <w:p w:rsidR="005A103C" w:rsidRPr="005A103C" w:rsidRDefault="005A103C">
            <w:pPr>
              <w:rPr>
                <w:rFonts w:ascii="Arial" w:hAnsi="Arial" w:cs="Arial"/>
                <w:sz w:val="20"/>
              </w:rPr>
            </w:pPr>
          </w:p>
        </w:tc>
        <w:tc>
          <w:tcPr>
            <w:tcW w:w="4265" w:type="dxa"/>
          </w:tcPr>
          <w:p w:rsidR="005A103C" w:rsidRPr="005A103C" w:rsidRDefault="005A103C">
            <w:pPr>
              <w:rPr>
                <w:rFonts w:ascii="Arial" w:hAnsi="Arial" w:cs="Arial"/>
                <w:sz w:val="20"/>
              </w:rPr>
            </w:pP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 xml:space="preserve">This is a mandatory requirement.  There is no applicable criterion. </w:t>
            </w:r>
          </w:p>
          <w:p w:rsidR="005A103C" w:rsidRPr="005A103C" w:rsidRDefault="005A103C">
            <w:pPr>
              <w:rPr>
                <w:rFonts w:ascii="Arial" w:hAnsi="Arial" w:cs="Arial"/>
                <w:sz w:val="20"/>
              </w:rPr>
            </w:pPr>
          </w:p>
        </w:tc>
      </w:tr>
    </w:tbl>
    <w:p w:rsidR="005A103C" w:rsidRDefault="005A103C">
      <w:pPr>
        <w:ind w:left="426"/>
      </w:pPr>
    </w:p>
    <w:p w:rsidR="005A103C" w:rsidRDefault="005A103C">
      <w:pPr>
        <w:ind w:left="426"/>
      </w:pPr>
    </w:p>
    <w:p w:rsidR="005A103C" w:rsidRDefault="005A103C">
      <w:pPr>
        <w:ind w:left="426"/>
      </w:pPr>
    </w:p>
    <w:p w:rsidR="005A103C" w:rsidRDefault="005A103C">
      <w:pPr>
        <w:ind w:left="426"/>
      </w:pPr>
    </w:p>
    <w:p w:rsidR="005A103C" w:rsidRDefault="005A103C">
      <w:pPr>
        <w:ind w:left="426"/>
      </w:pPr>
    </w:p>
    <w:p w:rsidR="005A103C" w:rsidRDefault="005A103C">
      <w:pPr>
        <w:ind w:left="426"/>
      </w:pPr>
    </w:p>
    <w:p w:rsidR="005A103C" w:rsidRDefault="005A103C">
      <w:pPr>
        <w:ind w:left="426"/>
      </w:pPr>
    </w:p>
    <w:p w:rsidR="005A103C" w:rsidRDefault="005A103C">
      <w:pPr>
        <w:ind w:left="426"/>
      </w:pPr>
    </w:p>
    <w:p w:rsidR="005A103C" w:rsidRDefault="005A103C">
      <w:pPr>
        <w:pStyle w:val="TAeditorialitemgeneralheading"/>
      </w:pPr>
      <w:r>
        <w:t>Industrial zones development code</w:t>
      </w:r>
    </w:p>
    <w:p w:rsidR="005A103C" w:rsidRDefault="005A103C">
      <w:pPr>
        <w:ind w:left="426"/>
        <w:rPr>
          <w:rFonts w:ascii="Arial" w:hAnsi="Arial" w:cs="Arial"/>
        </w:rPr>
      </w:pPr>
    </w:p>
    <w:p w:rsidR="005A103C" w:rsidRDefault="005A103C">
      <w:pPr>
        <w:ind w:left="720"/>
        <w:rPr>
          <w:rFonts w:ascii="Arial" w:hAnsi="Arial" w:cs="Arial"/>
          <w:i/>
        </w:rPr>
      </w:pPr>
      <w:r>
        <w:rPr>
          <w:rFonts w:ascii="Arial" w:hAnsi="Arial" w:cs="Arial"/>
          <w:i/>
        </w:rPr>
        <w:t>After Part C(4) Symonston insert</w:t>
      </w:r>
    </w:p>
    <w:p w:rsidR="005A103C" w:rsidRDefault="005A103C">
      <w:pPr>
        <w:ind w:left="426"/>
        <w:rPr>
          <w:rFonts w:ascii="Arial" w:hAnsi="Arial" w:cs="Arial"/>
        </w:rPr>
      </w:pPr>
    </w:p>
    <w:p w:rsidR="005A103C" w:rsidRDefault="005A103C">
      <w:pPr>
        <w:ind w:left="426"/>
        <w:rPr>
          <w:rFonts w:ascii="Arial" w:hAnsi="Arial" w:cs="Arial"/>
        </w:rPr>
      </w:pPr>
    </w:p>
    <w:p w:rsidR="005A103C" w:rsidRDefault="002869D0">
      <w:pPr>
        <w:ind w:left="720"/>
        <w:rPr>
          <w:rFonts w:ascii="Arial" w:hAnsi="Arial" w:cs="Arial"/>
          <w:i/>
        </w:rPr>
      </w:pPr>
      <w:r>
        <w:rPr>
          <w:noProof/>
        </w:rPr>
        <w:pict>
          <v:shape id="_x0000_s1026" type="#_x0000_t75" style="position:absolute;left:0;text-align:left;margin-left:0;margin-top:0;width:486.75pt;height:539.25pt;z-index:251658240;mso-position-horizontal:center">
            <v:imagedata r:id="rId16" o:title=""/>
            <w10:wrap type="square"/>
          </v:shape>
        </w:pict>
      </w:r>
    </w:p>
    <w:p w:rsidR="005A103C" w:rsidRDefault="005A103C">
      <w:pPr>
        <w:ind w:left="426"/>
        <w:rPr>
          <w:rFonts w:ascii="Arial" w:hAnsi="Arial" w:cs="Arial"/>
          <w:b/>
        </w:rPr>
      </w:pPr>
      <w:r>
        <w:rPr>
          <w:rFonts w:ascii="Arial" w:hAnsi="Arial" w:cs="Arial"/>
          <w:b/>
        </w:rPr>
        <w:t>Appendix A: Hume West Industrial Estate bushfire provisions</w:t>
      </w:r>
    </w:p>
    <w:p w:rsidR="005A103C" w:rsidRDefault="005A103C">
      <w:pPr>
        <w:ind w:left="720"/>
        <w:rPr>
          <w:rFonts w:ascii="Arial" w:hAnsi="Arial" w:cs="Arial"/>
          <w:i/>
        </w:rPr>
      </w:pPr>
    </w:p>
    <w:p w:rsidR="005A103C" w:rsidRDefault="005A103C">
      <w:pPr>
        <w:ind w:left="720"/>
        <w:rPr>
          <w:rFonts w:ascii="Arial" w:hAnsi="Arial" w:cs="Arial"/>
          <w:i/>
        </w:rPr>
      </w:pPr>
    </w:p>
    <w:p w:rsidR="005A103C" w:rsidRDefault="005A103C">
      <w:pPr>
        <w:ind w:left="720"/>
        <w:rPr>
          <w:rFonts w:ascii="Arial" w:hAnsi="Arial" w:cs="Arial"/>
          <w:i/>
        </w:rPr>
      </w:pPr>
    </w:p>
    <w:p w:rsidR="005A103C" w:rsidRDefault="005A103C">
      <w:pPr>
        <w:ind w:left="720"/>
        <w:rPr>
          <w:rFonts w:ascii="Arial" w:hAnsi="Arial" w:cs="Arial"/>
          <w:i/>
        </w:rPr>
      </w:pPr>
    </w:p>
    <w:p w:rsidR="005A103C" w:rsidRDefault="005A103C">
      <w:pPr>
        <w:pStyle w:val="TAsubheadinglocationinterritoryplan"/>
        <w:rPr>
          <w:rFonts w:cs="Arial"/>
        </w:rPr>
      </w:pPr>
      <w:r>
        <w:rPr>
          <w:rFonts w:cs="Arial"/>
        </w:rPr>
        <w:t>Variation to the inner north precinct code</w:t>
      </w:r>
    </w:p>
    <w:p w:rsidR="005A103C" w:rsidRDefault="005A103C">
      <w:pPr>
        <w:pStyle w:val="TAeditorialitemgeneralheading"/>
      </w:pPr>
      <w:r>
        <w:t>Part A – General Development Controls, Element 2: Building and Site Controls, Item 2.6: Site Coverage, C12</w:t>
      </w:r>
    </w:p>
    <w:p w:rsidR="005A103C" w:rsidRDefault="005A103C">
      <w:pPr>
        <w:pStyle w:val="TAeditorialinstructions"/>
        <w:rPr>
          <w:rFonts w:cs="Arial"/>
          <w:i w:val="0"/>
          <w:iCs w:val="0"/>
        </w:rPr>
      </w:pPr>
    </w:p>
    <w:p w:rsidR="005A103C" w:rsidRDefault="005A103C">
      <w:pPr>
        <w:rPr>
          <w:rFonts w:ascii="Arial" w:hAnsi="Arial" w:cs="Arial"/>
          <w:i/>
        </w:rPr>
      </w:pPr>
      <w:r>
        <w:rPr>
          <w:rFonts w:ascii="Arial" w:hAnsi="Arial" w:cs="Arial"/>
        </w:rPr>
        <w:tab/>
      </w:r>
      <w:r>
        <w:rPr>
          <w:rFonts w:ascii="Arial" w:hAnsi="Arial" w:cs="Arial"/>
          <w:i/>
        </w:rPr>
        <w:t>Substitute with</w:t>
      </w:r>
    </w:p>
    <w:p w:rsidR="005A103C" w:rsidRDefault="005A103C">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5A103C" w:rsidRPr="005A103C" w:rsidTr="005A103C">
        <w:tc>
          <w:tcPr>
            <w:tcW w:w="4264" w:type="dxa"/>
          </w:tcPr>
          <w:p w:rsidR="005A103C" w:rsidRPr="005A103C" w:rsidRDefault="005A103C">
            <w:pPr>
              <w:rPr>
                <w:rFonts w:ascii="Arial" w:hAnsi="Arial" w:cs="Arial"/>
                <w:sz w:val="20"/>
              </w:rPr>
            </w:pP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There is no applicable rule.</w:t>
            </w:r>
          </w:p>
        </w:tc>
        <w:tc>
          <w:tcPr>
            <w:tcW w:w="4265" w:type="dxa"/>
          </w:tcPr>
          <w:p w:rsidR="005A103C" w:rsidRPr="005A103C" w:rsidRDefault="005A103C">
            <w:pPr>
              <w:rPr>
                <w:rFonts w:ascii="Arial" w:hAnsi="Arial" w:cs="Arial"/>
                <w:sz w:val="20"/>
              </w:rPr>
            </w:pPr>
            <w:r w:rsidRPr="005A103C">
              <w:rPr>
                <w:rFonts w:ascii="Arial" w:hAnsi="Arial" w:cs="Arial"/>
                <w:sz w:val="20"/>
              </w:rPr>
              <w:t>C12</w:t>
            </w: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 xml:space="preserve">Maximum site coverage of up to 100% in the Primary Building Zone may be permitted subject to the agreement of adjoining lessees and lodging a plan for integrated development.  </w:t>
            </w:r>
          </w:p>
          <w:p w:rsidR="005A103C" w:rsidRPr="005A103C" w:rsidRDefault="005A103C">
            <w:pPr>
              <w:rPr>
                <w:rFonts w:ascii="Arial" w:hAnsi="Arial" w:cs="Arial"/>
                <w:sz w:val="20"/>
              </w:rPr>
            </w:pPr>
          </w:p>
          <w:p w:rsidR="005A103C" w:rsidRPr="005A103C" w:rsidRDefault="005A103C">
            <w:pPr>
              <w:rPr>
                <w:rFonts w:ascii="Arial" w:hAnsi="Arial" w:cs="Arial"/>
                <w:sz w:val="20"/>
              </w:rPr>
            </w:pPr>
            <w:r w:rsidRPr="005A103C">
              <w:rPr>
                <w:rFonts w:ascii="Arial" w:hAnsi="Arial" w:cs="Arial"/>
                <w:sz w:val="20"/>
              </w:rPr>
              <w:t>Note: This requirement applies to all built-to-boundary proposals less than 100% site coverage in the Primary Building Zone.</w:t>
            </w:r>
          </w:p>
          <w:p w:rsidR="005A103C" w:rsidRPr="005A103C" w:rsidRDefault="005A103C">
            <w:pPr>
              <w:rPr>
                <w:rFonts w:ascii="Arial" w:hAnsi="Arial" w:cs="Arial"/>
                <w:sz w:val="20"/>
              </w:rPr>
            </w:pPr>
          </w:p>
          <w:p w:rsidR="005A103C" w:rsidRPr="005A103C" w:rsidRDefault="005A103C">
            <w:pPr>
              <w:rPr>
                <w:rFonts w:ascii="Arial" w:hAnsi="Arial" w:cs="Arial"/>
                <w:sz w:val="20"/>
              </w:rPr>
            </w:pPr>
          </w:p>
        </w:tc>
      </w:tr>
    </w:tbl>
    <w:p w:rsidR="005A103C" w:rsidRDefault="005A103C">
      <w:pPr>
        <w:pStyle w:val="TAsubheadinglocationinterritoryplan"/>
      </w:pPr>
      <w:r>
        <w:t>Variation to parking and vehicular access general code</w:t>
      </w:r>
    </w:p>
    <w:p w:rsidR="005A103C" w:rsidRDefault="005A103C">
      <w:pPr>
        <w:pStyle w:val="TAeditorialitemgeneralheading"/>
      </w:pPr>
      <w:r>
        <w:t>3. Parking and Vehicular Access, 3.1.4 Locational requirements</w:t>
      </w:r>
    </w:p>
    <w:p w:rsidR="005A103C" w:rsidRDefault="005A103C">
      <w:pPr>
        <w:pStyle w:val="TAeditorialinstructions"/>
        <w:rPr>
          <w:rFonts w:cs="Arial"/>
          <w:i w:val="0"/>
          <w:iCs w:val="0"/>
        </w:rPr>
      </w:pPr>
    </w:p>
    <w:p w:rsidR="005A103C" w:rsidRDefault="005A103C">
      <w:pPr>
        <w:ind w:left="720"/>
        <w:rPr>
          <w:rFonts w:ascii="Arial" w:hAnsi="Arial" w:cs="Arial"/>
          <w:i/>
        </w:rPr>
      </w:pPr>
      <w:r>
        <w:rPr>
          <w:rFonts w:ascii="Arial" w:hAnsi="Arial" w:cs="Arial"/>
          <w:i/>
        </w:rPr>
        <w:t>Substitute with</w:t>
      </w:r>
    </w:p>
    <w:p w:rsidR="005A103C" w:rsidRDefault="005A103C">
      <w:pPr>
        <w:ind w:left="720"/>
        <w:rPr>
          <w:rFonts w:ascii="Arial" w:hAnsi="Arial" w:cs="Arial"/>
        </w:rPr>
      </w:pPr>
    </w:p>
    <w:p w:rsidR="005A103C" w:rsidRDefault="005A103C">
      <w:pPr>
        <w:ind w:left="720"/>
        <w:rPr>
          <w:rFonts w:ascii="Arial" w:hAnsi="Arial" w:cs="Arial"/>
          <w:sz w:val="20"/>
        </w:rPr>
      </w:pPr>
      <w:r>
        <w:rPr>
          <w:rFonts w:ascii="Arial" w:hAnsi="Arial" w:cs="Arial"/>
          <w:sz w:val="20"/>
        </w:rPr>
        <w:t>The following are specific requirements for the location of long stay, short stay and operational parking (ie vehicles uses directly as part of the operation within the development, eg fleet cars)</w:t>
      </w:r>
    </w:p>
    <w:p w:rsidR="005A103C" w:rsidRDefault="005A103C">
      <w:pPr>
        <w:ind w:left="720"/>
        <w:rPr>
          <w:rFonts w:ascii="Arial" w:hAnsi="Arial" w:cs="Arial"/>
          <w:sz w:val="20"/>
        </w:rPr>
      </w:pPr>
    </w:p>
    <w:tbl>
      <w:tblPr>
        <w:tblW w:w="0" w:type="auto"/>
        <w:tblInd w:w="817" w:type="dxa"/>
        <w:tblBorders>
          <w:bottom w:val="single" w:sz="4" w:space="0" w:color="auto"/>
        </w:tblBorders>
        <w:tblLook w:val="00A0" w:firstRow="1" w:lastRow="0" w:firstColumn="1" w:lastColumn="0" w:noHBand="0" w:noVBand="0"/>
      </w:tblPr>
      <w:tblGrid>
        <w:gridCol w:w="494"/>
        <w:gridCol w:w="2470"/>
        <w:gridCol w:w="1814"/>
        <w:gridCol w:w="1873"/>
        <w:gridCol w:w="1818"/>
      </w:tblGrid>
      <w:tr w:rsidR="005A103C" w:rsidRPr="005A103C" w:rsidTr="005A103C">
        <w:tc>
          <w:tcPr>
            <w:tcW w:w="425" w:type="dxa"/>
            <w:tcBorders>
              <w:bottom w:val="single" w:sz="4" w:space="0" w:color="auto"/>
            </w:tcBorders>
          </w:tcPr>
          <w:p w:rsidR="005A103C" w:rsidRPr="005A103C" w:rsidRDefault="005A103C">
            <w:pPr>
              <w:rPr>
                <w:rFonts w:ascii="Arial" w:hAnsi="Arial" w:cs="Arial"/>
                <w:b/>
                <w:sz w:val="20"/>
              </w:rPr>
            </w:pPr>
          </w:p>
        </w:tc>
        <w:tc>
          <w:tcPr>
            <w:tcW w:w="2488" w:type="dxa"/>
            <w:tcBorders>
              <w:bottom w:val="single" w:sz="4" w:space="0" w:color="auto"/>
            </w:tcBorders>
          </w:tcPr>
          <w:p w:rsidR="005A103C" w:rsidRPr="005A103C" w:rsidRDefault="005A103C">
            <w:pPr>
              <w:rPr>
                <w:rFonts w:ascii="Arial" w:hAnsi="Arial" w:cs="Arial"/>
                <w:b/>
                <w:sz w:val="20"/>
              </w:rPr>
            </w:pPr>
            <w:r w:rsidRPr="005A103C">
              <w:rPr>
                <w:rFonts w:ascii="Arial" w:hAnsi="Arial" w:cs="Arial"/>
                <w:b/>
                <w:sz w:val="20"/>
              </w:rPr>
              <w:t>Development</w:t>
            </w:r>
          </w:p>
        </w:tc>
        <w:tc>
          <w:tcPr>
            <w:tcW w:w="1833" w:type="dxa"/>
            <w:tcBorders>
              <w:bottom w:val="single" w:sz="4" w:space="0" w:color="auto"/>
            </w:tcBorders>
          </w:tcPr>
          <w:p w:rsidR="005A103C" w:rsidRPr="005A103C" w:rsidRDefault="005A103C">
            <w:pPr>
              <w:rPr>
                <w:rFonts w:ascii="Arial" w:hAnsi="Arial" w:cs="Arial"/>
                <w:b/>
                <w:sz w:val="20"/>
              </w:rPr>
            </w:pPr>
            <w:r w:rsidRPr="005A103C">
              <w:rPr>
                <w:rFonts w:ascii="Arial" w:hAnsi="Arial" w:cs="Arial"/>
                <w:b/>
                <w:sz w:val="20"/>
              </w:rPr>
              <w:t>Long Stay Parking</w:t>
            </w:r>
          </w:p>
        </w:tc>
        <w:tc>
          <w:tcPr>
            <w:tcW w:w="1894" w:type="dxa"/>
            <w:tcBorders>
              <w:bottom w:val="single" w:sz="4" w:space="0" w:color="auto"/>
            </w:tcBorders>
          </w:tcPr>
          <w:p w:rsidR="005A103C" w:rsidRPr="005A103C" w:rsidRDefault="005A103C">
            <w:pPr>
              <w:rPr>
                <w:rFonts w:ascii="Arial" w:hAnsi="Arial" w:cs="Arial"/>
                <w:b/>
                <w:sz w:val="20"/>
              </w:rPr>
            </w:pPr>
            <w:r w:rsidRPr="005A103C">
              <w:rPr>
                <w:rFonts w:ascii="Arial" w:hAnsi="Arial" w:cs="Arial"/>
                <w:b/>
                <w:sz w:val="20"/>
              </w:rPr>
              <w:t>Short Stay/ Visitor Parking</w:t>
            </w:r>
          </w:p>
        </w:tc>
        <w:tc>
          <w:tcPr>
            <w:tcW w:w="1829" w:type="dxa"/>
            <w:tcBorders>
              <w:bottom w:val="single" w:sz="4" w:space="0" w:color="auto"/>
            </w:tcBorders>
          </w:tcPr>
          <w:p w:rsidR="005A103C" w:rsidRPr="005A103C" w:rsidRDefault="005A103C">
            <w:pPr>
              <w:rPr>
                <w:rFonts w:ascii="Arial" w:hAnsi="Arial" w:cs="Arial"/>
                <w:b/>
                <w:sz w:val="20"/>
              </w:rPr>
            </w:pPr>
            <w:r w:rsidRPr="005A103C">
              <w:rPr>
                <w:rFonts w:ascii="Arial" w:hAnsi="Arial" w:cs="Arial"/>
                <w:b/>
                <w:sz w:val="20"/>
              </w:rPr>
              <w:t>Operational Parking</w:t>
            </w:r>
          </w:p>
        </w:tc>
      </w:tr>
      <w:tr w:rsidR="005A103C" w:rsidRPr="005A103C" w:rsidTr="005A103C">
        <w:trPr>
          <w:trHeight w:val="113"/>
        </w:trPr>
        <w:tc>
          <w:tcPr>
            <w:tcW w:w="425" w:type="dxa"/>
            <w:tcBorders>
              <w:top w:val="single" w:sz="4" w:space="0" w:color="auto"/>
              <w:bottom w:val="nil"/>
            </w:tcBorders>
          </w:tcPr>
          <w:p w:rsidR="005A103C" w:rsidRPr="005A103C" w:rsidRDefault="005A103C">
            <w:pPr>
              <w:rPr>
                <w:rFonts w:ascii="Arial" w:hAnsi="Arial" w:cs="Arial"/>
                <w:sz w:val="20"/>
              </w:rPr>
            </w:pPr>
            <w:r w:rsidRPr="005A103C">
              <w:rPr>
                <w:rFonts w:ascii="Arial" w:hAnsi="Arial" w:cs="Arial"/>
                <w:sz w:val="20"/>
              </w:rPr>
              <w:t>(i)</w:t>
            </w:r>
          </w:p>
        </w:tc>
        <w:tc>
          <w:tcPr>
            <w:tcW w:w="2488" w:type="dxa"/>
            <w:tcBorders>
              <w:top w:val="single" w:sz="4" w:space="0" w:color="auto"/>
              <w:bottom w:val="nil"/>
            </w:tcBorders>
          </w:tcPr>
          <w:p w:rsidR="005A103C" w:rsidRPr="005A103C" w:rsidRDefault="005A103C">
            <w:pPr>
              <w:rPr>
                <w:rFonts w:ascii="Arial" w:hAnsi="Arial" w:cs="Arial"/>
                <w:sz w:val="20"/>
              </w:rPr>
            </w:pPr>
            <w:r w:rsidRPr="005A103C">
              <w:rPr>
                <w:rFonts w:ascii="Arial" w:hAnsi="Arial" w:cs="Arial"/>
                <w:sz w:val="20"/>
              </w:rPr>
              <w:t>Residential use</w:t>
            </w:r>
          </w:p>
        </w:tc>
        <w:tc>
          <w:tcPr>
            <w:tcW w:w="1833" w:type="dxa"/>
            <w:tcBorders>
              <w:top w:val="single" w:sz="4" w:space="0" w:color="auto"/>
              <w:bottom w:val="nil"/>
            </w:tcBorders>
          </w:tcPr>
          <w:p w:rsidR="005A103C" w:rsidRPr="005A103C" w:rsidRDefault="005A103C">
            <w:pPr>
              <w:rPr>
                <w:rFonts w:ascii="Arial" w:hAnsi="Arial" w:cs="Arial"/>
                <w:sz w:val="20"/>
              </w:rPr>
            </w:pPr>
            <w:r w:rsidRPr="005A103C">
              <w:rPr>
                <w:rFonts w:ascii="Arial" w:hAnsi="Arial" w:cs="Arial"/>
                <w:sz w:val="20"/>
              </w:rPr>
              <w:t>On-site</w:t>
            </w:r>
          </w:p>
        </w:tc>
        <w:tc>
          <w:tcPr>
            <w:tcW w:w="1894" w:type="dxa"/>
            <w:tcBorders>
              <w:top w:val="single" w:sz="4" w:space="0" w:color="auto"/>
              <w:bottom w:val="nil"/>
            </w:tcBorders>
          </w:tcPr>
          <w:p w:rsidR="005A103C" w:rsidRPr="005A103C" w:rsidRDefault="005A103C">
            <w:pPr>
              <w:rPr>
                <w:rFonts w:ascii="Arial" w:hAnsi="Arial" w:cs="Arial"/>
                <w:sz w:val="20"/>
              </w:rPr>
            </w:pPr>
            <w:r w:rsidRPr="005A103C">
              <w:rPr>
                <w:rFonts w:ascii="Arial" w:hAnsi="Arial" w:cs="Arial"/>
                <w:sz w:val="20"/>
              </w:rPr>
              <w:t>On-site or within 100 metres</w:t>
            </w:r>
          </w:p>
        </w:tc>
        <w:tc>
          <w:tcPr>
            <w:tcW w:w="1829" w:type="dxa"/>
            <w:tcBorders>
              <w:top w:val="single" w:sz="4" w:space="0" w:color="auto"/>
              <w:bottom w:val="nil"/>
            </w:tcBorders>
          </w:tcPr>
          <w:p w:rsidR="005A103C" w:rsidRPr="005A103C" w:rsidRDefault="005A103C">
            <w:pPr>
              <w:rPr>
                <w:rFonts w:ascii="Arial" w:hAnsi="Arial" w:cs="Arial"/>
                <w:sz w:val="20"/>
              </w:rPr>
            </w:pPr>
            <w:r w:rsidRPr="005A103C">
              <w:rPr>
                <w:rFonts w:ascii="Arial" w:hAnsi="Arial" w:cs="Arial"/>
                <w:sz w:val="20"/>
              </w:rPr>
              <w:t>On-site</w:t>
            </w:r>
          </w:p>
        </w:tc>
      </w:tr>
      <w:tr w:rsidR="005A103C" w:rsidRPr="005A103C" w:rsidTr="005A103C">
        <w:trPr>
          <w:trHeight w:val="113"/>
        </w:trPr>
        <w:tc>
          <w:tcPr>
            <w:tcW w:w="425" w:type="dxa"/>
            <w:tcBorders>
              <w:top w:val="nil"/>
            </w:tcBorders>
          </w:tcPr>
          <w:p w:rsidR="005A103C" w:rsidRPr="005A103C" w:rsidRDefault="005A103C">
            <w:pPr>
              <w:rPr>
                <w:rFonts w:ascii="Arial" w:hAnsi="Arial" w:cs="Arial"/>
                <w:sz w:val="20"/>
              </w:rPr>
            </w:pPr>
            <w:r w:rsidRPr="005A103C">
              <w:rPr>
                <w:rFonts w:ascii="Arial" w:hAnsi="Arial" w:cs="Arial"/>
                <w:sz w:val="20"/>
              </w:rPr>
              <w:t>(ii)</w:t>
            </w:r>
          </w:p>
        </w:tc>
        <w:tc>
          <w:tcPr>
            <w:tcW w:w="2488" w:type="dxa"/>
            <w:tcBorders>
              <w:top w:val="nil"/>
            </w:tcBorders>
          </w:tcPr>
          <w:p w:rsidR="005A103C" w:rsidRPr="005A103C" w:rsidRDefault="005A103C">
            <w:pPr>
              <w:rPr>
                <w:rFonts w:ascii="Arial" w:hAnsi="Arial" w:cs="Arial"/>
                <w:sz w:val="20"/>
              </w:rPr>
            </w:pPr>
            <w:r w:rsidRPr="005A103C">
              <w:rPr>
                <w:rFonts w:ascii="Arial" w:hAnsi="Arial" w:cs="Arial"/>
                <w:sz w:val="20"/>
              </w:rPr>
              <w:t>Child care</w:t>
            </w:r>
          </w:p>
        </w:tc>
        <w:tc>
          <w:tcPr>
            <w:tcW w:w="1833" w:type="dxa"/>
            <w:tcBorders>
              <w:top w:val="nil"/>
            </w:tcBorders>
          </w:tcPr>
          <w:p w:rsidR="005A103C" w:rsidRPr="005A103C" w:rsidRDefault="005A103C">
            <w:pPr>
              <w:rPr>
                <w:rFonts w:ascii="Arial" w:hAnsi="Arial" w:cs="Arial"/>
                <w:sz w:val="20"/>
              </w:rPr>
            </w:pPr>
            <w:r w:rsidRPr="005A103C">
              <w:rPr>
                <w:rFonts w:ascii="Arial" w:hAnsi="Arial" w:cs="Arial"/>
                <w:sz w:val="20"/>
              </w:rPr>
              <w:t>On-site or adjacent</w:t>
            </w:r>
          </w:p>
        </w:tc>
        <w:tc>
          <w:tcPr>
            <w:tcW w:w="1894" w:type="dxa"/>
            <w:tcBorders>
              <w:top w:val="nil"/>
            </w:tcBorders>
          </w:tcPr>
          <w:p w:rsidR="005A103C" w:rsidRPr="005A103C" w:rsidRDefault="005A103C">
            <w:pPr>
              <w:rPr>
                <w:rFonts w:ascii="Arial" w:hAnsi="Arial" w:cs="Arial"/>
                <w:sz w:val="20"/>
              </w:rPr>
            </w:pPr>
            <w:r w:rsidRPr="005A103C">
              <w:rPr>
                <w:rFonts w:ascii="Arial" w:hAnsi="Arial" w:cs="Arial"/>
                <w:sz w:val="20"/>
              </w:rPr>
              <w:t>On-site or within 100 metres</w:t>
            </w:r>
          </w:p>
        </w:tc>
        <w:tc>
          <w:tcPr>
            <w:tcW w:w="1829" w:type="dxa"/>
            <w:tcBorders>
              <w:top w:val="nil"/>
            </w:tcBorders>
          </w:tcPr>
          <w:p w:rsidR="005A103C" w:rsidRPr="005A103C" w:rsidRDefault="005A103C">
            <w:pPr>
              <w:rPr>
                <w:rFonts w:ascii="Arial" w:hAnsi="Arial" w:cs="Arial"/>
                <w:sz w:val="20"/>
              </w:rPr>
            </w:pPr>
            <w:r w:rsidRPr="005A103C">
              <w:rPr>
                <w:rFonts w:ascii="Arial" w:hAnsi="Arial" w:cs="Arial"/>
                <w:sz w:val="20"/>
              </w:rPr>
              <w:t>On-site</w:t>
            </w:r>
          </w:p>
        </w:tc>
      </w:tr>
      <w:tr w:rsidR="005A103C" w:rsidRPr="005A103C" w:rsidTr="005A103C">
        <w:trPr>
          <w:trHeight w:val="113"/>
        </w:trPr>
        <w:tc>
          <w:tcPr>
            <w:tcW w:w="425" w:type="dxa"/>
          </w:tcPr>
          <w:p w:rsidR="005A103C" w:rsidRPr="005A103C" w:rsidRDefault="005A103C">
            <w:pPr>
              <w:rPr>
                <w:rFonts w:ascii="Arial" w:hAnsi="Arial" w:cs="Arial"/>
                <w:sz w:val="20"/>
              </w:rPr>
            </w:pPr>
            <w:r w:rsidRPr="005A103C">
              <w:rPr>
                <w:rFonts w:ascii="Arial" w:hAnsi="Arial" w:cs="Arial"/>
                <w:sz w:val="20"/>
              </w:rPr>
              <w:t>(iii)</w:t>
            </w:r>
          </w:p>
        </w:tc>
        <w:tc>
          <w:tcPr>
            <w:tcW w:w="2488" w:type="dxa"/>
          </w:tcPr>
          <w:p w:rsidR="005A103C" w:rsidRPr="005A103C" w:rsidRDefault="005A103C">
            <w:pPr>
              <w:rPr>
                <w:rFonts w:ascii="Arial" w:hAnsi="Arial" w:cs="Arial"/>
                <w:sz w:val="20"/>
              </w:rPr>
            </w:pPr>
            <w:r w:rsidRPr="005A103C">
              <w:rPr>
                <w:rFonts w:ascii="Arial" w:hAnsi="Arial" w:cs="Arial"/>
                <w:sz w:val="20"/>
              </w:rPr>
              <w:t>Residential care accommodation, special dwelling</w:t>
            </w:r>
          </w:p>
        </w:tc>
        <w:tc>
          <w:tcPr>
            <w:tcW w:w="1833" w:type="dxa"/>
          </w:tcPr>
          <w:p w:rsidR="005A103C" w:rsidRPr="005A103C" w:rsidRDefault="005A103C">
            <w:pPr>
              <w:rPr>
                <w:rFonts w:ascii="Arial" w:hAnsi="Arial" w:cs="Arial"/>
                <w:sz w:val="20"/>
              </w:rPr>
            </w:pPr>
            <w:r w:rsidRPr="005A103C">
              <w:rPr>
                <w:rFonts w:ascii="Arial" w:hAnsi="Arial" w:cs="Arial"/>
                <w:sz w:val="20"/>
              </w:rPr>
              <w:t>On-site</w:t>
            </w:r>
          </w:p>
        </w:tc>
        <w:tc>
          <w:tcPr>
            <w:tcW w:w="1894" w:type="dxa"/>
          </w:tcPr>
          <w:p w:rsidR="005A103C" w:rsidRPr="005A103C" w:rsidRDefault="005A103C">
            <w:pPr>
              <w:rPr>
                <w:rFonts w:ascii="Arial" w:hAnsi="Arial" w:cs="Arial"/>
                <w:sz w:val="20"/>
              </w:rPr>
            </w:pPr>
            <w:r w:rsidRPr="005A103C">
              <w:rPr>
                <w:rFonts w:ascii="Arial" w:hAnsi="Arial" w:cs="Arial"/>
                <w:sz w:val="20"/>
              </w:rPr>
              <w:t>On-site or within 100 metres</w:t>
            </w:r>
          </w:p>
        </w:tc>
        <w:tc>
          <w:tcPr>
            <w:tcW w:w="1829" w:type="dxa"/>
          </w:tcPr>
          <w:p w:rsidR="005A103C" w:rsidRPr="005A103C" w:rsidRDefault="005A103C">
            <w:pPr>
              <w:rPr>
                <w:rFonts w:ascii="Arial" w:hAnsi="Arial" w:cs="Arial"/>
                <w:sz w:val="20"/>
              </w:rPr>
            </w:pPr>
            <w:r w:rsidRPr="005A103C">
              <w:rPr>
                <w:rFonts w:ascii="Arial" w:hAnsi="Arial" w:cs="Arial"/>
                <w:sz w:val="20"/>
              </w:rPr>
              <w:t>On-site</w:t>
            </w:r>
          </w:p>
        </w:tc>
      </w:tr>
      <w:tr w:rsidR="005A103C" w:rsidRPr="005A103C" w:rsidTr="005A103C">
        <w:trPr>
          <w:trHeight w:val="113"/>
        </w:trPr>
        <w:tc>
          <w:tcPr>
            <w:tcW w:w="425" w:type="dxa"/>
            <w:tcBorders>
              <w:bottom w:val="single" w:sz="4" w:space="0" w:color="auto"/>
            </w:tcBorders>
          </w:tcPr>
          <w:p w:rsidR="005A103C" w:rsidRPr="005A103C" w:rsidRDefault="005A103C">
            <w:pPr>
              <w:rPr>
                <w:rFonts w:ascii="Arial" w:hAnsi="Arial" w:cs="Arial"/>
                <w:sz w:val="20"/>
              </w:rPr>
            </w:pPr>
            <w:r w:rsidRPr="005A103C">
              <w:rPr>
                <w:rFonts w:ascii="Arial" w:hAnsi="Arial" w:cs="Arial"/>
                <w:sz w:val="20"/>
              </w:rPr>
              <w:t>(iv)</w:t>
            </w:r>
          </w:p>
        </w:tc>
        <w:tc>
          <w:tcPr>
            <w:tcW w:w="2488" w:type="dxa"/>
            <w:tcBorders>
              <w:bottom w:val="single" w:sz="4" w:space="0" w:color="auto"/>
            </w:tcBorders>
          </w:tcPr>
          <w:p w:rsidR="005A103C" w:rsidRPr="005A103C" w:rsidRDefault="005A103C">
            <w:pPr>
              <w:rPr>
                <w:rFonts w:ascii="Arial" w:hAnsi="Arial" w:cs="Arial"/>
                <w:sz w:val="20"/>
              </w:rPr>
            </w:pPr>
            <w:r w:rsidRPr="005A103C">
              <w:rPr>
                <w:rFonts w:ascii="Arial" w:hAnsi="Arial" w:cs="Arial"/>
                <w:sz w:val="20"/>
              </w:rPr>
              <w:t>All other uses excluding those listed in (i), (ii) and (iii) above</w:t>
            </w:r>
          </w:p>
        </w:tc>
        <w:tc>
          <w:tcPr>
            <w:tcW w:w="1833" w:type="dxa"/>
            <w:tcBorders>
              <w:bottom w:val="single" w:sz="4" w:space="0" w:color="auto"/>
            </w:tcBorders>
          </w:tcPr>
          <w:p w:rsidR="005A103C" w:rsidRPr="005A103C" w:rsidRDefault="005A103C">
            <w:pPr>
              <w:rPr>
                <w:rFonts w:ascii="Arial" w:hAnsi="Arial" w:cs="Arial"/>
                <w:sz w:val="20"/>
              </w:rPr>
            </w:pPr>
            <w:r w:rsidRPr="005A103C">
              <w:rPr>
                <w:rFonts w:ascii="Arial" w:hAnsi="Arial" w:cs="Arial"/>
                <w:sz w:val="20"/>
              </w:rPr>
              <w:t>On-site or within 200 metres</w:t>
            </w:r>
          </w:p>
        </w:tc>
        <w:tc>
          <w:tcPr>
            <w:tcW w:w="1894" w:type="dxa"/>
            <w:tcBorders>
              <w:bottom w:val="single" w:sz="4" w:space="0" w:color="auto"/>
            </w:tcBorders>
          </w:tcPr>
          <w:p w:rsidR="005A103C" w:rsidRPr="005A103C" w:rsidRDefault="005A103C">
            <w:pPr>
              <w:rPr>
                <w:rFonts w:ascii="Arial" w:hAnsi="Arial" w:cs="Arial"/>
                <w:sz w:val="20"/>
              </w:rPr>
            </w:pPr>
            <w:r w:rsidRPr="005A103C">
              <w:rPr>
                <w:rFonts w:ascii="Arial" w:hAnsi="Arial" w:cs="Arial"/>
                <w:sz w:val="20"/>
              </w:rPr>
              <w:t>On-site or within 100 metres</w:t>
            </w:r>
          </w:p>
        </w:tc>
        <w:tc>
          <w:tcPr>
            <w:tcW w:w="1829" w:type="dxa"/>
            <w:tcBorders>
              <w:bottom w:val="single" w:sz="4" w:space="0" w:color="auto"/>
            </w:tcBorders>
          </w:tcPr>
          <w:p w:rsidR="005A103C" w:rsidRPr="005A103C" w:rsidRDefault="005A103C">
            <w:pPr>
              <w:rPr>
                <w:rFonts w:ascii="Arial" w:hAnsi="Arial" w:cs="Arial"/>
                <w:sz w:val="20"/>
              </w:rPr>
            </w:pPr>
            <w:r w:rsidRPr="005A103C">
              <w:rPr>
                <w:rFonts w:ascii="Arial" w:hAnsi="Arial" w:cs="Arial"/>
                <w:sz w:val="20"/>
              </w:rPr>
              <w:t>On-site</w:t>
            </w:r>
          </w:p>
        </w:tc>
      </w:tr>
    </w:tbl>
    <w:p w:rsidR="005A103C" w:rsidRDefault="005A103C">
      <w:pPr>
        <w:rPr>
          <w:rFonts w:ascii="Arial" w:hAnsi="Arial" w:cs="Arial"/>
          <w:i/>
        </w:rPr>
      </w:pPr>
    </w:p>
    <w:p w:rsidR="005A103C" w:rsidRDefault="005A103C">
      <w:pPr>
        <w:pStyle w:val="TAeditorialitemgeneralheading"/>
      </w:pPr>
      <w:r>
        <w:t>3. Parking and Vehicular Access, 3.2.2 Parking provision rates, Special condition for city centre CZ3 zone</w:t>
      </w:r>
    </w:p>
    <w:p w:rsidR="005A103C" w:rsidRDefault="005A103C">
      <w:pPr>
        <w:pStyle w:val="TAeditorialinstructions"/>
        <w:rPr>
          <w:rFonts w:cs="Arial"/>
          <w:i w:val="0"/>
          <w:iCs w:val="0"/>
        </w:rPr>
      </w:pPr>
    </w:p>
    <w:p w:rsidR="005A103C" w:rsidRDefault="005A103C">
      <w:pPr>
        <w:ind w:left="720"/>
        <w:rPr>
          <w:rFonts w:ascii="Arial" w:hAnsi="Arial" w:cs="Arial"/>
          <w:i/>
        </w:rPr>
      </w:pPr>
      <w:r>
        <w:rPr>
          <w:rFonts w:ascii="Arial" w:hAnsi="Arial" w:cs="Arial"/>
          <w:i/>
        </w:rPr>
        <w:t>Substitute the first paragraph with:</w:t>
      </w:r>
    </w:p>
    <w:p w:rsidR="005A103C" w:rsidRDefault="005A103C">
      <w:pPr>
        <w:ind w:left="720"/>
        <w:rPr>
          <w:rFonts w:ascii="Arial" w:hAnsi="Arial" w:cs="Arial"/>
          <w:i/>
        </w:rPr>
      </w:pPr>
    </w:p>
    <w:p w:rsidR="005A103C" w:rsidRDefault="005A103C">
      <w:pPr>
        <w:ind w:left="1276"/>
        <w:rPr>
          <w:rFonts w:ascii="Arial" w:hAnsi="Arial" w:cs="Arial"/>
          <w:sz w:val="20"/>
        </w:rPr>
      </w:pPr>
      <w:r>
        <w:rPr>
          <w:rFonts w:ascii="Arial" w:hAnsi="Arial" w:cs="Arial"/>
        </w:rPr>
        <w:t>“</w:t>
      </w:r>
      <w:r>
        <w:rPr>
          <w:rFonts w:ascii="Arial" w:hAnsi="Arial" w:cs="Arial"/>
          <w:sz w:val="20"/>
        </w:rPr>
        <w:t>For mixed use developments of greater than 1000m</w:t>
      </w:r>
      <w:r>
        <w:rPr>
          <w:rFonts w:ascii="Arial" w:hAnsi="Arial" w:cs="Arial"/>
          <w:sz w:val="20"/>
          <w:vertAlign w:val="superscript"/>
        </w:rPr>
        <w:t>2</w:t>
      </w:r>
      <w:r>
        <w:rPr>
          <w:rFonts w:ascii="Arial" w:hAnsi="Arial" w:cs="Arial"/>
          <w:sz w:val="20"/>
        </w:rPr>
        <w:t xml:space="preserve"> GFA where the lease permits a mixture of two or more of the following land uses and two or more of the following are to be developed on the site, the maximum rate applicable shall be 3 spaces per 100m</w:t>
      </w:r>
      <w:r>
        <w:rPr>
          <w:rFonts w:ascii="Arial" w:hAnsi="Arial" w:cs="Arial"/>
          <w:sz w:val="20"/>
          <w:vertAlign w:val="superscript"/>
        </w:rPr>
        <w:t>2</w:t>
      </w:r>
      <w:r>
        <w:rPr>
          <w:rFonts w:ascii="Arial" w:hAnsi="Arial" w:cs="Arial"/>
          <w:sz w:val="20"/>
        </w:rPr>
        <w:t xml:space="preserve"> GFA:</w:t>
      </w:r>
    </w:p>
    <w:p w:rsidR="005A103C" w:rsidRDefault="005A103C">
      <w:pPr>
        <w:pStyle w:val="TAeditorialinsertedtext"/>
        <w:spacing w:line="264" w:lineRule="auto"/>
        <w:ind w:left="360" w:firstLine="720"/>
      </w:pPr>
      <w:r>
        <w:br w:type="page"/>
      </w:r>
    </w:p>
    <w:p w:rsidR="005A103C" w:rsidRDefault="005A103C">
      <w:pPr>
        <w:pStyle w:val="TAinterpretationservicetitle"/>
        <w:rPr>
          <w:rFonts w:ascii="Arial" w:hAnsi="Arial" w:cs="Arial"/>
        </w:rPr>
      </w:pPr>
      <w:r>
        <w:rPr>
          <w:rFonts w:ascii="Arial" w:hAnsi="Arial" w:cs="Arial"/>
        </w:rPr>
        <w:t>Interpretation service</w:t>
      </w:r>
    </w:p>
    <w:p w:rsidR="005A103C" w:rsidRDefault="00BE68FA">
      <w:pPr>
        <w:pStyle w:val="BodyText"/>
      </w:pPr>
      <w:r>
        <w:pict>
          <v:shape id="_x0000_i1027" type="#_x0000_t75" style="width:423pt;height:279pt" o:bordertopcolor="this" o:borderleftcolor="this" o:borderbottomcolor="this" o:borderrightcolor="this" fillcolor="window">
            <v:imagedata r:id="rId17" o:title=""/>
          </v:shape>
        </w:pict>
      </w:r>
    </w:p>
    <w:p w:rsidR="005A103C" w:rsidRDefault="005A103C">
      <w:pPr>
        <w:pStyle w:val="BodyText"/>
        <w:rPr>
          <w:rFonts w:ascii="Arial" w:hAnsi="Arial" w:cs="Arial"/>
          <w:b/>
        </w:rPr>
      </w:pPr>
    </w:p>
    <w:sectPr w:rsidR="005A103C" w:rsidSect="0059504C">
      <w:headerReference w:type="default" r:id="rId18"/>
      <w:footerReference w:type="default" r:id="rId19"/>
      <w:pgSz w:w="11906" w:h="16838"/>
      <w:pgMar w:top="1440" w:right="1418" w:bottom="1440" w:left="1418" w:header="709" w:footer="58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03C" w:rsidRDefault="005A103C">
      <w:r>
        <w:separator/>
      </w:r>
    </w:p>
  </w:endnote>
  <w:endnote w:type="continuationSeparator" w:id="0">
    <w:p w:rsidR="005A103C" w:rsidRDefault="005A1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4C0" w:rsidRDefault="00FF44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04C" w:rsidRDefault="0059504C" w:rsidP="0059504C">
    <w:pPr>
      <w:pStyle w:val="Footer"/>
      <w:rPr>
        <w:rFonts w:ascii="Arial" w:hAnsi="Arial" w:cs="Arial"/>
        <w:sz w:val="18"/>
        <w:szCs w:val="18"/>
      </w:rPr>
    </w:pPr>
    <w:r>
      <w:rPr>
        <w:rFonts w:ascii="Arial" w:hAnsi="Arial" w:cs="Arial"/>
        <w:sz w:val="18"/>
        <w:szCs w:val="18"/>
      </w:rPr>
      <w:t>*Name amended under Legislation Act, s 60</w:t>
    </w:r>
  </w:p>
  <w:p w:rsidR="0059504C" w:rsidRPr="00FF44C0" w:rsidRDefault="00FF44C0" w:rsidP="00FF44C0">
    <w:pPr>
      <w:pStyle w:val="Footer"/>
      <w:jc w:val="center"/>
      <w:rPr>
        <w:rFonts w:ascii="Arial" w:hAnsi="Arial" w:cs="Arial"/>
        <w:sz w:val="14"/>
      </w:rPr>
    </w:pPr>
    <w:r w:rsidRPr="00FF44C0">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4C0" w:rsidRDefault="00FF44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03C" w:rsidRDefault="005A103C">
    <w:pPr>
      <w:pStyle w:val="TAACTPLAlogo"/>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0.5pt;height:72.75pt" o:ole="" o:bordertopcolor="this" o:borderleftcolor="this" o:borderbottomcolor="this" o:borderrightcolor="this">
          <v:imagedata r:id="rId1" o:title="" croptop="5139f" cropleft="5549f"/>
        </v:shape>
        <o:OLEObject Type="Embed" ProgID="Imaging.Document" ShapeID="_x0000_i1026" DrawAspect="Content" ObjectID="_1598249212" r:id="rId2"/>
      </w:object>
    </w:r>
  </w:p>
  <w:p w:rsidR="0059504C" w:rsidRPr="00FF44C0" w:rsidRDefault="00FF44C0" w:rsidP="00FF44C0">
    <w:pPr>
      <w:pStyle w:val="TAACTPLAlogo"/>
      <w:rPr>
        <w:rFonts w:cs="Arial"/>
        <w:sz w:val="14"/>
        <w:szCs w:val="14"/>
      </w:rPr>
    </w:pPr>
    <w:r w:rsidRPr="00FF44C0">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03C" w:rsidRPr="00FF44C0" w:rsidRDefault="00FF44C0" w:rsidP="00FF44C0">
    <w:pPr>
      <w:pStyle w:val="TAfooter"/>
      <w:rPr>
        <w:sz w:val="14"/>
      </w:rPr>
    </w:pPr>
    <w:r w:rsidRPr="00FF44C0">
      <w:rPr>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03C" w:rsidRDefault="005A103C">
    <w:pPr>
      <w:pStyle w:val="TAfooter"/>
    </w:pPr>
    <w:r>
      <w:t>TA2011-04 Commencement version</w:t>
    </w:r>
  </w:p>
  <w:p w:rsidR="005A103C" w:rsidRDefault="005A103C">
    <w:pPr>
      <w:pStyle w:val="TApagenumber"/>
      <w:rPr>
        <w:rStyle w:val="PageNumber"/>
        <w:rFonts w:cs="Arial"/>
      </w:rPr>
    </w:pPr>
    <w:r>
      <w:t xml:space="preserve">Page </w:t>
    </w:r>
    <w:r>
      <w:fldChar w:fldCharType="begin"/>
    </w:r>
    <w:r>
      <w:instrText xml:space="preserve"> PAGE </w:instrText>
    </w:r>
    <w:r>
      <w:fldChar w:fldCharType="separate"/>
    </w:r>
    <w:r w:rsidR="00FF44C0">
      <w:rPr>
        <w:noProof/>
      </w:rPr>
      <w:t>2</w:t>
    </w:r>
    <w:r>
      <w:fldChar w:fldCharType="end"/>
    </w:r>
    <w:r>
      <w:t xml:space="preserve"> of </w:t>
    </w:r>
    <w:r>
      <w:rPr>
        <w:rStyle w:val="PageNumber"/>
        <w:rFonts w:cs="Arial"/>
      </w:rPr>
      <w:t>10</w:t>
    </w:r>
  </w:p>
  <w:p w:rsidR="0059504C" w:rsidRPr="00FF44C0" w:rsidRDefault="00FF44C0" w:rsidP="00FF44C0">
    <w:pPr>
      <w:pStyle w:val="TApagenumber"/>
      <w:rPr>
        <w:sz w:val="14"/>
        <w:szCs w:val="14"/>
      </w:rPr>
    </w:pPr>
    <w:r w:rsidRPr="00FF44C0">
      <w:rPr>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03C" w:rsidRDefault="005A103C">
      <w:r>
        <w:separator/>
      </w:r>
    </w:p>
  </w:footnote>
  <w:footnote w:type="continuationSeparator" w:id="0">
    <w:p w:rsidR="005A103C" w:rsidRDefault="005A10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4C0" w:rsidRDefault="00FF44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4C0" w:rsidRDefault="00FF44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4C0" w:rsidRDefault="00FF44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03C" w:rsidRDefault="005A103C">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ED7"/>
    <w:multiLevelType w:val="hybridMultilevel"/>
    <w:tmpl w:val="CDE668D4"/>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1" w15:restartNumberingAfterBreak="0">
    <w:nsid w:val="01111772"/>
    <w:multiLevelType w:val="hybridMultilevel"/>
    <w:tmpl w:val="2590890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35B43"/>
    <w:multiLevelType w:val="hybridMultilevel"/>
    <w:tmpl w:val="CEE84554"/>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3" w15:restartNumberingAfterBreak="0">
    <w:nsid w:val="06B041BB"/>
    <w:multiLevelType w:val="hybridMultilevel"/>
    <w:tmpl w:val="E95E7378"/>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4" w15:restartNumberingAfterBreak="0">
    <w:nsid w:val="0768561D"/>
    <w:multiLevelType w:val="multilevel"/>
    <w:tmpl w:val="CA8CEAE4"/>
    <w:lvl w:ilvl="0">
      <w:start w:val="1"/>
      <w:numFmt w:val="bullet"/>
      <w:lvlText w:val=""/>
      <w:lvlJc w:val="left"/>
      <w:pPr>
        <w:tabs>
          <w:tab w:val="num" w:pos="900"/>
        </w:tabs>
        <w:ind w:left="900" w:hanging="360"/>
      </w:pPr>
      <w:rPr>
        <w:rFonts w:ascii="Symbol" w:hAnsi="Symbol" w:hint="default"/>
        <w:sz w:val="20"/>
      </w:rPr>
    </w:lvl>
    <w:lvl w:ilvl="1">
      <w:start w:val="1"/>
      <w:numFmt w:val="lowerLetter"/>
      <w:lvlText w:val="%2)"/>
      <w:lvlJc w:val="left"/>
      <w:pPr>
        <w:tabs>
          <w:tab w:val="num" w:pos="397"/>
        </w:tabs>
        <w:ind w:left="397" w:hanging="397"/>
      </w:pPr>
      <w:rPr>
        <w:rFonts w:cs="Times New Roman"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5" w15:restartNumberingAfterBreak="0">
    <w:nsid w:val="0AEB7A52"/>
    <w:multiLevelType w:val="hybridMultilevel"/>
    <w:tmpl w:val="873216A0"/>
    <w:lvl w:ilvl="0" w:tplc="FFFFFFFF">
      <w:start w:val="1"/>
      <w:numFmt w:val="decimal"/>
      <w:pStyle w:val="TAeditorialitemgeneralheading"/>
      <w:lvlText w:val="%1."/>
      <w:lvlJc w:val="left"/>
      <w:pPr>
        <w:tabs>
          <w:tab w:val="num" w:pos="720"/>
        </w:tabs>
        <w:ind w:left="720" w:hanging="360"/>
      </w:pPr>
      <w:rPr>
        <w:rFonts w:cs="Times New Roman"/>
      </w:rPr>
    </w:lvl>
    <w:lvl w:ilvl="1" w:tplc="93966CE2">
      <w:start w:val="1"/>
      <w:numFmt w:val="lowerLetter"/>
      <w:lvlText w:val="%2)"/>
      <w:lvlJc w:val="left"/>
      <w:pPr>
        <w:tabs>
          <w:tab w:val="num" w:pos="1070"/>
        </w:tabs>
        <w:ind w:left="1070" w:hanging="360"/>
      </w:pPr>
      <w:rPr>
        <w:rFonts w:cs="Times New Roman" w:hint="default"/>
      </w:rPr>
    </w:lvl>
    <w:lvl w:ilvl="2" w:tplc="3CFC09C2">
      <w:start w:val="1"/>
      <w:numFmt w:val="lowerLetter"/>
      <w:lvlText w:val="%3)"/>
      <w:lvlJc w:val="left"/>
      <w:pPr>
        <w:tabs>
          <w:tab w:val="num" w:pos="2340"/>
        </w:tabs>
        <w:ind w:left="2340" w:hanging="360"/>
      </w:pPr>
      <w:rPr>
        <w:rFonts w:ascii="Arial" w:hAnsi="Arial" w:cs="Times New Roman" w:hint="default"/>
        <w:b w:val="0"/>
        <w:i w:val="0"/>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0C1B1363"/>
    <w:multiLevelType w:val="hybridMultilevel"/>
    <w:tmpl w:val="E42295E0"/>
    <w:lvl w:ilvl="0" w:tplc="FFFFFFFF">
      <w:start w:val="1"/>
      <w:numFmt w:val="lowerRoman"/>
      <w:lvlText w:val="(%1)"/>
      <w:lvlJc w:val="left"/>
      <w:pPr>
        <w:tabs>
          <w:tab w:val="num" w:pos="2061"/>
        </w:tabs>
        <w:ind w:left="2061"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0C9318DD"/>
    <w:multiLevelType w:val="hybridMultilevel"/>
    <w:tmpl w:val="3B12A7CC"/>
    <w:lvl w:ilvl="0" w:tplc="BB5EBB90">
      <w:start w:val="1"/>
      <w:numFmt w:val="lowerLetter"/>
      <w:lvlText w:val="%1)"/>
      <w:lvlJc w:val="left"/>
      <w:pPr>
        <w:tabs>
          <w:tab w:val="num" w:pos="420"/>
        </w:tabs>
        <w:ind w:left="420" w:hanging="360"/>
      </w:pPr>
      <w:rPr>
        <w:rFonts w:cs="Times New Roman" w:hint="default"/>
      </w:rPr>
    </w:lvl>
    <w:lvl w:ilvl="1" w:tplc="0C090019" w:tentative="1">
      <w:start w:val="1"/>
      <w:numFmt w:val="lowerLetter"/>
      <w:lvlText w:val="%2."/>
      <w:lvlJc w:val="left"/>
      <w:pPr>
        <w:tabs>
          <w:tab w:val="num" w:pos="1500"/>
        </w:tabs>
        <w:ind w:left="1500" w:hanging="360"/>
      </w:pPr>
      <w:rPr>
        <w:rFonts w:cs="Times New Roman"/>
      </w:rPr>
    </w:lvl>
    <w:lvl w:ilvl="2" w:tplc="0C09001B" w:tentative="1">
      <w:start w:val="1"/>
      <w:numFmt w:val="lowerRoman"/>
      <w:lvlText w:val="%3."/>
      <w:lvlJc w:val="right"/>
      <w:pPr>
        <w:tabs>
          <w:tab w:val="num" w:pos="2220"/>
        </w:tabs>
        <w:ind w:left="2220" w:hanging="180"/>
      </w:pPr>
      <w:rPr>
        <w:rFonts w:cs="Times New Roman"/>
      </w:rPr>
    </w:lvl>
    <w:lvl w:ilvl="3" w:tplc="0C09000F" w:tentative="1">
      <w:start w:val="1"/>
      <w:numFmt w:val="decimal"/>
      <w:lvlText w:val="%4."/>
      <w:lvlJc w:val="left"/>
      <w:pPr>
        <w:tabs>
          <w:tab w:val="num" w:pos="2940"/>
        </w:tabs>
        <w:ind w:left="2940" w:hanging="360"/>
      </w:pPr>
      <w:rPr>
        <w:rFonts w:cs="Times New Roman"/>
      </w:rPr>
    </w:lvl>
    <w:lvl w:ilvl="4" w:tplc="0C090019" w:tentative="1">
      <w:start w:val="1"/>
      <w:numFmt w:val="lowerLetter"/>
      <w:lvlText w:val="%5."/>
      <w:lvlJc w:val="left"/>
      <w:pPr>
        <w:tabs>
          <w:tab w:val="num" w:pos="3660"/>
        </w:tabs>
        <w:ind w:left="3660" w:hanging="360"/>
      </w:pPr>
      <w:rPr>
        <w:rFonts w:cs="Times New Roman"/>
      </w:rPr>
    </w:lvl>
    <w:lvl w:ilvl="5" w:tplc="0C09001B" w:tentative="1">
      <w:start w:val="1"/>
      <w:numFmt w:val="lowerRoman"/>
      <w:lvlText w:val="%6."/>
      <w:lvlJc w:val="right"/>
      <w:pPr>
        <w:tabs>
          <w:tab w:val="num" w:pos="4380"/>
        </w:tabs>
        <w:ind w:left="4380" w:hanging="180"/>
      </w:pPr>
      <w:rPr>
        <w:rFonts w:cs="Times New Roman"/>
      </w:rPr>
    </w:lvl>
    <w:lvl w:ilvl="6" w:tplc="0C09000F" w:tentative="1">
      <w:start w:val="1"/>
      <w:numFmt w:val="decimal"/>
      <w:lvlText w:val="%7."/>
      <w:lvlJc w:val="left"/>
      <w:pPr>
        <w:tabs>
          <w:tab w:val="num" w:pos="5100"/>
        </w:tabs>
        <w:ind w:left="5100" w:hanging="360"/>
      </w:pPr>
      <w:rPr>
        <w:rFonts w:cs="Times New Roman"/>
      </w:rPr>
    </w:lvl>
    <w:lvl w:ilvl="7" w:tplc="0C090019" w:tentative="1">
      <w:start w:val="1"/>
      <w:numFmt w:val="lowerLetter"/>
      <w:lvlText w:val="%8."/>
      <w:lvlJc w:val="left"/>
      <w:pPr>
        <w:tabs>
          <w:tab w:val="num" w:pos="5820"/>
        </w:tabs>
        <w:ind w:left="5820" w:hanging="360"/>
      </w:pPr>
      <w:rPr>
        <w:rFonts w:cs="Times New Roman"/>
      </w:rPr>
    </w:lvl>
    <w:lvl w:ilvl="8" w:tplc="0C09001B" w:tentative="1">
      <w:start w:val="1"/>
      <w:numFmt w:val="lowerRoman"/>
      <w:lvlText w:val="%9."/>
      <w:lvlJc w:val="right"/>
      <w:pPr>
        <w:tabs>
          <w:tab w:val="num" w:pos="6540"/>
        </w:tabs>
        <w:ind w:left="6540" w:hanging="180"/>
      </w:pPr>
      <w:rPr>
        <w:rFonts w:cs="Times New Roman"/>
      </w:rPr>
    </w:lvl>
  </w:abstractNum>
  <w:abstractNum w:abstractNumId="8" w15:restartNumberingAfterBreak="0">
    <w:nsid w:val="118F4BB7"/>
    <w:multiLevelType w:val="hybridMultilevel"/>
    <w:tmpl w:val="03B48A74"/>
    <w:lvl w:ilvl="0" w:tplc="4D0668CC">
      <w:start w:val="1"/>
      <w:numFmt w:val="lowerLetter"/>
      <w:lvlText w:val="%1)"/>
      <w:lvlJc w:val="left"/>
      <w:pPr>
        <w:tabs>
          <w:tab w:val="num" w:pos="737"/>
        </w:tabs>
        <w:ind w:left="737" w:hanging="397"/>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9" w15:restartNumberingAfterBreak="0">
    <w:nsid w:val="11D126DF"/>
    <w:multiLevelType w:val="hybridMultilevel"/>
    <w:tmpl w:val="EBDE2C7A"/>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10" w15:restartNumberingAfterBreak="0">
    <w:nsid w:val="128529E2"/>
    <w:multiLevelType w:val="hybridMultilevel"/>
    <w:tmpl w:val="00C256D8"/>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726789"/>
    <w:multiLevelType w:val="hybridMultilevel"/>
    <w:tmpl w:val="EB467B88"/>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17C8AED4">
      <w:start w:val="1"/>
      <w:numFmt w:val="bullet"/>
      <w:lvlText w:val=""/>
      <w:lvlJc w:val="left"/>
      <w:pPr>
        <w:tabs>
          <w:tab w:val="num" w:pos="825"/>
        </w:tabs>
        <w:ind w:left="825" w:hanging="454"/>
      </w:pPr>
      <w:rPr>
        <w:rFonts w:ascii="Wingdings" w:hAnsi="Wingdings" w:hint="default"/>
        <w:b w:val="0"/>
        <w:i w:val="0"/>
      </w:rPr>
    </w:lvl>
    <w:lvl w:ilvl="2" w:tplc="54AE027E">
      <w:start w:val="1"/>
      <w:numFmt w:val="bullet"/>
      <w:lvlText w:val=""/>
      <w:lvlJc w:val="left"/>
      <w:pPr>
        <w:tabs>
          <w:tab w:val="num" w:pos="1701"/>
        </w:tabs>
        <w:ind w:left="1701" w:hanging="430"/>
      </w:pPr>
      <w:rPr>
        <w:rFonts w:ascii="Wingdings" w:hAnsi="Wingdings" w:hint="default"/>
        <w:b w:val="0"/>
        <w:i w:val="0"/>
      </w:rPr>
    </w:lvl>
    <w:lvl w:ilvl="3" w:tplc="0C09000F">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12" w15:restartNumberingAfterBreak="0">
    <w:nsid w:val="18826AD9"/>
    <w:multiLevelType w:val="hybridMultilevel"/>
    <w:tmpl w:val="9A58B6D8"/>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13" w15:restartNumberingAfterBreak="0">
    <w:nsid w:val="1DBD1950"/>
    <w:multiLevelType w:val="hybridMultilevel"/>
    <w:tmpl w:val="A1388C60"/>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14" w15:restartNumberingAfterBreak="0">
    <w:nsid w:val="1F5130ED"/>
    <w:multiLevelType w:val="hybridMultilevel"/>
    <w:tmpl w:val="6DF86502"/>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15" w15:restartNumberingAfterBreak="0">
    <w:nsid w:val="23A81188"/>
    <w:multiLevelType w:val="hybridMultilevel"/>
    <w:tmpl w:val="510CD114"/>
    <w:lvl w:ilvl="0" w:tplc="FFFFFFFF">
      <w:start w:val="1"/>
      <w:numFmt w:val="upperLetter"/>
      <w:pStyle w:val="TAexplanatorystatementsubheading"/>
      <w:lvlText w:val="%1."/>
      <w:lvlJc w:val="left"/>
      <w:pPr>
        <w:tabs>
          <w:tab w:val="num" w:pos="360"/>
        </w:tabs>
        <w:ind w:left="720" w:hanging="720"/>
      </w:pPr>
      <w:rPr>
        <w:rFonts w:cs="Times New Roman" w:hint="default"/>
      </w:rPr>
    </w:lvl>
    <w:lvl w:ilvl="1" w:tplc="80BC0CDC">
      <w:start w:val="16"/>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28870C35"/>
    <w:multiLevelType w:val="hybridMultilevel"/>
    <w:tmpl w:val="D9FAE3E8"/>
    <w:lvl w:ilvl="0" w:tplc="BB5EBB90">
      <w:start w:val="1"/>
      <w:numFmt w:val="lowerLetter"/>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2DE85014"/>
    <w:multiLevelType w:val="hybridMultilevel"/>
    <w:tmpl w:val="C4D82976"/>
    <w:lvl w:ilvl="0" w:tplc="052E2AA8">
      <w:start w:val="2"/>
      <w:numFmt w:val="bullet"/>
      <w:lvlText w:val="-"/>
      <w:lvlJc w:val="left"/>
      <w:pPr>
        <w:tabs>
          <w:tab w:val="num" w:pos="1440"/>
        </w:tabs>
        <w:ind w:left="1440" w:hanging="360"/>
      </w:pPr>
      <w:rPr>
        <w:rFonts w:ascii="Comic Sans MS" w:eastAsia="Times New Roman" w:hAnsi="Comic Sans MS"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 w15:restartNumberingAfterBreak="0">
    <w:nsid w:val="32411C08"/>
    <w:multiLevelType w:val="hybridMultilevel"/>
    <w:tmpl w:val="DD884CFA"/>
    <w:lvl w:ilvl="0" w:tplc="69B6F052">
      <w:start w:val="1"/>
      <w:numFmt w:val="lowerLetter"/>
      <w:lvlText w:val="%1)"/>
      <w:lvlJc w:val="left"/>
      <w:pPr>
        <w:tabs>
          <w:tab w:val="num" w:pos="1080"/>
        </w:tabs>
        <w:ind w:left="1080" w:hanging="360"/>
      </w:pPr>
      <w:rPr>
        <w:rFonts w:ascii="Arial" w:hAnsi="Arial" w:cs="Times New Roman" w:hint="default"/>
        <w:b w:val="0"/>
        <w:i w:val="0"/>
        <w:sz w:val="24"/>
        <w:szCs w:val="24"/>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20" w15:restartNumberingAfterBreak="0">
    <w:nsid w:val="327030A9"/>
    <w:multiLevelType w:val="hybridMultilevel"/>
    <w:tmpl w:val="E29C326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F14045"/>
    <w:multiLevelType w:val="hybridMultilevel"/>
    <w:tmpl w:val="2DF42E2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150B8A"/>
    <w:multiLevelType w:val="hybridMultilevel"/>
    <w:tmpl w:val="7392408A"/>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4090001">
      <w:start w:val="1"/>
      <w:numFmt w:val="bullet"/>
      <w:lvlText w:val=""/>
      <w:lvlJc w:val="left"/>
      <w:pPr>
        <w:tabs>
          <w:tab w:val="num" w:pos="731"/>
        </w:tabs>
        <w:ind w:left="731" w:hanging="360"/>
      </w:pPr>
      <w:rPr>
        <w:rFonts w:ascii="Symbol" w:hAnsi="Symbol" w:hint="default"/>
        <w:b w:val="0"/>
        <w:i w:val="0"/>
      </w:rPr>
    </w:lvl>
    <w:lvl w:ilvl="2" w:tplc="89FAA1BC">
      <w:start w:val="1"/>
      <w:numFmt w:val="bullet"/>
      <w:lvlText w:val=""/>
      <w:lvlJc w:val="left"/>
      <w:pPr>
        <w:tabs>
          <w:tab w:val="num" w:pos="1701"/>
        </w:tabs>
        <w:ind w:left="1701" w:hanging="430"/>
      </w:pPr>
      <w:rPr>
        <w:rFonts w:ascii="Wingdings" w:hAnsi="Wingdings" w:hint="default"/>
        <w:b w:val="0"/>
        <w:i w:val="0"/>
      </w:rPr>
    </w:lvl>
    <w:lvl w:ilvl="3" w:tplc="04090001">
      <w:start w:val="1"/>
      <w:numFmt w:val="bullet"/>
      <w:lvlText w:val=""/>
      <w:lvlJc w:val="left"/>
      <w:pPr>
        <w:tabs>
          <w:tab w:val="num" w:pos="2171"/>
        </w:tabs>
        <w:ind w:left="2171" w:hanging="360"/>
      </w:pPr>
      <w:rPr>
        <w:rFonts w:ascii="Symbol" w:hAnsi="Symbol" w:hint="default"/>
        <w:b w:val="0"/>
        <w:i w:val="0"/>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23" w15:restartNumberingAfterBreak="0">
    <w:nsid w:val="3AE34642"/>
    <w:multiLevelType w:val="hybridMultilevel"/>
    <w:tmpl w:val="F03AA5AE"/>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24" w15:restartNumberingAfterBreak="0">
    <w:nsid w:val="3F654552"/>
    <w:multiLevelType w:val="hybridMultilevel"/>
    <w:tmpl w:val="575AAB6E"/>
    <w:lvl w:ilvl="0" w:tplc="3CFC09C2">
      <w:start w:val="1"/>
      <w:numFmt w:val="lowerLetter"/>
      <w:lvlText w:val="%1)"/>
      <w:lvlJc w:val="left"/>
      <w:pPr>
        <w:tabs>
          <w:tab w:val="num" w:pos="1789"/>
        </w:tabs>
        <w:ind w:left="1789" w:hanging="360"/>
      </w:pPr>
      <w:rPr>
        <w:rFonts w:ascii="Arial" w:hAnsi="Arial" w:cs="Times New Roman" w:hint="default"/>
        <w:b w:val="0"/>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4D903AB"/>
    <w:multiLevelType w:val="hybridMultilevel"/>
    <w:tmpl w:val="C36EDA98"/>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26" w15:restartNumberingAfterBreak="0">
    <w:nsid w:val="44F06D9D"/>
    <w:multiLevelType w:val="hybridMultilevel"/>
    <w:tmpl w:val="EE72215E"/>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27" w15:restartNumberingAfterBreak="0">
    <w:nsid w:val="4C521939"/>
    <w:multiLevelType w:val="hybridMultilevel"/>
    <w:tmpl w:val="103AF370"/>
    <w:lvl w:ilvl="0" w:tplc="0C090017">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4CB86ED4"/>
    <w:multiLevelType w:val="multilevel"/>
    <w:tmpl w:val="642C6FE4"/>
    <w:lvl w:ilvl="0">
      <w:start w:val="1"/>
      <w:numFmt w:val="decimal"/>
      <w:pStyle w:val="codeRuleList"/>
      <w:suff w:val="nothing"/>
      <w:lvlText w:val="R%1"/>
      <w:lvlJc w:val="left"/>
      <w:pPr>
        <w:ind w:left="426"/>
      </w:pPr>
      <w:rPr>
        <w:rFonts w:cs="Times New Roman" w:hint="default"/>
      </w:rPr>
    </w:lvl>
    <w:lvl w:ilvl="1">
      <w:start w:val="1"/>
      <w:numFmt w:val="upperLetter"/>
      <w:pStyle w:val="StyleCodeItemLeft0cmFirstline0cm"/>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4DDB0D0E"/>
    <w:multiLevelType w:val="hybridMultilevel"/>
    <w:tmpl w:val="01A096F6"/>
    <w:lvl w:ilvl="0" w:tplc="052E2AA8">
      <w:start w:val="2"/>
      <w:numFmt w:val="bullet"/>
      <w:lvlText w:val="-"/>
      <w:lvlJc w:val="left"/>
      <w:pPr>
        <w:tabs>
          <w:tab w:val="num" w:pos="1440"/>
        </w:tabs>
        <w:ind w:left="1440" w:hanging="360"/>
      </w:pPr>
      <w:rPr>
        <w:rFonts w:ascii="Comic Sans MS" w:eastAsia="Times New Roman" w:hAnsi="Comic Sans MS"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13A6713"/>
    <w:multiLevelType w:val="hybridMultilevel"/>
    <w:tmpl w:val="1310B00A"/>
    <w:lvl w:ilvl="0" w:tplc="73BA0FB0">
      <w:start w:val="1"/>
      <w:numFmt w:val="upperLetter"/>
      <w:lvlText w:val="%1"/>
      <w:lvlJc w:val="left"/>
      <w:pPr>
        <w:tabs>
          <w:tab w:val="num" w:pos="540"/>
        </w:tabs>
        <w:ind w:left="540" w:hanging="540"/>
      </w:pPr>
      <w:rPr>
        <w:rFonts w:ascii="Arial" w:hAnsi="Arial" w:cs="Times New Roman" w:hint="default"/>
        <w:b/>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B9533AE"/>
    <w:multiLevelType w:val="hybridMultilevel"/>
    <w:tmpl w:val="CD8E6254"/>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32" w15:restartNumberingAfterBreak="0">
    <w:nsid w:val="5EBB05D0"/>
    <w:multiLevelType w:val="hybridMultilevel"/>
    <w:tmpl w:val="496C1982"/>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33" w15:restartNumberingAfterBreak="0">
    <w:nsid w:val="64F37A0A"/>
    <w:multiLevelType w:val="hybridMultilevel"/>
    <w:tmpl w:val="27F0A2C0"/>
    <w:lvl w:ilvl="0" w:tplc="0C090017">
      <w:start w:val="1"/>
      <w:numFmt w:val="lowerLetter"/>
      <w:lvlText w:val="%1)"/>
      <w:lvlJc w:val="left"/>
      <w:pPr>
        <w:tabs>
          <w:tab w:val="num" w:pos="360"/>
        </w:tabs>
        <w:ind w:left="36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34" w15:restartNumberingAfterBreak="0">
    <w:nsid w:val="65E13AE1"/>
    <w:multiLevelType w:val="multilevel"/>
    <w:tmpl w:val="04E2C430"/>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000000"/>
        <w:spacing w:val="0"/>
        <w:w w:val="100"/>
        <w:kern w:val="0"/>
        <w:position w:val="0"/>
        <w:sz w:val="24"/>
        <w:szCs w:val="20"/>
        <w:u w:val="none" w:color="000000"/>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5" w15:restartNumberingAfterBreak="0">
    <w:nsid w:val="66D13692"/>
    <w:multiLevelType w:val="hybridMultilevel"/>
    <w:tmpl w:val="75AA6DA8"/>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36" w15:restartNumberingAfterBreak="0">
    <w:nsid w:val="68FB33B3"/>
    <w:multiLevelType w:val="hybridMultilevel"/>
    <w:tmpl w:val="1EBA1D94"/>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37"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8" w15:restartNumberingAfterBreak="0">
    <w:nsid w:val="6AE35DA8"/>
    <w:multiLevelType w:val="hybridMultilevel"/>
    <w:tmpl w:val="7CCAB964"/>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39" w15:restartNumberingAfterBreak="0">
    <w:nsid w:val="757B2FF9"/>
    <w:multiLevelType w:val="hybridMultilevel"/>
    <w:tmpl w:val="2F4E250C"/>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40" w15:restartNumberingAfterBreak="0">
    <w:nsid w:val="76EA464F"/>
    <w:multiLevelType w:val="hybridMultilevel"/>
    <w:tmpl w:val="85B63DBE"/>
    <w:lvl w:ilvl="0" w:tplc="3CFC09C2">
      <w:start w:val="1"/>
      <w:numFmt w:val="lowerLetter"/>
      <w:lvlText w:val="%1)"/>
      <w:lvlJc w:val="left"/>
      <w:pPr>
        <w:tabs>
          <w:tab w:val="num" w:pos="1080"/>
        </w:tabs>
        <w:ind w:left="1080" w:hanging="360"/>
      </w:pPr>
      <w:rPr>
        <w:rFonts w:ascii="Arial" w:hAnsi="Arial" w:cs="Times New Roman" w:hint="default"/>
        <w:b w:val="0"/>
        <w:i w:val="0"/>
      </w:rPr>
    </w:lvl>
    <w:lvl w:ilvl="1" w:tplc="0C090019" w:tentative="1">
      <w:start w:val="1"/>
      <w:numFmt w:val="lowerLetter"/>
      <w:lvlText w:val="%2."/>
      <w:lvlJc w:val="left"/>
      <w:pPr>
        <w:tabs>
          <w:tab w:val="num" w:pos="731"/>
        </w:tabs>
        <w:ind w:left="731" w:hanging="360"/>
      </w:pPr>
      <w:rPr>
        <w:rFonts w:cs="Times New Roman"/>
      </w:rPr>
    </w:lvl>
    <w:lvl w:ilvl="2" w:tplc="0C09001B" w:tentative="1">
      <w:start w:val="1"/>
      <w:numFmt w:val="lowerRoman"/>
      <w:lvlText w:val="%3."/>
      <w:lvlJc w:val="right"/>
      <w:pPr>
        <w:tabs>
          <w:tab w:val="num" w:pos="1451"/>
        </w:tabs>
        <w:ind w:left="1451" w:hanging="180"/>
      </w:pPr>
      <w:rPr>
        <w:rFonts w:cs="Times New Roman"/>
      </w:rPr>
    </w:lvl>
    <w:lvl w:ilvl="3" w:tplc="0C09000F" w:tentative="1">
      <w:start w:val="1"/>
      <w:numFmt w:val="decimal"/>
      <w:lvlText w:val="%4."/>
      <w:lvlJc w:val="left"/>
      <w:pPr>
        <w:tabs>
          <w:tab w:val="num" w:pos="2171"/>
        </w:tabs>
        <w:ind w:left="2171" w:hanging="360"/>
      </w:pPr>
      <w:rPr>
        <w:rFonts w:cs="Times New Roman"/>
      </w:rPr>
    </w:lvl>
    <w:lvl w:ilvl="4" w:tplc="0C090019" w:tentative="1">
      <w:start w:val="1"/>
      <w:numFmt w:val="lowerLetter"/>
      <w:lvlText w:val="%5."/>
      <w:lvlJc w:val="left"/>
      <w:pPr>
        <w:tabs>
          <w:tab w:val="num" w:pos="2891"/>
        </w:tabs>
        <w:ind w:left="2891" w:hanging="360"/>
      </w:pPr>
      <w:rPr>
        <w:rFonts w:cs="Times New Roman"/>
      </w:rPr>
    </w:lvl>
    <w:lvl w:ilvl="5" w:tplc="0C09001B" w:tentative="1">
      <w:start w:val="1"/>
      <w:numFmt w:val="lowerRoman"/>
      <w:lvlText w:val="%6."/>
      <w:lvlJc w:val="right"/>
      <w:pPr>
        <w:tabs>
          <w:tab w:val="num" w:pos="3611"/>
        </w:tabs>
        <w:ind w:left="3611" w:hanging="180"/>
      </w:pPr>
      <w:rPr>
        <w:rFonts w:cs="Times New Roman"/>
      </w:rPr>
    </w:lvl>
    <w:lvl w:ilvl="6" w:tplc="0C09000F" w:tentative="1">
      <w:start w:val="1"/>
      <w:numFmt w:val="decimal"/>
      <w:lvlText w:val="%7."/>
      <w:lvlJc w:val="left"/>
      <w:pPr>
        <w:tabs>
          <w:tab w:val="num" w:pos="4331"/>
        </w:tabs>
        <w:ind w:left="4331" w:hanging="360"/>
      </w:pPr>
      <w:rPr>
        <w:rFonts w:cs="Times New Roman"/>
      </w:rPr>
    </w:lvl>
    <w:lvl w:ilvl="7" w:tplc="0C090019" w:tentative="1">
      <w:start w:val="1"/>
      <w:numFmt w:val="lowerLetter"/>
      <w:lvlText w:val="%8."/>
      <w:lvlJc w:val="left"/>
      <w:pPr>
        <w:tabs>
          <w:tab w:val="num" w:pos="5051"/>
        </w:tabs>
        <w:ind w:left="5051" w:hanging="360"/>
      </w:pPr>
      <w:rPr>
        <w:rFonts w:cs="Times New Roman"/>
      </w:rPr>
    </w:lvl>
    <w:lvl w:ilvl="8" w:tplc="0C09001B" w:tentative="1">
      <w:start w:val="1"/>
      <w:numFmt w:val="lowerRoman"/>
      <w:lvlText w:val="%9."/>
      <w:lvlJc w:val="right"/>
      <w:pPr>
        <w:tabs>
          <w:tab w:val="num" w:pos="5771"/>
        </w:tabs>
        <w:ind w:left="5771" w:hanging="180"/>
      </w:pPr>
      <w:rPr>
        <w:rFonts w:cs="Times New Roman"/>
      </w:rPr>
    </w:lvl>
  </w:abstractNum>
  <w:abstractNum w:abstractNumId="41" w15:restartNumberingAfterBreak="0">
    <w:nsid w:val="77A36D01"/>
    <w:multiLevelType w:val="multilevel"/>
    <w:tmpl w:val="8D22DC4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790915B0"/>
    <w:multiLevelType w:val="hybridMultilevel"/>
    <w:tmpl w:val="86E2F680"/>
    <w:lvl w:ilvl="0" w:tplc="CBF65318">
      <w:start w:val="1"/>
      <w:numFmt w:val="lowerLetter"/>
      <w:lvlText w:val="%1)"/>
      <w:lvlJc w:val="left"/>
      <w:pPr>
        <w:tabs>
          <w:tab w:val="num" w:pos="700"/>
        </w:tabs>
        <w:ind w:left="700" w:hanging="360"/>
      </w:pPr>
      <w:rPr>
        <w:rFonts w:cs="Times New Roman"/>
      </w:rPr>
    </w:lvl>
    <w:lvl w:ilvl="1" w:tplc="D6308B8A">
      <w:start w:val="1"/>
      <w:numFmt w:val="lowerRoman"/>
      <w:lvlText w:val="%2)"/>
      <w:lvlJc w:val="left"/>
      <w:pPr>
        <w:tabs>
          <w:tab w:val="num" w:pos="1710"/>
        </w:tabs>
        <w:ind w:left="1710" w:hanging="72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43" w15:restartNumberingAfterBreak="0">
    <w:nsid w:val="795A4700"/>
    <w:multiLevelType w:val="hybridMultilevel"/>
    <w:tmpl w:val="2904EE74"/>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44" w15:restartNumberingAfterBreak="0">
    <w:nsid w:val="7D974CF5"/>
    <w:multiLevelType w:val="hybridMultilevel"/>
    <w:tmpl w:val="42062E82"/>
    <w:lvl w:ilvl="0" w:tplc="3CFC09C2">
      <w:start w:val="1"/>
      <w:numFmt w:val="lowerLetter"/>
      <w:lvlText w:val="%1)"/>
      <w:lvlJc w:val="left"/>
      <w:pPr>
        <w:tabs>
          <w:tab w:val="num" w:pos="1440"/>
        </w:tabs>
        <w:ind w:left="1440" w:hanging="360"/>
      </w:pPr>
      <w:rPr>
        <w:rFonts w:ascii="Arial" w:hAnsi="Arial" w:cs="Times New Roman" w:hint="default"/>
        <w:b w:val="0"/>
        <w:i w:val="0"/>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5"/>
  </w:num>
  <w:num w:numId="6">
    <w:abstractNumId w:val="15"/>
  </w:num>
  <w:num w:numId="7">
    <w:abstractNumId w:val="28"/>
  </w:num>
  <w:num w:numId="8">
    <w:abstractNumId w:val="37"/>
  </w:num>
  <w:num w:numId="9">
    <w:abstractNumId w:val="34"/>
  </w:num>
  <w:num w:numId="10">
    <w:abstractNumId w:val="21"/>
  </w:num>
  <w:num w:numId="11">
    <w:abstractNumId w:val="20"/>
  </w:num>
  <w:num w:numId="12">
    <w:abstractNumId w:val="7"/>
  </w:num>
  <w:num w:numId="13">
    <w:abstractNumId w:val="16"/>
  </w:num>
  <w:num w:numId="14">
    <w:abstractNumId w:val="30"/>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0"/>
  </w:num>
  <w:num w:numId="20">
    <w:abstractNumId w:val="1"/>
  </w:num>
  <w:num w:numId="21">
    <w:abstractNumId w:val="17"/>
  </w:num>
  <w:num w:numId="22">
    <w:abstractNumId w:val="29"/>
  </w:num>
  <w:num w:numId="23">
    <w:abstractNumId w:val="31"/>
  </w:num>
  <w:num w:numId="24">
    <w:abstractNumId w:val="14"/>
  </w:num>
  <w:num w:numId="25">
    <w:abstractNumId w:val="39"/>
  </w:num>
  <w:num w:numId="26">
    <w:abstractNumId w:val="11"/>
  </w:num>
  <w:num w:numId="27">
    <w:abstractNumId w:val="22"/>
  </w:num>
  <w:num w:numId="28">
    <w:abstractNumId w:val="3"/>
  </w:num>
  <w:num w:numId="29">
    <w:abstractNumId w:val="19"/>
  </w:num>
  <w:num w:numId="30">
    <w:abstractNumId w:val="4"/>
  </w:num>
  <w:num w:numId="31">
    <w:abstractNumId w:val="25"/>
  </w:num>
  <w:num w:numId="32">
    <w:abstractNumId w:val="23"/>
  </w:num>
  <w:num w:numId="33">
    <w:abstractNumId w:val="35"/>
  </w:num>
  <w:num w:numId="34">
    <w:abstractNumId w:val="40"/>
  </w:num>
  <w:num w:numId="35">
    <w:abstractNumId w:val="26"/>
  </w:num>
  <w:num w:numId="36">
    <w:abstractNumId w:val="9"/>
  </w:num>
  <w:num w:numId="37">
    <w:abstractNumId w:val="2"/>
  </w:num>
  <w:num w:numId="38">
    <w:abstractNumId w:val="32"/>
  </w:num>
  <w:num w:numId="39">
    <w:abstractNumId w:val="36"/>
  </w:num>
  <w:num w:numId="40">
    <w:abstractNumId w:val="43"/>
  </w:num>
  <w:num w:numId="41">
    <w:abstractNumId w:val="0"/>
  </w:num>
  <w:num w:numId="42">
    <w:abstractNumId w:val="38"/>
  </w:num>
  <w:num w:numId="43">
    <w:abstractNumId w:val="12"/>
  </w:num>
  <w:num w:numId="44">
    <w:abstractNumId w:val="44"/>
  </w:num>
  <w:num w:numId="45">
    <w:abstractNumId w:val="13"/>
  </w:num>
  <w:num w:numId="46">
    <w:abstractNumId w:val="24"/>
  </w:num>
  <w:num w:numId="47">
    <w:abstractNumId w:val="41"/>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504C"/>
    <w:rsid w:val="002869D0"/>
    <w:rsid w:val="004B1CD4"/>
    <w:rsid w:val="0059504C"/>
    <w:rsid w:val="005A103C"/>
    <w:rsid w:val="006439CC"/>
    <w:rsid w:val="00BE68FA"/>
    <w:rsid w:val="00E12167"/>
    <w:rsid w:val="00FF4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D11B07D0-28D6-4259-9F3E-C498ED4C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0"/>
    </w:rPr>
  </w:style>
  <w:style w:type="paragraph" w:styleId="Heading1">
    <w:name w:val="heading 1"/>
    <w:basedOn w:val="Normal"/>
    <w:next w:val="Normal"/>
    <w:link w:val="Heading1Char"/>
    <w:uiPriority w:val="99"/>
    <w:qFormat/>
    <w:pPr>
      <w:keepNext/>
      <w:numPr>
        <w:numId w:val="2"/>
      </w:numPr>
      <w:tabs>
        <w:tab w:val="left" w:pos="720"/>
      </w:tabs>
      <w:spacing w:after="24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99"/>
    <w:semiHidden/>
    <w:pPr>
      <w:spacing w:before="360"/>
    </w:pPr>
    <w:rPr>
      <w:rFonts w:ascii="Arial" w:hAnsi="Arial"/>
      <w:caps/>
      <w:noProof/>
      <w:szCs w:val="24"/>
    </w:rPr>
  </w:style>
  <w:style w:type="paragraph" w:styleId="TOC2">
    <w:name w:val="toc 2"/>
    <w:basedOn w:val="Normal"/>
    <w:next w:val="BlockText"/>
    <w:uiPriority w:val="99"/>
    <w:semiHidden/>
    <w:pPr>
      <w:spacing w:before="240"/>
    </w:pPr>
    <w:rPr>
      <w:rFonts w:ascii="Arial" w:hAnsi="Arial"/>
      <w:szCs w:val="24"/>
    </w:rPr>
  </w:style>
  <w:style w:type="character" w:customStyle="1" w:styleId="BodyTextChar1">
    <w:name w:val="Body Text Char1"/>
    <w:basedOn w:val="DefaultParagraphFont"/>
    <w:link w:val="BodyText"/>
    <w:uiPriority w:val="99"/>
    <w:semiHidden/>
    <w:locked/>
    <w:rPr>
      <w:rFonts w:cs="Times New Roman"/>
      <w:sz w:val="24"/>
      <w:szCs w:val="24"/>
      <w:lang w:val="en-AU" w:eastAsia="en-AU" w:bidi="ar-SA"/>
    </w:rPr>
  </w:style>
  <w:style w:type="paragraph" w:styleId="BodyText">
    <w:name w:val="Body Text"/>
    <w:basedOn w:val="Normal"/>
    <w:link w:val="BodyTextChar1"/>
    <w:uiPriority w:val="99"/>
    <w:pPr>
      <w:spacing w:after="120"/>
    </w:pPr>
    <w:rPr>
      <w:szCs w:val="24"/>
    </w:rPr>
  </w:style>
  <w:style w:type="character" w:customStyle="1" w:styleId="BodyTextChar">
    <w:name w:val="Body Text Char"/>
    <w:basedOn w:val="DefaultParagraphFont"/>
    <w:uiPriority w:val="99"/>
    <w:semiHidden/>
    <w:rPr>
      <w:sz w:val="24"/>
      <w:szCs w:val="20"/>
    </w:rPr>
  </w:style>
  <w:style w:type="paragraph" w:customStyle="1" w:styleId="TAbodytext">
    <w:name w:val="TA body text"/>
    <w:basedOn w:val="Normal"/>
    <w:uiPriority w:val="99"/>
    <w:pPr>
      <w:tabs>
        <w:tab w:val="left" w:pos="720"/>
        <w:tab w:val="left" w:pos="1440"/>
      </w:tabs>
      <w:spacing w:after="120"/>
    </w:pPr>
    <w:rPr>
      <w:rFonts w:ascii="Arial" w:hAnsi="Arial"/>
      <w:szCs w:val="24"/>
    </w:rPr>
  </w:style>
  <w:style w:type="paragraph" w:customStyle="1" w:styleId="TAsectionheading2">
    <w:name w:val="TA section heading 2"/>
    <w:basedOn w:val="Heading2"/>
    <w:uiPriority w:val="99"/>
    <w:pPr>
      <w:keepNext w:val="0"/>
      <w:tabs>
        <w:tab w:val="left" w:pos="1440"/>
      </w:tabs>
      <w:spacing w:before="0" w:after="240"/>
    </w:pPr>
    <w:rPr>
      <w:bCs w:val="0"/>
      <w:i w:val="0"/>
      <w:iCs w:val="0"/>
    </w:rPr>
  </w:style>
  <w:style w:type="paragraph" w:styleId="TOC3">
    <w:name w:val="toc 3"/>
    <w:basedOn w:val="Normal"/>
    <w:next w:val="BodyText"/>
    <w:autoRedefine/>
    <w:uiPriority w:val="99"/>
    <w:semiHidden/>
    <w:pPr>
      <w:tabs>
        <w:tab w:val="left" w:pos="1202"/>
        <w:tab w:val="right" w:leader="dot" w:pos="8835"/>
      </w:tabs>
      <w:spacing w:before="240"/>
    </w:pPr>
    <w:rPr>
      <w:rFonts w:ascii="Arial" w:hAnsi="Arial"/>
      <w:szCs w:val="24"/>
    </w:rPr>
  </w:style>
  <w:style w:type="paragraph" w:customStyle="1" w:styleId="TAtitlepageplanninganddevelopmentact">
    <w:name w:val="TA title page planning and development act"/>
    <w:basedOn w:val="BodyText"/>
    <w:link w:val="TAtitlepageplanninganddevelopmentactCharChar"/>
    <w:uiPriority w:val="9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uiPriority w:val="99"/>
    <w:locked/>
    <w:rPr>
      <w:rFonts w:cs="Arial"/>
      <w:sz w:val="24"/>
      <w:szCs w:val="24"/>
      <w:lang w:val="en-AU" w:eastAsia="en-AU" w:bidi="ar-SA"/>
    </w:rPr>
  </w:style>
  <w:style w:type="paragraph" w:customStyle="1" w:styleId="TATitlepagedocumenttitle">
    <w:name w:val="TA Title page document title"/>
    <w:basedOn w:val="BodyText"/>
    <w:uiPriority w:val="9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uiPriority w:val="99"/>
    <w:pPr>
      <w:jc w:val="center"/>
    </w:pPr>
    <w:rPr>
      <w:rFonts w:ascii="Arial" w:hAnsi="Arial" w:cs="Arial"/>
      <w:sz w:val="40"/>
      <w:szCs w:val="40"/>
    </w:rPr>
  </w:style>
  <w:style w:type="paragraph" w:customStyle="1" w:styleId="TAeditorialitemgeneralheading">
    <w:name w:val="TA editorial item general heading"/>
    <w:basedOn w:val="Normal"/>
    <w:uiPriority w:val="99"/>
    <w:pPr>
      <w:numPr>
        <w:numId w:val="5"/>
      </w:numPr>
      <w:pBdr>
        <w:top w:val="single" w:sz="4" w:space="1" w:color="auto"/>
        <w:left w:val="single" w:sz="4" w:space="4" w:color="auto"/>
        <w:bottom w:val="single" w:sz="4" w:space="1" w:color="auto"/>
        <w:right w:val="single" w:sz="4" w:space="4" w:color="auto"/>
      </w:pBdr>
      <w:shd w:val="clear" w:color="auto" w:fill="D9D9D9"/>
      <w:ind w:hanging="720"/>
    </w:pPr>
    <w:rPr>
      <w:rFonts w:ascii="Arial" w:hAnsi="Arial"/>
      <w:b/>
      <w:szCs w:val="24"/>
    </w:rPr>
  </w:style>
  <w:style w:type="paragraph" w:customStyle="1" w:styleId="TAeditorialinstructions">
    <w:name w:val="TA editorial instructions"/>
    <w:basedOn w:val="Normal"/>
    <w:uiPriority w:val="99"/>
    <w:pPr>
      <w:ind w:left="720"/>
    </w:pPr>
    <w:rPr>
      <w:rFonts w:ascii="Arial" w:hAnsi="Arial"/>
      <w:i/>
      <w:iCs/>
      <w:szCs w:val="24"/>
    </w:rPr>
  </w:style>
  <w:style w:type="paragraph" w:customStyle="1" w:styleId="CodeItem">
    <w:name w:val="CodeItem"/>
    <w:basedOn w:val="Normal"/>
    <w:uiPriority w:val="99"/>
    <w:pPr>
      <w:numPr>
        <w:ilvl w:val="1"/>
        <w:numId w:val="4"/>
      </w:numPr>
      <w:spacing w:before="60" w:after="60"/>
    </w:pPr>
    <w:rPr>
      <w:rFonts w:ascii="Arial" w:hAnsi="Arial" w:cs="Arial"/>
      <w:b/>
      <w:bCs/>
      <w:sz w:val="20"/>
      <w:lang w:eastAsia="en-US"/>
    </w:rPr>
  </w:style>
  <w:style w:type="paragraph" w:customStyle="1" w:styleId="TABodytextinstructioncontentsubtitle">
    <w:name w:val="TA Body text instruction content sub title"/>
    <w:basedOn w:val="BodyText"/>
    <w:uiPriority w:val="99"/>
    <w:pPr>
      <w:tabs>
        <w:tab w:val="left" w:pos="720"/>
        <w:tab w:val="left" w:pos="1440"/>
      </w:tabs>
      <w:ind w:left="720"/>
    </w:pPr>
    <w:rPr>
      <w:b/>
      <w:sz w:val="20"/>
    </w:rPr>
  </w:style>
  <w:style w:type="paragraph" w:customStyle="1" w:styleId="TATableofcontentsTitle">
    <w:name w:val="TA Table of contents Title"/>
    <w:basedOn w:val="TATitleexplanatoryheading"/>
    <w:uiPriority w:val="99"/>
  </w:style>
  <w:style w:type="paragraph" w:customStyle="1" w:styleId="TAsectionheading">
    <w:name w:val="TA section heading"/>
    <w:basedOn w:val="Heading1"/>
    <w:uiPriority w:val="99"/>
  </w:style>
  <w:style w:type="paragraph" w:customStyle="1" w:styleId="TAsectionheading3">
    <w:name w:val="TA section heading 3"/>
    <w:basedOn w:val="Heading3"/>
    <w:uiPriority w:val="99"/>
    <w:pPr>
      <w:keepNext w:val="0"/>
      <w:numPr>
        <w:ilvl w:val="2"/>
        <w:numId w:val="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uiPriority w:val="99"/>
    <w:pPr>
      <w:tabs>
        <w:tab w:val="left" w:pos="720"/>
        <w:tab w:val="left" w:pos="1440"/>
      </w:tabs>
      <w:ind w:left="720" w:hanging="153"/>
    </w:pPr>
    <w:rPr>
      <w:b/>
    </w:rPr>
  </w:style>
  <w:style w:type="paragraph" w:customStyle="1" w:styleId="TAfooter">
    <w:name w:val="TA footer"/>
    <w:basedOn w:val="Footer"/>
    <w:link w:val="TAfooterChar"/>
    <w:uiPriority w:val="99"/>
    <w:pPr>
      <w:spacing w:after="60"/>
      <w:jc w:val="center"/>
    </w:pPr>
    <w:rPr>
      <w:rFonts w:ascii="Arial" w:hAnsi="Arial" w:cs="Arial"/>
      <w:sz w:val="20"/>
    </w:rPr>
  </w:style>
  <w:style w:type="paragraph" w:customStyle="1" w:styleId="TApagenumber">
    <w:name w:val="TA page number"/>
    <w:basedOn w:val="TAfooter"/>
    <w:link w:val="TApagenumberChar"/>
    <w:uiPriority w:val="99"/>
  </w:style>
  <w:style w:type="character" w:customStyle="1" w:styleId="TAfooterChar">
    <w:name w:val="TA footer Char"/>
    <w:basedOn w:val="DefaultParagraphFont"/>
    <w:link w:val="TAfooter"/>
    <w:uiPriority w:val="99"/>
    <w:locked/>
    <w:rPr>
      <w:rFonts w:ascii="Arial" w:hAnsi="Arial" w:cs="Arial"/>
      <w:lang w:val="en-AU" w:eastAsia="en-AU" w:bidi="ar-SA"/>
    </w:rPr>
  </w:style>
  <w:style w:type="character" w:customStyle="1" w:styleId="TApagenumberChar">
    <w:name w:val="TA page number Char"/>
    <w:basedOn w:val="TAfooterChar"/>
    <w:link w:val="TApagenumber"/>
    <w:uiPriority w:val="99"/>
    <w:locked/>
    <w:rPr>
      <w:rFonts w:ascii="Arial" w:hAnsi="Arial" w:cs="Arial"/>
      <w:lang w:val="en-AU" w:eastAsia="en-AU" w:bidi="ar-SA"/>
    </w:rPr>
  </w:style>
  <w:style w:type="paragraph" w:customStyle="1" w:styleId="TAACTPLAlogo">
    <w:name w:val="TA ACTPLA logo"/>
    <w:basedOn w:val="Footer"/>
    <w:uiPriority w:val="99"/>
    <w:pPr>
      <w:jc w:val="center"/>
    </w:pPr>
    <w:rPr>
      <w:rFonts w:ascii="Arial" w:hAnsi="Arial"/>
      <w:szCs w:val="24"/>
    </w:rPr>
  </w:style>
  <w:style w:type="paragraph" w:customStyle="1" w:styleId="TAheader">
    <w:name w:val="TA header"/>
    <w:basedOn w:val="Header"/>
    <w:uiPriority w:val="99"/>
    <w:pPr>
      <w:tabs>
        <w:tab w:val="clear" w:pos="4153"/>
        <w:tab w:val="clear" w:pos="8306"/>
        <w:tab w:val="center" w:pos="4320"/>
        <w:tab w:val="right" w:pos="8640"/>
      </w:tabs>
    </w:pPr>
    <w:rPr>
      <w:rFonts w:ascii="Arial" w:hAnsi="Arial"/>
      <w:szCs w:val="24"/>
    </w:rPr>
  </w:style>
  <w:style w:type="paragraph" w:customStyle="1" w:styleId="TAsubheadinglocationinterritoryplan">
    <w:name w:val="TA sub heading location in territory plan"/>
    <w:basedOn w:val="Heading4"/>
    <w:uiPriority w:val="99"/>
    <w:pPr>
      <w:keepNext w:val="0"/>
      <w:spacing w:after="240"/>
    </w:pPr>
    <w:rPr>
      <w:rFonts w:ascii="Arial" w:hAnsi="Arial"/>
      <w:b w:val="0"/>
      <w:bCs w:val="0"/>
      <w:sz w:val="32"/>
      <w:szCs w:val="20"/>
    </w:rPr>
  </w:style>
  <w:style w:type="paragraph" w:customStyle="1" w:styleId="TATitlepagemonthandyear">
    <w:name w:val="TA Title page month and year"/>
    <w:basedOn w:val="TATitleexplanatoryheading"/>
    <w:uiPriority w:val="99"/>
  </w:style>
  <w:style w:type="paragraph" w:customStyle="1" w:styleId="TAexplanatorystatementsubheading">
    <w:name w:val="TA explanatory statement subheading"/>
    <w:basedOn w:val="BodyText"/>
    <w:uiPriority w:val="99"/>
    <w:pPr>
      <w:numPr>
        <w:numId w:val="6"/>
      </w:numPr>
      <w:tabs>
        <w:tab w:val="left" w:pos="720"/>
        <w:tab w:val="left" w:pos="1440"/>
      </w:tabs>
    </w:pPr>
    <w:rPr>
      <w:b/>
      <w:bCs/>
      <w:szCs w:val="20"/>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Heading">
    <w:name w:val="codeHeading"/>
    <w:basedOn w:val="Normal"/>
    <w:link w:val="codeHeadingChar"/>
    <w:uiPriority w:val="99"/>
    <w:pPr>
      <w:spacing w:before="60" w:after="60"/>
    </w:pPr>
    <w:rPr>
      <w:rFonts w:ascii="Arial" w:hAnsi="Arial" w:cs="Arial"/>
      <w:b/>
      <w:bCs/>
      <w:sz w:val="22"/>
      <w:lang w:eastAsia="en-US"/>
    </w:rPr>
  </w:style>
  <w:style w:type="paragraph" w:customStyle="1" w:styleId="codeCriteriaList">
    <w:name w:val="codeCriteriaList"/>
    <w:basedOn w:val="Normal"/>
    <w:uiPriority w:val="99"/>
    <w:pPr>
      <w:spacing w:line="288" w:lineRule="auto"/>
      <w:ind w:left="283" w:hanging="720"/>
    </w:pPr>
    <w:rPr>
      <w:rFonts w:ascii="Arial" w:hAnsi="Arial" w:cs="Arial"/>
      <w:sz w:val="20"/>
      <w:lang w:eastAsia="en-US"/>
    </w:rPr>
  </w:style>
  <w:style w:type="paragraph" w:customStyle="1" w:styleId="codeRuleList">
    <w:name w:val="codeRuleList"/>
    <w:basedOn w:val="Normal"/>
    <w:uiPriority w:val="99"/>
    <w:pPr>
      <w:numPr>
        <w:numId w:val="7"/>
      </w:numPr>
      <w:spacing w:line="288" w:lineRule="auto"/>
    </w:pPr>
    <w:rPr>
      <w:rFonts w:ascii="Arial" w:hAnsi="Arial" w:cs="Arial"/>
      <w:sz w:val="20"/>
      <w:lang w:eastAsia="en-US"/>
    </w:rPr>
  </w:style>
  <w:style w:type="paragraph" w:customStyle="1" w:styleId="StyleCodeItemLeft0cmFirstline0cm">
    <w:name w:val="Style CodeItem + Left:  0 cm First line:  0 cm"/>
    <w:basedOn w:val="CodeItem"/>
    <w:next w:val="Normal"/>
    <w:autoRedefine/>
    <w:uiPriority w:val="99"/>
    <w:pPr>
      <w:numPr>
        <w:numId w:val="7"/>
      </w:numPr>
      <w:spacing w:before="0" w:after="0"/>
      <w:ind w:left="0" w:firstLine="0"/>
    </w:pPr>
    <w:rPr>
      <w:rFonts w:cs="Times New Roman"/>
    </w:rPr>
  </w:style>
  <w:style w:type="character" w:customStyle="1" w:styleId="codeHeadingChar">
    <w:name w:val="codeHeading Char"/>
    <w:basedOn w:val="DefaultParagraphFont"/>
    <w:link w:val="codeHeading"/>
    <w:uiPriority w:val="99"/>
    <w:locked/>
    <w:rPr>
      <w:rFonts w:ascii="Arial" w:hAnsi="Arial" w:cs="Arial"/>
      <w:b/>
      <w:bCs/>
      <w:sz w:val="22"/>
      <w:lang w:val="en-AU" w:eastAsia="en-US" w:bidi="ar-SA"/>
    </w:rPr>
  </w:style>
  <w:style w:type="paragraph" w:customStyle="1" w:styleId="StylecodeHeading10ptNotBold">
    <w:name w:val="Style codeHeading + 10 pt Not Bold"/>
    <w:basedOn w:val="codeHeading"/>
    <w:link w:val="StylecodeHeading10ptNotBoldChar"/>
    <w:uiPriority w:val="99"/>
    <w:pPr>
      <w:spacing w:line="288" w:lineRule="auto"/>
    </w:pPr>
    <w:rPr>
      <w:b w:val="0"/>
      <w:bCs w:val="0"/>
      <w:sz w:val="20"/>
    </w:rPr>
  </w:style>
  <w:style w:type="character" w:customStyle="1" w:styleId="StylecodeHeading10ptNotBoldChar">
    <w:name w:val="Style codeHeading + 10 pt Not Bold Char"/>
    <w:basedOn w:val="codeHeadingChar"/>
    <w:link w:val="StylecodeHeading10ptNotBold"/>
    <w:uiPriority w:val="99"/>
    <w:locked/>
    <w:rPr>
      <w:rFonts w:ascii="Arial" w:hAnsi="Arial" w:cs="Arial"/>
      <w:b/>
      <w:bCs/>
      <w:sz w:val="22"/>
      <w:lang w:val="en-AU" w:eastAsia="en-US" w:bidi="ar-SA"/>
    </w:rPr>
  </w:style>
  <w:style w:type="paragraph" w:customStyle="1" w:styleId="bodyText0">
    <w:name w:val="bodyText"/>
    <w:basedOn w:val="Normal"/>
    <w:link w:val="bodyTextChar0"/>
    <w:uiPriority w:val="99"/>
    <w:pPr>
      <w:spacing w:before="120" w:line="288" w:lineRule="auto"/>
    </w:pPr>
    <w:rPr>
      <w:rFonts w:ascii="Arial" w:hAnsi="Arial" w:cs="Arial"/>
      <w:sz w:val="20"/>
      <w:lang w:eastAsia="en-US"/>
    </w:rPr>
  </w:style>
  <w:style w:type="character" w:customStyle="1" w:styleId="bodyTextChar0">
    <w:name w:val="bodyText Char"/>
    <w:basedOn w:val="DefaultParagraphFont"/>
    <w:link w:val="bodyText0"/>
    <w:uiPriority w:val="99"/>
    <w:locked/>
    <w:rPr>
      <w:rFonts w:ascii="Arial" w:hAnsi="Arial" w:cs="Arial"/>
      <w:lang w:val="en-AU" w:eastAsia="en-US" w:bidi="ar-SA"/>
    </w:rPr>
  </w:style>
  <w:style w:type="paragraph" w:customStyle="1" w:styleId="RuleList">
    <w:name w:val="RuleList"/>
    <w:basedOn w:val="Normal"/>
    <w:link w:val="RuleListChar"/>
    <w:uiPriority w:val="99"/>
    <w:pPr>
      <w:numPr>
        <w:numId w:val="8"/>
      </w:numPr>
      <w:spacing w:before="60" w:after="60" w:line="288" w:lineRule="auto"/>
    </w:pPr>
    <w:rPr>
      <w:rFonts w:ascii="Arial" w:hAnsi="Arial" w:cs="Arial"/>
      <w:sz w:val="20"/>
      <w:lang w:eastAsia="en-US"/>
    </w:rPr>
  </w:style>
  <w:style w:type="character" w:customStyle="1" w:styleId="RuleListChar">
    <w:name w:val="RuleList Char"/>
    <w:basedOn w:val="DefaultParagraphFont"/>
    <w:link w:val="RuleList"/>
    <w:uiPriority w:val="99"/>
    <w:locked/>
    <w:rPr>
      <w:rFonts w:ascii="Arial" w:hAnsi="Arial" w:cs="Arial"/>
      <w:lang w:val="en-AU" w:eastAsia="en-US" w:bidi="ar-SA"/>
    </w:rPr>
  </w:style>
  <w:style w:type="paragraph" w:customStyle="1" w:styleId="CritList">
    <w:name w:val="CritList"/>
    <w:basedOn w:val="Normal"/>
    <w:link w:val="CritListCharChar"/>
    <w:uiPriority w:val="99"/>
    <w:pPr>
      <w:numPr>
        <w:numId w:val="9"/>
      </w:numPr>
      <w:spacing w:before="60" w:after="60" w:line="288" w:lineRule="auto"/>
    </w:pPr>
    <w:rPr>
      <w:rFonts w:ascii="Arial" w:hAnsi="Arial" w:cs="Arial"/>
      <w:color w:val="000000"/>
      <w:sz w:val="20"/>
      <w:lang w:eastAsia="en-US"/>
    </w:rPr>
  </w:style>
  <w:style w:type="character" w:customStyle="1" w:styleId="CritListCharChar">
    <w:name w:val="CritList Char Char"/>
    <w:basedOn w:val="DefaultParagraphFont"/>
    <w:link w:val="CritList"/>
    <w:uiPriority w:val="99"/>
    <w:locked/>
    <w:rPr>
      <w:rFonts w:ascii="Arial" w:hAnsi="Arial" w:cs="Arial"/>
      <w:color w:val="000000"/>
      <w:lang w:val="en-AU" w:eastAsia="en-US" w:bidi="ar-SA"/>
    </w:rPr>
  </w:style>
  <w:style w:type="paragraph" w:styleId="BlockText">
    <w:name w:val="Block Text"/>
    <w:basedOn w:val="Normal"/>
    <w:uiPriority w:val="99"/>
    <w:pPr>
      <w:spacing w:after="120"/>
      <w:ind w:left="1440" w:right="1440"/>
    </w:p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sz w:val="24"/>
      <w:szCs w:val="20"/>
    </w:rPr>
  </w:style>
  <w:style w:type="paragraph" w:customStyle="1" w:styleId="TAeditorialinsertedtext">
    <w:name w:val="TA editorial inserted text"/>
    <w:basedOn w:val="Normal"/>
    <w:uiPriority w:val="99"/>
    <w:pPr>
      <w:ind w:left="720"/>
    </w:pPr>
    <w:rPr>
      <w:rFonts w:ascii="Arial" w:hAnsi="Arial"/>
      <w:sz w:val="20"/>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Aheading">
    <w:name w:val="TA heading"/>
    <w:basedOn w:val="Normal"/>
    <w:uiPriority w:val="99"/>
    <w:pPr>
      <w:tabs>
        <w:tab w:val="left" w:pos="2400"/>
        <w:tab w:val="left" w:pos="2880"/>
      </w:tabs>
      <w:spacing w:before="120" w:after="240"/>
    </w:pPr>
    <w:rPr>
      <w:rFonts w:ascii="Arial" w:hAnsi="Arial"/>
      <w:b/>
      <w:bCs/>
      <w:sz w:val="40"/>
      <w:lang w:eastAsia="en-US"/>
    </w:rPr>
  </w:style>
  <w:style w:type="paragraph" w:customStyle="1" w:styleId="TAbody">
    <w:name w:val="TA body"/>
    <w:basedOn w:val="Normal"/>
    <w:link w:val="TAbodyChar"/>
    <w:uiPriority w:val="99"/>
    <w:rPr>
      <w:rFonts w:ascii="Arial" w:hAnsi="Arial"/>
      <w:lang w:val="en-GB" w:eastAsia="en-US"/>
    </w:rPr>
  </w:style>
  <w:style w:type="character" w:customStyle="1" w:styleId="TAbodyChar">
    <w:name w:val="TA body Char"/>
    <w:basedOn w:val="DefaultParagraphFont"/>
    <w:link w:val="TAbody"/>
    <w:uiPriority w:val="99"/>
    <w:locked/>
    <w:rPr>
      <w:rFonts w:ascii="Arial" w:hAnsi="Arial" w:cs="Times New Roman"/>
      <w:sz w:val="24"/>
      <w:lang w:val="en-GB" w:eastAsia="en-US" w:bidi="ar-SA"/>
    </w:rPr>
  </w:style>
  <w:style w:type="character" w:customStyle="1" w:styleId="TAannexureAtext">
    <w:name w:val="TA annexure A text"/>
    <w:basedOn w:val="DefaultParagraphFont"/>
    <w:uiPriority w:val="99"/>
    <w:rPr>
      <w:rFonts w:cs="Times New Roman"/>
      <w:b/>
      <w:bCs/>
    </w:rPr>
  </w:style>
  <w:style w:type="paragraph" w:customStyle="1" w:styleId="TAline">
    <w:name w:val="TA line"/>
    <w:basedOn w:val="Normal"/>
    <w:uiPriority w:val="99"/>
    <w:pPr>
      <w:pBdr>
        <w:top w:val="single" w:sz="12" w:space="1" w:color="auto"/>
      </w:pBdr>
    </w:pPr>
    <w:rPr>
      <w:rFonts w:ascii="Arial" w:hAnsi="Arial"/>
      <w:lang w:eastAsia="en-US"/>
    </w:rPr>
  </w:style>
  <w:style w:type="paragraph" w:customStyle="1" w:styleId="TALAtext">
    <w:name w:val="TA (LA) text"/>
    <w:basedOn w:val="Normal"/>
    <w:uiPriority w:val="99"/>
    <w:pPr>
      <w:spacing w:before="180" w:after="60"/>
      <w:jc w:val="both"/>
    </w:pPr>
    <w:rPr>
      <w:rFonts w:ascii="Arial" w:hAnsi="Arial"/>
      <w:sz w:val="20"/>
      <w:lang w:eastAsia="en-US"/>
    </w:rPr>
  </w:style>
  <w:style w:type="paragraph" w:customStyle="1" w:styleId="TA-LAitalicstext">
    <w:name w:val="TA - LA italics text"/>
    <w:basedOn w:val="Normal"/>
    <w:next w:val="Normal"/>
    <w:link w:val="TA-LAitalicstextChar"/>
    <w:uiPriority w:val="99"/>
    <w:pPr>
      <w:tabs>
        <w:tab w:val="left" w:pos="2600"/>
      </w:tabs>
      <w:spacing w:after="240"/>
      <w:jc w:val="both"/>
    </w:pPr>
    <w:rPr>
      <w:rFonts w:ascii="Arial" w:hAnsi="Arial"/>
      <w:b/>
      <w:i/>
      <w:sz w:val="18"/>
      <w:lang w:eastAsia="en-US"/>
    </w:rPr>
  </w:style>
  <w:style w:type="character" w:customStyle="1" w:styleId="TA-LAitalicstextChar">
    <w:name w:val="TA - LA italics text Char"/>
    <w:basedOn w:val="DefaultParagraphFont"/>
    <w:link w:val="TA-LAitalicstext"/>
    <w:uiPriority w:val="99"/>
    <w:locked/>
    <w:rPr>
      <w:rFonts w:ascii="Arial" w:hAnsi="Arial" w:cs="Times New Roman"/>
      <w:b/>
      <w:i/>
      <w:sz w:val="18"/>
      <w:lang w:val="en-AU" w:eastAsia="en-US" w:bidi="ar-SA"/>
    </w:rPr>
  </w:style>
  <w:style w:type="character" w:customStyle="1" w:styleId="FooterChar">
    <w:name w:val="Footer Char"/>
    <w:basedOn w:val="DefaultParagraphFont"/>
    <w:link w:val="Footer"/>
    <w:uiPriority w:val="99"/>
    <w:locked/>
    <w:rsid w:val="0059504C"/>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980751">
      <w:marLeft w:val="0"/>
      <w:marRight w:val="0"/>
      <w:marTop w:val="0"/>
      <w:marBottom w:val="0"/>
      <w:divBdr>
        <w:top w:val="none" w:sz="0" w:space="0" w:color="auto"/>
        <w:left w:val="none" w:sz="0" w:space="0" w:color="auto"/>
        <w:bottom w:val="none" w:sz="0" w:space="0" w:color="auto"/>
        <w:right w:val="none" w:sz="0" w:space="0" w:color="auto"/>
      </w:divBdr>
    </w:div>
    <w:div w:id="434980755">
      <w:marLeft w:val="0"/>
      <w:marRight w:val="0"/>
      <w:marTop w:val="0"/>
      <w:marBottom w:val="0"/>
      <w:divBdr>
        <w:top w:val="none" w:sz="0" w:space="0" w:color="auto"/>
        <w:left w:val="none" w:sz="0" w:space="0" w:color="auto"/>
        <w:bottom w:val="none" w:sz="0" w:space="0" w:color="auto"/>
        <w:right w:val="none" w:sz="0" w:space="0" w:color="auto"/>
      </w:divBdr>
    </w:div>
    <w:div w:id="434980756">
      <w:marLeft w:val="0"/>
      <w:marRight w:val="0"/>
      <w:marTop w:val="0"/>
      <w:marBottom w:val="0"/>
      <w:divBdr>
        <w:top w:val="none" w:sz="0" w:space="0" w:color="auto"/>
        <w:left w:val="none" w:sz="0" w:space="0" w:color="auto"/>
        <w:bottom w:val="none" w:sz="0" w:space="0" w:color="auto"/>
        <w:right w:val="none" w:sz="0" w:space="0" w:color="auto"/>
      </w:divBdr>
      <w:divsChild>
        <w:div w:id="434980754">
          <w:marLeft w:val="0"/>
          <w:marRight w:val="0"/>
          <w:marTop w:val="0"/>
          <w:marBottom w:val="0"/>
          <w:divBdr>
            <w:top w:val="none" w:sz="0" w:space="0" w:color="auto"/>
            <w:left w:val="none" w:sz="0" w:space="0" w:color="auto"/>
            <w:bottom w:val="none" w:sz="0" w:space="0" w:color="auto"/>
            <w:right w:val="none" w:sz="0" w:space="0" w:color="auto"/>
          </w:divBdr>
        </w:div>
      </w:divsChild>
    </w:div>
    <w:div w:id="434980759">
      <w:marLeft w:val="0"/>
      <w:marRight w:val="0"/>
      <w:marTop w:val="0"/>
      <w:marBottom w:val="0"/>
      <w:divBdr>
        <w:top w:val="none" w:sz="0" w:space="0" w:color="auto"/>
        <w:left w:val="none" w:sz="0" w:space="0" w:color="auto"/>
        <w:bottom w:val="none" w:sz="0" w:space="0" w:color="auto"/>
        <w:right w:val="none" w:sz="0" w:space="0" w:color="auto"/>
      </w:divBdr>
      <w:divsChild>
        <w:div w:id="434980752">
          <w:marLeft w:val="720"/>
          <w:marRight w:val="0"/>
          <w:marTop w:val="100"/>
          <w:marBottom w:val="100"/>
          <w:divBdr>
            <w:top w:val="none" w:sz="0" w:space="0" w:color="auto"/>
            <w:left w:val="none" w:sz="0" w:space="0" w:color="auto"/>
            <w:bottom w:val="none" w:sz="0" w:space="0" w:color="auto"/>
            <w:right w:val="none" w:sz="0" w:space="0" w:color="auto"/>
          </w:divBdr>
          <w:divsChild>
            <w:div w:id="434980753">
              <w:marLeft w:val="0"/>
              <w:marRight w:val="0"/>
              <w:marTop w:val="0"/>
              <w:marBottom w:val="0"/>
              <w:divBdr>
                <w:top w:val="none" w:sz="0" w:space="0" w:color="auto"/>
                <w:left w:val="none" w:sz="0" w:space="0" w:color="auto"/>
                <w:bottom w:val="none" w:sz="0" w:space="0" w:color="auto"/>
                <w:right w:val="none" w:sz="0" w:space="0" w:color="auto"/>
              </w:divBdr>
            </w:div>
            <w:div w:id="434980757">
              <w:marLeft w:val="0"/>
              <w:marRight w:val="0"/>
              <w:marTop w:val="0"/>
              <w:marBottom w:val="0"/>
              <w:divBdr>
                <w:top w:val="none" w:sz="0" w:space="0" w:color="auto"/>
                <w:left w:val="none" w:sz="0" w:space="0" w:color="auto"/>
                <w:bottom w:val="none" w:sz="0" w:space="0" w:color="auto"/>
                <w:right w:val="none" w:sz="0" w:space="0" w:color="auto"/>
              </w:divBdr>
            </w:div>
          </w:divsChild>
        </w:div>
        <w:div w:id="434980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2079</Words>
  <Characters>10929</Characters>
  <Application>Microsoft Office Word</Application>
  <DocSecurity>0</DocSecurity>
  <Lines>435</Lines>
  <Paragraphs>150</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12913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2011-04-06T06:00:00Z</cp:lastPrinted>
  <dcterms:created xsi:type="dcterms:W3CDTF">2018-09-11T23:20:00Z</dcterms:created>
  <dcterms:modified xsi:type="dcterms:W3CDTF">2018-09-11T23:20:00Z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A6326324</vt:lpwstr>
  </property>
  <property fmtid="{D5CDD505-2E9C-101B-9397-08002B2CF9AE}" pid="3" name="Objective-Title">
    <vt:lpwstr>Attachment B TA2011-04 commencement notice + TA document - April 2011</vt:lpwstr>
  </property>
  <property fmtid="{D5CDD505-2E9C-101B-9397-08002B2CF9AE}" pid="4" name="Objective-Comment">
    <vt:lpwstr> </vt:lpwstr>
  </property>
  <property fmtid="{D5CDD505-2E9C-101B-9397-08002B2CF9AE}" pid="5" name="Objective-CreationStamp">
    <vt:filetime>2011-04-06T14:00:00Z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2011-04-16T14:00:00Z</vt:filetime>
  </property>
  <property fmtid="{D5CDD505-2E9C-101B-9397-08002B2CF9AE}" pid="9" name="Objective-ModificationStamp">
    <vt:filetime>2011-04-16T14:00:00Z</vt:filetime>
  </property>
  <property fmtid="{D5CDD505-2E9C-101B-9397-08002B2CF9AE}" pid="10" name="Objective-Owner">
    <vt:lpwstr>Janine Ridsdale</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06 Commencement docs</vt:lpwstr>
  </property>
  <property fmtid="{D5CDD505-2E9C-101B-9397-08002B2CF9AE}" pid="13" name="Objective-State">
    <vt:lpwstr>Published</vt:lpwstr>
  </property>
  <property fmtid="{D5CDD505-2E9C-101B-9397-08002B2CF9AE}" pid="14" name="Objective-Version">
    <vt:lpwstr>4.0</vt:lpwstr>
  </property>
  <property fmtid="{D5CDD505-2E9C-101B-9397-08002B2CF9AE}" pid="15" name="Objective-VersionNumber">
    <vt:i4>4</vt:i4>
  </property>
  <property fmtid="{D5CDD505-2E9C-101B-9397-08002B2CF9AE}" pid="16" name="Objective-VersionComment">
    <vt:lpwstr> </vt:lpwstr>
  </property>
  <property fmtid="{D5CDD505-2E9C-101B-9397-08002B2CF9AE}" pid="17" name="Objective-FileNumber">
    <vt:lpwstr>1-2011/00364</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