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44" w:rsidRDefault="00155044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155044" w:rsidRDefault="00155044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155044" w:rsidRDefault="00155044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Forde) Plan Variation 2011</w:t>
      </w:r>
      <w:r w:rsidR="004F5783">
        <w:rPr>
          <w:rFonts w:cs="Arial"/>
        </w:rPr>
        <w:t xml:space="preserve"> (No 2)*</w:t>
      </w:r>
    </w:p>
    <w:p w:rsidR="00155044" w:rsidRDefault="00155044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 309</w:t>
      </w:r>
    </w:p>
    <w:p w:rsidR="00155044" w:rsidRDefault="00155044">
      <w:pPr>
        <w:rPr>
          <w:b/>
          <w:bCs/>
        </w:rPr>
      </w:pPr>
      <w:r>
        <w:rPr>
          <w:b/>
          <w:bCs/>
        </w:rPr>
        <w:t>Technical Amendment No 2011-24</w:t>
      </w:r>
    </w:p>
    <w:p w:rsidR="00155044" w:rsidRDefault="00155044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155044" w:rsidRDefault="00155044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155044" w:rsidRDefault="00155044">
      <w:pPr>
        <w:pStyle w:val="N-line3"/>
        <w:pBdr>
          <w:bottom w:val="none" w:sz="0" w:space="0" w:color="auto"/>
        </w:pBdr>
        <w:rPr>
          <w:rFonts w:cs="Arial"/>
        </w:rPr>
      </w:pPr>
    </w:p>
    <w:p w:rsidR="00155044" w:rsidRDefault="00155044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155044" w:rsidRDefault="00155044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155044" w:rsidRDefault="00155044">
      <w:pPr>
        <w:pStyle w:val="BodyText"/>
        <w:rPr>
          <w:b w:val="0"/>
          <w:bCs/>
          <w:sz w:val="24"/>
          <w:szCs w:val="24"/>
        </w:rPr>
      </w:pPr>
    </w:p>
    <w:p w:rsidR="00155044" w:rsidRDefault="00155044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2011-24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Authority.</w:t>
      </w:r>
    </w:p>
    <w:p w:rsidR="00155044" w:rsidRDefault="00155044">
      <w:pPr>
        <w:pStyle w:val="BodyText"/>
        <w:rPr>
          <w:b w:val="0"/>
          <w:bCs/>
          <w:color w:val="000000"/>
          <w:sz w:val="24"/>
          <w:szCs w:val="24"/>
        </w:rPr>
      </w:pPr>
    </w:p>
    <w:p w:rsidR="00155044" w:rsidRDefault="00155044">
      <w:pPr>
        <w:pStyle w:val="BodyText"/>
        <w:rPr>
          <w:b w:val="0"/>
          <w:bCs/>
          <w:sz w:val="24"/>
          <w:szCs w:val="24"/>
        </w:rPr>
      </w:pPr>
      <w:r>
        <w:rPr>
          <w:bCs/>
          <w:color w:val="000000"/>
          <w:sz w:val="24"/>
          <w:szCs w:val="24"/>
        </w:rPr>
        <w:t>Annexure A, B and C</w:t>
      </w:r>
      <w:r>
        <w:rPr>
          <w:b w:val="0"/>
          <w:bCs/>
          <w:color w:val="000000"/>
          <w:sz w:val="24"/>
          <w:szCs w:val="24"/>
        </w:rPr>
        <w:t xml:space="preserve"> - </w:t>
      </w:r>
      <w:r>
        <w:rPr>
          <w:b w:val="0"/>
          <w:bCs/>
          <w:sz w:val="24"/>
          <w:szCs w:val="24"/>
        </w:rPr>
        <w:t>The maps specify that the land identified may be used for the purposes indicated on these maps.</w:t>
      </w:r>
    </w:p>
    <w:p w:rsidR="00155044" w:rsidRDefault="00155044">
      <w:pPr>
        <w:pStyle w:val="BodyText"/>
        <w:rPr>
          <w:b w:val="0"/>
          <w:bCs/>
          <w:sz w:val="24"/>
          <w:szCs w:val="24"/>
        </w:rPr>
      </w:pPr>
    </w:p>
    <w:p w:rsidR="00155044" w:rsidRDefault="00155044">
      <w:pPr>
        <w:tabs>
          <w:tab w:val="left" w:pos="-720"/>
          <w:tab w:val="left" w:pos="19"/>
        </w:tabs>
        <w:autoSpaceDE w:val="0"/>
        <w:autoSpaceDN w:val="0"/>
        <w:adjustRightInd w:val="0"/>
        <w:ind w:right="-30"/>
        <w:jc w:val="both"/>
        <w:rPr>
          <w:rFonts w:cs="Arial"/>
          <w:szCs w:val="24"/>
        </w:rPr>
      </w:pPr>
      <w:r>
        <w:rPr>
          <w:b/>
          <w:bCs/>
          <w:szCs w:val="24"/>
        </w:rPr>
        <w:t xml:space="preserve">Annexure D - </w:t>
      </w:r>
      <w:r>
        <w:rPr>
          <w:rFonts w:cs="Arial"/>
          <w:szCs w:val="24"/>
        </w:rPr>
        <w:t>Introduces Forde Precinct Code to section 10 of the Territory Plan.</w:t>
      </w:r>
    </w:p>
    <w:p w:rsidR="00155044" w:rsidRDefault="00155044">
      <w:pPr>
        <w:pStyle w:val="BodyText"/>
        <w:rPr>
          <w:b w:val="0"/>
          <w:bCs/>
          <w:color w:val="000000"/>
          <w:sz w:val="24"/>
          <w:szCs w:val="24"/>
        </w:rPr>
      </w:pPr>
    </w:p>
    <w:p w:rsidR="00155044" w:rsidRDefault="00155044">
      <w:pPr>
        <w:pStyle w:val="BodyText"/>
        <w:rPr>
          <w:b w:val="0"/>
          <w:sz w:val="24"/>
          <w:szCs w:val="24"/>
        </w:rPr>
      </w:pPr>
      <w:r>
        <w:rPr>
          <w:b w:val="0"/>
          <w:bCs/>
          <w:color w:val="000000"/>
          <w:sz w:val="24"/>
          <w:szCs w:val="24"/>
        </w:rPr>
        <w:t xml:space="preserve">The variations specify that the land identified on the maps of annexure A, B, C and D being land within the Division of </w:t>
      </w:r>
      <w:r>
        <w:rPr>
          <w:b w:val="0"/>
          <w:bCs/>
          <w:sz w:val="24"/>
          <w:szCs w:val="24"/>
        </w:rPr>
        <w:t>Forde</w:t>
      </w:r>
      <w:r>
        <w:rPr>
          <w:b w:val="0"/>
          <w:bCs/>
          <w:color w:val="000000"/>
          <w:sz w:val="24"/>
          <w:szCs w:val="24"/>
        </w:rPr>
        <w:t>, may be used for the purposes indicated in the annexure.</w:t>
      </w:r>
    </w:p>
    <w:p w:rsidR="00155044" w:rsidRDefault="00155044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155044" w:rsidRDefault="00155044">
      <w:pPr>
        <w:pStyle w:val="BodyText"/>
        <w:rPr>
          <w:rFonts w:cs="Arial"/>
          <w:szCs w:val="24"/>
        </w:rPr>
      </w:pPr>
    </w:p>
    <w:p w:rsidR="00155044" w:rsidRDefault="00155044"/>
    <w:p w:rsidR="00155044" w:rsidRDefault="00155044"/>
    <w:p w:rsidR="00155044" w:rsidRDefault="00155044"/>
    <w:p w:rsidR="00155044" w:rsidRDefault="00155044"/>
    <w:p w:rsidR="00155044" w:rsidRDefault="00155044"/>
    <w:p w:rsidR="00155044" w:rsidRDefault="00155044">
      <w:r>
        <w:t>Neil Savery</w:t>
      </w:r>
    </w:p>
    <w:p w:rsidR="00155044" w:rsidRDefault="00155044">
      <w:pPr>
        <w:rPr>
          <w:rFonts w:cs="Arial"/>
          <w:szCs w:val="24"/>
        </w:rPr>
      </w:pPr>
      <w:r>
        <w:rPr>
          <w:bCs/>
          <w:szCs w:val="24"/>
        </w:rPr>
        <w:t>Planning and Land Authority</w:t>
      </w:r>
    </w:p>
    <w:p w:rsidR="00155044" w:rsidRDefault="00155044">
      <w:pPr>
        <w:rPr>
          <w:color w:val="000000"/>
          <w:szCs w:val="24"/>
        </w:rPr>
      </w:pPr>
    </w:p>
    <w:p w:rsidR="00155044" w:rsidRDefault="00155044">
      <w:pPr>
        <w:rPr>
          <w:color w:val="000000"/>
          <w:szCs w:val="24"/>
        </w:rPr>
      </w:pPr>
      <w:r>
        <w:rPr>
          <w:color w:val="000000"/>
          <w:szCs w:val="24"/>
        </w:rPr>
        <w:t>Date: 20 June 2011</w:t>
      </w:r>
    </w:p>
    <w:p w:rsidR="00155044" w:rsidRDefault="00155044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309</w:t>
      </w:r>
    </w:p>
    <w:p w:rsidR="00155044" w:rsidRDefault="00155044">
      <w:pPr>
        <w:jc w:val="center"/>
        <w:rPr>
          <w:rFonts w:cs="Arial"/>
          <w:b/>
          <w:bCs/>
        </w:rPr>
      </w:pPr>
    </w:p>
    <w:p w:rsidR="00155044" w:rsidRDefault="00155044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="00B77410">
        <w:rPr>
          <w:rFonts w:cs="Arial"/>
          <w:b/>
          <w:bCs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490.5pt">
            <v:imagedata r:id="rId7" o:title=""/>
          </v:shape>
        </w:pict>
      </w:r>
    </w:p>
    <w:p w:rsidR="00155044" w:rsidRDefault="00155044">
      <w:pPr>
        <w:ind w:left="3600"/>
      </w:pPr>
      <w:r>
        <w:rPr>
          <w:rFonts w:cs="Arial"/>
          <w:b/>
          <w:bCs/>
        </w:rPr>
        <w:tab/>
      </w: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tabs>
          <w:tab w:val="left" w:pos="709"/>
        </w:tabs>
      </w:pPr>
      <w:r>
        <w:rPr>
          <w:rFonts w:cs="Arial"/>
          <w:szCs w:val="24"/>
          <w:lang w:eastAsia="en-AU"/>
        </w:rPr>
        <w:tab/>
        <w:t>Neil Savery</w:t>
      </w:r>
    </w:p>
    <w:p w:rsidR="00155044" w:rsidRDefault="00155044">
      <w:pPr>
        <w:tabs>
          <w:tab w:val="left" w:pos="709"/>
        </w:tabs>
        <w:rPr>
          <w:rFonts w:cs="Arial"/>
          <w:szCs w:val="24"/>
        </w:rPr>
      </w:pPr>
      <w:r>
        <w:rPr>
          <w:rFonts w:cs="Arial"/>
        </w:rPr>
        <w:tab/>
      </w:r>
      <w:r>
        <w:rPr>
          <w:bCs/>
          <w:szCs w:val="24"/>
        </w:rPr>
        <w:t>Planning and Land Authority</w:t>
      </w:r>
    </w:p>
    <w:p w:rsidR="00155044" w:rsidRDefault="00155044">
      <w:pPr>
        <w:tabs>
          <w:tab w:val="left" w:pos="709"/>
        </w:tabs>
        <w:rPr>
          <w:rFonts w:cs="Arial"/>
          <w:b/>
          <w:bCs/>
        </w:rPr>
      </w:pPr>
      <w:r>
        <w:tab/>
        <w:t>Date: 20 June 2011</w:t>
      </w:r>
    </w:p>
    <w:p w:rsidR="00155044" w:rsidRDefault="00155044">
      <w:pPr>
        <w:rPr>
          <w:color w:val="000000"/>
        </w:rPr>
      </w:pP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ONE OF ANNEXURE B </w:t>
      </w: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TO NOTIFIABLE INSTRUMENT NI2011 – 309</w:t>
      </w:r>
    </w:p>
    <w:p w:rsidR="00155044" w:rsidRDefault="00155044">
      <w:pPr>
        <w:jc w:val="center"/>
        <w:rPr>
          <w:rFonts w:cs="Arial"/>
          <w:b/>
          <w:bCs/>
        </w:rPr>
      </w:pPr>
    </w:p>
    <w:p w:rsidR="00155044" w:rsidRDefault="00155044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="00B77410">
        <w:rPr>
          <w:rFonts w:cs="Arial"/>
          <w:b/>
          <w:bCs/>
          <w:highlight w:val="red"/>
        </w:rPr>
        <w:pict>
          <v:shape id="_x0000_i1026" type="#_x0000_t75" style="width:253.5pt;height:489pt">
            <v:imagedata r:id="rId8" o:title=""/>
          </v:shape>
        </w:pict>
      </w:r>
    </w:p>
    <w:p w:rsidR="00155044" w:rsidRDefault="00155044">
      <w:pPr>
        <w:ind w:left="3600"/>
      </w:pPr>
      <w:r>
        <w:rPr>
          <w:rFonts w:cs="Arial"/>
          <w:b/>
          <w:bCs/>
        </w:rPr>
        <w:tab/>
      </w: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Neil Savery</w:t>
      </w:r>
    </w:p>
    <w:p w:rsidR="00155044" w:rsidRDefault="00155044">
      <w:pPr>
        <w:tabs>
          <w:tab w:val="left" w:pos="1418"/>
        </w:tabs>
        <w:rPr>
          <w:rFonts w:cs="Arial"/>
          <w:szCs w:val="24"/>
        </w:rPr>
      </w:pPr>
      <w:r>
        <w:rPr>
          <w:rFonts w:cs="Arial"/>
        </w:rPr>
        <w:tab/>
      </w:r>
      <w:r>
        <w:rPr>
          <w:bCs/>
          <w:szCs w:val="24"/>
        </w:rPr>
        <w:t>Planning and Land Authority</w:t>
      </w:r>
    </w:p>
    <w:p w:rsidR="00155044" w:rsidRDefault="00155044">
      <w:pPr>
        <w:tabs>
          <w:tab w:val="left" w:pos="1418"/>
        </w:tabs>
        <w:rPr>
          <w:rFonts w:cs="Arial"/>
          <w:b/>
          <w:bCs/>
        </w:rPr>
      </w:pPr>
      <w:r>
        <w:tab/>
        <w:t>Date: 20 June 2011</w:t>
      </w:r>
    </w:p>
    <w:p w:rsidR="00155044" w:rsidRDefault="00155044">
      <w:pPr>
        <w:rPr>
          <w:color w:val="000000"/>
        </w:rPr>
      </w:pPr>
    </w:p>
    <w:p w:rsidR="00155044" w:rsidRDefault="00155044">
      <w:pPr>
        <w:jc w:val="center"/>
        <w:rPr>
          <w:rFonts w:cs="Arial"/>
          <w:b/>
          <w:bCs/>
        </w:rPr>
      </w:pP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THIS IS PAGE ONE OF ANNEXURE C </w:t>
      </w: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309</w:t>
      </w:r>
    </w:p>
    <w:p w:rsidR="00155044" w:rsidRDefault="00155044">
      <w:pPr>
        <w:jc w:val="center"/>
        <w:rPr>
          <w:rFonts w:cs="Arial"/>
          <w:b/>
          <w:bCs/>
        </w:rPr>
      </w:pPr>
    </w:p>
    <w:p w:rsidR="00155044" w:rsidRDefault="00155044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="00B77410">
        <w:rPr>
          <w:rFonts w:cs="Arial"/>
          <w:b/>
          <w:bCs/>
          <w:highlight w:val="red"/>
        </w:rPr>
        <w:pict>
          <v:shape id="_x0000_i1027" type="#_x0000_t75" style="width:349.5pt;height:488.25pt">
            <v:imagedata r:id="rId9" o:title=""/>
          </v:shape>
        </w:pict>
      </w:r>
    </w:p>
    <w:p w:rsidR="00155044" w:rsidRDefault="00155044">
      <w:pPr>
        <w:ind w:left="3600"/>
      </w:pPr>
      <w:r>
        <w:rPr>
          <w:rFonts w:cs="Arial"/>
          <w:b/>
          <w:bCs/>
        </w:rPr>
        <w:tab/>
      </w: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ind w:left="3600"/>
      </w:pPr>
    </w:p>
    <w:p w:rsidR="00155044" w:rsidRDefault="00155044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Neil Savery</w:t>
      </w:r>
    </w:p>
    <w:p w:rsidR="00155044" w:rsidRDefault="00155044">
      <w:pPr>
        <w:tabs>
          <w:tab w:val="left" w:pos="1418"/>
        </w:tabs>
        <w:rPr>
          <w:rFonts w:cs="Arial"/>
          <w:szCs w:val="24"/>
        </w:rPr>
      </w:pPr>
      <w:r>
        <w:rPr>
          <w:rFonts w:cs="Arial"/>
        </w:rPr>
        <w:tab/>
      </w:r>
      <w:r>
        <w:rPr>
          <w:bCs/>
          <w:szCs w:val="24"/>
        </w:rPr>
        <w:t>Planning and Land Authority</w:t>
      </w:r>
    </w:p>
    <w:p w:rsidR="00155044" w:rsidRDefault="00155044">
      <w:pPr>
        <w:tabs>
          <w:tab w:val="left" w:pos="1418"/>
        </w:tabs>
      </w:pPr>
      <w:r>
        <w:tab/>
        <w:t>Date: 20 June 2011</w:t>
      </w:r>
    </w:p>
    <w:p w:rsidR="00155044" w:rsidRDefault="00155044">
      <w:pPr>
        <w:tabs>
          <w:tab w:val="left" w:pos="1418"/>
        </w:tabs>
      </w:pPr>
    </w:p>
    <w:p w:rsidR="00155044" w:rsidRDefault="00155044">
      <w:pPr>
        <w:tabs>
          <w:tab w:val="left" w:pos="1418"/>
        </w:tabs>
      </w:pPr>
    </w:p>
    <w:p w:rsidR="00155044" w:rsidRDefault="00155044">
      <w:pPr>
        <w:tabs>
          <w:tab w:val="left" w:pos="1418"/>
        </w:tabs>
      </w:pPr>
    </w:p>
    <w:p w:rsidR="00155044" w:rsidRDefault="00155044">
      <w:pPr>
        <w:autoSpaceDE w:val="0"/>
        <w:autoSpaceDN w:val="0"/>
        <w:adjustRightInd w:val="0"/>
        <w:rPr>
          <w:rFonts w:cs="Arial"/>
          <w:lang w:eastAsia="en-AU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jc w:val="center"/>
        <w:rPr>
          <w:rFonts w:cs="Arial"/>
          <w:b/>
          <w:bCs/>
        </w:rPr>
      </w:pP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D</w:t>
      </w:r>
    </w:p>
    <w:p w:rsidR="00155044" w:rsidRDefault="0015504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309</w:t>
      </w: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155044">
      <w:pPr>
        <w:rPr>
          <w:color w:val="000000"/>
        </w:rPr>
      </w:pPr>
    </w:p>
    <w:p w:rsidR="00155044" w:rsidRDefault="00B77410">
      <w:pPr>
        <w:jc w:val="center"/>
      </w:pPr>
      <w:r>
        <w:pict>
          <v:shape id="_x0000_i1028" type="#_x0000_t75" style="width:156pt;height:60.75pt">
            <v:imagedata r:id="rId10" o:title=""/>
          </v:shape>
        </w:pict>
      </w:r>
    </w:p>
    <w:p w:rsidR="00155044" w:rsidRDefault="00155044"/>
    <w:p w:rsidR="00155044" w:rsidRDefault="00155044"/>
    <w:p w:rsidR="00155044" w:rsidRDefault="00155044"/>
    <w:p w:rsidR="00155044" w:rsidRDefault="00155044"/>
    <w:p w:rsidR="00155044" w:rsidRDefault="00155044"/>
    <w:p w:rsidR="00155044" w:rsidRDefault="00155044">
      <w:pPr>
        <w:pStyle w:val="codeTitle"/>
        <w:spacing w:before="0"/>
      </w:pPr>
      <w:bookmarkStart w:id="2" w:name="_Toc285626614"/>
    </w:p>
    <w:p w:rsidR="00155044" w:rsidRDefault="00155044">
      <w:pPr>
        <w:pStyle w:val="codeTitle"/>
        <w:spacing w:before="0"/>
      </w:pPr>
    </w:p>
    <w:p w:rsidR="00155044" w:rsidRDefault="00155044">
      <w:pPr>
        <w:pStyle w:val="codeTitle"/>
        <w:spacing w:before="0"/>
      </w:pPr>
    </w:p>
    <w:p w:rsidR="00155044" w:rsidRDefault="00155044">
      <w:pPr>
        <w:pStyle w:val="codeTitle"/>
        <w:spacing w:before="0"/>
      </w:pPr>
      <w:r>
        <w:t>Forde Precinct Code</w:t>
      </w:r>
      <w:bookmarkEnd w:id="2"/>
    </w:p>
    <w:p w:rsidR="00155044" w:rsidRDefault="00155044">
      <w:pPr>
        <w:spacing w:before="1440"/>
        <w:jc w:val="center"/>
        <w:rPr>
          <w:rFonts w:cs="Arial"/>
          <w:b/>
          <w:bCs/>
          <w:sz w:val="40"/>
        </w:rPr>
        <w:sectPr w:rsidR="0015504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/>
          <w:pgMar w:top="1440" w:right="1559" w:bottom="1440" w:left="1797" w:header="720" w:footer="720" w:gutter="0"/>
          <w:paperSrc w:first="7" w:other="7"/>
          <w:cols w:space="720"/>
          <w:titlePg/>
        </w:sectPr>
      </w:pPr>
      <w:r>
        <w:rPr>
          <w:rFonts w:cs="Arial"/>
          <w:b/>
          <w:bCs/>
          <w:sz w:val="40"/>
        </w:rPr>
        <w:t>Covering the Division of Forde</w:t>
      </w:r>
    </w:p>
    <w:p w:rsidR="00155044" w:rsidRDefault="00155044"/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155044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155044" w:rsidRDefault="00155044">
            <w:pPr>
              <w:pStyle w:val="partHeading"/>
            </w:pPr>
            <w:bookmarkStart w:id="3" w:name="_Toc162256014"/>
            <w:bookmarkStart w:id="4" w:name="_Toc296502929"/>
            <w:r>
              <w:t>Introduction</w:t>
            </w:r>
            <w:bookmarkEnd w:id="3"/>
            <w:bookmarkEnd w:id="4"/>
          </w:p>
        </w:tc>
      </w:tr>
    </w:tbl>
    <w:p w:rsidR="00155044" w:rsidRDefault="00155044">
      <w:pPr>
        <w:pStyle w:val="bodySubheading"/>
      </w:pPr>
    </w:p>
    <w:p w:rsidR="00155044" w:rsidRDefault="00155044">
      <w:pPr>
        <w:pStyle w:val="bodySubheading"/>
      </w:pPr>
      <w:r>
        <w:t>Name</w:t>
      </w:r>
    </w:p>
    <w:p w:rsidR="00155044" w:rsidRDefault="00155044">
      <w:pPr>
        <w:pStyle w:val="bodySubheading"/>
        <w:rPr>
          <w:b w:val="0"/>
        </w:rPr>
      </w:pPr>
      <w:r>
        <w:rPr>
          <w:b w:val="0"/>
        </w:rPr>
        <w:t>The name of this code is the Forde Precinct Code.</w:t>
      </w:r>
    </w:p>
    <w:p w:rsidR="00155044" w:rsidRDefault="00155044">
      <w:pPr>
        <w:pStyle w:val="bodySubheading"/>
      </w:pPr>
    </w:p>
    <w:p w:rsidR="00155044" w:rsidRDefault="00155044">
      <w:pPr>
        <w:pStyle w:val="bodySubheading"/>
      </w:pPr>
      <w:r>
        <w:t xml:space="preserve">Application </w:t>
      </w:r>
    </w:p>
    <w:p w:rsidR="00155044" w:rsidRDefault="00155044">
      <w:pPr>
        <w:autoSpaceDE w:val="0"/>
        <w:autoSpaceDN w:val="0"/>
        <w:adjustRightInd w:val="0"/>
        <w:rPr>
          <w:rFonts w:ascii="ArialMT" w:hAnsi="ArialMT" w:cs="ArialMT"/>
          <w:sz w:val="20"/>
          <w:lang w:eastAsia="en-AU"/>
        </w:rPr>
      </w:pPr>
      <w:r>
        <w:rPr>
          <w:rFonts w:ascii="ArialMT" w:hAnsi="ArialMT" w:cs="ArialMT"/>
          <w:sz w:val="20"/>
          <w:lang w:eastAsia="en-AU"/>
        </w:rPr>
        <w:t>This Precinct Code applies to the suburb of Forde. The code identifies individual blocks or areas to which specific provisions apply as defined in the legend of the map attached.</w:t>
      </w:r>
    </w:p>
    <w:p w:rsidR="00155044" w:rsidRDefault="00155044">
      <w:pPr>
        <w:autoSpaceDE w:val="0"/>
        <w:autoSpaceDN w:val="0"/>
        <w:adjustRightInd w:val="0"/>
        <w:rPr>
          <w:rFonts w:ascii="ArialMT" w:hAnsi="ArialMT" w:cs="ArialMT"/>
          <w:sz w:val="20"/>
          <w:lang w:eastAsia="en-AU"/>
        </w:rPr>
      </w:pPr>
    </w:p>
    <w:p w:rsidR="00155044" w:rsidRDefault="00155044">
      <w:pPr>
        <w:pStyle w:val="bodyText0"/>
        <w:rPr>
          <w:lang w:eastAsia="en-AU"/>
        </w:rPr>
      </w:pPr>
      <w:r>
        <w:rPr>
          <w:lang w:eastAsia="en-AU"/>
        </w:rPr>
        <w:t xml:space="preserve">Where more than one type of Code applies to a development, the order of precedence when there is inconsistency of provisions between Codes, as defined by the Act, is </w:t>
      </w:r>
      <w:r>
        <w:rPr>
          <w:b/>
          <w:bCs/>
          <w:lang w:eastAsia="en-AU"/>
        </w:rPr>
        <w:t>Precinct Code</w:t>
      </w:r>
      <w:r>
        <w:rPr>
          <w:lang w:eastAsia="en-AU"/>
        </w:rPr>
        <w:t xml:space="preserve">, then </w:t>
      </w:r>
      <w:r>
        <w:rPr>
          <w:b/>
          <w:bCs/>
          <w:lang w:eastAsia="en-AU"/>
        </w:rPr>
        <w:t>Development Code</w:t>
      </w:r>
      <w:r>
        <w:rPr>
          <w:lang w:eastAsia="en-AU"/>
        </w:rPr>
        <w:t xml:space="preserve">, and then </w:t>
      </w:r>
      <w:r>
        <w:rPr>
          <w:b/>
          <w:bCs/>
          <w:lang w:eastAsia="en-AU"/>
        </w:rPr>
        <w:t>General Code</w:t>
      </w:r>
      <w:r>
        <w:rPr>
          <w:lang w:eastAsia="en-AU"/>
        </w:rPr>
        <w:t>.</w:t>
      </w:r>
    </w:p>
    <w:p w:rsidR="00155044" w:rsidRDefault="00155044">
      <w:pPr>
        <w:pStyle w:val="bodySubheading"/>
        <w:spacing w:before="0" w:line="240" w:lineRule="auto"/>
      </w:pPr>
    </w:p>
    <w:p w:rsidR="00155044" w:rsidRDefault="00155044">
      <w:pPr>
        <w:pStyle w:val="bodyText0"/>
        <w:rPr>
          <w:b/>
          <w:lang w:eastAsia="en-AU"/>
        </w:rPr>
      </w:pPr>
      <w:r>
        <w:rPr>
          <w:b/>
          <w:lang w:eastAsia="en-AU"/>
        </w:rPr>
        <w:t>Purpose of code</w:t>
      </w:r>
    </w:p>
    <w:p w:rsidR="00155044" w:rsidRDefault="00155044">
      <w:pPr>
        <w:pStyle w:val="bodyText0"/>
        <w:rPr>
          <w:lang w:eastAsia="en-AU"/>
        </w:rPr>
      </w:pPr>
      <w:r>
        <w:rPr>
          <w:lang w:eastAsia="en-AU"/>
        </w:rPr>
        <w:t>Codes provide additional planning, design and environmental controls to support the zone objectives and assessable uses in the Development Tables.</w:t>
      </w:r>
    </w:p>
    <w:p w:rsidR="00155044" w:rsidRDefault="00155044">
      <w:pPr>
        <w:pStyle w:val="bodyText0"/>
      </w:pPr>
      <w:r>
        <w:rPr>
          <w:lang w:eastAsia="en-AU"/>
        </w:rPr>
        <w:t>The Codes are used by the Authority to assess development applications. The Codes therefore also provide guidance to intending applicants in designing their developments and preparing their development applications.</w:t>
      </w:r>
    </w:p>
    <w:p w:rsidR="00155044" w:rsidRDefault="00155044">
      <w:pPr>
        <w:pStyle w:val="bodySubheading"/>
        <w:spacing w:before="0" w:line="240" w:lineRule="auto"/>
      </w:pPr>
    </w:p>
    <w:p w:rsidR="00155044" w:rsidRDefault="00155044">
      <w:pPr>
        <w:pStyle w:val="bodyText0"/>
        <w:rPr>
          <w:b/>
        </w:rPr>
      </w:pPr>
      <w:r>
        <w:rPr>
          <w:b/>
        </w:rPr>
        <w:t>Further information</w:t>
      </w:r>
    </w:p>
    <w:p w:rsidR="00155044" w:rsidRDefault="00155044">
      <w:pPr>
        <w:pStyle w:val="bodyText0"/>
      </w:pPr>
      <w:r>
        <w:t xml:space="preserve">Please refer also to the Forde Concept Plan for other relevant or applicable planning provisions. </w:t>
      </w:r>
    </w:p>
    <w:p w:rsidR="00155044" w:rsidRDefault="00155044">
      <w:pPr>
        <w:pStyle w:val="bodyText0"/>
        <w:rPr>
          <w:szCs w:val="22"/>
        </w:rPr>
      </w:pPr>
      <w:r>
        <w:br w:type="page"/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155044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155044" w:rsidRDefault="00155044">
            <w:pPr>
              <w:pStyle w:val="partHeading"/>
            </w:pPr>
            <w:bookmarkStart w:id="5" w:name="_Toc296502930"/>
            <w:r>
              <w:t>Forde Precinct Code</w:t>
            </w:r>
            <w:bookmarkEnd w:id="5"/>
          </w:p>
        </w:tc>
      </w:tr>
    </w:tbl>
    <w:p w:rsidR="00155044" w:rsidRDefault="00155044">
      <w:pPr>
        <w:rPr>
          <w:rFonts w:cs="Arial"/>
          <w:sz w:val="22"/>
          <w:szCs w:val="22"/>
        </w:rPr>
      </w:pPr>
    </w:p>
    <w:p w:rsidR="00155044" w:rsidRDefault="00155044"/>
    <w:p w:rsidR="00155044" w:rsidRDefault="00155044">
      <w:pPr>
        <w:ind w:left="2880" w:firstLine="720"/>
        <w:rPr>
          <w:rFonts w:cs="Arial"/>
          <w:szCs w:val="24"/>
          <w:lang w:eastAsia="en-AU"/>
        </w:rPr>
      </w:pPr>
    </w:p>
    <w:p w:rsidR="00155044" w:rsidRDefault="00B77410">
      <w:pPr>
        <w:rPr>
          <w:rFonts w:cs="Arial"/>
          <w:color w:val="0066CC"/>
        </w:rPr>
      </w:pPr>
      <w:r>
        <w:rPr>
          <w:rFonts w:cs="Arial"/>
          <w:color w:val="0066CC"/>
        </w:rPr>
        <w:pict>
          <v:shape id="_x0000_i1029" type="#_x0000_t75" style="width:423.75pt;height:602.25pt">
            <v:imagedata r:id="rId17" o:title=""/>
          </v:shape>
        </w:pict>
      </w:r>
    </w:p>
    <w:sectPr w:rsidR="00155044">
      <w:footerReference w:type="default" r:id="rId18"/>
      <w:headerReference w:type="first" r:id="rId19"/>
      <w:footerReference w:type="first" r:id="rId20"/>
      <w:pgSz w:w="11907" w:h="16840"/>
      <w:pgMar w:top="1440" w:right="1559" w:bottom="1440" w:left="1797" w:header="720" w:footer="720" w:gutter="0"/>
      <w:paperSrc w:first="7" w:other="7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D20" w:rsidRDefault="00AA5D20">
      <w:r>
        <w:separator/>
      </w:r>
    </w:p>
  </w:endnote>
  <w:endnote w:type="continuationSeparator" w:id="0">
    <w:p w:rsidR="00AA5D20" w:rsidRDefault="00AA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Default="001550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5044" w:rsidRDefault="0015504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Pr="000870A0" w:rsidRDefault="000870A0" w:rsidP="000870A0">
    <w:pPr>
      <w:pStyle w:val="Footer"/>
      <w:jc w:val="center"/>
      <w:rPr>
        <w:rFonts w:cs="Arial"/>
        <w:sz w:val="14"/>
      </w:rPr>
    </w:pPr>
    <w:r w:rsidRPr="000870A0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Default="00155044">
    <w:pPr>
      <w:framePr w:w="10206" w:hSpace="181" w:wrap="auto" w:vAnchor="page" w:hAnchor="page" w:x="681" w:y="16161"/>
      <w:jc w:val="right"/>
      <w:rPr>
        <w:vanish/>
        <w:sz w:val="13"/>
      </w:rPr>
    </w:pPr>
  </w:p>
  <w:p w:rsidR="00155044" w:rsidRDefault="004F5783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4F5783" w:rsidRPr="000870A0" w:rsidRDefault="000870A0" w:rsidP="000870A0">
    <w:pPr>
      <w:pStyle w:val="Footer"/>
      <w:jc w:val="center"/>
      <w:rPr>
        <w:rFonts w:cs="Arial"/>
        <w:sz w:val="14"/>
        <w:szCs w:val="18"/>
      </w:rPr>
    </w:pPr>
    <w:r w:rsidRPr="000870A0">
      <w:rPr>
        <w:rFonts w:cs="Arial"/>
        <w:sz w:val="14"/>
        <w:szCs w:val="18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Pr="000870A0" w:rsidRDefault="000870A0" w:rsidP="000870A0">
    <w:pPr>
      <w:pStyle w:val="Footer"/>
      <w:ind w:right="360"/>
      <w:jc w:val="center"/>
      <w:rPr>
        <w:rFonts w:cs="Arial"/>
        <w:sz w:val="14"/>
      </w:rPr>
    </w:pPr>
    <w:r w:rsidRPr="000870A0">
      <w:rPr>
        <w:rFonts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Default="00155044">
    <w:pPr>
      <w:framePr w:w="10206" w:hSpace="181" w:wrap="auto" w:vAnchor="page" w:hAnchor="page" w:x="681" w:y="16161"/>
      <w:jc w:val="right"/>
      <w:rPr>
        <w:vanish/>
        <w:sz w:val="13"/>
      </w:rPr>
    </w:pPr>
  </w:p>
  <w:p w:rsidR="00155044" w:rsidRPr="000870A0" w:rsidRDefault="000870A0" w:rsidP="000870A0">
    <w:pPr>
      <w:pStyle w:val="Footer"/>
      <w:jc w:val="center"/>
      <w:rPr>
        <w:rFonts w:cs="Arial"/>
        <w:sz w:val="14"/>
      </w:rPr>
    </w:pPr>
    <w:r w:rsidRPr="000870A0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D20" w:rsidRDefault="00AA5D20">
      <w:r>
        <w:separator/>
      </w:r>
    </w:p>
  </w:footnote>
  <w:footnote w:type="continuationSeparator" w:id="0">
    <w:p w:rsidR="00AA5D20" w:rsidRDefault="00AA5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0A0" w:rsidRDefault="000870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0A0" w:rsidRDefault="000870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Default="00155044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44" w:rsidRDefault="00155044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3C35"/>
    <w:rsid w:val="000870A0"/>
    <w:rsid w:val="000A039D"/>
    <w:rsid w:val="000B19CE"/>
    <w:rsid w:val="00155044"/>
    <w:rsid w:val="004F5783"/>
    <w:rsid w:val="00507421"/>
    <w:rsid w:val="007F4C83"/>
    <w:rsid w:val="008E2964"/>
    <w:rsid w:val="00AA5D20"/>
    <w:rsid w:val="00B77410"/>
    <w:rsid w:val="00C245F0"/>
    <w:rsid w:val="00D67EDB"/>
    <w:rsid w:val="00E0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  <w15:docId w15:val="{657278D1-BE4C-4505-AE5E-2B22BBD1D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F5783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/>
      <w:sz w:val="24"/>
      <w:lang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TOC1">
    <w:name w:val="toc 1"/>
    <w:basedOn w:val="Normal"/>
    <w:next w:val="Normal"/>
    <w:uiPriority w:val="39"/>
    <w:semiHidden/>
    <w:pPr>
      <w:spacing w:before="360"/>
    </w:pPr>
    <w:rPr>
      <w:rFonts w:ascii="Times New Roman" w:hAnsi="Times New Roman"/>
      <w:caps/>
      <w:noProof/>
    </w:rPr>
  </w:style>
  <w:style w:type="paragraph" w:customStyle="1" w:styleId="codeTitle">
    <w:name w:val="codeTitle"/>
    <w:basedOn w:val="Heading1"/>
    <w:pPr>
      <w:spacing w:before="1440"/>
      <w:ind w:right="0" w:firstLine="0"/>
      <w:jc w:val="center"/>
    </w:pPr>
    <w:rPr>
      <w:rFonts w:cs="Arial"/>
      <w:bCs/>
      <w:sz w:val="52"/>
    </w:rPr>
  </w:style>
  <w:style w:type="paragraph" w:customStyle="1" w:styleId="ContentsTitle">
    <w:name w:val="ContentsTitle"/>
    <w:basedOn w:val="Heading2"/>
    <w:pPr>
      <w:spacing w:before="120" w:after="120"/>
    </w:pPr>
    <w:rPr>
      <w:i w:val="0"/>
      <w:iCs w:val="0"/>
      <w:szCs w:val="20"/>
    </w:rPr>
  </w:style>
  <w:style w:type="paragraph" w:customStyle="1" w:styleId="bodyText0">
    <w:name w:val="bodyText"/>
    <w:basedOn w:val="Normal"/>
    <w:pPr>
      <w:spacing w:before="120" w:line="288" w:lineRule="auto"/>
    </w:pPr>
    <w:rPr>
      <w:rFonts w:cs="Arial"/>
      <w:sz w:val="20"/>
    </w:rPr>
  </w:style>
  <w:style w:type="paragraph" w:customStyle="1" w:styleId="bodySubheading">
    <w:name w:val="bodySubheading"/>
    <w:basedOn w:val="bodyText0"/>
    <w:rPr>
      <w:b/>
      <w:bCs/>
    </w:rPr>
  </w:style>
  <w:style w:type="paragraph" w:customStyle="1" w:styleId="partHeading">
    <w:name w:val="partHeading"/>
    <w:basedOn w:val="Normal"/>
    <w:pPr>
      <w:spacing w:before="60" w:after="60"/>
    </w:pPr>
    <w:rPr>
      <w:rFonts w:cs="Arial"/>
      <w:b/>
      <w:bCs/>
      <w:color w:val="FFFFFF"/>
      <w:sz w:val="32"/>
    </w:rPr>
  </w:style>
  <w:style w:type="character" w:styleId="PageNumber">
    <w:name w:val="page number"/>
    <w:basedOn w:val="DefaultParagraphFont"/>
    <w:uiPriority w:val="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391</Words>
  <Characters>2025</Characters>
  <Application>Microsoft Office Word</Application>
  <DocSecurity>0</DocSecurity>
  <Lines>140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2396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2011-06-21T00:21:00Z</cp:lastPrinted>
  <dcterms:created xsi:type="dcterms:W3CDTF">2018-09-11T23:42:00Z</dcterms:created>
  <dcterms:modified xsi:type="dcterms:W3CDTF">2018-09-11T23:42:00Z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A6471324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2011-06-14T14:00:00Z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2011-06-21T14:00:00Z</vt:filetime>
  </property>
  <property fmtid="{D5CDD505-2E9C-101B-9397-08002B2CF9AE}" pid="12" name="Objective-ModificationStamp">
    <vt:filetime>2011-06-21T14:00:00Z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 amended Precinct Code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TA2011- 24 - Forde - Notifiable Instrument</vt:lpwstr>
  </property>
  <property fmtid="{D5CDD505-2E9C-101B-9397-08002B2CF9AE}" pid="18" name="Objective-Version">
    <vt:lpwstr>9.0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10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