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7E6" w:rsidRDefault="009E77E6">
      <w:pPr>
        <w:pStyle w:val="Header"/>
        <w:spacing w:before="120"/>
        <w:rPr>
          <w:rFonts w:ascii="Arial" w:hAnsi="Arial" w:cs="Arial"/>
        </w:rPr>
      </w:pPr>
      <w:bookmarkStart w:id="0" w:name="_GoBack"/>
      <w:bookmarkEnd w:id="0"/>
      <w:smartTag w:uri="urn:schemas-microsoft-com:office:smarttags" w:element="place">
        <w:smartTag w:uri="urn:schemas-microsoft-com:office:smarttags" w:element="State">
          <w:r>
            <w:rPr>
              <w:rFonts w:ascii="Arial" w:hAnsi="Arial" w:cs="Arial"/>
            </w:rPr>
            <w:t>Australian Capital Territory</w:t>
          </w:r>
        </w:smartTag>
      </w:smartTag>
    </w:p>
    <w:p w:rsidR="009E77E6" w:rsidRDefault="009E77E6">
      <w:pPr>
        <w:pStyle w:val="Header"/>
        <w:spacing w:before="120"/>
        <w:rPr>
          <w:rFonts w:ascii="Arial" w:hAnsi="Arial" w:cs="Arial"/>
        </w:rPr>
      </w:pPr>
    </w:p>
    <w:p w:rsidR="009E77E6" w:rsidRDefault="009E77E6">
      <w:pPr>
        <w:pStyle w:val="TAheading"/>
        <w:rPr>
          <w:rFonts w:cs="Arial"/>
        </w:rPr>
      </w:pPr>
      <w:r>
        <w:rPr>
          <w:rFonts w:cs="Arial"/>
        </w:rPr>
        <w:t>Planning and Development (Technical Amendment</w:t>
      </w:r>
      <w:r>
        <w:rPr>
          <w:rFonts w:cs="Arial"/>
          <w:color w:val="000000"/>
        </w:rPr>
        <w:t>—Code and clarification changes to various development codes, general codes, definitions and concept plans</w:t>
      </w:r>
      <w:r>
        <w:rPr>
          <w:rFonts w:cs="Arial"/>
        </w:rPr>
        <w:t xml:space="preserve">) Plan Variation 2011 </w:t>
      </w:r>
    </w:p>
    <w:p w:rsidR="009E77E6" w:rsidRDefault="009E77E6">
      <w:pPr>
        <w:rPr>
          <w:rStyle w:val="TAannexureAtext"/>
          <w:rFonts w:ascii="Arial" w:hAnsi="Arial" w:cs="Arial"/>
        </w:rPr>
      </w:pPr>
      <w:r>
        <w:rPr>
          <w:rStyle w:val="TAannexureAtext"/>
          <w:rFonts w:ascii="Arial" w:hAnsi="Arial" w:cs="Arial"/>
        </w:rPr>
        <w:t>Notifiable instrument NI2011– 355</w:t>
      </w:r>
    </w:p>
    <w:p w:rsidR="009E77E6" w:rsidRDefault="009E77E6">
      <w:pPr>
        <w:rPr>
          <w:rStyle w:val="TAannexureAtext"/>
          <w:rFonts w:ascii="Arial" w:hAnsi="Arial" w:cs="Arial"/>
        </w:rPr>
      </w:pPr>
      <w:r>
        <w:rPr>
          <w:rStyle w:val="TAannexureAtext"/>
          <w:rFonts w:ascii="Arial" w:hAnsi="Arial" w:cs="Arial"/>
        </w:rPr>
        <w:t>Technical Amendment No. 2011–11</w:t>
      </w:r>
    </w:p>
    <w:p w:rsidR="009E77E6" w:rsidRDefault="009E77E6">
      <w:pPr>
        <w:pStyle w:val="TALAtext"/>
        <w:rPr>
          <w:rFonts w:cs="Arial"/>
        </w:rPr>
      </w:pPr>
      <w:r>
        <w:rPr>
          <w:rFonts w:cs="Arial"/>
        </w:rPr>
        <w:t>made under the</w:t>
      </w:r>
    </w:p>
    <w:p w:rsidR="009E77E6" w:rsidRDefault="009E77E6">
      <w:pPr>
        <w:pStyle w:val="TA-LAitalicstext"/>
        <w:rPr>
          <w:rFonts w:cs="Arial"/>
        </w:rPr>
      </w:pPr>
      <w:r>
        <w:rPr>
          <w:rFonts w:cs="Arial"/>
        </w:rPr>
        <w:t xml:space="preserve">Planning and Development Act 2007, section 89 (Making technical amendments)   </w:t>
      </w:r>
    </w:p>
    <w:p w:rsidR="009E77E6" w:rsidRDefault="009E77E6">
      <w:pPr>
        <w:pStyle w:val="TAline"/>
        <w:rPr>
          <w:rFonts w:cs="Arial"/>
        </w:rPr>
      </w:pPr>
    </w:p>
    <w:p w:rsidR="009E77E6" w:rsidRDefault="009E77E6">
      <w:pPr>
        <w:pStyle w:val="TAbody0"/>
        <w:rPr>
          <w:rFonts w:cs="Arial"/>
          <w:color w:val="000000"/>
        </w:rPr>
      </w:pPr>
      <w:r>
        <w:rPr>
          <w:rFonts w:cs="Arial"/>
          <w:color w:val="000000"/>
        </w:rPr>
        <w:t>This technical amendment commences on 8 July 2011.</w:t>
      </w:r>
    </w:p>
    <w:p w:rsidR="009E77E6" w:rsidRDefault="009E77E6">
      <w:pPr>
        <w:pStyle w:val="TAbody0"/>
        <w:rPr>
          <w:rFonts w:cs="Arial"/>
          <w:color w:val="000000"/>
        </w:rPr>
      </w:pPr>
    </w:p>
    <w:p w:rsidR="009E77E6" w:rsidRDefault="009E77E6">
      <w:pPr>
        <w:pStyle w:val="TAbody0"/>
        <w:rPr>
          <w:rFonts w:cs="Arial"/>
          <w:color w:val="000000"/>
        </w:rPr>
      </w:pPr>
      <w:r>
        <w:rPr>
          <w:rFonts w:cs="Arial"/>
          <w:color w:val="000000"/>
        </w:rPr>
        <w:t>Technical amendment number 2011-11 to the Territory Plan has been approved by the Planning and Land Authority.</w:t>
      </w:r>
    </w:p>
    <w:p w:rsidR="009E77E6" w:rsidRDefault="009E77E6">
      <w:pPr>
        <w:pStyle w:val="TAbody0"/>
        <w:rPr>
          <w:rFonts w:cs="Arial"/>
          <w:color w:val="000000"/>
        </w:rPr>
      </w:pPr>
    </w:p>
    <w:p w:rsidR="009E77E6" w:rsidRDefault="009E77E6">
      <w:pPr>
        <w:pStyle w:val="TAbody0"/>
        <w:rPr>
          <w:rFonts w:cs="Arial"/>
          <w:color w:val="000000"/>
          <w:szCs w:val="24"/>
        </w:rPr>
      </w:pPr>
    </w:p>
    <w:p w:rsidR="009E77E6" w:rsidRDefault="009E77E6">
      <w:pPr>
        <w:pStyle w:val="TAbody0"/>
        <w:rPr>
          <w:rFonts w:cs="Arial"/>
          <w:color w:val="000000"/>
          <w:szCs w:val="24"/>
        </w:rPr>
      </w:pPr>
    </w:p>
    <w:p w:rsidR="009E77E6" w:rsidRDefault="009E77E6">
      <w:pPr>
        <w:pStyle w:val="TAbody0"/>
        <w:rPr>
          <w:rFonts w:cs="Arial"/>
          <w:color w:val="000000"/>
        </w:rPr>
      </w:pPr>
    </w:p>
    <w:p w:rsidR="009E77E6" w:rsidRDefault="009E77E6">
      <w:pPr>
        <w:pStyle w:val="TAbody0"/>
        <w:rPr>
          <w:rFonts w:cs="Arial"/>
          <w:color w:val="000000"/>
        </w:rPr>
      </w:pPr>
    </w:p>
    <w:p w:rsidR="009E77E6" w:rsidRDefault="009E77E6">
      <w:pPr>
        <w:pStyle w:val="TAbody0"/>
        <w:rPr>
          <w:rFonts w:cs="Arial"/>
          <w:color w:val="000000"/>
        </w:rPr>
      </w:pPr>
    </w:p>
    <w:p w:rsidR="009E77E6" w:rsidRDefault="009E77E6">
      <w:pPr>
        <w:pStyle w:val="TAbody0"/>
        <w:rPr>
          <w:rFonts w:cs="Arial"/>
          <w:color w:val="000000"/>
        </w:rPr>
      </w:pPr>
      <w:r>
        <w:rPr>
          <w:rFonts w:cs="Arial"/>
          <w:color w:val="000000"/>
        </w:rPr>
        <w:t>Ben Ponton</w:t>
      </w:r>
    </w:p>
    <w:p w:rsidR="009E77E6" w:rsidRDefault="009E77E6">
      <w:pPr>
        <w:pStyle w:val="TAbody0"/>
        <w:rPr>
          <w:rFonts w:cs="Arial"/>
          <w:color w:val="000000"/>
        </w:rPr>
      </w:pPr>
      <w:r>
        <w:rPr>
          <w:rFonts w:cs="Arial"/>
          <w:color w:val="000000"/>
        </w:rPr>
        <w:t>Delegate of Planning and Land Authority</w:t>
      </w:r>
    </w:p>
    <w:p w:rsidR="009E77E6" w:rsidRDefault="009E77E6">
      <w:pPr>
        <w:pStyle w:val="TAbody0"/>
        <w:rPr>
          <w:rFonts w:cs="Arial"/>
          <w:color w:val="000000"/>
        </w:rPr>
      </w:pPr>
    </w:p>
    <w:p w:rsidR="009E77E6" w:rsidRDefault="009E77E6">
      <w:pPr>
        <w:pStyle w:val="TAbody0"/>
        <w:rPr>
          <w:rFonts w:cs="Arial"/>
          <w:color w:val="000000"/>
        </w:rPr>
      </w:pPr>
      <w:r>
        <w:rPr>
          <w:rFonts w:cs="Arial"/>
          <w:color w:val="000000"/>
        </w:rPr>
        <w:t>30 June 2011</w:t>
      </w:r>
    </w:p>
    <w:p w:rsidR="009E77E6" w:rsidRDefault="009E77E6">
      <w:pPr>
        <w:pStyle w:val="TAtitlepageplanninganddevelopmentact"/>
        <w:ind w:left="0"/>
      </w:pPr>
      <w:r>
        <w:br w:type="page"/>
      </w:r>
      <w:r w:rsidR="00417D0E">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7" o:title=""/>
          </v:shape>
        </w:pict>
      </w:r>
    </w:p>
    <w:p w:rsidR="009E77E6" w:rsidRDefault="009E77E6">
      <w:pPr>
        <w:pStyle w:val="TAtitlepageplanninganddevelopmentact"/>
        <w:rPr>
          <w:rFonts w:ascii="Arial" w:hAnsi="Arial"/>
        </w:rPr>
      </w:pPr>
      <w:r>
        <w:rPr>
          <w:rFonts w:ascii="Arial" w:hAnsi="Arial"/>
        </w:rPr>
        <w:t>Planning &amp; Development Act 2007</w:t>
      </w:r>
    </w:p>
    <w:p w:rsidR="009E77E6" w:rsidRDefault="009E77E6">
      <w:pPr>
        <w:pStyle w:val="TAbodytext"/>
        <w:rPr>
          <w:rFonts w:cs="Arial"/>
        </w:rPr>
      </w:pPr>
    </w:p>
    <w:p w:rsidR="009E77E6" w:rsidRDefault="009E77E6">
      <w:pPr>
        <w:pStyle w:val="TATitlepagedocumenttitle"/>
        <w:rPr>
          <w:rFonts w:ascii="Arial" w:hAnsi="Arial"/>
        </w:rPr>
      </w:pPr>
      <w:r>
        <w:rPr>
          <w:rFonts w:ascii="Arial" w:hAnsi="Arial"/>
        </w:rPr>
        <w:t>Technical Amendment</w:t>
      </w:r>
    </w:p>
    <w:p w:rsidR="009E77E6" w:rsidRDefault="009E77E6">
      <w:pPr>
        <w:pStyle w:val="TATitlepagedocumenttitle"/>
        <w:rPr>
          <w:rFonts w:ascii="Arial" w:hAnsi="Arial"/>
        </w:rPr>
      </w:pPr>
      <w:r>
        <w:rPr>
          <w:rFonts w:ascii="Arial" w:hAnsi="Arial"/>
        </w:rPr>
        <w:t>to the Territory Plan</w:t>
      </w:r>
    </w:p>
    <w:p w:rsidR="009E77E6" w:rsidRDefault="009E77E6">
      <w:pPr>
        <w:pStyle w:val="TATitlepagedocumenttitle"/>
        <w:rPr>
          <w:rFonts w:ascii="Arial" w:hAnsi="Arial"/>
        </w:rPr>
      </w:pPr>
    </w:p>
    <w:p w:rsidR="009E77E6" w:rsidRDefault="009E77E6">
      <w:pPr>
        <w:pStyle w:val="TATitlepagedocumenttitle"/>
        <w:rPr>
          <w:rFonts w:ascii="Arial" w:hAnsi="Arial"/>
        </w:rPr>
      </w:pPr>
      <w:bookmarkStart w:id="1" w:name="Variation_number"/>
      <w:r>
        <w:rPr>
          <w:rFonts w:ascii="Arial" w:hAnsi="Arial"/>
        </w:rPr>
        <w:t>Variation 2011-</w:t>
      </w:r>
      <w:bookmarkEnd w:id="1"/>
      <w:r>
        <w:rPr>
          <w:rFonts w:ascii="Arial" w:hAnsi="Arial"/>
        </w:rPr>
        <w:t>11</w:t>
      </w:r>
    </w:p>
    <w:p w:rsidR="009E77E6" w:rsidRDefault="009E77E6">
      <w:pPr>
        <w:pStyle w:val="TAbodytext"/>
        <w:rPr>
          <w:rFonts w:cs="Arial"/>
        </w:rPr>
      </w:pPr>
    </w:p>
    <w:p w:rsidR="009E77E6" w:rsidRDefault="009E77E6">
      <w:pPr>
        <w:pStyle w:val="TAbodytext"/>
        <w:jc w:val="center"/>
        <w:rPr>
          <w:rFonts w:cs="Arial"/>
        </w:rPr>
      </w:pPr>
      <w:r>
        <w:rPr>
          <w:rFonts w:cs="Arial"/>
          <w:sz w:val="40"/>
          <w:szCs w:val="40"/>
        </w:rPr>
        <w:t xml:space="preserve">Code and clarification changes </w:t>
      </w:r>
      <w:bookmarkStart w:id="2" w:name="Month_year"/>
      <w:r>
        <w:rPr>
          <w:rFonts w:cs="Arial"/>
          <w:sz w:val="40"/>
          <w:szCs w:val="40"/>
        </w:rPr>
        <w:t>to various development codes, general codes, definitions and concept plans</w:t>
      </w:r>
    </w:p>
    <w:bookmarkEnd w:id="2"/>
    <w:p w:rsidR="009E77E6" w:rsidRDefault="009E77E6">
      <w:pPr>
        <w:pStyle w:val="TATitlepagemonthandyear"/>
      </w:pPr>
      <w:r>
        <w:t xml:space="preserve"> </w:t>
      </w:r>
    </w:p>
    <w:p w:rsidR="009E77E6" w:rsidRDefault="009E77E6">
      <w:pPr>
        <w:pStyle w:val="TATitlepagemonthandyear"/>
      </w:pPr>
      <w:r>
        <w:t>July 2011</w:t>
      </w:r>
    </w:p>
    <w:p w:rsidR="009E77E6" w:rsidRDefault="009E77E6">
      <w:pPr>
        <w:pStyle w:val="TATitlepagemonthandyear"/>
        <w:sectPr w:rsidR="009E77E6">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720" w:gutter="0"/>
          <w:cols w:space="720"/>
          <w:titlePg/>
        </w:sectPr>
      </w:pPr>
    </w:p>
    <w:p w:rsidR="009E77E6" w:rsidRDefault="009E77E6">
      <w:pPr>
        <w:pStyle w:val="TAbodytext"/>
      </w:pPr>
    </w:p>
    <w:p w:rsidR="009E77E6" w:rsidRDefault="009E77E6">
      <w:pPr>
        <w:pStyle w:val="TATableofcontentsTitle"/>
      </w:pPr>
      <w:r>
        <w:t>Table of Contents</w:t>
      </w:r>
    </w:p>
    <w:p w:rsidR="009E77E6" w:rsidRDefault="009E77E6">
      <w:pPr>
        <w:pStyle w:val="TAbodytext"/>
      </w:pPr>
    </w:p>
    <w:p w:rsidR="009E77E6" w:rsidRDefault="009E77E6">
      <w:pPr>
        <w:pStyle w:val="TOC1"/>
        <w:tabs>
          <w:tab w:val="right" w:leader="dot" w:pos="8835"/>
        </w:tabs>
        <w:rPr>
          <w:rFonts w:ascii="Times New Roman" w:hAnsi="Times New Roman"/>
          <w:caps w:val="0"/>
        </w:rPr>
      </w:pPr>
      <w:r>
        <w:fldChar w:fldCharType="begin"/>
      </w:r>
      <w:r>
        <w:instrText xml:space="preserve"> TOC \h \z \t "TA Appendix heading,3,TA section heading,1,TA section heading 2,2,TA section heading 3,3" </w:instrText>
      </w:r>
      <w:r>
        <w:fldChar w:fldCharType="separate"/>
      </w:r>
      <w:hyperlink w:anchor="_Toc296601022" w:history="1">
        <w:r>
          <w:rPr>
            <w:rStyle w:val="Hyperlink"/>
          </w:rPr>
          <w:t>1. INTRODUCTION</w:t>
        </w:r>
        <w:r>
          <w:rPr>
            <w:webHidden/>
          </w:rPr>
          <w:tab/>
        </w:r>
        <w:r>
          <w:rPr>
            <w:webHidden/>
          </w:rPr>
          <w:fldChar w:fldCharType="begin"/>
        </w:r>
        <w:r>
          <w:rPr>
            <w:webHidden/>
          </w:rPr>
          <w:instrText xml:space="preserve"> PAGEREF _Toc296601022 \h </w:instrText>
        </w:r>
        <w:r>
          <w:rPr>
            <w:webHidden/>
          </w:rPr>
        </w:r>
        <w:r>
          <w:rPr>
            <w:webHidden/>
          </w:rPr>
          <w:fldChar w:fldCharType="separate"/>
        </w:r>
        <w:r w:rsidR="002D1D02">
          <w:rPr>
            <w:webHidden/>
          </w:rPr>
          <w:t>2</w:t>
        </w:r>
        <w:r>
          <w:rPr>
            <w:webHidden/>
          </w:rPr>
          <w:fldChar w:fldCharType="end"/>
        </w:r>
      </w:hyperlink>
    </w:p>
    <w:p w:rsidR="009E77E6" w:rsidRDefault="00417D0E">
      <w:pPr>
        <w:pStyle w:val="TOC2"/>
        <w:tabs>
          <w:tab w:val="right" w:leader="dot" w:pos="8835"/>
        </w:tabs>
        <w:rPr>
          <w:rFonts w:ascii="Times New Roman" w:hAnsi="Times New Roman"/>
          <w:noProof/>
        </w:rPr>
      </w:pPr>
      <w:hyperlink w:anchor="_Toc296601023" w:history="1">
        <w:r w:rsidR="009E77E6">
          <w:rPr>
            <w:rStyle w:val="Hyperlink"/>
            <w:noProof/>
          </w:rPr>
          <w:t>Outline of the process</w:t>
        </w:r>
        <w:r w:rsidR="009E77E6">
          <w:rPr>
            <w:noProof/>
            <w:webHidden/>
          </w:rPr>
          <w:tab/>
        </w:r>
        <w:r w:rsidR="009E77E6">
          <w:rPr>
            <w:noProof/>
            <w:webHidden/>
          </w:rPr>
          <w:fldChar w:fldCharType="begin"/>
        </w:r>
        <w:r w:rsidR="009E77E6">
          <w:rPr>
            <w:noProof/>
            <w:webHidden/>
          </w:rPr>
          <w:instrText xml:space="preserve"> PAGEREF _Toc296601023 \h </w:instrText>
        </w:r>
        <w:r w:rsidR="009E77E6">
          <w:rPr>
            <w:noProof/>
            <w:webHidden/>
          </w:rPr>
        </w:r>
        <w:r w:rsidR="009E77E6">
          <w:rPr>
            <w:noProof/>
            <w:webHidden/>
          </w:rPr>
          <w:fldChar w:fldCharType="separate"/>
        </w:r>
        <w:r w:rsidR="002D1D02">
          <w:rPr>
            <w:noProof/>
            <w:webHidden/>
          </w:rPr>
          <w:t>2</w:t>
        </w:r>
        <w:r w:rsidR="009E77E6">
          <w:rPr>
            <w:noProof/>
            <w:webHidden/>
          </w:rPr>
          <w:fldChar w:fldCharType="end"/>
        </w:r>
      </w:hyperlink>
    </w:p>
    <w:p w:rsidR="009E77E6" w:rsidRDefault="00417D0E">
      <w:pPr>
        <w:pStyle w:val="TOC1"/>
        <w:tabs>
          <w:tab w:val="left" w:pos="720"/>
          <w:tab w:val="right" w:leader="dot" w:pos="8835"/>
        </w:tabs>
        <w:rPr>
          <w:rFonts w:ascii="Times New Roman" w:hAnsi="Times New Roman"/>
          <w:caps w:val="0"/>
        </w:rPr>
      </w:pPr>
      <w:hyperlink w:anchor="_Toc296601024" w:history="1">
        <w:r w:rsidR="009E77E6">
          <w:rPr>
            <w:rStyle w:val="Hyperlink"/>
          </w:rPr>
          <w:t>2.</w:t>
        </w:r>
        <w:r w:rsidR="009E77E6">
          <w:rPr>
            <w:rFonts w:ascii="Times New Roman" w:hAnsi="Times New Roman"/>
            <w:caps w:val="0"/>
          </w:rPr>
          <w:tab/>
        </w:r>
        <w:r w:rsidR="009E77E6">
          <w:rPr>
            <w:rStyle w:val="Hyperlink"/>
          </w:rPr>
          <w:t>EXPLANATORY STATEMENT</w:t>
        </w:r>
        <w:r w:rsidR="009E77E6">
          <w:rPr>
            <w:webHidden/>
          </w:rPr>
          <w:tab/>
        </w:r>
        <w:r w:rsidR="009E77E6">
          <w:rPr>
            <w:webHidden/>
          </w:rPr>
          <w:fldChar w:fldCharType="begin"/>
        </w:r>
        <w:r w:rsidR="009E77E6">
          <w:rPr>
            <w:webHidden/>
          </w:rPr>
          <w:instrText xml:space="preserve"> PAGEREF _Toc296601024 \h </w:instrText>
        </w:r>
        <w:r w:rsidR="009E77E6">
          <w:rPr>
            <w:webHidden/>
          </w:rPr>
        </w:r>
        <w:r w:rsidR="009E77E6">
          <w:rPr>
            <w:webHidden/>
          </w:rPr>
          <w:fldChar w:fldCharType="separate"/>
        </w:r>
        <w:r w:rsidR="002D1D02">
          <w:rPr>
            <w:webHidden/>
          </w:rPr>
          <w:t>3</w:t>
        </w:r>
        <w:r w:rsidR="009E77E6">
          <w:rPr>
            <w:webHidden/>
          </w:rPr>
          <w:fldChar w:fldCharType="end"/>
        </w:r>
      </w:hyperlink>
    </w:p>
    <w:p w:rsidR="009E77E6" w:rsidRDefault="00417D0E">
      <w:pPr>
        <w:pStyle w:val="TOC2"/>
        <w:tabs>
          <w:tab w:val="right" w:leader="dot" w:pos="8835"/>
        </w:tabs>
        <w:rPr>
          <w:rFonts w:ascii="Times New Roman" w:hAnsi="Times New Roman"/>
          <w:noProof/>
        </w:rPr>
      </w:pPr>
      <w:hyperlink w:anchor="_Toc296601025" w:history="1">
        <w:r w:rsidR="009E77E6">
          <w:rPr>
            <w:rStyle w:val="Hyperlink"/>
            <w:noProof/>
          </w:rPr>
          <w:t>Changes, reasons, and compliance with the Planning and Development Act 2007</w:t>
        </w:r>
        <w:r w:rsidR="009E77E6">
          <w:rPr>
            <w:noProof/>
            <w:webHidden/>
          </w:rPr>
          <w:tab/>
        </w:r>
        <w:r w:rsidR="009E77E6">
          <w:rPr>
            <w:noProof/>
            <w:webHidden/>
          </w:rPr>
          <w:fldChar w:fldCharType="begin"/>
        </w:r>
        <w:r w:rsidR="009E77E6">
          <w:rPr>
            <w:noProof/>
            <w:webHidden/>
          </w:rPr>
          <w:instrText xml:space="preserve"> PAGEREF _Toc296601025 \h </w:instrText>
        </w:r>
        <w:r w:rsidR="009E77E6">
          <w:rPr>
            <w:noProof/>
            <w:webHidden/>
          </w:rPr>
        </w:r>
        <w:r w:rsidR="009E77E6">
          <w:rPr>
            <w:noProof/>
            <w:webHidden/>
          </w:rPr>
          <w:fldChar w:fldCharType="separate"/>
        </w:r>
        <w:r w:rsidR="002D1D02">
          <w:rPr>
            <w:noProof/>
            <w:webHidden/>
          </w:rPr>
          <w:t>3</w:t>
        </w:r>
        <w:r w:rsidR="009E77E6">
          <w:rPr>
            <w:noProof/>
            <w:webHidden/>
          </w:rPr>
          <w:fldChar w:fldCharType="end"/>
        </w:r>
      </w:hyperlink>
    </w:p>
    <w:p w:rsidR="009E77E6" w:rsidRDefault="00417D0E">
      <w:pPr>
        <w:pStyle w:val="TOC3"/>
        <w:rPr>
          <w:rFonts w:ascii="Times New Roman" w:hAnsi="Times New Roman"/>
          <w:noProof/>
        </w:rPr>
      </w:pPr>
      <w:hyperlink w:anchor="_Toc296601026" w:history="1">
        <w:r w:rsidR="009E77E6">
          <w:rPr>
            <w:rStyle w:val="Hyperlink"/>
            <w:noProof/>
          </w:rPr>
          <w:t>2.1.1</w:t>
        </w:r>
        <w:r w:rsidR="009E77E6">
          <w:rPr>
            <w:rFonts w:ascii="Times New Roman" w:hAnsi="Times New Roman"/>
            <w:noProof/>
          </w:rPr>
          <w:tab/>
        </w:r>
        <w:r w:rsidR="009E77E6">
          <w:rPr>
            <w:rStyle w:val="Hyperlink"/>
            <w:noProof/>
          </w:rPr>
          <w:t>Code variations</w:t>
        </w:r>
        <w:r w:rsidR="009E77E6">
          <w:rPr>
            <w:noProof/>
            <w:webHidden/>
          </w:rPr>
          <w:tab/>
        </w:r>
        <w:r w:rsidR="009E77E6">
          <w:rPr>
            <w:noProof/>
            <w:webHidden/>
          </w:rPr>
          <w:fldChar w:fldCharType="begin"/>
        </w:r>
        <w:r w:rsidR="009E77E6">
          <w:rPr>
            <w:noProof/>
            <w:webHidden/>
          </w:rPr>
          <w:instrText xml:space="preserve"> PAGEREF _Toc296601026 \h </w:instrText>
        </w:r>
        <w:r w:rsidR="009E77E6">
          <w:rPr>
            <w:noProof/>
            <w:webHidden/>
          </w:rPr>
        </w:r>
        <w:r w:rsidR="009E77E6">
          <w:rPr>
            <w:noProof/>
            <w:webHidden/>
          </w:rPr>
          <w:fldChar w:fldCharType="separate"/>
        </w:r>
        <w:r w:rsidR="002D1D02">
          <w:rPr>
            <w:noProof/>
            <w:webHidden/>
          </w:rPr>
          <w:t>3</w:t>
        </w:r>
        <w:r w:rsidR="009E77E6">
          <w:rPr>
            <w:noProof/>
            <w:webHidden/>
          </w:rPr>
          <w:fldChar w:fldCharType="end"/>
        </w:r>
      </w:hyperlink>
    </w:p>
    <w:p w:rsidR="009E77E6" w:rsidRDefault="00417D0E">
      <w:pPr>
        <w:pStyle w:val="TOC3"/>
        <w:rPr>
          <w:rFonts w:ascii="Times New Roman" w:hAnsi="Times New Roman"/>
          <w:noProof/>
        </w:rPr>
      </w:pPr>
      <w:hyperlink w:anchor="_Toc296601027" w:history="1">
        <w:r w:rsidR="009E77E6">
          <w:rPr>
            <w:rStyle w:val="Hyperlink"/>
            <w:noProof/>
          </w:rPr>
          <w:t>2.1.2</w:t>
        </w:r>
        <w:r w:rsidR="009E77E6">
          <w:rPr>
            <w:rFonts w:ascii="Times New Roman" w:hAnsi="Times New Roman"/>
            <w:noProof/>
          </w:rPr>
          <w:tab/>
        </w:r>
        <w:r w:rsidR="009E77E6">
          <w:rPr>
            <w:rStyle w:val="Hyperlink"/>
            <w:noProof/>
          </w:rPr>
          <w:t>Clarification variations</w:t>
        </w:r>
        <w:r w:rsidR="009E77E6">
          <w:rPr>
            <w:noProof/>
            <w:webHidden/>
          </w:rPr>
          <w:tab/>
        </w:r>
        <w:r w:rsidR="009E77E6">
          <w:rPr>
            <w:noProof/>
            <w:webHidden/>
          </w:rPr>
          <w:fldChar w:fldCharType="begin"/>
        </w:r>
        <w:r w:rsidR="009E77E6">
          <w:rPr>
            <w:noProof/>
            <w:webHidden/>
          </w:rPr>
          <w:instrText xml:space="preserve"> PAGEREF _Toc296601027 \h </w:instrText>
        </w:r>
        <w:r w:rsidR="009E77E6">
          <w:rPr>
            <w:noProof/>
            <w:webHidden/>
          </w:rPr>
        </w:r>
        <w:r w:rsidR="009E77E6">
          <w:rPr>
            <w:noProof/>
            <w:webHidden/>
          </w:rPr>
          <w:fldChar w:fldCharType="separate"/>
        </w:r>
        <w:r w:rsidR="002D1D02">
          <w:rPr>
            <w:noProof/>
            <w:webHidden/>
          </w:rPr>
          <w:t>8</w:t>
        </w:r>
        <w:r w:rsidR="009E77E6">
          <w:rPr>
            <w:noProof/>
            <w:webHidden/>
          </w:rPr>
          <w:fldChar w:fldCharType="end"/>
        </w:r>
      </w:hyperlink>
    </w:p>
    <w:p w:rsidR="009E77E6" w:rsidRDefault="00417D0E">
      <w:pPr>
        <w:pStyle w:val="TOC1"/>
        <w:tabs>
          <w:tab w:val="right" w:leader="dot" w:pos="8835"/>
        </w:tabs>
        <w:rPr>
          <w:rFonts w:ascii="Times New Roman" w:hAnsi="Times New Roman"/>
          <w:caps w:val="0"/>
        </w:rPr>
      </w:pPr>
      <w:hyperlink w:anchor="_Toc296601028" w:history="1">
        <w:r w:rsidR="009E77E6">
          <w:rPr>
            <w:rStyle w:val="Hyperlink"/>
          </w:rPr>
          <w:t>2. TECHNICAL AMENDMENT</w:t>
        </w:r>
        <w:r w:rsidR="009E77E6">
          <w:rPr>
            <w:webHidden/>
          </w:rPr>
          <w:tab/>
        </w:r>
        <w:r w:rsidR="009E77E6">
          <w:rPr>
            <w:webHidden/>
          </w:rPr>
          <w:fldChar w:fldCharType="begin"/>
        </w:r>
        <w:r w:rsidR="009E77E6">
          <w:rPr>
            <w:webHidden/>
          </w:rPr>
          <w:instrText xml:space="preserve"> PAGEREF _Toc296601028 \h </w:instrText>
        </w:r>
        <w:r w:rsidR="009E77E6">
          <w:rPr>
            <w:webHidden/>
          </w:rPr>
        </w:r>
        <w:r w:rsidR="009E77E6">
          <w:rPr>
            <w:webHidden/>
          </w:rPr>
          <w:fldChar w:fldCharType="separate"/>
        </w:r>
        <w:r w:rsidR="002D1D02">
          <w:rPr>
            <w:webHidden/>
          </w:rPr>
          <w:t>10</w:t>
        </w:r>
        <w:r w:rsidR="009E77E6">
          <w:rPr>
            <w:webHidden/>
          </w:rPr>
          <w:fldChar w:fldCharType="end"/>
        </w:r>
      </w:hyperlink>
    </w:p>
    <w:p w:rsidR="009E77E6" w:rsidRDefault="009E77E6">
      <w:pPr>
        <w:pStyle w:val="TAbodytext"/>
      </w:pPr>
      <w:r>
        <w:fldChar w:fldCharType="end"/>
      </w:r>
    </w:p>
    <w:p w:rsidR="009E77E6" w:rsidRDefault="009E77E6">
      <w:pPr>
        <w:pStyle w:val="TAbodytext"/>
      </w:pPr>
    </w:p>
    <w:p w:rsidR="009E77E6" w:rsidRDefault="009E77E6">
      <w:pPr>
        <w:pStyle w:val="TAbodytext"/>
        <w:sectPr w:rsidR="009E77E6">
          <w:footerReference w:type="default" r:id="rId14"/>
          <w:pgSz w:w="11907" w:h="16840"/>
          <w:pgMar w:top="1361" w:right="1531" w:bottom="1559" w:left="1531" w:header="720" w:footer="1009" w:gutter="0"/>
          <w:pgNumType w:fmt="lowerRoman" w:start="1"/>
          <w:cols w:space="720"/>
        </w:sectPr>
      </w:pPr>
    </w:p>
    <w:p w:rsidR="009E77E6" w:rsidRDefault="009E77E6">
      <w:pPr>
        <w:pStyle w:val="TAsectionheading"/>
      </w:pPr>
      <w:bookmarkStart w:id="3" w:name="_Toc254851535"/>
      <w:bookmarkStart w:id="4" w:name="_Toc296601022"/>
      <w:r>
        <w:lastRenderedPageBreak/>
        <w:t>INTRODUCTION</w:t>
      </w:r>
      <w:bookmarkEnd w:id="3"/>
      <w:bookmarkEnd w:id="4"/>
    </w:p>
    <w:p w:rsidR="009E77E6" w:rsidRDefault="009E77E6">
      <w:pPr>
        <w:pStyle w:val="TAsectionheading2"/>
      </w:pPr>
      <w:bookmarkStart w:id="5" w:name="_Toc254851536"/>
      <w:bookmarkStart w:id="6" w:name="_Toc296601023"/>
      <w:r>
        <w:t>Outline of the process</w:t>
      </w:r>
      <w:bookmarkEnd w:id="5"/>
      <w:bookmarkEnd w:id="6"/>
    </w:p>
    <w:p w:rsidR="009E77E6" w:rsidRDefault="009E77E6">
      <w:pPr>
        <w:autoSpaceDE w:val="0"/>
        <w:autoSpaceDN w:val="0"/>
        <w:adjustRightInd w:val="0"/>
        <w:jc w:val="both"/>
        <w:rPr>
          <w:rFonts w:ascii="Arial" w:hAnsi="Arial" w:cs="Arial"/>
        </w:rPr>
      </w:pPr>
      <w:r>
        <w:rPr>
          <w:rFonts w:ascii="Arial" w:hAnsi="Arial" w:cs="Arial"/>
        </w:rPr>
        <w:t xml:space="preserve">The Commonwealth’s </w:t>
      </w:r>
      <w:smartTag w:uri="urn:schemas-microsoft-com:office:smarttags" w:element="place">
        <w:smartTag w:uri="urn:schemas-microsoft-com:office:smarttags" w:element="State">
          <w:r>
            <w:rPr>
              <w:rFonts w:ascii="Arial" w:hAnsi="Arial" w:cs="Arial"/>
              <w:i/>
              <w:iCs/>
            </w:rPr>
            <w:t>Australian Capital Territory</w:t>
          </w:r>
        </w:smartTag>
      </w:smartTag>
      <w:r>
        <w:rPr>
          <w:rFonts w:ascii="Arial" w:hAnsi="Arial" w:cs="Arial"/>
          <w:i/>
          <w:iCs/>
        </w:rPr>
        <w:t xml:space="preserve"> (Planning and Land Management) Act 1988 </w:t>
      </w:r>
      <w:r>
        <w:rPr>
          <w:rFonts w:ascii="Arial" w:hAnsi="Arial" w:cs="Arial"/>
        </w:rPr>
        <w:t xml:space="preserve">allows for the Legislative Assembly to make laws to establish a Territory Planning Authority and for that Authority to prepare and administer a territory plan. </w:t>
      </w:r>
    </w:p>
    <w:p w:rsidR="009E77E6" w:rsidRDefault="009E77E6">
      <w:pPr>
        <w:autoSpaceDE w:val="0"/>
        <w:autoSpaceDN w:val="0"/>
        <w:adjustRightInd w:val="0"/>
        <w:spacing w:before="120"/>
        <w:jc w:val="both"/>
        <w:rPr>
          <w:rFonts w:ascii="Arial" w:hAnsi="Arial" w:cs="Arial"/>
        </w:rPr>
      </w:pPr>
      <w:r>
        <w:rPr>
          <w:rFonts w:ascii="Arial" w:hAnsi="Arial" w:cs="Arial"/>
        </w:rPr>
        <w:t xml:space="preserve">The </w:t>
      </w:r>
      <w:r>
        <w:rPr>
          <w:rFonts w:ascii="Arial" w:hAnsi="Arial" w:cs="Arial"/>
          <w:i/>
          <w:iCs/>
        </w:rPr>
        <w:t>Planning and Development Act 2007</w:t>
      </w:r>
      <w:r>
        <w:rPr>
          <w:rFonts w:ascii="Arial" w:hAnsi="Arial" w:cs="Arial"/>
          <w:iCs/>
        </w:rPr>
        <w:t xml:space="preserve"> (the Act)</w:t>
      </w:r>
      <w:r>
        <w:rPr>
          <w:rFonts w:ascii="Arial" w:hAnsi="Arial" w:cs="Arial"/>
          <w:i/>
          <w:iCs/>
        </w:rPr>
        <w:t xml:space="preserve"> </w:t>
      </w:r>
      <w:r>
        <w:rPr>
          <w:rFonts w:ascii="Arial" w:hAnsi="Arial" w:cs="Arial"/>
        </w:rPr>
        <w:t>establishes the ACT Planning and Land Authority as the Authority which prepares and administers the territory plan, including continually reviewing and proposing amendments as necessary.</w:t>
      </w:r>
    </w:p>
    <w:p w:rsidR="009E77E6" w:rsidRDefault="009E77E6">
      <w:pPr>
        <w:pStyle w:val="BodyText"/>
        <w:autoSpaceDE w:val="0"/>
        <w:autoSpaceDN w:val="0"/>
        <w:adjustRightInd w:val="0"/>
        <w:spacing w:before="120" w:after="0"/>
        <w:jc w:val="both"/>
        <w:rPr>
          <w:rFonts w:ascii="Arial" w:hAnsi="Arial" w:cs="Arial"/>
        </w:rPr>
      </w:pPr>
      <w:r>
        <w:rPr>
          <w:rFonts w:ascii="Arial" w:hAnsi="Arial" w:cs="Arial"/>
        </w:rPr>
        <w:t xml:space="preserve">Technical amendments to the territory plan are prepared in accordance with the </w:t>
      </w:r>
      <w:r>
        <w:rPr>
          <w:rFonts w:ascii="Arial" w:hAnsi="Arial" w:cs="Arial"/>
          <w:iCs/>
        </w:rPr>
        <w:t>Act</w:t>
      </w:r>
      <w:r>
        <w:rPr>
          <w:rFonts w:ascii="Arial" w:hAnsi="Arial" w:cs="Arial"/>
        </w:rPr>
        <w:t>.  This technical amendment has been prepared in accordance with the following two sections of the Act:</w:t>
      </w:r>
    </w:p>
    <w:p w:rsidR="009E77E6" w:rsidRDefault="009E77E6">
      <w:pPr>
        <w:pStyle w:val="BodyText"/>
        <w:spacing w:before="120"/>
        <w:jc w:val="both"/>
        <w:rPr>
          <w:rFonts w:ascii="Arial" w:hAnsi="Arial" w:cs="Arial"/>
        </w:rPr>
      </w:pPr>
      <w:r>
        <w:rPr>
          <w:rFonts w:ascii="Arial" w:hAnsi="Arial" w:cs="Arial"/>
        </w:rPr>
        <w:t>A code variation (section 87(b) of the Act) is a technical amendment that</w:t>
      </w:r>
    </w:p>
    <w:p w:rsidR="009E77E6" w:rsidRDefault="009E77E6">
      <w:pPr>
        <w:pStyle w:val="BodyText"/>
        <w:numPr>
          <w:ilvl w:val="0"/>
          <w:numId w:val="1"/>
        </w:numPr>
        <w:tabs>
          <w:tab w:val="left" w:pos="1440"/>
        </w:tabs>
        <w:ind w:left="1287"/>
        <w:jc w:val="both"/>
        <w:rPr>
          <w:rFonts w:ascii="Arial" w:hAnsi="Arial" w:cs="Arial"/>
        </w:rPr>
      </w:pPr>
      <w:r>
        <w:rPr>
          <w:rFonts w:ascii="Arial" w:hAnsi="Arial" w:cs="Arial"/>
        </w:rPr>
        <w:t>would only change a code; and</w:t>
      </w:r>
    </w:p>
    <w:p w:rsidR="009E77E6" w:rsidRDefault="009E77E6">
      <w:pPr>
        <w:pStyle w:val="BodyText"/>
        <w:numPr>
          <w:ilvl w:val="0"/>
          <w:numId w:val="1"/>
        </w:numPr>
        <w:tabs>
          <w:tab w:val="left" w:pos="1440"/>
        </w:tabs>
        <w:ind w:left="1440" w:hanging="873"/>
        <w:jc w:val="both"/>
        <w:rPr>
          <w:rFonts w:ascii="Arial" w:hAnsi="Arial" w:cs="Arial"/>
        </w:rPr>
      </w:pPr>
      <w:r>
        <w:rPr>
          <w:rFonts w:ascii="Arial" w:hAnsi="Arial" w:cs="Arial"/>
        </w:rPr>
        <w:t xml:space="preserve">is consistent with the policy purpose and policy framework of the code; and </w:t>
      </w:r>
    </w:p>
    <w:p w:rsidR="009E77E6" w:rsidRDefault="009E77E6">
      <w:pPr>
        <w:pStyle w:val="BodyText"/>
        <w:numPr>
          <w:ilvl w:val="0"/>
          <w:numId w:val="1"/>
        </w:numPr>
        <w:tabs>
          <w:tab w:val="left" w:pos="1440"/>
        </w:tabs>
        <w:ind w:left="1287"/>
        <w:jc w:val="both"/>
        <w:rPr>
          <w:rFonts w:ascii="Arial" w:hAnsi="Arial" w:cs="Arial"/>
        </w:rPr>
      </w:pPr>
      <w:r>
        <w:rPr>
          <w:rFonts w:ascii="Arial" w:hAnsi="Arial" w:cs="Arial"/>
        </w:rPr>
        <w:t>is not an error variation.</w:t>
      </w:r>
    </w:p>
    <w:p w:rsidR="009E77E6" w:rsidRDefault="009E77E6">
      <w:pPr>
        <w:pStyle w:val="BodyText"/>
        <w:autoSpaceDE w:val="0"/>
        <w:autoSpaceDN w:val="0"/>
        <w:adjustRightInd w:val="0"/>
        <w:spacing w:after="0"/>
        <w:jc w:val="both"/>
        <w:rPr>
          <w:rFonts w:ascii="Arial" w:hAnsi="Arial" w:cs="Arial"/>
        </w:rPr>
      </w:pPr>
    </w:p>
    <w:p w:rsidR="009E77E6" w:rsidRDefault="009E77E6">
      <w:pPr>
        <w:pStyle w:val="BodyText"/>
        <w:autoSpaceDE w:val="0"/>
        <w:autoSpaceDN w:val="0"/>
        <w:adjustRightInd w:val="0"/>
        <w:spacing w:after="0"/>
        <w:jc w:val="both"/>
        <w:rPr>
          <w:rFonts w:ascii="Arial" w:hAnsi="Arial" w:cs="Arial"/>
        </w:rPr>
      </w:pPr>
      <w:r>
        <w:rPr>
          <w:rFonts w:ascii="Arial" w:hAnsi="Arial" w:cs="Arial"/>
        </w:rPr>
        <w:t>A variation under section 87(g) of the Act is a technical amendment that clarifies the language in the territory plan, provided it does not change the substance of the plan.</w:t>
      </w:r>
    </w:p>
    <w:p w:rsidR="009E77E6" w:rsidRDefault="009E77E6">
      <w:pPr>
        <w:pStyle w:val="BodyText"/>
        <w:spacing w:after="0"/>
        <w:jc w:val="both"/>
        <w:rPr>
          <w:rFonts w:ascii="Arial" w:hAnsi="Arial" w:cs="Arial"/>
        </w:rPr>
      </w:pPr>
    </w:p>
    <w:p w:rsidR="009E77E6" w:rsidRDefault="009E77E6">
      <w:pPr>
        <w:pStyle w:val="BodyText"/>
        <w:spacing w:after="0"/>
        <w:jc w:val="both"/>
        <w:rPr>
          <w:rFonts w:ascii="Arial" w:hAnsi="Arial" w:cs="Arial"/>
        </w:rPr>
      </w:pPr>
      <w:r>
        <w:rPr>
          <w:rFonts w:ascii="Arial" w:hAnsi="Arial" w:cs="Arial"/>
        </w:rPr>
        <w:t>Following the release of the variation under section 90 of the Act, submissions from the public were invited.  At the conclusion of the limited consultation period, representations (if any) were considered by the ACT Planning and Land Authority (the Authority).  The Authority then determines a day when the code variation commences by way of a commencement notice.  The date of commencement is provided on the attached notifiable instrument (commencement notice).</w:t>
      </w:r>
    </w:p>
    <w:p w:rsidR="009E77E6" w:rsidRDefault="009E77E6">
      <w:pPr>
        <w:pStyle w:val="TAsectionheading"/>
        <w:numPr>
          <w:ilvl w:val="0"/>
          <w:numId w:val="0"/>
        </w:numPr>
      </w:pPr>
      <w:r>
        <w:br w:type="page"/>
      </w:r>
      <w:bookmarkStart w:id="7" w:name="_Toc254851537"/>
      <w:bookmarkStart w:id="8" w:name="_Toc296601024"/>
      <w:r>
        <w:lastRenderedPageBreak/>
        <w:t>2.</w:t>
      </w:r>
      <w:r>
        <w:tab/>
        <w:t>EXPLANATORY STATEMENT</w:t>
      </w:r>
      <w:bookmarkEnd w:id="7"/>
      <w:bookmarkEnd w:id="8"/>
    </w:p>
    <w:p w:rsidR="009E77E6" w:rsidRDefault="009E77E6">
      <w:pPr>
        <w:pStyle w:val="TAsectionheading2"/>
        <w:jc w:val="both"/>
      </w:pPr>
      <w:bookmarkStart w:id="9" w:name="_Toc254851538"/>
      <w:bookmarkStart w:id="10" w:name="_Toc296601025"/>
      <w:r>
        <w:t>Changes, reasons</w:t>
      </w:r>
      <w:bookmarkEnd w:id="9"/>
      <w:r>
        <w:t>, and compliance with the Planning and Development Act 2007</w:t>
      </w:r>
      <w:bookmarkEnd w:id="10"/>
    </w:p>
    <w:p w:rsidR="009E77E6" w:rsidRDefault="009E77E6">
      <w:pPr>
        <w:jc w:val="both"/>
        <w:rPr>
          <w:rFonts w:ascii="Arial" w:hAnsi="Arial" w:cs="Arial"/>
        </w:rPr>
      </w:pPr>
    </w:p>
    <w:p w:rsidR="009E77E6" w:rsidRDefault="009E77E6">
      <w:pPr>
        <w:jc w:val="both"/>
        <w:rPr>
          <w:rFonts w:ascii="Arial" w:hAnsi="Arial" w:cs="Arial"/>
        </w:rPr>
      </w:pPr>
    </w:p>
    <w:p w:rsidR="009E77E6" w:rsidRDefault="009E77E6">
      <w:pPr>
        <w:pStyle w:val="TAsectionheading3"/>
        <w:numPr>
          <w:ilvl w:val="2"/>
          <w:numId w:val="37"/>
        </w:numPr>
        <w:spacing w:after="0" w:line="240" w:lineRule="auto"/>
        <w:jc w:val="both"/>
      </w:pPr>
      <w:bookmarkStart w:id="11" w:name="_Toc296601026"/>
      <w:r>
        <w:t>Code variations</w:t>
      </w:r>
      <w:bookmarkEnd w:id="11"/>
    </w:p>
    <w:p w:rsidR="009E77E6" w:rsidRDefault="009E77E6">
      <w:pPr>
        <w:jc w:val="both"/>
        <w:rPr>
          <w:rFonts w:ascii="Arial" w:hAnsi="Arial" w:cs="Arial"/>
        </w:rPr>
      </w:pPr>
    </w:p>
    <w:p w:rsidR="009E77E6" w:rsidRDefault="009E77E6">
      <w:pPr>
        <w:numPr>
          <w:ilvl w:val="0"/>
          <w:numId w:val="12"/>
        </w:numPr>
        <w:jc w:val="both"/>
        <w:rPr>
          <w:rFonts w:ascii="Arial" w:hAnsi="Arial" w:cs="Arial"/>
          <w:b/>
        </w:rPr>
      </w:pPr>
      <w:r>
        <w:rPr>
          <w:rFonts w:ascii="Arial" w:hAnsi="Arial" w:cs="Arial"/>
          <w:b/>
        </w:rPr>
        <w:t>Multi unit housing development code – changes to the habitable suite requirements to allow people other than the person requiring care to reside in the suite (item 3)</w:t>
      </w:r>
    </w:p>
    <w:p w:rsidR="009E77E6" w:rsidRDefault="009E77E6">
      <w:pPr>
        <w:pStyle w:val="TAexplanatorystatementsubheading"/>
        <w:numPr>
          <w:ilvl w:val="0"/>
          <w:numId w:val="0"/>
        </w:numPr>
        <w:spacing w:after="0"/>
        <w:ind w:left="720" w:hanging="720"/>
        <w:jc w:val="both"/>
        <w:rPr>
          <w:rFonts w:ascii="Arial" w:hAnsi="Arial" w:cs="Arial"/>
        </w:rPr>
      </w:pPr>
    </w:p>
    <w:p w:rsidR="009E77E6" w:rsidRDefault="009E77E6">
      <w:pPr>
        <w:ind w:left="567"/>
        <w:jc w:val="both"/>
        <w:rPr>
          <w:rFonts w:ascii="Arial" w:hAnsi="Arial" w:cs="Arial"/>
          <w:szCs w:val="24"/>
        </w:rPr>
      </w:pPr>
      <w:r>
        <w:rPr>
          <w:rFonts w:ascii="Arial" w:hAnsi="Arial" w:cs="Arial"/>
          <w:szCs w:val="24"/>
        </w:rPr>
        <w:t>This technical amendment changes the wording of rule R250 to clarify the intent of the resident requirements for a habitable suite.  The wording is changed to ensure that people who are receiving or providing care and who live with others are not discriminated against, by clarifying that others including the person requiring care may also reside in the habitable suite.</w:t>
      </w:r>
    </w:p>
    <w:p w:rsidR="009E77E6" w:rsidRDefault="009E77E6">
      <w:pPr>
        <w:ind w:left="567"/>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s87(b) a variation (a code variation) that - </w:t>
            </w:r>
          </w:p>
        </w:tc>
        <w:tc>
          <w:tcPr>
            <w:tcW w:w="7051" w:type="dxa"/>
          </w:tcPr>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 would only change a code; and</w:t>
            </w:r>
          </w:p>
        </w:tc>
        <w:tc>
          <w:tcPr>
            <w:tcW w:w="7051" w:type="dxa"/>
          </w:tcPr>
          <w:p w:rsidR="009E77E6" w:rsidRPr="009E77E6" w:rsidRDefault="009E77E6">
            <w:pPr>
              <w:rPr>
                <w:rFonts w:ascii="Arial" w:hAnsi="Arial" w:cs="Arial"/>
              </w:rPr>
            </w:pPr>
            <w:r w:rsidRPr="009E77E6">
              <w:rPr>
                <w:rFonts w:ascii="Arial" w:hAnsi="Arial" w:cs="Arial"/>
              </w:rPr>
              <w:t>Would only change a rule in the multi unit housing development code regarding habitable suites.</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 is consistent with the policy purpose and policy framework of the code; and</w:t>
            </w:r>
          </w:p>
        </w:tc>
        <w:tc>
          <w:tcPr>
            <w:tcW w:w="7051" w:type="dxa"/>
          </w:tcPr>
          <w:p w:rsidR="009E77E6" w:rsidRPr="009E77E6" w:rsidRDefault="009E77E6">
            <w:pPr>
              <w:rPr>
                <w:rFonts w:ascii="Arial" w:hAnsi="Arial" w:cs="Arial"/>
              </w:rPr>
            </w:pPr>
            <w:r w:rsidRPr="009E77E6">
              <w:rPr>
                <w:rFonts w:ascii="Arial" w:hAnsi="Arial" w:cs="Arial"/>
              </w:rPr>
              <w:t>The purpose of the code is to provide additional planning, design and environmental controls to support the zone objectives and assessable uses in the Development Tables.  The amendment is considered to be consistent with the purpose of the multi unit housing development code.</w:t>
            </w:r>
          </w:p>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(iii) is not an error variation</w:t>
            </w:r>
          </w:p>
        </w:tc>
        <w:tc>
          <w:tcPr>
            <w:tcW w:w="7051" w:type="dxa"/>
          </w:tcPr>
          <w:p w:rsidR="009E77E6" w:rsidRPr="009E77E6" w:rsidRDefault="009E77E6">
            <w:pPr>
              <w:rPr>
                <w:rFonts w:ascii="Arial" w:hAnsi="Arial" w:cs="Arial"/>
              </w:rPr>
            </w:pPr>
            <w:r w:rsidRPr="009E77E6">
              <w:rPr>
                <w:rFonts w:ascii="Arial" w:hAnsi="Arial" w:cs="Arial"/>
              </w:rPr>
              <w:t>Is not a formal error</w:t>
            </w:r>
          </w:p>
        </w:tc>
      </w:tr>
    </w:tbl>
    <w:p w:rsidR="009E77E6" w:rsidRDefault="009E77E6">
      <w:pPr>
        <w:ind w:left="567"/>
        <w:jc w:val="both"/>
        <w:rPr>
          <w:rFonts w:ascii="Arial" w:hAnsi="Arial" w:cs="Arial"/>
          <w:szCs w:val="24"/>
        </w:rPr>
      </w:pPr>
    </w:p>
    <w:p w:rsidR="009E77E6" w:rsidRDefault="009E77E6">
      <w:pPr>
        <w:jc w:val="both"/>
        <w:rPr>
          <w:rFonts w:ascii="Arial" w:hAnsi="Arial" w:cs="Arial"/>
          <w:szCs w:val="24"/>
        </w:rPr>
        <w:sectPr w:rsidR="009E77E6">
          <w:headerReference w:type="default" r:id="rId15"/>
          <w:footerReference w:type="default" r:id="rId16"/>
          <w:pgSz w:w="11906" w:h="16838"/>
          <w:pgMar w:top="1440" w:right="1418" w:bottom="1440" w:left="1418" w:header="709" w:footer="709" w:gutter="0"/>
          <w:cols w:space="708"/>
          <w:docGrid w:linePitch="360"/>
        </w:sectPr>
      </w:pPr>
    </w:p>
    <w:p w:rsidR="009E77E6" w:rsidRDefault="009E77E6">
      <w:pPr>
        <w:jc w:val="both"/>
        <w:rPr>
          <w:rFonts w:ascii="Arial" w:hAnsi="Arial" w:cs="Arial"/>
          <w:szCs w:val="24"/>
        </w:rPr>
      </w:pPr>
    </w:p>
    <w:p w:rsidR="009E77E6" w:rsidRDefault="009E77E6">
      <w:pPr>
        <w:numPr>
          <w:ilvl w:val="0"/>
          <w:numId w:val="12"/>
        </w:numPr>
        <w:jc w:val="both"/>
        <w:rPr>
          <w:rFonts w:ascii="Arial" w:hAnsi="Arial" w:cs="Arial"/>
          <w:b/>
          <w:szCs w:val="24"/>
        </w:rPr>
      </w:pPr>
      <w:r>
        <w:rPr>
          <w:rFonts w:ascii="Arial" w:hAnsi="Arial" w:cs="Arial"/>
          <w:b/>
        </w:rPr>
        <w:t>Parking and vehicular access general code – change to the requirements for visitor parking spaces for persons with disabilities (item 4)</w:t>
      </w:r>
    </w:p>
    <w:p w:rsidR="009E77E6" w:rsidRDefault="009E77E6">
      <w:pPr>
        <w:jc w:val="both"/>
        <w:rPr>
          <w:rFonts w:ascii="Arial" w:hAnsi="Arial" w:cs="Arial"/>
          <w:b/>
          <w:szCs w:val="24"/>
        </w:rPr>
      </w:pPr>
    </w:p>
    <w:p w:rsidR="009E77E6" w:rsidRDefault="009E77E6">
      <w:pPr>
        <w:ind w:left="540"/>
        <w:jc w:val="both"/>
        <w:rPr>
          <w:rFonts w:ascii="Arial" w:hAnsi="Arial" w:cs="Arial"/>
          <w:szCs w:val="24"/>
        </w:rPr>
      </w:pPr>
      <w:r>
        <w:rPr>
          <w:rFonts w:ascii="Arial" w:hAnsi="Arial" w:cs="Arial"/>
          <w:szCs w:val="24"/>
        </w:rPr>
        <w:t>A change is made to the wording of provisions in the parking and vehicular access general code to clarify the intent of the requirements. The change to the wording aims to ensure that the car parking requirements for people with disabilities apply to visitor parking provided within residential developments.</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This will ensure that parking spaces for visitors with a disability are included in the visitor parking calculations for larger residential developments where visitor parking spaces required on-site exceed 29 spaces.</w:t>
      </w:r>
    </w:p>
    <w:p w:rsidR="009E77E6" w:rsidRDefault="009E77E6">
      <w:pPr>
        <w:ind w:left="54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s87(b) a variation (a code variation) that - </w:t>
            </w:r>
          </w:p>
        </w:tc>
        <w:tc>
          <w:tcPr>
            <w:tcW w:w="7051" w:type="dxa"/>
          </w:tcPr>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 would only change a code; and</w:t>
            </w:r>
          </w:p>
        </w:tc>
        <w:tc>
          <w:tcPr>
            <w:tcW w:w="7051" w:type="dxa"/>
          </w:tcPr>
          <w:p w:rsidR="009E77E6" w:rsidRPr="009E77E6" w:rsidRDefault="009E77E6">
            <w:pPr>
              <w:rPr>
                <w:rFonts w:ascii="Arial" w:hAnsi="Arial" w:cs="Arial"/>
              </w:rPr>
            </w:pPr>
            <w:r w:rsidRPr="009E77E6">
              <w:rPr>
                <w:rFonts w:ascii="Arial" w:hAnsi="Arial" w:cs="Arial"/>
              </w:rPr>
              <w:t>Only changes the intent in the parking and vehicular access general code in section 2.2.4 relating to parking spaces for persons with disabilities.</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 is consistent with the policy purpose and policy framework of the code; and</w:t>
            </w:r>
          </w:p>
        </w:tc>
        <w:tc>
          <w:tcPr>
            <w:tcW w:w="7051" w:type="dxa"/>
          </w:tcPr>
          <w:p w:rsidR="009E77E6" w:rsidRPr="009E77E6" w:rsidRDefault="009E77E6">
            <w:pPr>
              <w:rPr>
                <w:rFonts w:ascii="Arial" w:hAnsi="Arial" w:cs="Arial"/>
              </w:rPr>
            </w:pPr>
            <w:r w:rsidRPr="009E77E6">
              <w:rPr>
                <w:rFonts w:ascii="Arial" w:hAnsi="Arial" w:cs="Arial"/>
              </w:rPr>
              <w:t xml:space="preserve">The purpose of the code is to ensure that development achieves the relevant objectives of the Territory Plan and will be used by the Authority in the assessment of development applications involving development, redevelopment and lease variations. The code specifies vehicular access and parking requirements for development. </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 xml:space="preserve">The change seeks to tighten existing controls to ensure better design and development outcomes in terms of parking provision requirements for people with disabilities. </w:t>
            </w:r>
          </w:p>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(iii) is not an error variation</w:t>
            </w:r>
          </w:p>
        </w:tc>
        <w:tc>
          <w:tcPr>
            <w:tcW w:w="7051" w:type="dxa"/>
          </w:tcPr>
          <w:p w:rsidR="009E77E6" w:rsidRPr="009E77E6" w:rsidRDefault="009E77E6">
            <w:pPr>
              <w:rPr>
                <w:rFonts w:ascii="Arial" w:hAnsi="Arial" w:cs="Arial"/>
              </w:rPr>
            </w:pPr>
            <w:r w:rsidRPr="009E77E6">
              <w:rPr>
                <w:rFonts w:ascii="Arial" w:hAnsi="Arial" w:cs="Arial"/>
              </w:rPr>
              <w:t>Is not a formal error</w:t>
            </w:r>
          </w:p>
        </w:tc>
      </w:tr>
    </w:tbl>
    <w:p w:rsidR="009E77E6" w:rsidRDefault="009E77E6">
      <w:pPr>
        <w:ind w:left="360"/>
        <w:jc w:val="both"/>
        <w:rPr>
          <w:rFonts w:ascii="Arial" w:hAnsi="Arial" w:cs="Arial"/>
          <w:b/>
        </w:rPr>
      </w:pPr>
    </w:p>
    <w:p w:rsidR="009E77E6" w:rsidRDefault="009E77E6">
      <w:pPr>
        <w:jc w:val="both"/>
        <w:rPr>
          <w:rFonts w:ascii="Arial" w:hAnsi="Arial" w:cs="Arial"/>
          <w:szCs w:val="24"/>
        </w:rPr>
      </w:pPr>
    </w:p>
    <w:p w:rsidR="009E77E6" w:rsidRDefault="009E77E6">
      <w:pPr>
        <w:numPr>
          <w:ilvl w:val="0"/>
          <w:numId w:val="12"/>
        </w:numPr>
        <w:jc w:val="both"/>
        <w:rPr>
          <w:rFonts w:ascii="Arial" w:hAnsi="Arial" w:cs="Arial"/>
          <w:b/>
        </w:rPr>
        <w:sectPr w:rsidR="009E77E6">
          <w:pgSz w:w="11906" w:h="16838"/>
          <w:pgMar w:top="1440" w:right="1418" w:bottom="1440" w:left="1418" w:header="709" w:footer="709" w:gutter="0"/>
          <w:cols w:space="708"/>
          <w:docGrid w:linePitch="360"/>
        </w:sectPr>
      </w:pPr>
    </w:p>
    <w:p w:rsidR="009E77E6" w:rsidRDefault="009E77E6">
      <w:pPr>
        <w:numPr>
          <w:ilvl w:val="0"/>
          <w:numId w:val="12"/>
        </w:numPr>
        <w:jc w:val="both"/>
        <w:rPr>
          <w:rFonts w:ascii="Arial" w:hAnsi="Arial" w:cs="Arial"/>
          <w:b/>
          <w:szCs w:val="24"/>
        </w:rPr>
      </w:pPr>
      <w:r>
        <w:rPr>
          <w:rFonts w:ascii="Arial" w:hAnsi="Arial" w:cs="Arial"/>
          <w:b/>
        </w:rPr>
        <w:t>Crime prevention through environmental design guidelines general code – changes to include subdivision as a development requiring consideration (item 5)</w:t>
      </w:r>
    </w:p>
    <w:p w:rsidR="009E77E6" w:rsidRDefault="009E77E6">
      <w:pPr>
        <w:jc w:val="both"/>
        <w:rPr>
          <w:rFonts w:ascii="Arial" w:hAnsi="Arial" w:cs="Arial"/>
          <w:b/>
          <w:szCs w:val="24"/>
        </w:rPr>
      </w:pPr>
    </w:p>
    <w:p w:rsidR="009E77E6" w:rsidRDefault="009E77E6">
      <w:pPr>
        <w:ind w:left="540"/>
        <w:jc w:val="both"/>
        <w:rPr>
          <w:rFonts w:ascii="Arial" w:hAnsi="Arial" w:cs="Arial"/>
          <w:szCs w:val="24"/>
        </w:rPr>
      </w:pPr>
      <w:r>
        <w:rPr>
          <w:rFonts w:ascii="Arial" w:hAnsi="Arial" w:cs="Arial"/>
          <w:szCs w:val="24"/>
        </w:rPr>
        <w:t>Table 1 of the crime prevention through environmental design guidelines provides a list of development types which are required to meet the guidelines.</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Subdivision is currently absent from this list, despite it generally being the precursor to other forms of development which are required to be considered against the guidelines.</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For this reason subdivision is added to the list of developments so that the measures in the guidelines are considered as early as possible in the development process.</w:t>
      </w:r>
    </w:p>
    <w:p w:rsidR="009E77E6" w:rsidRDefault="009E77E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s87(b) a variation (a code variation) that - </w:t>
            </w:r>
          </w:p>
        </w:tc>
        <w:tc>
          <w:tcPr>
            <w:tcW w:w="7051" w:type="dxa"/>
          </w:tcPr>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 would only change a code; and</w:t>
            </w:r>
          </w:p>
        </w:tc>
        <w:tc>
          <w:tcPr>
            <w:tcW w:w="7051" w:type="dxa"/>
          </w:tcPr>
          <w:p w:rsidR="009E77E6" w:rsidRPr="009E77E6" w:rsidRDefault="009E77E6">
            <w:pPr>
              <w:rPr>
                <w:rFonts w:ascii="Arial" w:hAnsi="Arial" w:cs="Arial"/>
              </w:rPr>
            </w:pPr>
            <w:r w:rsidRPr="009E77E6">
              <w:rPr>
                <w:rFonts w:ascii="Arial" w:hAnsi="Arial" w:cs="Arial"/>
              </w:rPr>
              <w:t xml:space="preserve">Only makes a minor change to the crime prevention through environmental design guidelines general code. </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 is consistent with the policy purpose and policy framework of the code; and</w:t>
            </w:r>
          </w:p>
        </w:tc>
        <w:tc>
          <w:tcPr>
            <w:tcW w:w="7051" w:type="dxa"/>
          </w:tcPr>
          <w:p w:rsidR="009E77E6" w:rsidRPr="009E77E6" w:rsidRDefault="009E77E6">
            <w:pPr>
              <w:rPr>
                <w:rFonts w:ascii="Arial" w:hAnsi="Arial" w:cs="Arial"/>
              </w:rPr>
            </w:pPr>
            <w:r w:rsidRPr="009E77E6">
              <w:rPr>
                <w:rFonts w:ascii="Arial" w:hAnsi="Arial" w:cs="Arial"/>
              </w:rPr>
              <w:t>The purpose of the code is to ensure that development achieves the relevant objectives of the Territory Plan and will be used to assess development applications involving development, redevelopment and lease variations. The code specifies environmental design requirements for development, designed to prevent crime.</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The addition of subdivision as a new category of development required to meet the guidelines is considered to be consistent with the policy purpose and framework. Subdivision is often the precursor to other forms of development, so it is appropriate to add it to this list to ensure consideration of the guidelines at the subdivision stage.</w:t>
            </w:r>
          </w:p>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(iii) is not an error variation</w:t>
            </w:r>
          </w:p>
        </w:tc>
        <w:tc>
          <w:tcPr>
            <w:tcW w:w="7051" w:type="dxa"/>
          </w:tcPr>
          <w:p w:rsidR="009E77E6" w:rsidRPr="009E77E6" w:rsidRDefault="009E77E6">
            <w:pPr>
              <w:rPr>
                <w:rFonts w:ascii="Arial" w:hAnsi="Arial" w:cs="Arial"/>
              </w:rPr>
            </w:pPr>
            <w:r w:rsidRPr="009E77E6">
              <w:rPr>
                <w:rFonts w:ascii="Arial" w:hAnsi="Arial" w:cs="Arial"/>
              </w:rPr>
              <w:t>Is not a formal error</w:t>
            </w:r>
          </w:p>
        </w:tc>
      </w:tr>
    </w:tbl>
    <w:p w:rsidR="009E77E6" w:rsidRDefault="009E77E6">
      <w:pPr>
        <w:jc w:val="both"/>
        <w:rPr>
          <w:rFonts w:ascii="Arial" w:hAnsi="Arial" w:cs="Arial"/>
          <w:b/>
          <w:szCs w:val="24"/>
        </w:rPr>
      </w:pPr>
    </w:p>
    <w:p w:rsidR="009E77E6" w:rsidRDefault="009E77E6">
      <w:pPr>
        <w:jc w:val="both"/>
        <w:rPr>
          <w:rFonts w:ascii="Arial" w:hAnsi="Arial" w:cs="Arial"/>
          <w:b/>
          <w:szCs w:val="24"/>
        </w:rPr>
      </w:pPr>
    </w:p>
    <w:p w:rsidR="009E77E6" w:rsidRDefault="009E77E6">
      <w:pPr>
        <w:numPr>
          <w:ilvl w:val="0"/>
          <w:numId w:val="12"/>
        </w:numPr>
        <w:jc w:val="both"/>
        <w:rPr>
          <w:rFonts w:ascii="Arial" w:hAnsi="Arial" w:cs="Arial"/>
          <w:b/>
          <w:szCs w:val="24"/>
        </w:rPr>
        <w:sectPr w:rsidR="009E77E6">
          <w:pgSz w:w="11906" w:h="16838"/>
          <w:pgMar w:top="1440" w:right="1418" w:bottom="1440" w:left="1418" w:header="709" w:footer="709" w:gutter="0"/>
          <w:cols w:space="708"/>
          <w:docGrid w:linePitch="360"/>
        </w:sectPr>
      </w:pPr>
    </w:p>
    <w:p w:rsidR="009E77E6" w:rsidRDefault="009E77E6">
      <w:pPr>
        <w:numPr>
          <w:ilvl w:val="0"/>
          <w:numId w:val="12"/>
        </w:numPr>
        <w:jc w:val="both"/>
        <w:rPr>
          <w:rFonts w:ascii="Arial" w:hAnsi="Arial" w:cs="Arial"/>
          <w:b/>
          <w:szCs w:val="24"/>
        </w:rPr>
      </w:pPr>
      <w:r>
        <w:rPr>
          <w:rFonts w:ascii="Arial" w:hAnsi="Arial" w:cs="Arial"/>
          <w:b/>
          <w:szCs w:val="24"/>
        </w:rPr>
        <w:t>Crace concept plan - inclusion of ongoing fencing provisions for specific blocks (item 7)</w:t>
      </w:r>
    </w:p>
    <w:p w:rsidR="009E77E6" w:rsidRDefault="009E77E6">
      <w:pPr>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This technical amendment allows the fencing controls that were established in stage 1 of the development (subject to lease and development conditions) to be consistently applied in stages 2 and 3 of the subdivision of Crace.  The controls relate specifically to fencing on corner blocks, north facing blocks and blocks adjoining open space and are intended to promote more useable private open space to the front of these blocks.</w:t>
      </w:r>
    </w:p>
    <w:p w:rsidR="009E77E6" w:rsidRDefault="009E77E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s87(b) a variation (a code variation) that - </w:t>
            </w:r>
          </w:p>
        </w:tc>
        <w:tc>
          <w:tcPr>
            <w:tcW w:w="7051" w:type="dxa"/>
          </w:tcPr>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 would only change a code; and</w:t>
            </w:r>
          </w:p>
        </w:tc>
        <w:tc>
          <w:tcPr>
            <w:tcW w:w="7051" w:type="dxa"/>
          </w:tcPr>
          <w:p w:rsidR="009E77E6" w:rsidRPr="009E77E6" w:rsidRDefault="009E77E6">
            <w:pPr>
              <w:rPr>
                <w:rFonts w:ascii="Arial" w:hAnsi="Arial" w:cs="Arial"/>
              </w:rPr>
            </w:pPr>
            <w:r w:rsidRPr="009E77E6">
              <w:rPr>
                <w:rFonts w:ascii="Arial" w:hAnsi="Arial" w:cs="Arial"/>
              </w:rPr>
              <w:t xml:space="preserve">Only changes the Crace concept plan, which is a precinct code for the purposes of Section 93 of the </w:t>
            </w:r>
            <w:r w:rsidRPr="009E77E6">
              <w:rPr>
                <w:rFonts w:ascii="Arial" w:hAnsi="Arial" w:cs="Arial"/>
                <w:i/>
              </w:rPr>
              <w:t>Planning and Development Act 2007.</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 is consistent with the policy purpose and policy framework of the code; and</w:t>
            </w:r>
          </w:p>
        </w:tc>
        <w:tc>
          <w:tcPr>
            <w:tcW w:w="7051" w:type="dxa"/>
          </w:tcPr>
          <w:p w:rsidR="009E77E6" w:rsidRPr="009E77E6" w:rsidRDefault="009E77E6" w:rsidP="009E77E6">
            <w:pPr>
              <w:autoSpaceDE w:val="0"/>
              <w:autoSpaceDN w:val="0"/>
              <w:adjustRightInd w:val="0"/>
              <w:rPr>
                <w:rFonts w:ascii="Arial" w:hAnsi="Arial" w:cs="Arial"/>
              </w:rPr>
            </w:pPr>
            <w:bookmarkStart w:id="12" w:name="OLE_LINK1"/>
            <w:bookmarkStart w:id="13" w:name="OLE_LINK2"/>
            <w:r w:rsidRPr="009E77E6">
              <w:rPr>
                <w:rFonts w:ascii="Arial" w:hAnsi="Arial" w:cs="Arial"/>
              </w:rPr>
              <w:t xml:space="preserve">Section 93 of the </w:t>
            </w:r>
            <w:r w:rsidRPr="009E77E6">
              <w:rPr>
                <w:rFonts w:ascii="Arial" w:hAnsi="Arial" w:cs="Arial"/>
                <w:i/>
              </w:rPr>
              <w:t>Planning and Development Act 2007</w:t>
            </w:r>
            <w:r w:rsidRPr="009E77E6">
              <w:rPr>
                <w:rFonts w:ascii="Arial" w:hAnsi="Arial" w:cs="Arial"/>
              </w:rPr>
              <w:t xml:space="preserve"> states that a concept plan guides:</w:t>
            </w:r>
          </w:p>
          <w:p w:rsidR="009E77E6" w:rsidRPr="009E77E6" w:rsidRDefault="009E77E6" w:rsidP="009E77E6">
            <w:pPr>
              <w:autoSpaceDE w:val="0"/>
              <w:autoSpaceDN w:val="0"/>
              <w:adjustRightInd w:val="0"/>
              <w:rPr>
                <w:szCs w:val="24"/>
              </w:rPr>
            </w:pP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(i) preparation and assessment of development in future</w:t>
            </w: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urban areas to which the concept plan relates; and</w:t>
            </w: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(ii) assessment of development when the land ceases to be in a</w:t>
            </w:r>
          </w:p>
          <w:p w:rsidR="009E77E6" w:rsidRPr="009E77E6" w:rsidRDefault="009E77E6">
            <w:pPr>
              <w:rPr>
                <w:rFonts w:ascii="Arial" w:hAnsi="Arial" w:cs="Arial"/>
                <w:i/>
              </w:rPr>
            </w:pPr>
            <w:r w:rsidRPr="009E77E6">
              <w:rPr>
                <w:rFonts w:ascii="Arial" w:hAnsi="Arial" w:cs="Arial"/>
                <w:i/>
                <w:szCs w:val="24"/>
              </w:rPr>
              <w:t>future urban area.</w:t>
            </w:r>
          </w:p>
          <w:bookmarkEnd w:id="12"/>
          <w:bookmarkEnd w:id="13"/>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 xml:space="preserve">The changes seek to add ongoing block specific provisions to the concept plan to ensure specific fencing requirements are provided on certain blocks to promote active use of private open space when the areas cease to be future urban areas. </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The changes are consistent with the policy framework of the code.</w:t>
            </w:r>
          </w:p>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(iii) is not an error variation</w:t>
            </w:r>
          </w:p>
        </w:tc>
        <w:tc>
          <w:tcPr>
            <w:tcW w:w="7051" w:type="dxa"/>
          </w:tcPr>
          <w:p w:rsidR="009E77E6" w:rsidRPr="009E77E6" w:rsidRDefault="009E77E6">
            <w:pPr>
              <w:rPr>
                <w:rFonts w:ascii="Arial" w:hAnsi="Arial" w:cs="Arial"/>
              </w:rPr>
            </w:pPr>
            <w:r w:rsidRPr="009E77E6">
              <w:rPr>
                <w:rFonts w:ascii="Arial" w:hAnsi="Arial" w:cs="Arial"/>
              </w:rPr>
              <w:t>Is not a formal error</w:t>
            </w:r>
          </w:p>
        </w:tc>
      </w:tr>
    </w:tbl>
    <w:p w:rsidR="009E77E6" w:rsidRDefault="009E77E6">
      <w:pPr>
        <w:jc w:val="both"/>
        <w:rPr>
          <w:rFonts w:ascii="Arial" w:hAnsi="Arial" w:cs="Arial"/>
          <w:b/>
          <w:szCs w:val="24"/>
        </w:rPr>
      </w:pPr>
    </w:p>
    <w:p w:rsidR="009E77E6" w:rsidRDefault="009E77E6">
      <w:pPr>
        <w:jc w:val="both"/>
        <w:rPr>
          <w:rFonts w:ascii="Arial" w:hAnsi="Arial" w:cs="Arial"/>
          <w:b/>
          <w:szCs w:val="24"/>
        </w:rPr>
      </w:pPr>
    </w:p>
    <w:p w:rsidR="009E77E6" w:rsidRDefault="009E77E6">
      <w:pPr>
        <w:numPr>
          <w:ilvl w:val="0"/>
          <w:numId w:val="12"/>
        </w:numPr>
        <w:jc w:val="both"/>
        <w:rPr>
          <w:rFonts w:ascii="Arial" w:hAnsi="Arial" w:cs="Arial"/>
          <w:b/>
          <w:szCs w:val="24"/>
        </w:rPr>
        <w:sectPr w:rsidR="009E77E6">
          <w:pgSz w:w="11906" w:h="16838"/>
          <w:pgMar w:top="1440" w:right="1418" w:bottom="1440" w:left="1418" w:header="709" w:footer="709" w:gutter="0"/>
          <w:cols w:space="708"/>
          <w:docGrid w:linePitch="360"/>
        </w:sectPr>
      </w:pPr>
    </w:p>
    <w:p w:rsidR="009E77E6" w:rsidRDefault="009E77E6">
      <w:pPr>
        <w:numPr>
          <w:ilvl w:val="0"/>
          <w:numId w:val="12"/>
        </w:numPr>
        <w:jc w:val="both"/>
        <w:rPr>
          <w:rFonts w:ascii="Arial" w:hAnsi="Arial" w:cs="Arial"/>
          <w:b/>
          <w:szCs w:val="24"/>
        </w:rPr>
      </w:pPr>
      <w:r>
        <w:rPr>
          <w:rFonts w:ascii="Arial" w:hAnsi="Arial" w:cs="Arial"/>
          <w:b/>
          <w:szCs w:val="24"/>
        </w:rPr>
        <w:t>Coombs and Wright concept plan – changes to the road network and to the residential density requirements (items 8 and 9)</w:t>
      </w:r>
    </w:p>
    <w:p w:rsidR="009E77E6" w:rsidRDefault="009E77E6">
      <w:pPr>
        <w:ind w:firstLine="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This technical amendment changes the wording of rule R46 and criterion C46 to allow flexibility for road network and traffic arrangements at the detail design and construction stage. The current rule includes a note which could be interpreted to allow for flexibility to the design and layout; but because it is located under the rule rather than as a criterion there is some confusion. The wording has been rearranged and the mandatory requirements separated from the criterion appropriately.</w:t>
      </w:r>
    </w:p>
    <w:p w:rsidR="009E77E6" w:rsidRDefault="009E77E6">
      <w:pPr>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Changes are made to the wording of rule R49 to better explain the intended outcomes for residential density requirements. It is currently ambiguous and can be interpreted to be quite restrictive. On this basis the rule will refer to the minimum average residential density in each precinct, rather than the minimum residential density on each block, resulting in the same overall dwelling number outcome whilst enabling greater dwelling diversity.</w:t>
      </w:r>
    </w:p>
    <w:p w:rsidR="009E77E6" w:rsidRDefault="009E77E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s87(b) a variation (a code variation) that - </w:t>
            </w:r>
          </w:p>
        </w:tc>
        <w:tc>
          <w:tcPr>
            <w:tcW w:w="7051" w:type="dxa"/>
          </w:tcPr>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 would only change a code; and</w:t>
            </w:r>
          </w:p>
        </w:tc>
        <w:tc>
          <w:tcPr>
            <w:tcW w:w="7051" w:type="dxa"/>
          </w:tcPr>
          <w:p w:rsidR="009E77E6" w:rsidRPr="009E77E6" w:rsidRDefault="009E77E6">
            <w:pPr>
              <w:rPr>
                <w:rFonts w:ascii="Arial" w:hAnsi="Arial" w:cs="Arial"/>
              </w:rPr>
            </w:pPr>
            <w:r w:rsidRPr="009E77E6">
              <w:rPr>
                <w:rFonts w:ascii="Arial" w:hAnsi="Arial" w:cs="Arial"/>
              </w:rPr>
              <w:t xml:space="preserve">Only changes a criterion in the Coombs and Wright concept plan, which is a precinct code for the purposes of Section 93 of the </w:t>
            </w:r>
            <w:r w:rsidRPr="009E77E6">
              <w:rPr>
                <w:rFonts w:ascii="Arial" w:hAnsi="Arial" w:cs="Arial"/>
                <w:i/>
              </w:rPr>
              <w:t>Planning and Development Act 2007</w:t>
            </w:r>
            <w:r w:rsidRPr="009E77E6">
              <w:rPr>
                <w:rFonts w:ascii="Arial" w:hAnsi="Arial" w:cs="Arial"/>
              </w:rPr>
              <w: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 is consistent with the policy purpose and policy framework of the code; and</w:t>
            </w:r>
          </w:p>
        </w:tc>
        <w:tc>
          <w:tcPr>
            <w:tcW w:w="7051" w:type="dxa"/>
          </w:tcPr>
          <w:p w:rsidR="009E77E6" w:rsidRPr="009E77E6" w:rsidRDefault="009E77E6" w:rsidP="009E77E6">
            <w:pPr>
              <w:autoSpaceDE w:val="0"/>
              <w:autoSpaceDN w:val="0"/>
              <w:adjustRightInd w:val="0"/>
              <w:rPr>
                <w:rFonts w:ascii="Arial" w:hAnsi="Arial" w:cs="Arial"/>
              </w:rPr>
            </w:pPr>
            <w:r w:rsidRPr="009E77E6">
              <w:rPr>
                <w:rFonts w:ascii="Arial" w:hAnsi="Arial" w:cs="Arial"/>
              </w:rPr>
              <w:t xml:space="preserve">Section 93 of the </w:t>
            </w:r>
            <w:r w:rsidRPr="009E77E6">
              <w:rPr>
                <w:rFonts w:ascii="Arial" w:hAnsi="Arial" w:cs="Arial"/>
                <w:i/>
              </w:rPr>
              <w:t>Planning and Development Act 2007</w:t>
            </w:r>
            <w:r w:rsidRPr="009E77E6">
              <w:rPr>
                <w:rFonts w:ascii="Arial" w:hAnsi="Arial" w:cs="Arial"/>
              </w:rPr>
              <w:t xml:space="preserve"> states that a concept plan guides:</w:t>
            </w:r>
          </w:p>
          <w:p w:rsidR="009E77E6" w:rsidRPr="009E77E6" w:rsidRDefault="009E77E6" w:rsidP="009E77E6">
            <w:pPr>
              <w:autoSpaceDE w:val="0"/>
              <w:autoSpaceDN w:val="0"/>
              <w:adjustRightInd w:val="0"/>
              <w:rPr>
                <w:szCs w:val="24"/>
              </w:rPr>
            </w:pP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(i) preparation and assessment of development in future</w:t>
            </w: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urban areas to which the concept plan relates; and</w:t>
            </w:r>
          </w:p>
          <w:p w:rsidR="009E77E6" w:rsidRPr="009E77E6" w:rsidRDefault="009E77E6" w:rsidP="009E77E6">
            <w:pPr>
              <w:autoSpaceDE w:val="0"/>
              <w:autoSpaceDN w:val="0"/>
              <w:adjustRightInd w:val="0"/>
              <w:rPr>
                <w:rFonts w:ascii="Arial" w:hAnsi="Arial" w:cs="Arial"/>
                <w:i/>
                <w:szCs w:val="24"/>
              </w:rPr>
            </w:pPr>
            <w:r w:rsidRPr="009E77E6">
              <w:rPr>
                <w:rFonts w:ascii="Arial" w:hAnsi="Arial" w:cs="Arial"/>
                <w:i/>
                <w:szCs w:val="24"/>
              </w:rPr>
              <w:t>(ii) assessment of development when the land ceases to be in a</w:t>
            </w:r>
          </w:p>
          <w:p w:rsidR="009E77E6" w:rsidRPr="009E77E6" w:rsidRDefault="009E77E6">
            <w:pPr>
              <w:rPr>
                <w:rFonts w:ascii="Arial" w:hAnsi="Arial" w:cs="Arial"/>
                <w:i/>
              </w:rPr>
            </w:pPr>
            <w:r w:rsidRPr="009E77E6">
              <w:rPr>
                <w:rFonts w:ascii="Arial" w:hAnsi="Arial" w:cs="Arial"/>
                <w:i/>
                <w:szCs w:val="24"/>
              </w:rPr>
              <w:t>future urban area.</w:t>
            </w:r>
          </w:p>
          <w:p w:rsidR="009E77E6" w:rsidRPr="009E77E6" w:rsidRDefault="009E77E6">
            <w:pPr>
              <w:rPr>
                <w:rFonts w:ascii="Arial" w:hAnsi="Arial" w:cs="Arial"/>
              </w:rPr>
            </w:pPr>
          </w:p>
          <w:p w:rsidR="009E77E6" w:rsidRPr="009E77E6" w:rsidRDefault="009E77E6">
            <w:pPr>
              <w:rPr>
                <w:rFonts w:ascii="Arial" w:hAnsi="Arial" w:cs="Arial"/>
                <w:szCs w:val="24"/>
              </w:rPr>
            </w:pPr>
            <w:r w:rsidRPr="009E77E6">
              <w:rPr>
                <w:rFonts w:ascii="Arial" w:hAnsi="Arial" w:cs="Arial"/>
              </w:rPr>
              <w:t xml:space="preserve">The changes to rule R46 and criterion C46 seek to </w:t>
            </w:r>
            <w:r w:rsidRPr="009E77E6">
              <w:rPr>
                <w:rFonts w:ascii="Arial" w:hAnsi="Arial" w:cs="Arial"/>
                <w:szCs w:val="24"/>
              </w:rPr>
              <w:t>allow flexibility for road network and traffic arrangements at the detailed design and construction stage without changing the overall layout of the road network policy.</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 xml:space="preserve">The changes to rule R49 broaden existing controls to ensure better design and development outcomes enabling greater housing diversity whilst maintaining overall residential density. </w:t>
            </w:r>
          </w:p>
          <w:p w:rsidR="009E77E6" w:rsidRPr="009E77E6" w:rsidRDefault="009E77E6">
            <w:pPr>
              <w:rPr>
                <w:rFonts w:ascii="Arial" w:hAnsi="Arial" w:cs="Arial"/>
              </w:rPr>
            </w:pP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(iii) is not an error variation</w:t>
            </w:r>
          </w:p>
        </w:tc>
        <w:tc>
          <w:tcPr>
            <w:tcW w:w="7051" w:type="dxa"/>
          </w:tcPr>
          <w:p w:rsidR="009E77E6" w:rsidRPr="009E77E6" w:rsidRDefault="009E77E6">
            <w:pPr>
              <w:rPr>
                <w:rFonts w:ascii="Arial" w:hAnsi="Arial" w:cs="Arial"/>
              </w:rPr>
            </w:pPr>
            <w:r w:rsidRPr="009E77E6">
              <w:rPr>
                <w:rFonts w:ascii="Arial" w:hAnsi="Arial" w:cs="Arial"/>
              </w:rPr>
              <w:t>Is not a formal error</w:t>
            </w:r>
          </w:p>
        </w:tc>
      </w:tr>
    </w:tbl>
    <w:p w:rsidR="009E77E6" w:rsidRDefault="009E77E6">
      <w:pPr>
        <w:ind w:left="360"/>
        <w:jc w:val="both"/>
        <w:rPr>
          <w:rFonts w:ascii="Arial" w:hAnsi="Arial" w:cs="Arial"/>
          <w:b/>
          <w:szCs w:val="24"/>
        </w:rPr>
      </w:pPr>
    </w:p>
    <w:p w:rsidR="009E77E6" w:rsidRDefault="009E77E6">
      <w:pPr>
        <w:jc w:val="both"/>
        <w:rPr>
          <w:rFonts w:ascii="Arial" w:hAnsi="Arial" w:cs="Arial"/>
          <w:szCs w:val="24"/>
        </w:rPr>
      </w:pPr>
    </w:p>
    <w:p w:rsidR="009E77E6" w:rsidRDefault="009E77E6">
      <w:pPr>
        <w:pStyle w:val="TAsectionheading3"/>
        <w:numPr>
          <w:ilvl w:val="2"/>
          <w:numId w:val="35"/>
        </w:numPr>
        <w:spacing w:after="0" w:line="240" w:lineRule="auto"/>
        <w:jc w:val="both"/>
      </w:pPr>
      <w:r>
        <w:br w:type="page"/>
      </w:r>
      <w:bookmarkStart w:id="14" w:name="_Toc296601027"/>
      <w:r>
        <w:t>Clarification variations</w:t>
      </w:r>
      <w:bookmarkEnd w:id="14"/>
    </w:p>
    <w:p w:rsidR="009E77E6" w:rsidRDefault="009E77E6">
      <w:pPr>
        <w:jc w:val="both"/>
        <w:rPr>
          <w:rFonts w:ascii="Arial" w:hAnsi="Arial" w:cs="Arial"/>
          <w:b/>
          <w:sz w:val="28"/>
          <w:szCs w:val="28"/>
        </w:rPr>
      </w:pPr>
    </w:p>
    <w:p w:rsidR="009E77E6" w:rsidRDefault="009E77E6">
      <w:pPr>
        <w:numPr>
          <w:ilvl w:val="0"/>
          <w:numId w:val="12"/>
        </w:numPr>
        <w:jc w:val="both"/>
        <w:rPr>
          <w:rFonts w:ascii="Arial" w:hAnsi="Arial" w:cs="Arial"/>
          <w:b/>
        </w:rPr>
      </w:pPr>
      <w:r>
        <w:rPr>
          <w:rFonts w:ascii="Arial" w:hAnsi="Arial" w:cs="Arial"/>
          <w:b/>
        </w:rPr>
        <w:t>Single dwelling housing development code (SDHDC) and multi unit housing development code (MUHDC) – clarification of the wording of bushfire rules to regulate design in addition to construction (items 1 and  2)</w:t>
      </w:r>
    </w:p>
    <w:p w:rsidR="009E77E6" w:rsidRDefault="009E77E6">
      <w:pPr>
        <w:jc w:val="both"/>
        <w:rPr>
          <w:rFonts w:ascii="Arial" w:hAnsi="Arial" w:cs="Arial"/>
          <w:b/>
        </w:rPr>
      </w:pPr>
    </w:p>
    <w:p w:rsidR="009E77E6" w:rsidRDefault="009E77E6">
      <w:pPr>
        <w:ind w:left="540"/>
        <w:jc w:val="both"/>
        <w:rPr>
          <w:rFonts w:ascii="Arial" w:hAnsi="Arial" w:cs="Arial"/>
        </w:rPr>
      </w:pPr>
      <w:r>
        <w:rPr>
          <w:rFonts w:ascii="Arial" w:hAnsi="Arial" w:cs="Arial"/>
        </w:rPr>
        <w:t>This technical amendment changes the wording of rules R20A (SDHDC) and R34A (MUHDC) pertaining to development in bushfire-risk areas to clarify that the rule regulates both building design and construction. Currently the rule only refers to the construction of the development, and does not mention the design which forms an integral part of the assessment.</w:t>
      </w:r>
    </w:p>
    <w:p w:rsidR="009E77E6" w:rsidRDefault="009E77E6">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s87(g) a variation to clarify the language in the territory plan if it does not change the substance of the plan </w:t>
            </w:r>
          </w:p>
        </w:tc>
        <w:tc>
          <w:tcPr>
            <w:tcW w:w="7051" w:type="dxa"/>
          </w:tcPr>
          <w:p w:rsidR="009E77E6" w:rsidRPr="009E77E6" w:rsidRDefault="009E77E6">
            <w:pPr>
              <w:rPr>
                <w:rFonts w:ascii="Arial" w:hAnsi="Arial" w:cs="Arial"/>
              </w:rPr>
            </w:pPr>
            <w:r w:rsidRPr="009E77E6">
              <w:rPr>
                <w:rFonts w:ascii="Arial" w:hAnsi="Arial" w:cs="Arial"/>
              </w:rPr>
              <w:t xml:space="preserve">The changes to bushfire rule (R20A/ R34A) only clarifies the language used and does not change the substance of the plan. The addition of the word ‘design’ into the provision will help clarify that the design component of the development is being considered. </w:t>
            </w:r>
          </w:p>
        </w:tc>
      </w:tr>
    </w:tbl>
    <w:p w:rsidR="009E77E6" w:rsidRDefault="009E77E6">
      <w:pPr>
        <w:jc w:val="both"/>
        <w:rPr>
          <w:rFonts w:ascii="Arial" w:hAnsi="Arial" w:cs="Arial"/>
        </w:rPr>
      </w:pPr>
    </w:p>
    <w:p w:rsidR="009E77E6" w:rsidRDefault="009E77E6">
      <w:pPr>
        <w:jc w:val="both"/>
        <w:rPr>
          <w:rFonts w:ascii="Arial" w:hAnsi="Arial" w:cs="Arial"/>
        </w:rPr>
      </w:pPr>
    </w:p>
    <w:p w:rsidR="009E77E6" w:rsidRDefault="009E77E6">
      <w:pPr>
        <w:numPr>
          <w:ilvl w:val="0"/>
          <w:numId w:val="12"/>
        </w:numPr>
        <w:jc w:val="both"/>
        <w:rPr>
          <w:rFonts w:ascii="Arial" w:hAnsi="Arial" w:cs="Arial"/>
          <w:b/>
          <w:szCs w:val="24"/>
        </w:rPr>
      </w:pPr>
      <w:r>
        <w:rPr>
          <w:rFonts w:ascii="Arial" w:hAnsi="Arial" w:cs="Arial"/>
          <w:b/>
          <w:szCs w:val="24"/>
        </w:rPr>
        <w:t>Definitions – clarification of difference between veterinary hospital and veterinary surgeon (item 6 a) and i))</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This technical amendment clarifies the reference to ‘veterinary surgeon’ on the list of common terminology under the definition of health facility. It is noted that there is already a separate definition pertaining to a veterinary hospital, and it is unclear as to what the distinction is between these two terms. The reference to veterinary surgeon was intended to involve only day procedures, which is why it can be considered under the definition of health facility. However a veterinary hospital includes the keeping of animals overnight on the premises which may have impacts of the amenity of the surrounding area; it is for this reason that a veterinary hospital is prohibited within the community facility zone for example whereas a veterinary surgeon, listed under the common terminology of health facility, is not. In order to enhance the distinction between the two terms, the common terminology has been changed to refer to ‘veterinary day clinic’.</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For the same reason as listed above, the definition for ‘veterinary hospital’ has also been changed to clarify that animals may be kept on the premises overnight for the purposes of treatment.</w:t>
      </w:r>
    </w:p>
    <w:p w:rsidR="009E77E6" w:rsidRDefault="009E77E6">
      <w:pPr>
        <w:ind w:left="540"/>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s87(g) a variation to clarify the language in the territory plan if it does not change the substance of the plan </w:t>
            </w:r>
          </w:p>
        </w:tc>
        <w:tc>
          <w:tcPr>
            <w:tcW w:w="7051" w:type="dxa"/>
          </w:tcPr>
          <w:p w:rsidR="009E77E6" w:rsidRPr="009E77E6" w:rsidRDefault="009E77E6">
            <w:pPr>
              <w:rPr>
                <w:rFonts w:ascii="Arial" w:hAnsi="Arial" w:cs="Arial"/>
              </w:rPr>
            </w:pPr>
            <w:r w:rsidRPr="009E77E6">
              <w:rPr>
                <w:rFonts w:ascii="Arial" w:hAnsi="Arial" w:cs="Arial"/>
              </w:rPr>
              <w:t>The change to the list of common terminology under the health facility definition seeks to clarify the distinction between a veterinary surgeon and a veterinary hospital which is a separate definition not clustered under the same umbrella category of community use. The wording change to ‘veterinary day clinic’ is intended to clarify the meaning behind the previous term of veterinary surgeon in order to avoid confusion.</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The wording change to the definition of veterinary hospital is to clarify that a veterinary hospital allows for animals to be kept on the premises overnight.</w:t>
            </w:r>
          </w:p>
        </w:tc>
      </w:tr>
    </w:tbl>
    <w:p w:rsidR="009E77E6" w:rsidRDefault="009E77E6">
      <w:pPr>
        <w:ind w:left="540"/>
        <w:jc w:val="both"/>
        <w:rPr>
          <w:rFonts w:ascii="Arial" w:hAnsi="Arial" w:cs="Arial"/>
          <w:szCs w:val="24"/>
        </w:rPr>
      </w:pPr>
    </w:p>
    <w:p w:rsidR="009E77E6" w:rsidRDefault="009E77E6">
      <w:pPr>
        <w:numPr>
          <w:ilvl w:val="0"/>
          <w:numId w:val="12"/>
        </w:numPr>
        <w:jc w:val="both"/>
        <w:rPr>
          <w:rFonts w:ascii="Arial" w:hAnsi="Arial" w:cs="Arial"/>
          <w:b/>
          <w:szCs w:val="24"/>
        </w:rPr>
      </w:pPr>
      <w:r>
        <w:rPr>
          <w:rFonts w:ascii="Arial" w:hAnsi="Arial" w:cs="Arial"/>
          <w:b/>
          <w:szCs w:val="24"/>
        </w:rPr>
        <w:t>Definitions – clarification of the meaning of minor use (item 6 b)</w:t>
      </w:r>
    </w:p>
    <w:p w:rsidR="009E77E6" w:rsidRDefault="009E77E6">
      <w:pPr>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The amendment clarifies the language within the definition of minor use, to improve its workability and to confirm that it is intended to include minor service reticulation.</w:t>
      </w:r>
    </w:p>
    <w:p w:rsidR="009E77E6" w:rsidRDefault="009E77E6">
      <w:pPr>
        <w:ind w:left="540"/>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s87(g) a variation to clarify the language in the territory plan if it does not change the substance of the plan </w:t>
            </w:r>
          </w:p>
        </w:tc>
        <w:tc>
          <w:tcPr>
            <w:tcW w:w="7051" w:type="dxa"/>
          </w:tcPr>
          <w:p w:rsidR="009E77E6" w:rsidRPr="009E77E6" w:rsidRDefault="009E77E6">
            <w:pPr>
              <w:rPr>
                <w:rFonts w:ascii="Arial" w:hAnsi="Arial" w:cs="Arial"/>
              </w:rPr>
            </w:pPr>
            <w:r w:rsidRPr="009E77E6">
              <w:rPr>
                <w:rFonts w:ascii="Arial" w:hAnsi="Arial" w:cs="Arial"/>
              </w:rPr>
              <w:t>The change to the definition of minor use is intended to clarify the original intent of the provision through clearer wording of the definition and providing greater clarity as to what constitutes a minor use.</w:t>
            </w:r>
          </w:p>
        </w:tc>
      </w:tr>
    </w:tbl>
    <w:p w:rsidR="009E77E6" w:rsidRDefault="009E77E6">
      <w:pPr>
        <w:ind w:left="540"/>
        <w:jc w:val="both"/>
        <w:rPr>
          <w:rFonts w:ascii="Arial" w:hAnsi="Arial" w:cs="Arial"/>
          <w:szCs w:val="24"/>
        </w:rPr>
      </w:pPr>
    </w:p>
    <w:p w:rsidR="009E77E6" w:rsidRDefault="009E77E6">
      <w:pPr>
        <w:numPr>
          <w:ilvl w:val="0"/>
          <w:numId w:val="12"/>
        </w:numPr>
        <w:jc w:val="both"/>
        <w:rPr>
          <w:rFonts w:ascii="Arial" w:hAnsi="Arial" w:cs="Arial"/>
          <w:b/>
          <w:szCs w:val="24"/>
        </w:rPr>
      </w:pPr>
      <w:r>
        <w:rPr>
          <w:rFonts w:ascii="Arial" w:hAnsi="Arial" w:cs="Arial"/>
          <w:b/>
          <w:szCs w:val="24"/>
        </w:rPr>
        <w:t>Definitions – clarification of the meanings of various definitions and maintain consistency (item 6 c) to h))</w:t>
      </w: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p>
    <w:p w:rsidR="009E77E6" w:rsidRDefault="009E77E6">
      <w:pPr>
        <w:ind w:left="540"/>
        <w:jc w:val="both"/>
        <w:rPr>
          <w:rFonts w:ascii="Arial" w:hAnsi="Arial" w:cs="Arial"/>
          <w:szCs w:val="24"/>
        </w:rPr>
      </w:pPr>
      <w:r>
        <w:rPr>
          <w:rFonts w:ascii="Arial" w:hAnsi="Arial" w:cs="Arial"/>
          <w:szCs w:val="24"/>
        </w:rPr>
        <w:t>Changes are made to clarify and rearrange the wording of the following definitions to ensure consistency in readability and formatting across all definitions in the Territory Plan:</w:t>
      </w:r>
    </w:p>
    <w:p w:rsidR="009E77E6" w:rsidRDefault="009E77E6">
      <w:pPr>
        <w:ind w:left="540"/>
        <w:jc w:val="both"/>
        <w:rPr>
          <w:rFonts w:ascii="Arial" w:hAnsi="Arial" w:cs="Arial"/>
          <w:szCs w:val="24"/>
        </w:rPr>
      </w:pPr>
    </w:p>
    <w:p w:rsidR="009E77E6" w:rsidRDefault="009E77E6">
      <w:pPr>
        <w:numPr>
          <w:ilvl w:val="1"/>
          <w:numId w:val="12"/>
        </w:numPr>
        <w:jc w:val="both"/>
        <w:rPr>
          <w:rFonts w:ascii="Arial" w:hAnsi="Arial" w:cs="Arial"/>
          <w:szCs w:val="24"/>
        </w:rPr>
      </w:pPr>
      <w:r>
        <w:rPr>
          <w:rFonts w:ascii="Arial" w:hAnsi="Arial" w:cs="Arial"/>
          <w:szCs w:val="24"/>
        </w:rPr>
        <w:t>freight transport facility</w:t>
      </w:r>
    </w:p>
    <w:p w:rsidR="009E77E6" w:rsidRDefault="009E77E6">
      <w:pPr>
        <w:numPr>
          <w:ilvl w:val="1"/>
          <w:numId w:val="12"/>
        </w:numPr>
        <w:jc w:val="both"/>
        <w:rPr>
          <w:rFonts w:ascii="Arial" w:hAnsi="Arial" w:cs="Arial"/>
          <w:szCs w:val="24"/>
        </w:rPr>
      </w:pPr>
      <w:r>
        <w:rPr>
          <w:rFonts w:ascii="Arial" w:hAnsi="Arial" w:cs="Arial"/>
          <w:szCs w:val="24"/>
        </w:rPr>
        <w:t>office</w:t>
      </w:r>
    </w:p>
    <w:p w:rsidR="009E77E6" w:rsidRDefault="009E77E6">
      <w:pPr>
        <w:numPr>
          <w:ilvl w:val="1"/>
          <w:numId w:val="12"/>
        </w:numPr>
        <w:jc w:val="both"/>
        <w:rPr>
          <w:rFonts w:ascii="Arial" w:hAnsi="Arial" w:cs="Arial"/>
          <w:szCs w:val="24"/>
        </w:rPr>
      </w:pPr>
      <w:r>
        <w:rPr>
          <w:rFonts w:ascii="Arial" w:hAnsi="Arial" w:cs="Arial"/>
          <w:szCs w:val="24"/>
        </w:rPr>
        <w:t>outdoor education establishment</w:t>
      </w:r>
    </w:p>
    <w:p w:rsidR="009E77E6" w:rsidRDefault="009E77E6">
      <w:pPr>
        <w:numPr>
          <w:ilvl w:val="1"/>
          <w:numId w:val="12"/>
        </w:numPr>
        <w:jc w:val="both"/>
        <w:rPr>
          <w:rFonts w:ascii="Arial" w:hAnsi="Arial" w:cs="Arial"/>
          <w:szCs w:val="24"/>
        </w:rPr>
      </w:pPr>
      <w:r>
        <w:rPr>
          <w:rFonts w:ascii="Arial" w:hAnsi="Arial" w:cs="Arial"/>
          <w:szCs w:val="24"/>
        </w:rPr>
        <w:t>overnight camping area</w:t>
      </w:r>
    </w:p>
    <w:p w:rsidR="009E77E6" w:rsidRDefault="009E77E6">
      <w:pPr>
        <w:numPr>
          <w:ilvl w:val="1"/>
          <w:numId w:val="12"/>
        </w:numPr>
        <w:jc w:val="both"/>
        <w:rPr>
          <w:rFonts w:ascii="Arial" w:hAnsi="Arial" w:cs="Arial"/>
          <w:szCs w:val="24"/>
        </w:rPr>
      </w:pPr>
      <w:r>
        <w:rPr>
          <w:rFonts w:ascii="Arial" w:hAnsi="Arial" w:cs="Arial"/>
          <w:szCs w:val="24"/>
        </w:rPr>
        <w:t>parkland</w:t>
      </w:r>
    </w:p>
    <w:p w:rsidR="009E77E6" w:rsidRDefault="009E77E6">
      <w:pPr>
        <w:numPr>
          <w:ilvl w:val="1"/>
          <w:numId w:val="12"/>
        </w:numPr>
        <w:jc w:val="both"/>
        <w:rPr>
          <w:rFonts w:ascii="Arial" w:hAnsi="Arial" w:cs="Arial"/>
          <w:szCs w:val="24"/>
        </w:rPr>
      </w:pPr>
      <w:r>
        <w:rPr>
          <w:rFonts w:ascii="Arial" w:hAnsi="Arial" w:cs="Arial"/>
          <w:szCs w:val="24"/>
        </w:rPr>
        <w:t>playing field</w:t>
      </w:r>
    </w:p>
    <w:p w:rsidR="009E77E6" w:rsidRDefault="009E77E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9E77E6" w:rsidRPr="009E77E6" w:rsidTr="009E77E6">
        <w:tc>
          <w:tcPr>
            <w:tcW w:w="2235" w:type="dxa"/>
          </w:tcPr>
          <w:p w:rsidR="009E77E6" w:rsidRPr="009E77E6" w:rsidRDefault="009E77E6" w:rsidP="009E77E6">
            <w:pPr>
              <w:jc w:val="both"/>
              <w:rPr>
                <w:rFonts w:ascii="Arial" w:hAnsi="Arial" w:cs="Arial"/>
                <w:b/>
              </w:rPr>
            </w:pPr>
            <w:r w:rsidRPr="009E77E6">
              <w:rPr>
                <w:rFonts w:ascii="Arial" w:hAnsi="Arial" w:cs="Arial"/>
                <w:b/>
              </w:rPr>
              <w:t>Section of Act</w:t>
            </w:r>
          </w:p>
        </w:tc>
        <w:tc>
          <w:tcPr>
            <w:tcW w:w="7051" w:type="dxa"/>
          </w:tcPr>
          <w:p w:rsidR="009E77E6" w:rsidRPr="009E77E6" w:rsidRDefault="009E77E6" w:rsidP="009E77E6">
            <w:pPr>
              <w:jc w:val="both"/>
              <w:rPr>
                <w:rFonts w:ascii="Arial" w:hAnsi="Arial" w:cs="Arial"/>
                <w:b/>
              </w:rPr>
            </w:pPr>
            <w:r w:rsidRPr="009E77E6">
              <w:rPr>
                <w:rFonts w:ascii="Arial" w:hAnsi="Arial" w:cs="Arial"/>
                <w:b/>
              </w:rPr>
              <w:t>Statement of compliance with Act</w:t>
            </w:r>
          </w:p>
        </w:tc>
      </w:tr>
      <w:tr w:rsidR="009E77E6" w:rsidRPr="009E77E6" w:rsidTr="009E77E6">
        <w:tc>
          <w:tcPr>
            <w:tcW w:w="2235" w:type="dxa"/>
          </w:tcPr>
          <w:p w:rsidR="009E77E6" w:rsidRPr="009E77E6" w:rsidRDefault="009E77E6">
            <w:pPr>
              <w:rPr>
                <w:rFonts w:ascii="Arial" w:hAnsi="Arial" w:cs="Arial"/>
              </w:rPr>
            </w:pPr>
            <w:r w:rsidRPr="009E77E6">
              <w:rPr>
                <w:rFonts w:ascii="Arial" w:hAnsi="Arial" w:cs="Arial"/>
              </w:rPr>
              <w:t xml:space="preserve">s87(g) a variation to clarify the language in the territory plan if it does not change the substance of the plan </w:t>
            </w:r>
          </w:p>
        </w:tc>
        <w:tc>
          <w:tcPr>
            <w:tcW w:w="7051" w:type="dxa"/>
          </w:tcPr>
          <w:p w:rsidR="009E77E6" w:rsidRPr="009E77E6" w:rsidRDefault="009E77E6">
            <w:pPr>
              <w:rPr>
                <w:rFonts w:ascii="Arial" w:hAnsi="Arial" w:cs="Arial"/>
              </w:rPr>
            </w:pPr>
            <w:r w:rsidRPr="009E77E6">
              <w:rPr>
                <w:rFonts w:ascii="Arial" w:hAnsi="Arial" w:cs="Arial"/>
              </w:rPr>
              <w:t xml:space="preserve">The changes to the definitions of office, freight transport facility, and outdoor education establishment are to bring the wording into line with the same formatting as other definitions. </w:t>
            </w:r>
          </w:p>
          <w:p w:rsidR="009E77E6" w:rsidRPr="009E77E6" w:rsidRDefault="009E77E6">
            <w:pPr>
              <w:rPr>
                <w:rFonts w:ascii="Arial" w:hAnsi="Arial" w:cs="Arial"/>
              </w:rPr>
            </w:pPr>
          </w:p>
          <w:p w:rsidR="009E77E6" w:rsidRPr="009E77E6" w:rsidRDefault="009E77E6">
            <w:pPr>
              <w:rPr>
                <w:rFonts w:ascii="Arial" w:hAnsi="Arial" w:cs="Arial"/>
              </w:rPr>
            </w:pPr>
            <w:r w:rsidRPr="009E77E6">
              <w:rPr>
                <w:rFonts w:ascii="Arial" w:hAnsi="Arial" w:cs="Arial"/>
              </w:rPr>
              <w:t>The changes to overnight camping area, parkland and playing field are intended to clarify the original intent of the provision through clearer wording and formatting of the definitions.</w:t>
            </w:r>
          </w:p>
          <w:p w:rsidR="009E77E6" w:rsidRPr="009E77E6" w:rsidRDefault="009E77E6">
            <w:pPr>
              <w:rPr>
                <w:rFonts w:ascii="Arial" w:hAnsi="Arial" w:cs="Arial"/>
              </w:rPr>
            </w:pPr>
          </w:p>
        </w:tc>
      </w:tr>
    </w:tbl>
    <w:p w:rsidR="009E77E6" w:rsidRDefault="009E77E6">
      <w:pPr>
        <w:jc w:val="both"/>
        <w:rPr>
          <w:rFonts w:ascii="Arial" w:hAnsi="Arial" w:cs="Arial"/>
          <w:b/>
          <w:szCs w:val="24"/>
        </w:rPr>
      </w:pPr>
      <w:bookmarkStart w:id="15" w:name="_Toc254851539"/>
    </w:p>
    <w:p w:rsidR="009E77E6" w:rsidRDefault="009E77E6">
      <w:pPr>
        <w:pStyle w:val="TAsectionheading"/>
        <w:jc w:val="both"/>
      </w:pPr>
      <w:bookmarkStart w:id="16" w:name="_Toc296601028"/>
      <w:r>
        <w:t>TECHNICAL AMENDMENT</w:t>
      </w:r>
      <w:bookmarkEnd w:id="15"/>
      <w:bookmarkEnd w:id="16"/>
    </w:p>
    <w:p w:rsidR="009E77E6" w:rsidRDefault="009E77E6">
      <w:pPr>
        <w:pStyle w:val="TAsubheadinglocationinterritoryplan"/>
        <w:jc w:val="both"/>
      </w:pPr>
      <w:r>
        <w:t xml:space="preserve">Variation to </w:t>
      </w:r>
      <w:r>
        <w:rPr>
          <w:rFonts w:cs="Arial"/>
        </w:rPr>
        <w:t>single dwelling housing development code</w:t>
      </w:r>
    </w:p>
    <w:p w:rsidR="009E77E6" w:rsidRDefault="009E77E6">
      <w:pPr>
        <w:pStyle w:val="TAeditorialitemgeneralheading"/>
        <w:jc w:val="both"/>
      </w:pPr>
      <w:r>
        <w:t>Part B – General Development Controls, Element 2: Building and Site Controls, Section 2.7 Bushfire, rule R20A</w:t>
      </w:r>
    </w:p>
    <w:p w:rsidR="009E77E6" w:rsidRDefault="009E77E6">
      <w:pPr>
        <w:pStyle w:val="TAeditorialinstructions"/>
        <w:jc w:val="both"/>
        <w:rPr>
          <w:rFonts w:cs="Arial"/>
        </w:rPr>
      </w:pPr>
    </w:p>
    <w:p w:rsidR="009E77E6" w:rsidRDefault="009E77E6">
      <w:pPr>
        <w:ind w:left="720"/>
        <w:jc w:val="both"/>
        <w:rPr>
          <w:rFonts w:ascii="Arial" w:hAnsi="Arial" w:cs="Arial"/>
          <w:i/>
        </w:rPr>
      </w:pPr>
      <w:r>
        <w:rPr>
          <w:rFonts w:ascii="Arial" w:hAnsi="Arial" w:cs="Arial"/>
          <w:i/>
        </w:rPr>
        <w:t>Substitute with</w:t>
      </w:r>
    </w:p>
    <w:p w:rsidR="009E77E6" w:rsidRDefault="009E77E6">
      <w:pPr>
        <w:ind w:left="426"/>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9E77E6" w:rsidRPr="009E77E6" w:rsidTr="009E77E6">
        <w:trPr>
          <w:trHeight w:val="397"/>
        </w:trPr>
        <w:tc>
          <w:tcPr>
            <w:tcW w:w="8529" w:type="dxa"/>
            <w:gridSpan w:val="2"/>
            <w:shd w:val="clear" w:color="auto" w:fill="E6E6E6"/>
            <w:vAlign w:val="center"/>
          </w:tcPr>
          <w:p w:rsidR="009E77E6" w:rsidRPr="009E77E6" w:rsidRDefault="009E77E6" w:rsidP="009E77E6">
            <w:pPr>
              <w:tabs>
                <w:tab w:val="left" w:pos="426"/>
              </w:tabs>
              <w:ind w:left="567" w:hanging="567"/>
              <w:jc w:val="both"/>
              <w:rPr>
                <w:rFonts w:ascii="Arial" w:hAnsi="Arial" w:cs="Arial"/>
                <w:b/>
                <w:sz w:val="20"/>
              </w:rPr>
            </w:pPr>
            <w:r w:rsidRPr="009E77E6">
              <w:rPr>
                <w:rFonts w:ascii="Arial" w:hAnsi="Arial" w:cs="Arial"/>
                <w:b/>
                <w:sz w:val="20"/>
              </w:rPr>
              <w:t>2.7 Bushfire</w:t>
            </w:r>
          </w:p>
        </w:tc>
      </w:tr>
      <w:tr w:rsidR="009E77E6" w:rsidRPr="009E77E6" w:rsidTr="009E77E6">
        <w:tc>
          <w:tcPr>
            <w:tcW w:w="4264" w:type="dxa"/>
          </w:tcPr>
          <w:p w:rsidR="009E77E6" w:rsidRPr="009E77E6" w:rsidRDefault="009E77E6" w:rsidP="009E77E6">
            <w:pPr>
              <w:jc w:val="both"/>
              <w:rPr>
                <w:rFonts w:ascii="Arial" w:hAnsi="Arial" w:cs="Arial"/>
                <w:sz w:val="20"/>
              </w:rPr>
            </w:pPr>
            <w:r w:rsidRPr="009E77E6">
              <w:rPr>
                <w:rFonts w:ascii="Arial" w:hAnsi="Arial" w:cs="Arial"/>
                <w:sz w:val="20"/>
              </w:rPr>
              <w:t>R20A</w:t>
            </w:r>
          </w:p>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r w:rsidRPr="009E77E6">
              <w:rPr>
                <w:rFonts w:ascii="Arial" w:hAnsi="Arial" w:cs="Arial"/>
                <w:sz w:val="20"/>
              </w:rPr>
              <w:t>Where identified in a precinct code or lease and development conditions, buildings are to be designed and constructed in accordance with the specified bushfire construction level of Australian Standard AS 3959.</w:t>
            </w:r>
          </w:p>
          <w:p w:rsidR="009E77E6" w:rsidRPr="009E77E6" w:rsidRDefault="009E77E6" w:rsidP="009E77E6">
            <w:pPr>
              <w:jc w:val="both"/>
              <w:rPr>
                <w:rFonts w:ascii="Arial" w:hAnsi="Arial" w:cs="Arial"/>
                <w:sz w:val="20"/>
              </w:rPr>
            </w:pPr>
          </w:p>
        </w:tc>
        <w:tc>
          <w:tcPr>
            <w:tcW w:w="4265" w:type="dxa"/>
          </w:tcPr>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r w:rsidRPr="009E77E6">
              <w:rPr>
                <w:rFonts w:ascii="Arial" w:hAnsi="Arial" w:cs="Arial"/>
                <w:sz w:val="20"/>
              </w:rPr>
              <w:t xml:space="preserve">This is a mandatory requirement.  There is no applicable criterion. </w:t>
            </w:r>
          </w:p>
          <w:p w:rsidR="009E77E6" w:rsidRPr="009E77E6" w:rsidRDefault="009E77E6" w:rsidP="009E77E6">
            <w:pPr>
              <w:jc w:val="both"/>
              <w:rPr>
                <w:rFonts w:ascii="Arial" w:hAnsi="Arial" w:cs="Arial"/>
                <w:sz w:val="20"/>
              </w:rPr>
            </w:pPr>
          </w:p>
        </w:tc>
      </w:tr>
    </w:tbl>
    <w:p w:rsidR="009E77E6" w:rsidRDefault="009E77E6">
      <w:pPr>
        <w:jc w:val="both"/>
        <w:rPr>
          <w:rFonts w:ascii="Arial" w:hAnsi="Arial" w:cs="Arial"/>
        </w:rPr>
      </w:pPr>
    </w:p>
    <w:p w:rsidR="009E77E6" w:rsidRDefault="009E77E6">
      <w:pPr>
        <w:pStyle w:val="TAsubheadinglocationinterritoryplan"/>
        <w:jc w:val="both"/>
      </w:pPr>
      <w:r>
        <w:t xml:space="preserve">Variation to </w:t>
      </w:r>
      <w:r>
        <w:rPr>
          <w:rFonts w:cs="Arial"/>
        </w:rPr>
        <w:t>multi unit housing development code</w:t>
      </w:r>
    </w:p>
    <w:p w:rsidR="009E77E6" w:rsidRDefault="009E77E6">
      <w:pPr>
        <w:pStyle w:val="TAeditorialitemgeneralheading"/>
        <w:jc w:val="both"/>
      </w:pPr>
      <w:r>
        <w:t>Part B – General Development Controls, Element 2: Building and Site Controls, Section 2.7 Bushfire, rule R34A</w:t>
      </w:r>
    </w:p>
    <w:p w:rsidR="009E77E6" w:rsidRDefault="009E77E6">
      <w:pPr>
        <w:pStyle w:val="TAeditorialinstructions"/>
        <w:jc w:val="both"/>
        <w:rPr>
          <w:rFonts w:cs="Arial"/>
        </w:rPr>
      </w:pPr>
    </w:p>
    <w:p w:rsidR="009E77E6" w:rsidRDefault="009E77E6">
      <w:pPr>
        <w:ind w:left="720"/>
        <w:jc w:val="both"/>
        <w:rPr>
          <w:rFonts w:ascii="Arial" w:hAnsi="Arial" w:cs="Arial"/>
          <w:i/>
        </w:rPr>
      </w:pPr>
      <w:r>
        <w:rPr>
          <w:rFonts w:ascii="Arial" w:hAnsi="Arial" w:cs="Arial"/>
          <w:i/>
        </w:rPr>
        <w:t>Substitute with</w:t>
      </w:r>
    </w:p>
    <w:p w:rsidR="009E77E6" w:rsidRDefault="009E77E6">
      <w:pPr>
        <w:ind w:left="426"/>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9E77E6" w:rsidRPr="009E77E6" w:rsidTr="009E77E6">
        <w:trPr>
          <w:trHeight w:val="397"/>
        </w:trPr>
        <w:tc>
          <w:tcPr>
            <w:tcW w:w="8529" w:type="dxa"/>
            <w:gridSpan w:val="2"/>
            <w:shd w:val="clear" w:color="auto" w:fill="E6E6E6"/>
            <w:vAlign w:val="center"/>
          </w:tcPr>
          <w:p w:rsidR="009E77E6" w:rsidRPr="009E77E6" w:rsidRDefault="009E77E6" w:rsidP="009E77E6">
            <w:pPr>
              <w:tabs>
                <w:tab w:val="left" w:pos="426"/>
              </w:tabs>
              <w:ind w:left="567" w:hanging="567"/>
              <w:jc w:val="both"/>
              <w:rPr>
                <w:rFonts w:ascii="Arial" w:hAnsi="Arial" w:cs="Arial"/>
                <w:b/>
                <w:sz w:val="20"/>
              </w:rPr>
            </w:pPr>
            <w:r w:rsidRPr="009E77E6">
              <w:rPr>
                <w:rFonts w:ascii="Arial" w:hAnsi="Arial" w:cs="Arial"/>
                <w:b/>
                <w:sz w:val="20"/>
              </w:rPr>
              <w:t>2.7 Bushfire</w:t>
            </w:r>
          </w:p>
        </w:tc>
      </w:tr>
      <w:tr w:rsidR="009E77E6" w:rsidRPr="009E77E6" w:rsidTr="009E77E6">
        <w:tc>
          <w:tcPr>
            <w:tcW w:w="4264" w:type="dxa"/>
          </w:tcPr>
          <w:p w:rsidR="009E77E6" w:rsidRPr="009E77E6" w:rsidRDefault="009E77E6" w:rsidP="009E77E6">
            <w:pPr>
              <w:jc w:val="both"/>
              <w:rPr>
                <w:rFonts w:ascii="Arial" w:hAnsi="Arial" w:cs="Arial"/>
                <w:sz w:val="20"/>
              </w:rPr>
            </w:pPr>
            <w:r w:rsidRPr="009E77E6">
              <w:rPr>
                <w:rFonts w:ascii="Arial" w:hAnsi="Arial" w:cs="Arial"/>
                <w:sz w:val="20"/>
              </w:rPr>
              <w:t>R34A</w:t>
            </w:r>
          </w:p>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r w:rsidRPr="009E77E6">
              <w:rPr>
                <w:rFonts w:ascii="Arial" w:hAnsi="Arial" w:cs="Arial"/>
                <w:sz w:val="20"/>
              </w:rPr>
              <w:t>Where identified in a precinct code or lease and development conditions, buildings are to be designed and constructed in accordance with the specified bushfire construction level of Australian Standard AS 3959.</w:t>
            </w:r>
          </w:p>
          <w:p w:rsidR="009E77E6" w:rsidRPr="009E77E6" w:rsidRDefault="009E77E6" w:rsidP="009E77E6">
            <w:pPr>
              <w:jc w:val="both"/>
              <w:rPr>
                <w:rFonts w:ascii="Arial" w:hAnsi="Arial" w:cs="Arial"/>
                <w:sz w:val="20"/>
              </w:rPr>
            </w:pPr>
          </w:p>
        </w:tc>
        <w:tc>
          <w:tcPr>
            <w:tcW w:w="4265" w:type="dxa"/>
          </w:tcPr>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p>
          <w:p w:rsidR="009E77E6" w:rsidRPr="009E77E6" w:rsidRDefault="009E77E6" w:rsidP="009E77E6">
            <w:pPr>
              <w:jc w:val="both"/>
              <w:rPr>
                <w:rFonts w:ascii="Arial" w:hAnsi="Arial" w:cs="Arial"/>
                <w:sz w:val="20"/>
              </w:rPr>
            </w:pPr>
            <w:r w:rsidRPr="009E77E6">
              <w:rPr>
                <w:rFonts w:ascii="Arial" w:hAnsi="Arial" w:cs="Arial"/>
                <w:sz w:val="20"/>
              </w:rPr>
              <w:t xml:space="preserve">This is a mandatory requirement.  There is no applicable criterion. </w:t>
            </w:r>
          </w:p>
          <w:p w:rsidR="009E77E6" w:rsidRPr="009E77E6" w:rsidRDefault="009E77E6" w:rsidP="009E77E6">
            <w:pPr>
              <w:jc w:val="both"/>
              <w:rPr>
                <w:rFonts w:ascii="Arial" w:hAnsi="Arial" w:cs="Arial"/>
                <w:sz w:val="20"/>
              </w:rPr>
            </w:pPr>
          </w:p>
        </w:tc>
      </w:tr>
    </w:tbl>
    <w:p w:rsidR="009E77E6" w:rsidRDefault="009E77E6">
      <w:pPr>
        <w:jc w:val="both"/>
        <w:rPr>
          <w:rFonts w:ascii="Arial" w:hAnsi="Arial" w:cs="Arial"/>
        </w:rPr>
      </w:pPr>
    </w:p>
    <w:p w:rsidR="009E77E6" w:rsidRDefault="009E77E6">
      <w:pPr>
        <w:pStyle w:val="TAsubheadinglocationinterritoryplan"/>
        <w:jc w:val="both"/>
        <w:sectPr w:rsidR="009E77E6">
          <w:pgSz w:w="11906" w:h="16838"/>
          <w:pgMar w:top="1440" w:right="1418" w:bottom="1440" w:left="1418" w:header="709" w:footer="709" w:gutter="0"/>
          <w:cols w:space="708"/>
          <w:docGrid w:linePitch="360"/>
        </w:sectPr>
      </w:pPr>
    </w:p>
    <w:p w:rsidR="009E77E6" w:rsidRDefault="009E77E6">
      <w:pPr>
        <w:pStyle w:val="TAeditorialitemgeneralheading"/>
      </w:pPr>
      <w:r>
        <w:t>Part D – Development Type Controls –</w:t>
      </w:r>
      <w:r>
        <w:softHyphen/>
      </w:r>
      <w:r>
        <w:softHyphen/>
        <w:t xml:space="preserve"> Other Forms of Residential Development  and Non-residential Development, Element 1: Restrictions on Use, Section 1.3 Habitable Suite, rule R250</w:t>
      </w:r>
    </w:p>
    <w:p w:rsidR="009E77E6" w:rsidRDefault="009E77E6">
      <w:pPr>
        <w:pStyle w:val="TAeditorialinstructions"/>
        <w:rPr>
          <w:rFonts w:cs="Arial"/>
        </w:rPr>
      </w:pPr>
    </w:p>
    <w:p w:rsidR="009E77E6" w:rsidRDefault="009E77E6">
      <w:pPr>
        <w:ind w:left="720"/>
        <w:rPr>
          <w:rFonts w:ascii="Arial" w:hAnsi="Arial" w:cs="Arial"/>
          <w:i/>
        </w:rPr>
      </w:pPr>
      <w:r>
        <w:rPr>
          <w:rFonts w:ascii="Arial" w:hAnsi="Arial" w:cs="Arial"/>
          <w:i/>
        </w:rPr>
        <w:t>Substitute with</w:t>
      </w:r>
    </w:p>
    <w:p w:rsidR="009E77E6" w:rsidRDefault="009E77E6">
      <w:pPr>
        <w:ind w:left="426"/>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9E77E6" w:rsidRPr="009E77E6" w:rsidTr="009E77E6">
        <w:trPr>
          <w:trHeight w:val="397"/>
        </w:trPr>
        <w:tc>
          <w:tcPr>
            <w:tcW w:w="8529" w:type="dxa"/>
            <w:gridSpan w:val="2"/>
            <w:shd w:val="clear" w:color="auto" w:fill="E6E6E6"/>
            <w:vAlign w:val="center"/>
          </w:tcPr>
          <w:p w:rsidR="009E77E6" w:rsidRPr="009E77E6" w:rsidRDefault="009E77E6" w:rsidP="009E77E6">
            <w:pPr>
              <w:tabs>
                <w:tab w:val="left" w:pos="426"/>
              </w:tabs>
              <w:ind w:left="567" w:hanging="567"/>
              <w:rPr>
                <w:rFonts w:ascii="Arial" w:hAnsi="Arial" w:cs="Arial"/>
                <w:b/>
                <w:sz w:val="20"/>
              </w:rPr>
            </w:pPr>
            <w:r w:rsidRPr="009E77E6">
              <w:rPr>
                <w:rFonts w:ascii="Arial" w:hAnsi="Arial" w:cs="Arial"/>
                <w:b/>
                <w:sz w:val="20"/>
              </w:rPr>
              <w:t>1.3 Habitable Suite</w:t>
            </w:r>
          </w:p>
        </w:tc>
      </w:tr>
      <w:tr w:rsidR="009E77E6" w:rsidRPr="009E77E6" w:rsidTr="009E77E6">
        <w:tc>
          <w:tcPr>
            <w:tcW w:w="4264" w:type="dxa"/>
          </w:tcPr>
          <w:p w:rsidR="009E77E6" w:rsidRPr="009E77E6" w:rsidRDefault="009E77E6">
            <w:pPr>
              <w:rPr>
                <w:rFonts w:ascii="Arial" w:hAnsi="Arial" w:cs="Arial"/>
                <w:sz w:val="20"/>
              </w:rPr>
            </w:pPr>
            <w:r w:rsidRPr="009E77E6">
              <w:rPr>
                <w:rFonts w:ascii="Arial" w:hAnsi="Arial" w:cs="Arial"/>
                <w:sz w:val="20"/>
              </w:rPr>
              <w:t>R250</w:t>
            </w:r>
          </w:p>
          <w:p w:rsidR="009E77E6" w:rsidRPr="009E77E6" w:rsidRDefault="009E77E6">
            <w:pPr>
              <w:rPr>
                <w:rFonts w:ascii="Arial" w:hAnsi="Arial" w:cs="Arial"/>
                <w:sz w:val="20"/>
              </w:rPr>
            </w:pPr>
          </w:p>
          <w:p w:rsidR="009E77E6" w:rsidRPr="009E77E6" w:rsidRDefault="009E77E6">
            <w:pPr>
              <w:rPr>
                <w:rFonts w:ascii="Arial" w:hAnsi="Arial" w:cs="Arial"/>
                <w:sz w:val="20"/>
              </w:rPr>
            </w:pPr>
            <w:r w:rsidRPr="009E77E6">
              <w:rPr>
                <w:rFonts w:ascii="Arial" w:hAnsi="Arial" w:cs="Arial"/>
                <w:sz w:val="20"/>
              </w:rPr>
              <w:t>The applicant submits a statutory declaration stating that, while the habitable suite is occupied as a separate domicile, at least one of the persons resident in the habitable suite is providing care to or receiving care from an occupant of the main dwelling for reasons of infirmity (due to age) or disability.</w:t>
            </w:r>
          </w:p>
          <w:p w:rsidR="009E77E6" w:rsidRPr="009E77E6" w:rsidRDefault="009E77E6">
            <w:pPr>
              <w:rPr>
                <w:rFonts w:ascii="Arial" w:hAnsi="Arial" w:cs="Arial"/>
                <w:sz w:val="20"/>
              </w:rPr>
            </w:pPr>
          </w:p>
          <w:p w:rsidR="009E77E6" w:rsidRPr="009E77E6" w:rsidRDefault="009E77E6">
            <w:pPr>
              <w:rPr>
                <w:rFonts w:ascii="Arial" w:hAnsi="Arial" w:cs="Arial"/>
                <w:sz w:val="20"/>
              </w:rPr>
            </w:pPr>
          </w:p>
        </w:tc>
        <w:tc>
          <w:tcPr>
            <w:tcW w:w="4265" w:type="dxa"/>
          </w:tcPr>
          <w:p w:rsidR="009E77E6" w:rsidRPr="009E77E6" w:rsidRDefault="009E77E6">
            <w:pPr>
              <w:rPr>
                <w:rFonts w:ascii="Arial" w:hAnsi="Arial" w:cs="Arial"/>
                <w:sz w:val="20"/>
              </w:rPr>
            </w:pPr>
            <w:r w:rsidRPr="009E77E6">
              <w:rPr>
                <w:rFonts w:ascii="Arial" w:hAnsi="Arial" w:cs="Arial"/>
                <w:sz w:val="20"/>
              </w:rPr>
              <w:t>C250</w:t>
            </w:r>
          </w:p>
          <w:p w:rsidR="009E77E6" w:rsidRPr="009E77E6" w:rsidRDefault="009E77E6">
            <w:pPr>
              <w:rPr>
                <w:rFonts w:ascii="Arial" w:hAnsi="Arial" w:cs="Arial"/>
                <w:sz w:val="20"/>
              </w:rPr>
            </w:pPr>
          </w:p>
          <w:p w:rsidR="009E77E6" w:rsidRPr="009E77E6" w:rsidRDefault="009E77E6">
            <w:pPr>
              <w:rPr>
                <w:rFonts w:ascii="Arial" w:hAnsi="Arial" w:cs="Arial"/>
                <w:sz w:val="20"/>
              </w:rPr>
            </w:pPr>
            <w:r w:rsidRPr="009E77E6">
              <w:rPr>
                <w:rFonts w:ascii="Arial" w:hAnsi="Arial" w:cs="Arial"/>
                <w:sz w:val="20"/>
              </w:rPr>
              <w:t xml:space="preserve">This is a mandatory requirement.  There is no applicable criterion. </w:t>
            </w:r>
          </w:p>
          <w:p w:rsidR="009E77E6" w:rsidRPr="009E77E6" w:rsidRDefault="009E77E6">
            <w:pPr>
              <w:rPr>
                <w:rFonts w:ascii="Arial" w:hAnsi="Arial" w:cs="Arial"/>
                <w:sz w:val="20"/>
              </w:rPr>
            </w:pPr>
          </w:p>
        </w:tc>
      </w:tr>
    </w:tbl>
    <w:p w:rsidR="009E77E6" w:rsidRDefault="009E77E6"/>
    <w:p w:rsidR="009E77E6" w:rsidRDefault="009E77E6">
      <w:pPr>
        <w:ind w:left="426"/>
      </w:pPr>
    </w:p>
    <w:p w:rsidR="009E77E6" w:rsidRDefault="009E77E6">
      <w:pPr>
        <w:rPr>
          <w:rFonts w:ascii="Arial" w:hAnsi="Arial" w:cs="Arial"/>
          <w:sz w:val="32"/>
          <w:szCs w:val="32"/>
        </w:rPr>
      </w:pPr>
      <w:r>
        <w:rPr>
          <w:rFonts w:ascii="Arial" w:hAnsi="Arial" w:cs="Arial"/>
          <w:sz w:val="32"/>
          <w:szCs w:val="32"/>
        </w:rPr>
        <w:t>Variation to parking and vehicular access general code</w:t>
      </w:r>
    </w:p>
    <w:p w:rsidR="009E77E6" w:rsidRDefault="009E77E6">
      <w:pPr>
        <w:ind w:left="426"/>
      </w:pPr>
    </w:p>
    <w:p w:rsidR="009E77E6" w:rsidRDefault="009E77E6">
      <w:pPr>
        <w:pStyle w:val="TAeditorialitemgeneralheading"/>
      </w:pPr>
      <w:r>
        <w:t>Section 2. General Design and Vehicular Access Requirements, 2.2.4 Percentages of parking spaces for people with disabilities – minimum parking provision rate (excluding residential zones)</w:t>
      </w:r>
    </w:p>
    <w:p w:rsidR="009E77E6" w:rsidRDefault="009E77E6">
      <w:pPr>
        <w:rPr>
          <w:rFonts w:ascii="Arial" w:hAnsi="Arial" w:cs="Arial"/>
          <w:i/>
        </w:rPr>
      </w:pPr>
    </w:p>
    <w:p w:rsidR="009E77E6" w:rsidRDefault="009E77E6">
      <w:pPr>
        <w:ind w:left="720"/>
        <w:rPr>
          <w:rFonts w:ascii="Arial" w:hAnsi="Arial" w:cs="Arial"/>
          <w:i/>
        </w:rPr>
      </w:pPr>
      <w:r>
        <w:rPr>
          <w:rFonts w:ascii="Arial" w:hAnsi="Arial" w:cs="Arial"/>
          <w:i/>
        </w:rPr>
        <w:t>Substitute wording in section 2.2.4 second paragraph as underlined below</w:t>
      </w:r>
    </w:p>
    <w:p w:rsidR="009E77E6" w:rsidRDefault="009E77E6">
      <w:pPr>
        <w:autoSpaceDE w:val="0"/>
        <w:autoSpaceDN w:val="0"/>
        <w:adjustRightInd w:val="0"/>
        <w:jc w:val="both"/>
        <w:rPr>
          <w:rFonts w:ascii="Arial" w:hAnsi="Arial" w:cs="Arial"/>
          <w:sz w:val="20"/>
          <w:highlight w:val="yellow"/>
        </w:rPr>
      </w:pPr>
    </w:p>
    <w:p w:rsidR="009E77E6" w:rsidRDefault="009E77E6">
      <w:pPr>
        <w:autoSpaceDE w:val="0"/>
        <w:autoSpaceDN w:val="0"/>
        <w:adjustRightInd w:val="0"/>
        <w:jc w:val="both"/>
        <w:rPr>
          <w:rFonts w:ascii="Arial" w:hAnsi="Arial" w:cs="Arial"/>
          <w:sz w:val="20"/>
          <w:u w:val="single"/>
        </w:rPr>
      </w:pPr>
      <w:r>
        <w:rPr>
          <w:rFonts w:ascii="Arial" w:hAnsi="Arial" w:cs="Arial"/>
          <w:sz w:val="20"/>
        </w:rPr>
        <w:t xml:space="preserve">This requirement does not apply to </w:t>
      </w:r>
      <w:r>
        <w:rPr>
          <w:rFonts w:ascii="Arial" w:hAnsi="Arial" w:cs="Arial"/>
          <w:sz w:val="20"/>
          <w:u w:val="single"/>
        </w:rPr>
        <w:t>the parking provided for residents</w:t>
      </w:r>
      <w:r>
        <w:rPr>
          <w:rFonts w:ascii="Arial" w:hAnsi="Arial" w:cs="Arial"/>
          <w:sz w:val="20"/>
        </w:rPr>
        <w:t xml:space="preserve"> in residential developments in any zone (as these are subject to adaptable housing requirements) </w:t>
      </w:r>
      <w:r>
        <w:rPr>
          <w:rFonts w:ascii="Arial" w:hAnsi="Arial" w:cs="Arial"/>
          <w:sz w:val="20"/>
          <w:u w:val="single"/>
        </w:rPr>
        <w:t>but it does apply to visitor parking provided for such residential developments.</w:t>
      </w:r>
    </w:p>
    <w:p w:rsidR="009E77E6" w:rsidRDefault="009E77E6">
      <w:pPr>
        <w:ind w:left="720"/>
        <w:rPr>
          <w:rFonts w:ascii="Arial" w:hAnsi="Arial" w:cs="Arial"/>
          <w:i/>
        </w:rPr>
      </w:pPr>
    </w:p>
    <w:p w:rsidR="009E77E6" w:rsidRDefault="009E77E6">
      <w:pPr>
        <w:pStyle w:val="TAsubheadinglocationinterritoryplan"/>
        <w:rPr>
          <w:rFonts w:cs="Arial"/>
        </w:rPr>
      </w:pPr>
      <w:r>
        <w:rPr>
          <w:rFonts w:cs="Arial"/>
        </w:rPr>
        <w:t>Variation to the crime prevention through environmental design guidelines general code</w:t>
      </w:r>
    </w:p>
    <w:p w:rsidR="009E77E6" w:rsidRDefault="009E77E6">
      <w:pPr>
        <w:pStyle w:val="TAeditorialitemgeneralheading"/>
      </w:pPr>
      <w:r>
        <w:t>Part A – General Requirements, Table 1: Development required to meet the Crime Prevention Through Environmental Design General Code</w:t>
      </w:r>
    </w:p>
    <w:p w:rsidR="009E77E6" w:rsidRDefault="009E77E6">
      <w:pPr>
        <w:rPr>
          <w:rFonts w:ascii="Arial" w:hAnsi="Arial" w:cs="Arial"/>
        </w:rPr>
      </w:pPr>
    </w:p>
    <w:p w:rsidR="009E77E6" w:rsidRDefault="009E77E6">
      <w:pPr>
        <w:ind w:firstLine="720"/>
        <w:rPr>
          <w:rFonts w:ascii="Arial" w:hAnsi="Arial" w:cs="Arial"/>
          <w:i/>
        </w:rPr>
      </w:pPr>
      <w:r>
        <w:rPr>
          <w:rFonts w:ascii="Arial" w:hAnsi="Arial" w:cs="Arial"/>
          <w:i/>
        </w:rPr>
        <w:t xml:space="preserve">Insert </w:t>
      </w:r>
      <w:r>
        <w:rPr>
          <w:rFonts w:ascii="Arial" w:hAnsi="Arial" w:cs="Arial"/>
        </w:rPr>
        <w:t>‘subdivision’</w:t>
      </w:r>
      <w:r>
        <w:rPr>
          <w:rFonts w:ascii="Arial" w:hAnsi="Arial" w:cs="Arial"/>
          <w:i/>
        </w:rPr>
        <w:t xml:space="preserve"> as an additional category into Table 1</w:t>
      </w:r>
    </w:p>
    <w:p w:rsidR="009E77E6" w:rsidRDefault="009E77E6">
      <w:pPr>
        <w:jc w:val="both"/>
        <w:rPr>
          <w:rFonts w:ascii="Arial" w:hAnsi="Arial" w:cs="Arial"/>
          <w:i/>
        </w:rPr>
      </w:pPr>
    </w:p>
    <w:p w:rsidR="009E77E6" w:rsidRDefault="009E77E6">
      <w:pPr>
        <w:pStyle w:val="TAsubheadinglocationinterritoryplan"/>
        <w:jc w:val="both"/>
        <w:sectPr w:rsidR="009E77E6">
          <w:pgSz w:w="11906" w:h="16838"/>
          <w:pgMar w:top="1440" w:right="1418" w:bottom="1440" w:left="1418" w:header="709" w:footer="709" w:gutter="0"/>
          <w:cols w:space="708"/>
          <w:docGrid w:linePitch="360"/>
        </w:sectPr>
      </w:pPr>
    </w:p>
    <w:p w:rsidR="009E77E6" w:rsidRDefault="009E77E6">
      <w:pPr>
        <w:pStyle w:val="TAsubheadinglocationinterritoryplan"/>
      </w:pPr>
      <w:r>
        <w:t xml:space="preserve">Variation to </w:t>
      </w:r>
      <w:r>
        <w:rPr>
          <w:rFonts w:cs="Arial"/>
          <w:szCs w:val="24"/>
        </w:rPr>
        <w:t>Definitions</w:t>
      </w:r>
    </w:p>
    <w:p w:rsidR="009E77E6" w:rsidRDefault="009E77E6">
      <w:pPr>
        <w:pStyle w:val="TAeditorialitemgeneralheading"/>
      </w:pPr>
      <w:r>
        <w:t>Part A – Definitions of Development</w:t>
      </w:r>
    </w:p>
    <w:p w:rsidR="009E77E6" w:rsidRDefault="009E77E6">
      <w:pPr>
        <w:pStyle w:val="TAeditorialinstructions"/>
        <w:rPr>
          <w:rFonts w:cs="Arial"/>
          <w:i w:val="0"/>
          <w:iCs w:val="0"/>
        </w:rPr>
      </w:pPr>
    </w:p>
    <w:p w:rsidR="009E77E6" w:rsidRDefault="009E77E6">
      <w:pPr>
        <w:numPr>
          <w:ilvl w:val="1"/>
          <w:numId w:val="5"/>
        </w:numPr>
        <w:jc w:val="both"/>
        <w:rPr>
          <w:rFonts w:ascii="Arial" w:hAnsi="Arial" w:cs="Arial"/>
          <w:i/>
        </w:rPr>
      </w:pPr>
      <w:r>
        <w:rPr>
          <w:rFonts w:ascii="Arial" w:hAnsi="Arial" w:cs="Arial"/>
          <w:i/>
        </w:rPr>
        <w:t xml:space="preserve">In the column labelled </w:t>
      </w:r>
      <w:r>
        <w:rPr>
          <w:rFonts w:ascii="Arial" w:hAnsi="Arial" w:cs="Arial"/>
        </w:rPr>
        <w:t xml:space="preserve">‘Some Common Terminology’ </w:t>
      </w:r>
      <w:r>
        <w:rPr>
          <w:rFonts w:ascii="Arial" w:hAnsi="Arial" w:cs="Arial"/>
          <w:i/>
        </w:rPr>
        <w:t>associated with the development definition for</w:t>
      </w:r>
      <w:r>
        <w:rPr>
          <w:rFonts w:ascii="Arial" w:hAnsi="Arial" w:cs="Arial"/>
        </w:rPr>
        <w:t xml:space="preserve"> ‘Health facility</w:t>
      </w:r>
      <w:r>
        <w:rPr>
          <w:rFonts w:ascii="Arial" w:hAnsi="Arial" w:cs="Arial"/>
          <w:i/>
        </w:rPr>
        <w:t xml:space="preserve">’, substitute </w:t>
      </w:r>
      <w:r>
        <w:rPr>
          <w:rFonts w:ascii="Arial" w:hAnsi="Arial" w:cs="Arial"/>
        </w:rPr>
        <w:t xml:space="preserve">‘Veterinary surgeon’ </w:t>
      </w:r>
      <w:r>
        <w:rPr>
          <w:rFonts w:ascii="Arial" w:hAnsi="Arial" w:cs="Arial"/>
          <w:i/>
        </w:rPr>
        <w:t xml:space="preserve">with </w:t>
      </w:r>
      <w:r>
        <w:rPr>
          <w:rFonts w:ascii="Arial" w:hAnsi="Arial" w:cs="Arial"/>
        </w:rPr>
        <w:t>‘Veterinary day clinic’</w:t>
      </w:r>
    </w:p>
    <w:p w:rsidR="009E77E6" w:rsidRDefault="009E77E6">
      <w:pPr>
        <w:jc w:val="both"/>
        <w:rPr>
          <w:rFonts w:ascii="Arial" w:hAnsi="Arial" w:cs="Arial"/>
          <w:i/>
        </w:rPr>
      </w:pPr>
    </w:p>
    <w:p w:rsidR="009E77E6" w:rsidRDefault="009E77E6">
      <w:pPr>
        <w:jc w:val="both"/>
        <w:rPr>
          <w:rFonts w:ascii="Arial" w:hAnsi="Arial" w:cs="Arial"/>
          <w:i/>
        </w:rPr>
      </w:pPr>
    </w:p>
    <w:p w:rsidR="009E77E6" w:rsidRDefault="009E77E6">
      <w:pPr>
        <w:numPr>
          <w:ilvl w:val="1"/>
          <w:numId w:val="5"/>
        </w:numPr>
        <w:jc w:val="both"/>
        <w:rPr>
          <w:rFonts w:ascii="Arial" w:hAnsi="Arial" w:cs="Arial"/>
          <w:i/>
        </w:rPr>
      </w:pPr>
      <w:r>
        <w:rPr>
          <w:rFonts w:ascii="Arial" w:hAnsi="Arial" w:cs="Arial"/>
          <w:i/>
        </w:rPr>
        <w:t xml:space="preserve">Substitute wording underlined below into the definition of </w:t>
      </w:r>
      <w:r>
        <w:rPr>
          <w:rFonts w:ascii="Arial" w:hAnsi="Arial" w:cs="Arial"/>
        </w:rPr>
        <w:t>‘minor use’</w:t>
      </w:r>
      <w:r>
        <w:rPr>
          <w:rFonts w:ascii="Arial" w:hAnsi="Arial" w:cs="Arial"/>
          <w:i/>
        </w:rPr>
        <w:t xml:space="preserve"> in the development column</w:t>
      </w:r>
    </w:p>
    <w:p w:rsidR="009E77E6" w:rsidRDefault="009E77E6">
      <w:pPr>
        <w:jc w:val="both"/>
        <w:rPr>
          <w:rFonts w:ascii="Arial" w:hAnsi="Arial" w:cs="Arial"/>
          <w:sz w:val="20"/>
        </w:rPr>
      </w:pPr>
    </w:p>
    <w:p w:rsidR="009E77E6" w:rsidRDefault="009E77E6">
      <w:pPr>
        <w:jc w:val="both"/>
        <w:rPr>
          <w:rFonts w:ascii="Arial" w:hAnsi="Arial" w:cs="Arial"/>
          <w:sz w:val="20"/>
        </w:rPr>
      </w:pPr>
      <w:r>
        <w:rPr>
          <w:rFonts w:ascii="Arial" w:hAnsi="Arial" w:cs="Arial"/>
          <w:b/>
          <w:sz w:val="20"/>
        </w:rPr>
        <w:t>Minor use</w:t>
      </w:r>
      <w:r>
        <w:rPr>
          <w:rFonts w:ascii="Arial" w:hAnsi="Arial" w:cs="Arial"/>
          <w:sz w:val="20"/>
        </w:rPr>
        <w:t xml:space="preserve"> means the use of land for a purpose that is incidental to the use and development of land in the zone and includes but is not limited to open space; public car parking; community path systems; </w:t>
      </w:r>
      <w:r>
        <w:rPr>
          <w:rFonts w:ascii="Arial" w:hAnsi="Arial" w:cs="Arial"/>
          <w:sz w:val="20"/>
          <w:u w:val="single"/>
        </w:rPr>
        <w:t>minor service reticulation; other utility services that do not exclude other uses from the land; public roads (other than major roads)</w:t>
      </w:r>
      <w:r>
        <w:rPr>
          <w:rFonts w:ascii="Arial" w:hAnsi="Arial" w:cs="Arial"/>
          <w:sz w:val="20"/>
        </w:rPr>
        <w:t>; street furniture and the like.</w:t>
      </w:r>
    </w:p>
    <w:p w:rsidR="009E77E6" w:rsidRDefault="009E77E6">
      <w:pPr>
        <w:ind w:left="710"/>
        <w:jc w:val="both"/>
        <w:rPr>
          <w:rFonts w:ascii="Arial" w:hAnsi="Arial" w:cs="Arial"/>
          <w:i/>
        </w:rPr>
      </w:pPr>
    </w:p>
    <w:p w:rsidR="009E77E6" w:rsidRDefault="009E77E6">
      <w:pPr>
        <w:ind w:left="710"/>
        <w:jc w:val="both"/>
        <w:rPr>
          <w:rFonts w:ascii="Arial" w:hAnsi="Arial" w:cs="Arial"/>
          <w:i/>
        </w:rPr>
      </w:pPr>
    </w:p>
    <w:p w:rsidR="009E77E6" w:rsidRDefault="009E77E6">
      <w:pPr>
        <w:numPr>
          <w:ilvl w:val="1"/>
          <w:numId w:val="5"/>
        </w:numPr>
        <w:jc w:val="both"/>
        <w:rPr>
          <w:rFonts w:ascii="Arial" w:hAnsi="Arial" w:cs="Arial"/>
          <w:i/>
        </w:rPr>
      </w:pPr>
      <w:r>
        <w:rPr>
          <w:rFonts w:ascii="Arial" w:hAnsi="Arial" w:cs="Arial"/>
          <w:i/>
        </w:rPr>
        <w:t xml:space="preserve">Substitute wording underlined below into the definition of </w:t>
      </w:r>
      <w:r>
        <w:rPr>
          <w:rFonts w:ascii="Arial" w:hAnsi="Arial" w:cs="Arial"/>
        </w:rPr>
        <w:t>‘freight transport facility’</w:t>
      </w:r>
      <w:r>
        <w:rPr>
          <w:rFonts w:ascii="Arial" w:hAnsi="Arial" w:cs="Arial"/>
          <w:i/>
        </w:rPr>
        <w:t xml:space="preserve"> in the development column</w:t>
      </w:r>
    </w:p>
    <w:p w:rsidR="009E77E6" w:rsidRDefault="009E77E6">
      <w:pPr>
        <w:ind w:left="710"/>
        <w:jc w:val="both"/>
        <w:rPr>
          <w:rFonts w:ascii="Arial" w:hAnsi="Arial" w:cs="Arial"/>
          <w:i/>
        </w:rPr>
      </w:pPr>
    </w:p>
    <w:p w:rsidR="009E77E6" w:rsidRDefault="009E77E6">
      <w:pPr>
        <w:jc w:val="both"/>
        <w:rPr>
          <w:rFonts w:ascii="Arial" w:hAnsi="Arial" w:cs="Arial"/>
          <w:sz w:val="20"/>
        </w:rPr>
      </w:pPr>
      <w:r>
        <w:rPr>
          <w:rFonts w:ascii="Arial" w:hAnsi="Arial" w:cs="Arial"/>
          <w:b/>
          <w:sz w:val="20"/>
        </w:rPr>
        <w:t>Freight transport facility</w:t>
      </w:r>
      <w:r>
        <w:rPr>
          <w:rFonts w:ascii="Arial" w:hAnsi="Arial" w:cs="Arial"/>
          <w:sz w:val="20"/>
        </w:rPr>
        <w:t xml:space="preserve"> </w:t>
      </w:r>
      <w:r>
        <w:rPr>
          <w:rFonts w:ascii="Arial" w:hAnsi="Arial" w:cs="Arial"/>
          <w:sz w:val="20"/>
          <w:u w:val="single"/>
        </w:rPr>
        <w:t>means the use of land for the</w:t>
      </w:r>
      <w:r>
        <w:rPr>
          <w:rFonts w:ascii="Arial" w:hAnsi="Arial" w:cs="Arial"/>
          <w:sz w:val="20"/>
        </w:rPr>
        <w:t xml:space="preserve"> principal purpose of bulk handling and storage of goods or materials whether or not facilities are included for the parking, servicing and repair of vehicles used to transport the goods or materials on </w:t>
      </w:r>
      <w:r>
        <w:rPr>
          <w:rFonts w:ascii="Arial" w:hAnsi="Arial" w:cs="Arial"/>
          <w:i/>
          <w:sz w:val="20"/>
        </w:rPr>
        <w:t>site</w:t>
      </w:r>
      <w:r>
        <w:rPr>
          <w:rFonts w:ascii="Arial" w:hAnsi="Arial" w:cs="Arial"/>
          <w:sz w:val="20"/>
        </w:rPr>
        <w:t xml:space="preserve">, but does not include any retail sales or wholesaling from the </w:t>
      </w:r>
      <w:r>
        <w:rPr>
          <w:rFonts w:ascii="Arial" w:hAnsi="Arial" w:cs="Arial"/>
          <w:i/>
          <w:sz w:val="20"/>
        </w:rPr>
        <w:t>site</w:t>
      </w:r>
      <w:r>
        <w:rPr>
          <w:rFonts w:ascii="Arial" w:hAnsi="Arial" w:cs="Arial"/>
          <w:sz w:val="20"/>
        </w:rPr>
        <w:t>.</w:t>
      </w:r>
    </w:p>
    <w:p w:rsidR="009E77E6" w:rsidRDefault="009E77E6">
      <w:pPr>
        <w:jc w:val="both"/>
        <w:rPr>
          <w:rFonts w:ascii="Arial" w:hAnsi="Arial" w:cs="Arial"/>
          <w:i/>
        </w:rPr>
      </w:pPr>
    </w:p>
    <w:p w:rsidR="009E77E6" w:rsidRDefault="009E77E6">
      <w:pPr>
        <w:jc w:val="both"/>
        <w:rPr>
          <w:rFonts w:ascii="Arial" w:hAnsi="Arial" w:cs="Arial"/>
          <w:i/>
        </w:rPr>
      </w:pPr>
    </w:p>
    <w:p w:rsidR="009E77E6" w:rsidRDefault="009E77E6">
      <w:pPr>
        <w:numPr>
          <w:ilvl w:val="1"/>
          <w:numId w:val="5"/>
        </w:numPr>
        <w:jc w:val="both"/>
        <w:rPr>
          <w:rFonts w:ascii="Arial" w:hAnsi="Arial" w:cs="Arial"/>
          <w:i/>
        </w:rPr>
      </w:pPr>
      <w:r>
        <w:rPr>
          <w:rFonts w:ascii="Arial" w:hAnsi="Arial" w:cs="Arial"/>
          <w:i/>
        </w:rPr>
        <w:t xml:space="preserve">Substitute wording underlined below into the definition of </w:t>
      </w:r>
      <w:r>
        <w:rPr>
          <w:rFonts w:ascii="Arial" w:hAnsi="Arial" w:cs="Arial"/>
        </w:rPr>
        <w:t>‘office’</w:t>
      </w:r>
      <w:r>
        <w:rPr>
          <w:rFonts w:ascii="Arial" w:hAnsi="Arial" w:cs="Arial"/>
          <w:i/>
        </w:rPr>
        <w:t xml:space="preserve"> in the development column</w:t>
      </w:r>
    </w:p>
    <w:p w:rsidR="009E77E6" w:rsidRDefault="009E77E6">
      <w:pPr>
        <w:ind w:left="710"/>
        <w:jc w:val="both"/>
        <w:rPr>
          <w:rFonts w:ascii="Arial" w:hAnsi="Arial" w:cs="Arial"/>
          <w:i/>
        </w:rPr>
      </w:pPr>
    </w:p>
    <w:p w:rsidR="009E77E6" w:rsidRDefault="009E77E6">
      <w:pPr>
        <w:jc w:val="both"/>
        <w:rPr>
          <w:rFonts w:ascii="Arial" w:hAnsi="Arial" w:cs="Arial"/>
          <w:sz w:val="20"/>
        </w:rPr>
      </w:pPr>
      <w:r>
        <w:rPr>
          <w:rFonts w:ascii="Arial" w:hAnsi="Arial" w:cs="Arial"/>
          <w:b/>
          <w:sz w:val="20"/>
        </w:rPr>
        <w:t>Office</w:t>
      </w:r>
      <w:r>
        <w:rPr>
          <w:rFonts w:ascii="Arial" w:hAnsi="Arial" w:cs="Arial"/>
          <w:sz w:val="20"/>
        </w:rPr>
        <w:t xml:space="preserve"> </w:t>
      </w:r>
      <w:r>
        <w:rPr>
          <w:rFonts w:ascii="Arial" w:hAnsi="Arial" w:cs="Arial"/>
          <w:sz w:val="20"/>
          <w:u w:val="single"/>
        </w:rPr>
        <w:t xml:space="preserve">means the use of land for the </w:t>
      </w:r>
      <w:r>
        <w:rPr>
          <w:rFonts w:ascii="Arial" w:hAnsi="Arial" w:cs="Arial"/>
          <w:sz w:val="20"/>
        </w:rPr>
        <w:t xml:space="preserve">purpose of administration, clerical, technical, professional or like business activities, including a government </w:t>
      </w:r>
      <w:r>
        <w:rPr>
          <w:rFonts w:ascii="Arial" w:hAnsi="Arial" w:cs="Arial"/>
          <w:i/>
          <w:sz w:val="20"/>
        </w:rPr>
        <w:t>office</w:t>
      </w:r>
      <w:r>
        <w:rPr>
          <w:rFonts w:ascii="Arial" w:hAnsi="Arial" w:cs="Arial"/>
          <w:sz w:val="20"/>
        </w:rPr>
        <w:t xml:space="preserve">, which does not include dealing with members of the public on a direct and regular basis except where this is </w:t>
      </w:r>
      <w:r>
        <w:rPr>
          <w:rFonts w:ascii="Arial" w:hAnsi="Arial" w:cs="Arial"/>
          <w:i/>
          <w:sz w:val="20"/>
        </w:rPr>
        <w:t>ancillary</w:t>
      </w:r>
      <w:r>
        <w:rPr>
          <w:rFonts w:ascii="Arial" w:hAnsi="Arial" w:cs="Arial"/>
          <w:sz w:val="20"/>
        </w:rPr>
        <w:t xml:space="preserve"> to the main purpose of the </w:t>
      </w:r>
      <w:r>
        <w:rPr>
          <w:rFonts w:ascii="Arial" w:hAnsi="Arial" w:cs="Arial"/>
          <w:i/>
          <w:sz w:val="20"/>
        </w:rPr>
        <w:t>office</w:t>
      </w:r>
      <w:r>
        <w:rPr>
          <w:rFonts w:ascii="Arial" w:hAnsi="Arial" w:cs="Arial"/>
          <w:sz w:val="20"/>
        </w:rPr>
        <w:t>.</w:t>
      </w:r>
    </w:p>
    <w:p w:rsidR="009E77E6" w:rsidRDefault="009E77E6">
      <w:pPr>
        <w:jc w:val="both"/>
        <w:rPr>
          <w:rFonts w:ascii="Arial" w:hAnsi="Arial" w:cs="Arial"/>
          <w:sz w:val="20"/>
        </w:rPr>
      </w:pPr>
    </w:p>
    <w:p w:rsidR="009E77E6" w:rsidRDefault="009E77E6">
      <w:pPr>
        <w:jc w:val="both"/>
        <w:rPr>
          <w:rFonts w:ascii="Arial" w:hAnsi="Arial" w:cs="Arial"/>
          <w:sz w:val="20"/>
        </w:rPr>
      </w:pPr>
    </w:p>
    <w:p w:rsidR="009E77E6" w:rsidRDefault="009E77E6">
      <w:pPr>
        <w:numPr>
          <w:ilvl w:val="1"/>
          <w:numId w:val="5"/>
        </w:numPr>
        <w:jc w:val="both"/>
        <w:rPr>
          <w:rFonts w:ascii="Arial" w:hAnsi="Arial" w:cs="Arial"/>
          <w:i/>
        </w:rPr>
      </w:pPr>
      <w:r>
        <w:rPr>
          <w:rFonts w:ascii="Arial" w:hAnsi="Arial" w:cs="Arial"/>
          <w:i/>
        </w:rPr>
        <w:t xml:space="preserve">Substitute wording underlined below into the definition of </w:t>
      </w:r>
      <w:r>
        <w:rPr>
          <w:rFonts w:ascii="Arial" w:hAnsi="Arial" w:cs="Arial"/>
        </w:rPr>
        <w:t>‘outdoor education establishment’</w:t>
      </w:r>
      <w:r>
        <w:rPr>
          <w:rFonts w:ascii="Arial" w:hAnsi="Arial" w:cs="Arial"/>
          <w:i/>
        </w:rPr>
        <w:t xml:space="preserve"> in the development column</w:t>
      </w:r>
    </w:p>
    <w:p w:rsidR="009E77E6" w:rsidRDefault="009E77E6">
      <w:pPr>
        <w:jc w:val="both"/>
        <w:rPr>
          <w:rFonts w:ascii="Arial" w:hAnsi="Arial" w:cs="Arial"/>
          <w:i/>
        </w:rPr>
      </w:pPr>
    </w:p>
    <w:p w:rsidR="009E77E6" w:rsidRDefault="009E77E6">
      <w:pPr>
        <w:jc w:val="both"/>
        <w:rPr>
          <w:rFonts w:ascii="Arial" w:hAnsi="Arial" w:cs="Arial"/>
          <w:sz w:val="20"/>
        </w:rPr>
      </w:pPr>
      <w:r>
        <w:rPr>
          <w:rFonts w:ascii="Arial" w:hAnsi="Arial" w:cs="Arial"/>
          <w:b/>
          <w:bCs/>
          <w:sz w:val="20"/>
        </w:rPr>
        <w:t xml:space="preserve">Outdoor education establishment </w:t>
      </w:r>
      <w:r>
        <w:rPr>
          <w:rFonts w:ascii="Arial" w:hAnsi="Arial" w:cs="Arial"/>
          <w:sz w:val="20"/>
          <w:u w:val="single"/>
        </w:rPr>
        <w:t>means the use of land for an education centre for</w:t>
      </w:r>
      <w:r>
        <w:rPr>
          <w:rFonts w:ascii="Arial" w:hAnsi="Arial" w:cs="Arial"/>
          <w:sz w:val="20"/>
        </w:rPr>
        <w:t xml:space="preserve"> children or adults where the primary focus is on the natural and/or cultural resources of the area. It may include a residence where this is necessary for the protection or management of the primary facility.</w:t>
      </w:r>
    </w:p>
    <w:p w:rsidR="009E77E6" w:rsidRDefault="009E77E6">
      <w:pPr>
        <w:jc w:val="both"/>
        <w:rPr>
          <w:rFonts w:ascii="Arial" w:hAnsi="Arial" w:cs="Arial"/>
          <w:sz w:val="20"/>
        </w:rPr>
      </w:pPr>
    </w:p>
    <w:p w:rsidR="009E77E6" w:rsidRDefault="009E77E6">
      <w:pPr>
        <w:jc w:val="both"/>
        <w:rPr>
          <w:rFonts w:ascii="Arial" w:hAnsi="Arial" w:cs="Arial"/>
          <w:sz w:val="20"/>
        </w:rPr>
      </w:pPr>
    </w:p>
    <w:p w:rsidR="009E77E6" w:rsidRDefault="009E77E6">
      <w:pPr>
        <w:numPr>
          <w:ilvl w:val="1"/>
          <w:numId w:val="5"/>
        </w:numPr>
        <w:jc w:val="both"/>
        <w:rPr>
          <w:rFonts w:ascii="Arial" w:hAnsi="Arial" w:cs="Arial"/>
          <w:i/>
        </w:rPr>
      </w:pPr>
      <w:r>
        <w:rPr>
          <w:rFonts w:ascii="Arial" w:hAnsi="Arial" w:cs="Arial"/>
          <w:i/>
        </w:rPr>
        <w:t xml:space="preserve">Substitute the definition of </w:t>
      </w:r>
      <w:r>
        <w:rPr>
          <w:rFonts w:ascii="Arial" w:hAnsi="Arial" w:cs="Arial"/>
        </w:rPr>
        <w:t xml:space="preserve">‘overnight camping area’ </w:t>
      </w:r>
      <w:r>
        <w:rPr>
          <w:rFonts w:ascii="Arial" w:hAnsi="Arial" w:cs="Arial"/>
          <w:i/>
        </w:rPr>
        <w:t>with</w:t>
      </w:r>
    </w:p>
    <w:p w:rsidR="009E77E6" w:rsidRDefault="009E77E6">
      <w:pPr>
        <w:jc w:val="both"/>
        <w:rPr>
          <w:rFonts w:ascii="Arial" w:hAnsi="Arial" w:cs="Arial"/>
          <w:i/>
        </w:rPr>
      </w:pPr>
    </w:p>
    <w:p w:rsidR="009E77E6" w:rsidRDefault="009E77E6">
      <w:pPr>
        <w:jc w:val="both"/>
        <w:rPr>
          <w:rFonts w:ascii="Arial" w:hAnsi="Arial" w:cs="Arial"/>
          <w:sz w:val="20"/>
        </w:rPr>
      </w:pPr>
      <w:r>
        <w:rPr>
          <w:rFonts w:ascii="Arial" w:hAnsi="Arial" w:cs="Arial"/>
          <w:b/>
          <w:sz w:val="20"/>
        </w:rPr>
        <w:t>Overnight camping area</w:t>
      </w:r>
      <w:r>
        <w:rPr>
          <w:rFonts w:ascii="Arial" w:hAnsi="Arial" w:cs="Arial"/>
          <w:sz w:val="20"/>
        </w:rPr>
        <w:t xml:space="preserve"> means the use of land for holiday and recreational purposes which involves primarily the setting up and use of tents for overnight accommodation which is open to public use.</w:t>
      </w:r>
    </w:p>
    <w:p w:rsidR="009E77E6" w:rsidRDefault="009E77E6">
      <w:pPr>
        <w:jc w:val="both"/>
        <w:rPr>
          <w:rFonts w:ascii="Arial" w:hAnsi="Arial" w:cs="Arial"/>
          <w:i/>
        </w:rPr>
      </w:pPr>
    </w:p>
    <w:p w:rsidR="009E77E6" w:rsidRDefault="009E77E6">
      <w:pPr>
        <w:jc w:val="both"/>
        <w:rPr>
          <w:rFonts w:ascii="Arial" w:hAnsi="Arial" w:cs="Arial"/>
          <w:i/>
        </w:rPr>
      </w:pPr>
    </w:p>
    <w:p w:rsidR="009E77E6" w:rsidRDefault="009E77E6">
      <w:pPr>
        <w:numPr>
          <w:ilvl w:val="1"/>
          <w:numId w:val="5"/>
        </w:numPr>
        <w:jc w:val="both"/>
        <w:rPr>
          <w:rFonts w:ascii="Arial" w:hAnsi="Arial" w:cs="Arial"/>
          <w:i/>
        </w:rPr>
      </w:pPr>
      <w:r>
        <w:rPr>
          <w:rFonts w:ascii="Arial" w:hAnsi="Arial" w:cs="Arial"/>
          <w:i/>
        </w:rPr>
        <w:t xml:space="preserve">Substitute the definition of </w:t>
      </w:r>
      <w:r>
        <w:rPr>
          <w:rFonts w:ascii="Arial" w:hAnsi="Arial" w:cs="Arial"/>
        </w:rPr>
        <w:t>‘parkland’</w:t>
      </w:r>
      <w:r>
        <w:rPr>
          <w:rFonts w:ascii="Arial" w:hAnsi="Arial" w:cs="Arial"/>
          <w:i/>
        </w:rPr>
        <w:t xml:space="preserve"> with </w:t>
      </w:r>
    </w:p>
    <w:p w:rsidR="009E77E6" w:rsidRDefault="009E77E6">
      <w:pPr>
        <w:ind w:left="710"/>
        <w:jc w:val="both"/>
        <w:rPr>
          <w:rFonts w:ascii="Arial" w:hAnsi="Arial" w:cs="Arial"/>
          <w:i/>
        </w:rPr>
      </w:pPr>
    </w:p>
    <w:p w:rsidR="009E77E6" w:rsidRDefault="009E77E6">
      <w:pPr>
        <w:jc w:val="both"/>
        <w:rPr>
          <w:rFonts w:ascii="Arial" w:hAnsi="Arial" w:cs="Arial"/>
          <w:sz w:val="20"/>
        </w:rPr>
      </w:pPr>
      <w:smartTag w:uri="urn:schemas-microsoft-com:office:smarttags" w:element="place">
        <w:r>
          <w:rPr>
            <w:rFonts w:ascii="Arial" w:hAnsi="Arial" w:cs="Arial"/>
            <w:b/>
            <w:sz w:val="20"/>
          </w:rPr>
          <w:t>Parkland</w:t>
        </w:r>
      </w:smartTag>
      <w:r>
        <w:rPr>
          <w:rFonts w:ascii="Arial" w:hAnsi="Arial" w:cs="Arial"/>
          <w:sz w:val="20"/>
        </w:rPr>
        <w:t xml:space="preserve"> means the use of land for recreation, conservation or amenity purposes and includes facilities for the enjoyment and convenience of the public, such as kiosks, </w:t>
      </w:r>
      <w:r>
        <w:rPr>
          <w:rFonts w:ascii="Arial" w:hAnsi="Arial" w:cs="Arial"/>
          <w:i/>
          <w:sz w:val="20"/>
        </w:rPr>
        <w:t>car parks</w:t>
      </w:r>
      <w:r>
        <w:rPr>
          <w:rFonts w:ascii="Arial" w:hAnsi="Arial" w:cs="Arial"/>
          <w:sz w:val="20"/>
        </w:rPr>
        <w:t xml:space="preserve">, shelters, pavilions, public toilets and the like.  The term also includes the use of the land for the management of stormwater drainage, for </w:t>
      </w:r>
      <w:r>
        <w:rPr>
          <w:rFonts w:ascii="Arial" w:hAnsi="Arial" w:cs="Arial"/>
          <w:i/>
          <w:sz w:val="20"/>
        </w:rPr>
        <w:t>community paths</w:t>
      </w:r>
      <w:r>
        <w:rPr>
          <w:rFonts w:ascii="Arial" w:hAnsi="Arial" w:cs="Arial"/>
          <w:sz w:val="20"/>
        </w:rPr>
        <w:t xml:space="preserve"> and landscape buffers, and for other </w:t>
      </w:r>
      <w:r>
        <w:rPr>
          <w:rFonts w:ascii="Arial" w:hAnsi="Arial" w:cs="Arial"/>
          <w:i/>
          <w:sz w:val="20"/>
        </w:rPr>
        <w:t>minor utility</w:t>
      </w:r>
      <w:r>
        <w:rPr>
          <w:rFonts w:ascii="Arial" w:hAnsi="Arial" w:cs="Arial"/>
          <w:sz w:val="20"/>
        </w:rPr>
        <w:t xml:space="preserve"> purposes where such uses can be integrated into the open space system. It has unrestricted public access.</w:t>
      </w:r>
    </w:p>
    <w:p w:rsidR="009E77E6" w:rsidRDefault="009E77E6">
      <w:pPr>
        <w:jc w:val="both"/>
        <w:rPr>
          <w:rFonts w:ascii="Arial" w:hAnsi="Arial" w:cs="Arial"/>
          <w:sz w:val="20"/>
        </w:rPr>
      </w:pPr>
    </w:p>
    <w:p w:rsidR="009E77E6" w:rsidRDefault="009E77E6">
      <w:pPr>
        <w:jc w:val="both"/>
        <w:rPr>
          <w:rFonts w:ascii="Arial" w:hAnsi="Arial" w:cs="Arial"/>
          <w:i/>
        </w:rPr>
      </w:pPr>
    </w:p>
    <w:p w:rsidR="009E77E6" w:rsidRDefault="009E77E6">
      <w:pPr>
        <w:numPr>
          <w:ilvl w:val="1"/>
          <w:numId w:val="5"/>
        </w:numPr>
        <w:jc w:val="both"/>
        <w:rPr>
          <w:rFonts w:ascii="Arial" w:hAnsi="Arial" w:cs="Arial"/>
          <w:i/>
        </w:rPr>
      </w:pPr>
      <w:r>
        <w:rPr>
          <w:rFonts w:ascii="Arial" w:hAnsi="Arial" w:cs="Arial"/>
          <w:i/>
        </w:rPr>
        <w:t xml:space="preserve">Substitute the definition of </w:t>
      </w:r>
      <w:r>
        <w:rPr>
          <w:rFonts w:ascii="Arial" w:hAnsi="Arial" w:cs="Arial"/>
        </w:rPr>
        <w:t>‘playing field’</w:t>
      </w:r>
      <w:r>
        <w:rPr>
          <w:rFonts w:ascii="Arial" w:hAnsi="Arial" w:cs="Arial"/>
          <w:i/>
        </w:rPr>
        <w:t xml:space="preserve"> with </w:t>
      </w:r>
    </w:p>
    <w:p w:rsidR="009E77E6" w:rsidRDefault="009E77E6">
      <w:pPr>
        <w:jc w:val="both"/>
        <w:rPr>
          <w:rFonts w:ascii="Arial" w:hAnsi="Arial" w:cs="Arial"/>
          <w:i/>
        </w:rPr>
      </w:pPr>
    </w:p>
    <w:p w:rsidR="009E77E6" w:rsidRDefault="009E77E6">
      <w:pPr>
        <w:jc w:val="both"/>
        <w:rPr>
          <w:rFonts w:ascii="Arial" w:hAnsi="Arial" w:cs="Arial"/>
          <w:sz w:val="20"/>
        </w:rPr>
      </w:pPr>
      <w:r>
        <w:rPr>
          <w:rFonts w:ascii="Arial" w:hAnsi="Arial" w:cs="Arial"/>
          <w:b/>
          <w:sz w:val="20"/>
        </w:rPr>
        <w:t>Playing field</w:t>
      </w:r>
      <w:r>
        <w:rPr>
          <w:rFonts w:ascii="Arial" w:hAnsi="Arial" w:cs="Arial"/>
          <w:sz w:val="20"/>
        </w:rPr>
        <w:t xml:space="preserve"> means the use of land for the conduct of sports, athletics and games and includes facilities with such land for the enjoyment or convenience of the public such as kiosks, </w:t>
      </w:r>
      <w:r>
        <w:rPr>
          <w:rFonts w:ascii="Arial" w:hAnsi="Arial" w:cs="Arial"/>
          <w:i/>
          <w:sz w:val="20"/>
        </w:rPr>
        <w:t>car parks</w:t>
      </w:r>
      <w:r>
        <w:rPr>
          <w:rFonts w:ascii="Arial" w:hAnsi="Arial" w:cs="Arial"/>
          <w:sz w:val="20"/>
        </w:rPr>
        <w:t>, changing facilities, pavilions and the like. It has unrestricted public access.</w:t>
      </w:r>
    </w:p>
    <w:p w:rsidR="009E77E6" w:rsidRDefault="009E77E6">
      <w:pPr>
        <w:jc w:val="both"/>
        <w:rPr>
          <w:rFonts w:ascii="Arial" w:hAnsi="Arial" w:cs="Arial"/>
          <w:sz w:val="20"/>
        </w:rPr>
      </w:pPr>
    </w:p>
    <w:p w:rsidR="009E77E6" w:rsidRDefault="009E77E6">
      <w:pPr>
        <w:jc w:val="both"/>
        <w:rPr>
          <w:rFonts w:ascii="Arial" w:hAnsi="Arial" w:cs="Arial"/>
          <w:sz w:val="20"/>
        </w:rPr>
      </w:pPr>
    </w:p>
    <w:p w:rsidR="009E77E6" w:rsidRDefault="009E77E6">
      <w:pPr>
        <w:numPr>
          <w:ilvl w:val="1"/>
          <w:numId w:val="5"/>
        </w:numPr>
        <w:jc w:val="both"/>
        <w:rPr>
          <w:rFonts w:ascii="Arial" w:hAnsi="Arial" w:cs="Arial"/>
          <w:i/>
        </w:rPr>
      </w:pPr>
      <w:r>
        <w:rPr>
          <w:rFonts w:ascii="Arial" w:hAnsi="Arial" w:cs="Arial"/>
          <w:i/>
        </w:rPr>
        <w:t xml:space="preserve">Substitute wording underlined below into the definition of </w:t>
      </w:r>
      <w:r>
        <w:rPr>
          <w:rFonts w:ascii="Arial" w:hAnsi="Arial" w:cs="Arial"/>
        </w:rPr>
        <w:t>‘veterinary hospital’</w:t>
      </w:r>
      <w:r>
        <w:rPr>
          <w:rFonts w:ascii="Arial" w:hAnsi="Arial" w:cs="Arial"/>
          <w:i/>
        </w:rPr>
        <w:t xml:space="preserve"> in the development column</w:t>
      </w:r>
    </w:p>
    <w:p w:rsidR="009E77E6" w:rsidRDefault="009E77E6">
      <w:pPr>
        <w:jc w:val="both"/>
        <w:rPr>
          <w:rFonts w:ascii="Arial" w:hAnsi="Arial" w:cs="Arial"/>
          <w:i/>
        </w:rPr>
      </w:pPr>
    </w:p>
    <w:p w:rsidR="009E77E6" w:rsidRDefault="009E77E6">
      <w:pPr>
        <w:autoSpaceDE w:val="0"/>
        <w:autoSpaceDN w:val="0"/>
        <w:adjustRightInd w:val="0"/>
        <w:jc w:val="both"/>
        <w:rPr>
          <w:rFonts w:ascii="Arial" w:hAnsi="Arial" w:cs="Arial"/>
          <w:sz w:val="20"/>
        </w:rPr>
        <w:sectPr w:rsidR="009E77E6">
          <w:pgSz w:w="11906" w:h="16838"/>
          <w:pgMar w:top="1440" w:right="1418" w:bottom="1440" w:left="1418" w:header="709" w:footer="709" w:gutter="0"/>
          <w:cols w:space="708"/>
          <w:docGrid w:linePitch="360"/>
        </w:sectPr>
      </w:pPr>
      <w:r>
        <w:rPr>
          <w:rFonts w:ascii="Arial" w:hAnsi="Arial" w:cs="Arial"/>
          <w:b/>
          <w:sz w:val="20"/>
        </w:rPr>
        <w:t>Veterinary hospital</w:t>
      </w:r>
      <w:r>
        <w:rPr>
          <w:rFonts w:ascii="Arial" w:hAnsi="Arial" w:cs="Arial"/>
          <w:sz w:val="20"/>
        </w:rPr>
        <w:t xml:space="preserve"> means the use of land for diagnosis, surgical or medical treatment of animals, and where the animals may be kept on the premises </w:t>
      </w:r>
      <w:r>
        <w:rPr>
          <w:rFonts w:ascii="Arial" w:hAnsi="Arial" w:cs="Arial"/>
          <w:sz w:val="20"/>
          <w:u w:val="single"/>
        </w:rPr>
        <w:t>overnight</w:t>
      </w:r>
      <w:r>
        <w:rPr>
          <w:rFonts w:ascii="Arial" w:hAnsi="Arial" w:cs="Arial"/>
          <w:sz w:val="20"/>
        </w:rPr>
        <w:t xml:space="preserve"> for the purposes of treatment.</w:t>
      </w:r>
    </w:p>
    <w:p w:rsidR="009E77E6" w:rsidRDefault="009E77E6">
      <w:pPr>
        <w:pStyle w:val="TAsubheadinglocationinterritoryplan"/>
        <w:rPr>
          <w:rFonts w:cs="Arial"/>
          <w:szCs w:val="24"/>
        </w:rPr>
      </w:pPr>
      <w:r>
        <w:t>Variation to Crace Concept Plan</w:t>
      </w:r>
    </w:p>
    <w:p w:rsidR="009E77E6" w:rsidRDefault="009E77E6">
      <w:pPr>
        <w:pStyle w:val="TAeditorialitemgeneralheading"/>
      </w:pPr>
      <w:r>
        <w:t>Crace Concept Plan</w:t>
      </w:r>
    </w:p>
    <w:p w:rsidR="009E77E6" w:rsidRDefault="009E77E6">
      <w:pPr>
        <w:pStyle w:val="TAeditorialinstructions"/>
        <w:rPr>
          <w:rFonts w:cs="Arial"/>
          <w:i w:val="0"/>
          <w:iCs w:val="0"/>
        </w:rPr>
      </w:pPr>
    </w:p>
    <w:p w:rsidR="009E77E6" w:rsidRDefault="009E77E6">
      <w:pPr>
        <w:ind w:left="720"/>
        <w:rPr>
          <w:rFonts w:ascii="Arial" w:hAnsi="Arial" w:cs="Arial"/>
          <w:i/>
        </w:rPr>
      </w:pPr>
      <w:r>
        <w:rPr>
          <w:rFonts w:ascii="Arial" w:hAnsi="Arial" w:cs="Arial"/>
          <w:i/>
        </w:rPr>
        <w:t>Insert new Section 7 including Figures 9 and 10, and update contents page accordingly:</w:t>
      </w:r>
    </w:p>
    <w:p w:rsidR="009E77E6" w:rsidRDefault="009E77E6">
      <w:pPr>
        <w:rPr>
          <w:rFonts w:ascii="Arial" w:hAnsi="Arial" w:cs="Arial"/>
          <w:i/>
        </w:rPr>
      </w:pPr>
    </w:p>
    <w:p w:rsidR="009E77E6" w:rsidRDefault="009E77E6">
      <w:pPr>
        <w:rPr>
          <w:rFonts w:ascii="Arial" w:hAnsi="Arial" w:cs="Arial"/>
          <w:b/>
        </w:rPr>
      </w:pPr>
      <w:r>
        <w:rPr>
          <w:rFonts w:ascii="Arial" w:hAnsi="Arial" w:cs="Arial"/>
          <w:b/>
        </w:rPr>
        <w:t>7 Ongoing block-specific provisions</w:t>
      </w:r>
    </w:p>
    <w:p w:rsidR="009E77E6" w:rsidRDefault="009E77E6">
      <w:pPr>
        <w:rPr>
          <w:rFonts w:ascii="Arial" w:hAnsi="Arial"/>
          <w:sz w:val="20"/>
        </w:rPr>
      </w:pPr>
    </w:p>
    <w:p w:rsidR="009E77E6" w:rsidRDefault="009E77E6">
      <w:pPr>
        <w:rPr>
          <w:rFonts w:ascii="Arial" w:hAnsi="Arial"/>
          <w:sz w:val="20"/>
        </w:rPr>
      </w:pPr>
      <w:r>
        <w:rPr>
          <w:rFonts w:ascii="Arial" w:hAnsi="Arial"/>
          <w:sz w:val="20"/>
        </w:rPr>
        <w:t>The following rules are intended to apply to areas covered within Figures 9 and 10. These requirements will be transferred into the relevant precinct code at the time of the Future Urban Area Overlay uplift.</w:t>
      </w:r>
    </w:p>
    <w:p w:rsidR="009E77E6" w:rsidRDefault="009E77E6">
      <w:pPr>
        <w:rPr>
          <w:rFonts w:ascii="Arial" w:hAnsi="Arial"/>
          <w:sz w:val="20"/>
        </w:rPr>
      </w:pPr>
    </w:p>
    <w:tbl>
      <w:tblPr>
        <w:tblW w:w="0" w:type="auto"/>
        <w:tblInd w:w="108" w:type="dxa"/>
        <w:tblCellMar>
          <w:left w:w="0" w:type="dxa"/>
          <w:right w:w="0" w:type="dxa"/>
        </w:tblCellMar>
        <w:tblLook w:val="0000" w:firstRow="0" w:lastRow="0" w:firstColumn="0" w:lastColumn="0" w:noHBand="0" w:noVBand="0"/>
      </w:tblPr>
      <w:tblGrid>
        <w:gridCol w:w="4589"/>
        <w:gridCol w:w="4589"/>
      </w:tblGrid>
      <w:tr w:rsidR="009E77E6">
        <w:trPr>
          <w:tblHeader/>
        </w:trPr>
        <w:tc>
          <w:tcPr>
            <w:tcW w:w="2500" w:type="pct"/>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9E77E6" w:rsidRDefault="009E77E6">
            <w:pPr>
              <w:spacing w:before="60" w:after="60"/>
              <w:rPr>
                <w:szCs w:val="24"/>
              </w:rPr>
            </w:pPr>
            <w:r>
              <w:rPr>
                <w:rFonts w:ascii="Arial" w:hAnsi="Arial" w:cs="Arial"/>
                <w:b/>
                <w:bCs/>
                <w:szCs w:val="24"/>
              </w:rPr>
              <w:t>Rules</w:t>
            </w:r>
          </w:p>
        </w:tc>
        <w:tc>
          <w:tcPr>
            <w:tcW w:w="2500" w:type="pct"/>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9E77E6" w:rsidRDefault="009E77E6">
            <w:pPr>
              <w:spacing w:before="60" w:after="60"/>
              <w:rPr>
                <w:szCs w:val="24"/>
              </w:rPr>
            </w:pPr>
            <w:r>
              <w:rPr>
                <w:rFonts w:ascii="Arial" w:hAnsi="Arial" w:cs="Arial"/>
                <w:b/>
                <w:bCs/>
                <w:szCs w:val="24"/>
              </w:rPr>
              <w:t>Criteria</w:t>
            </w:r>
          </w:p>
        </w:tc>
      </w:tr>
      <w:tr w:rsidR="009E77E6">
        <w:trPr>
          <w:cantSplit/>
        </w:trPr>
        <w:tc>
          <w:tcPr>
            <w:tcW w:w="5000" w:type="pct"/>
            <w:gridSpan w:val="2"/>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9E77E6" w:rsidRDefault="009E77E6">
            <w:pPr>
              <w:spacing w:before="60" w:after="60"/>
              <w:ind w:left="448"/>
              <w:rPr>
                <w:szCs w:val="24"/>
              </w:rPr>
            </w:pPr>
            <w:bookmarkStart w:id="17" w:name="_Toc176148448"/>
            <w:bookmarkStart w:id="18" w:name="_Toc177276010"/>
            <w:bookmarkStart w:id="19" w:name="_Toc177787228"/>
            <w:bookmarkStart w:id="20" w:name="_Toc222029883"/>
            <w:bookmarkStart w:id="21" w:name="_Toc176083124"/>
            <w:bookmarkEnd w:id="17"/>
            <w:bookmarkEnd w:id="18"/>
            <w:bookmarkEnd w:id="19"/>
            <w:bookmarkEnd w:id="20"/>
            <w:r>
              <w:rPr>
                <w:rFonts w:ascii="Arial" w:hAnsi="Arial" w:cs="Arial"/>
                <w:b/>
                <w:bCs/>
                <w:sz w:val="20"/>
              </w:rPr>
              <w:t>     Interface</w:t>
            </w:r>
            <w:bookmarkEnd w:id="21"/>
            <w:r>
              <w:rPr>
                <w:rFonts w:ascii="Arial" w:hAnsi="Arial" w:cs="Arial"/>
                <w:b/>
                <w:bCs/>
                <w:sz w:val="20"/>
              </w:rPr>
              <w:t xml:space="preserve"> </w:t>
            </w:r>
          </w:p>
        </w:tc>
      </w:tr>
      <w:tr w:rsidR="009E77E6">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rFonts w:ascii="Arial" w:hAnsi="Arial" w:cs="Arial"/>
                <w:sz w:val="20"/>
              </w:rPr>
            </w:pPr>
            <w:r>
              <w:rPr>
                <w:rFonts w:ascii="Arial" w:hAnsi="Arial" w:cs="Arial"/>
                <w:sz w:val="20"/>
              </w:rPr>
              <w:t xml:space="preserve">R1 </w:t>
            </w:r>
          </w:p>
          <w:p w:rsidR="009E77E6" w:rsidRDefault="009E77E6">
            <w:pPr>
              <w:spacing w:before="60" w:after="60"/>
              <w:rPr>
                <w:szCs w:val="24"/>
              </w:rPr>
            </w:pPr>
            <w:r>
              <w:rPr>
                <w:rFonts w:ascii="Arial" w:hAnsi="Arial" w:cs="Arial"/>
                <w:sz w:val="20"/>
              </w:rPr>
              <w:t xml:space="preserve">This rule applies to all </w:t>
            </w:r>
            <w:r>
              <w:rPr>
                <w:rFonts w:ascii="Arial" w:hAnsi="Arial" w:cs="Arial"/>
                <w:i/>
                <w:sz w:val="20"/>
              </w:rPr>
              <w:t xml:space="preserve">‘boundary fencing corner blocks’ </w:t>
            </w:r>
            <w:r>
              <w:rPr>
                <w:rFonts w:ascii="Arial" w:hAnsi="Arial" w:cs="Arial"/>
                <w:sz w:val="20"/>
              </w:rPr>
              <w:t>identified on the Crace ongoing block specific provisions map.</w:t>
            </w:r>
          </w:p>
          <w:p w:rsidR="009E77E6" w:rsidRDefault="009E77E6">
            <w:pPr>
              <w:spacing w:before="60" w:after="60"/>
              <w:rPr>
                <w:szCs w:val="24"/>
              </w:rPr>
            </w:pPr>
            <w:r>
              <w:rPr>
                <w:rFonts w:ascii="Arial" w:hAnsi="Arial" w:cs="Arial"/>
                <w:sz w:val="20"/>
              </w:rPr>
              <w:t>For a minimum of 9m from the corner of the primary and secondary frontages, any fencing forward of the building must comply with all of the following:</w:t>
            </w:r>
          </w:p>
          <w:p w:rsidR="009E77E6" w:rsidRDefault="009E77E6">
            <w:pPr>
              <w:numPr>
                <w:ilvl w:val="0"/>
                <w:numId w:val="30"/>
              </w:numPr>
              <w:spacing w:before="60" w:after="60"/>
              <w:rPr>
                <w:szCs w:val="24"/>
              </w:rPr>
            </w:pPr>
            <w:r>
              <w:rPr>
                <w:rFonts w:ascii="Arial" w:hAnsi="Arial" w:cs="Arial"/>
                <w:sz w:val="20"/>
              </w:rPr>
              <w:t>is between 600mm and 900mm high</w:t>
            </w:r>
          </w:p>
          <w:p w:rsidR="009E77E6" w:rsidRDefault="009E77E6">
            <w:pPr>
              <w:numPr>
                <w:ilvl w:val="0"/>
                <w:numId w:val="30"/>
              </w:numPr>
              <w:spacing w:before="60" w:after="60"/>
              <w:rPr>
                <w:szCs w:val="24"/>
              </w:rPr>
            </w:pPr>
            <w:r>
              <w:rPr>
                <w:rFonts w:ascii="Arial" w:hAnsi="Arial" w:cs="Arial"/>
                <w:sz w:val="20"/>
              </w:rPr>
              <w:t>is located on the boundary.</w:t>
            </w:r>
          </w:p>
          <w:p w:rsidR="009E77E6" w:rsidRDefault="009E77E6">
            <w:pPr>
              <w:spacing w:before="60" w:after="60"/>
              <w:rPr>
                <w:szCs w:val="24"/>
              </w:rPr>
            </w:pPr>
            <w:r>
              <w:rPr>
                <w:rFonts w:ascii="Arial" w:hAnsi="Arial" w:cs="Arial"/>
                <w:sz w:val="20"/>
              </w:rPr>
              <w:t>Beyond 9m of the corner of the primary and secondary frontages, any fencing forward of the building line must comply with all of the following:</w:t>
            </w:r>
          </w:p>
          <w:p w:rsidR="009E77E6" w:rsidRDefault="009E77E6">
            <w:pPr>
              <w:numPr>
                <w:ilvl w:val="0"/>
                <w:numId w:val="28"/>
              </w:numPr>
              <w:spacing w:before="60" w:after="60"/>
              <w:rPr>
                <w:szCs w:val="24"/>
              </w:rPr>
            </w:pPr>
            <w:r>
              <w:rPr>
                <w:rFonts w:ascii="Arial" w:hAnsi="Arial" w:cs="Arial"/>
                <w:sz w:val="20"/>
              </w:rPr>
              <w:t>is located on or adjacent to the block’s secondary frontage (except for north fronting blocks)</w:t>
            </w:r>
          </w:p>
          <w:p w:rsidR="009E77E6" w:rsidRDefault="009E77E6">
            <w:pPr>
              <w:numPr>
                <w:ilvl w:val="0"/>
                <w:numId w:val="28"/>
              </w:numPr>
              <w:spacing w:before="60" w:after="60"/>
              <w:rPr>
                <w:szCs w:val="24"/>
              </w:rPr>
            </w:pPr>
            <w:r>
              <w:rPr>
                <w:rFonts w:ascii="Arial" w:hAnsi="Arial" w:cs="Arial"/>
                <w:sz w:val="20"/>
              </w:rPr>
              <w:t>not less than 50% of the fencing is set back at least 600mm from the front boundary</w:t>
            </w:r>
          </w:p>
          <w:p w:rsidR="009E77E6" w:rsidRDefault="009E77E6">
            <w:pPr>
              <w:numPr>
                <w:ilvl w:val="0"/>
                <w:numId w:val="28"/>
              </w:numPr>
              <w:spacing w:before="60" w:after="60"/>
              <w:rPr>
                <w:szCs w:val="24"/>
              </w:rPr>
            </w:pPr>
            <w:r>
              <w:rPr>
                <w:rFonts w:ascii="Arial" w:hAnsi="Arial" w:cs="Arial"/>
                <w:sz w:val="20"/>
              </w:rPr>
              <w:t>is not more than 1.5m high.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szCs w:val="24"/>
              </w:rPr>
            </w:pPr>
          </w:p>
          <w:p w:rsidR="009E77E6" w:rsidRDefault="009E77E6">
            <w:pPr>
              <w:spacing w:before="60" w:after="60"/>
              <w:rPr>
                <w:szCs w:val="24"/>
              </w:rPr>
            </w:pPr>
            <w:r>
              <w:rPr>
                <w:rFonts w:ascii="Arial" w:hAnsi="Arial" w:cs="Arial"/>
                <w:sz w:val="20"/>
              </w:rPr>
              <w:t>This is a mandatory rule.  There is no applicable criterion.</w:t>
            </w:r>
          </w:p>
        </w:tc>
      </w:tr>
      <w:tr w:rsidR="009E77E6">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rFonts w:ascii="Arial" w:hAnsi="Arial" w:cs="Arial"/>
                <w:sz w:val="20"/>
              </w:rPr>
            </w:pPr>
            <w:r>
              <w:rPr>
                <w:rFonts w:ascii="Arial" w:hAnsi="Arial" w:cs="Arial"/>
                <w:sz w:val="20"/>
              </w:rPr>
              <w:t xml:space="preserve">R2 </w:t>
            </w:r>
          </w:p>
          <w:p w:rsidR="009E77E6" w:rsidRDefault="009E77E6">
            <w:pPr>
              <w:spacing w:before="60" w:after="60"/>
              <w:rPr>
                <w:szCs w:val="24"/>
              </w:rPr>
            </w:pPr>
            <w:r>
              <w:rPr>
                <w:rFonts w:ascii="Arial" w:hAnsi="Arial" w:cs="Arial"/>
                <w:sz w:val="20"/>
              </w:rPr>
              <w:t xml:space="preserve">This rule applies to all </w:t>
            </w:r>
            <w:r>
              <w:rPr>
                <w:rFonts w:ascii="Arial" w:hAnsi="Arial" w:cs="Arial"/>
                <w:i/>
                <w:sz w:val="20"/>
              </w:rPr>
              <w:t>‘boundary fencing blocks adjacent to open space’</w:t>
            </w:r>
            <w:r>
              <w:rPr>
                <w:rFonts w:ascii="Arial" w:hAnsi="Arial" w:cs="Arial"/>
                <w:sz w:val="20"/>
              </w:rPr>
              <w:t xml:space="preserve"> identified on the Crace ongoing block specific provisions map.</w:t>
            </w:r>
          </w:p>
          <w:p w:rsidR="009E77E6" w:rsidRDefault="009E77E6">
            <w:pPr>
              <w:spacing w:before="60" w:after="60"/>
              <w:rPr>
                <w:szCs w:val="24"/>
              </w:rPr>
            </w:pPr>
            <w:r>
              <w:rPr>
                <w:rFonts w:ascii="Arial" w:hAnsi="Arial" w:cs="Arial"/>
                <w:sz w:val="20"/>
              </w:rPr>
              <w:t>For a minimum of 9m from the corner of the primary and secondary frontages, any fencing forward of the building must comply with all of the following:</w:t>
            </w:r>
          </w:p>
          <w:p w:rsidR="009E77E6" w:rsidRDefault="009E77E6">
            <w:pPr>
              <w:numPr>
                <w:ilvl w:val="0"/>
                <w:numId w:val="26"/>
              </w:numPr>
              <w:spacing w:before="60" w:after="60"/>
              <w:rPr>
                <w:szCs w:val="24"/>
              </w:rPr>
            </w:pPr>
            <w:r>
              <w:rPr>
                <w:rFonts w:ascii="Arial" w:hAnsi="Arial" w:cs="Arial"/>
                <w:sz w:val="20"/>
              </w:rPr>
              <w:t>is a maximum of 1m high</w:t>
            </w:r>
          </w:p>
          <w:p w:rsidR="009E77E6" w:rsidRDefault="009E77E6">
            <w:pPr>
              <w:numPr>
                <w:ilvl w:val="0"/>
                <w:numId w:val="26"/>
              </w:numPr>
              <w:spacing w:before="60" w:after="60"/>
              <w:rPr>
                <w:szCs w:val="24"/>
              </w:rPr>
            </w:pPr>
            <w:r>
              <w:rPr>
                <w:rFonts w:ascii="Arial" w:hAnsi="Arial" w:cs="Arial"/>
                <w:sz w:val="20"/>
              </w:rPr>
              <w:t>is located on the boundary.</w:t>
            </w:r>
          </w:p>
          <w:p w:rsidR="009E77E6" w:rsidRDefault="009E77E6">
            <w:pPr>
              <w:spacing w:before="60" w:after="60"/>
              <w:rPr>
                <w:szCs w:val="24"/>
              </w:rPr>
            </w:pPr>
            <w:r>
              <w:rPr>
                <w:rFonts w:ascii="Arial" w:hAnsi="Arial" w:cs="Arial"/>
                <w:sz w:val="20"/>
              </w:rPr>
              <w:t>Beyond 9m of the corner of the primary and secondary frontages, any fencing forward of the building line must comply with all of the following:</w:t>
            </w:r>
          </w:p>
          <w:p w:rsidR="009E77E6" w:rsidRDefault="009E77E6">
            <w:pPr>
              <w:numPr>
                <w:ilvl w:val="0"/>
                <w:numId w:val="24"/>
              </w:numPr>
              <w:spacing w:before="60" w:after="60"/>
              <w:rPr>
                <w:szCs w:val="24"/>
              </w:rPr>
            </w:pPr>
            <w:r>
              <w:rPr>
                <w:rFonts w:ascii="Arial" w:hAnsi="Arial" w:cs="Arial"/>
                <w:sz w:val="20"/>
              </w:rPr>
              <w:t>is located on or adjacent to the block’s secondary frontage</w:t>
            </w:r>
          </w:p>
          <w:p w:rsidR="009E77E6" w:rsidRDefault="009E77E6">
            <w:pPr>
              <w:numPr>
                <w:ilvl w:val="0"/>
                <w:numId w:val="24"/>
              </w:numPr>
              <w:spacing w:before="60" w:after="60"/>
              <w:rPr>
                <w:szCs w:val="24"/>
              </w:rPr>
            </w:pPr>
            <w:r>
              <w:rPr>
                <w:rFonts w:ascii="Arial" w:hAnsi="Arial" w:cs="Arial"/>
                <w:sz w:val="20"/>
              </w:rPr>
              <w:t xml:space="preserve">not less than 50% of the fencing is set back at least 600mm from the front boundary </w:t>
            </w:r>
          </w:p>
          <w:p w:rsidR="009E77E6" w:rsidRDefault="009E77E6">
            <w:pPr>
              <w:numPr>
                <w:ilvl w:val="0"/>
                <w:numId w:val="24"/>
              </w:numPr>
              <w:spacing w:before="60" w:after="60"/>
              <w:rPr>
                <w:szCs w:val="24"/>
              </w:rPr>
            </w:pPr>
            <w:r>
              <w:rPr>
                <w:rFonts w:ascii="Arial" w:hAnsi="Arial" w:cs="Arial"/>
                <w:sz w:val="20"/>
              </w:rPr>
              <w:t>is not more than 1.5m high.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szCs w:val="24"/>
              </w:rPr>
            </w:pPr>
          </w:p>
          <w:p w:rsidR="009E77E6" w:rsidRDefault="009E77E6">
            <w:pPr>
              <w:spacing w:before="60" w:after="60"/>
              <w:rPr>
                <w:szCs w:val="24"/>
              </w:rPr>
            </w:pPr>
            <w:r>
              <w:rPr>
                <w:rFonts w:ascii="Arial" w:hAnsi="Arial" w:cs="Arial"/>
                <w:sz w:val="20"/>
              </w:rPr>
              <w:t>This is a mandatory rule.  There is no applicable criterion.</w:t>
            </w:r>
          </w:p>
        </w:tc>
      </w:tr>
      <w:tr w:rsidR="009E77E6">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rFonts w:ascii="Arial" w:hAnsi="Arial" w:cs="Arial"/>
                <w:sz w:val="20"/>
              </w:rPr>
            </w:pPr>
            <w:r>
              <w:rPr>
                <w:rFonts w:ascii="Arial" w:hAnsi="Arial" w:cs="Arial"/>
                <w:sz w:val="20"/>
              </w:rPr>
              <w:t xml:space="preserve">R3 </w:t>
            </w:r>
          </w:p>
          <w:p w:rsidR="009E77E6" w:rsidRDefault="009E77E6">
            <w:pPr>
              <w:spacing w:before="60" w:after="60"/>
              <w:rPr>
                <w:szCs w:val="24"/>
              </w:rPr>
            </w:pPr>
            <w:r>
              <w:rPr>
                <w:rFonts w:ascii="Arial" w:hAnsi="Arial" w:cs="Arial"/>
                <w:sz w:val="20"/>
              </w:rPr>
              <w:t xml:space="preserve">This rule applies to all </w:t>
            </w:r>
            <w:r>
              <w:rPr>
                <w:rFonts w:ascii="Arial" w:hAnsi="Arial" w:cs="Arial"/>
                <w:i/>
                <w:sz w:val="20"/>
              </w:rPr>
              <w:t>‘boundary fencing north facing blocks’</w:t>
            </w:r>
            <w:r>
              <w:rPr>
                <w:rFonts w:ascii="Arial" w:hAnsi="Arial" w:cs="Arial"/>
                <w:sz w:val="20"/>
              </w:rPr>
              <w:t xml:space="preserve"> identified on the Crace ongoing block specific provisions map.</w:t>
            </w:r>
          </w:p>
          <w:p w:rsidR="009E77E6" w:rsidRDefault="009E77E6">
            <w:pPr>
              <w:spacing w:before="60" w:after="60"/>
              <w:rPr>
                <w:szCs w:val="24"/>
              </w:rPr>
            </w:pPr>
            <w:r>
              <w:rPr>
                <w:rFonts w:ascii="Arial" w:hAnsi="Arial" w:cs="Arial"/>
                <w:sz w:val="20"/>
              </w:rPr>
              <w:t>Any fencing forward of the building line must comply with all of the following:</w:t>
            </w:r>
          </w:p>
          <w:p w:rsidR="009E77E6" w:rsidRDefault="009E77E6">
            <w:pPr>
              <w:numPr>
                <w:ilvl w:val="0"/>
                <w:numId w:val="22"/>
              </w:numPr>
              <w:spacing w:before="60" w:after="60"/>
              <w:rPr>
                <w:szCs w:val="24"/>
              </w:rPr>
            </w:pPr>
            <w:r>
              <w:rPr>
                <w:rFonts w:ascii="Arial" w:hAnsi="Arial" w:cs="Arial"/>
                <w:sz w:val="20"/>
              </w:rPr>
              <w:t>not less than 50% of the fencing is set back at least 600mm from the front boundary</w:t>
            </w:r>
          </w:p>
          <w:p w:rsidR="009E77E6" w:rsidRDefault="009E77E6">
            <w:pPr>
              <w:numPr>
                <w:ilvl w:val="0"/>
                <w:numId w:val="22"/>
              </w:numPr>
              <w:spacing w:before="60" w:after="60"/>
              <w:rPr>
                <w:szCs w:val="24"/>
              </w:rPr>
            </w:pPr>
            <w:r>
              <w:rPr>
                <w:rFonts w:ascii="Arial" w:hAnsi="Arial" w:cs="Arial"/>
                <w:sz w:val="20"/>
              </w:rPr>
              <w:t xml:space="preserve">is adjacent to the block’s </w:t>
            </w:r>
            <w:r>
              <w:rPr>
                <w:rFonts w:ascii="Arial" w:hAnsi="Arial" w:cs="Arial"/>
                <w:i/>
                <w:iCs/>
                <w:sz w:val="20"/>
              </w:rPr>
              <w:t>principal private open space</w:t>
            </w:r>
          </w:p>
          <w:p w:rsidR="009E77E6" w:rsidRDefault="009E77E6">
            <w:pPr>
              <w:numPr>
                <w:ilvl w:val="0"/>
                <w:numId w:val="22"/>
              </w:numPr>
              <w:spacing w:before="60" w:after="60"/>
              <w:rPr>
                <w:szCs w:val="24"/>
              </w:rPr>
            </w:pPr>
            <w:r>
              <w:rPr>
                <w:rFonts w:ascii="Arial" w:hAnsi="Arial" w:cs="Arial"/>
                <w:sz w:val="20"/>
              </w:rPr>
              <w:t>is not more than 1.5m high.</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szCs w:val="24"/>
              </w:rPr>
            </w:pPr>
          </w:p>
          <w:p w:rsidR="009E77E6" w:rsidRDefault="009E77E6">
            <w:pPr>
              <w:spacing w:before="60" w:after="60"/>
              <w:rPr>
                <w:szCs w:val="24"/>
              </w:rPr>
            </w:pPr>
            <w:r>
              <w:rPr>
                <w:rFonts w:ascii="Arial" w:hAnsi="Arial" w:cs="Arial"/>
                <w:sz w:val="20"/>
              </w:rPr>
              <w:t>This is a mandatory rule.  There is no applicable criterion.</w:t>
            </w:r>
          </w:p>
        </w:tc>
      </w:tr>
      <w:tr w:rsidR="009E77E6">
        <w:tc>
          <w:tcPr>
            <w:tcW w:w="25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rFonts w:ascii="Arial" w:hAnsi="Arial" w:cs="Arial"/>
                <w:sz w:val="20"/>
              </w:rPr>
            </w:pPr>
            <w:r>
              <w:rPr>
                <w:rFonts w:ascii="Arial" w:hAnsi="Arial" w:cs="Arial"/>
                <w:sz w:val="20"/>
              </w:rPr>
              <w:t xml:space="preserve">R4 </w:t>
            </w:r>
          </w:p>
          <w:p w:rsidR="009E77E6" w:rsidRDefault="009E77E6">
            <w:pPr>
              <w:spacing w:before="60" w:after="60"/>
              <w:rPr>
                <w:szCs w:val="24"/>
              </w:rPr>
            </w:pPr>
            <w:r>
              <w:rPr>
                <w:rFonts w:ascii="Arial" w:hAnsi="Arial" w:cs="Arial"/>
                <w:sz w:val="20"/>
              </w:rPr>
              <w:t xml:space="preserve">This rule applies to all </w:t>
            </w:r>
            <w:r>
              <w:rPr>
                <w:rFonts w:ascii="Arial" w:hAnsi="Arial" w:cs="Arial"/>
                <w:i/>
                <w:sz w:val="20"/>
              </w:rPr>
              <w:t>‘boundary fencing blocks’</w:t>
            </w:r>
            <w:r>
              <w:rPr>
                <w:rFonts w:ascii="Arial" w:hAnsi="Arial" w:cs="Arial"/>
                <w:sz w:val="20"/>
              </w:rPr>
              <w:t xml:space="preserve"> identified on the Crace ongoing block specific provisions map.</w:t>
            </w:r>
          </w:p>
          <w:p w:rsidR="009E77E6" w:rsidRDefault="009E77E6">
            <w:pPr>
              <w:spacing w:before="60" w:after="60"/>
              <w:rPr>
                <w:szCs w:val="24"/>
              </w:rPr>
            </w:pPr>
            <w:r>
              <w:rPr>
                <w:rFonts w:ascii="Arial" w:hAnsi="Arial" w:cs="Arial"/>
                <w:sz w:val="20"/>
              </w:rPr>
              <w:t>Any fencing forward of the building line complies with all of the following:</w:t>
            </w:r>
          </w:p>
          <w:p w:rsidR="009E77E6" w:rsidRDefault="009E77E6">
            <w:pPr>
              <w:numPr>
                <w:ilvl w:val="0"/>
                <w:numId w:val="31"/>
              </w:numPr>
              <w:spacing w:before="60" w:after="60"/>
              <w:rPr>
                <w:szCs w:val="24"/>
              </w:rPr>
            </w:pPr>
            <w:r>
              <w:rPr>
                <w:rFonts w:ascii="Arial" w:hAnsi="Arial" w:cs="Arial"/>
                <w:sz w:val="20"/>
              </w:rPr>
              <w:t>is constructed of masonry or stone work and includes infill panels of timber slats (excluding raw treated pine or palings) or metal slats (excluding metal cladding or swimming pool fencing) and contains planting to minimum 50% of the solid masonry walls.</w:t>
            </w:r>
          </w:p>
        </w:tc>
        <w:tc>
          <w:tcPr>
            <w:tcW w:w="2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E77E6" w:rsidRDefault="009E77E6">
            <w:pPr>
              <w:spacing w:before="60" w:after="60"/>
              <w:rPr>
                <w:szCs w:val="24"/>
              </w:rPr>
            </w:pPr>
            <w:r>
              <w:rPr>
                <w:rFonts w:ascii="Arial" w:hAnsi="Arial" w:cs="Arial"/>
                <w:sz w:val="20"/>
              </w:rPr>
              <w:t>C4</w:t>
            </w:r>
          </w:p>
          <w:p w:rsidR="009E77E6" w:rsidRDefault="009E77E6">
            <w:pPr>
              <w:spacing w:before="60" w:after="60"/>
              <w:rPr>
                <w:szCs w:val="24"/>
              </w:rPr>
            </w:pPr>
            <w:r>
              <w:rPr>
                <w:rFonts w:ascii="Arial" w:hAnsi="Arial" w:cs="Arial"/>
                <w:sz w:val="20"/>
              </w:rPr>
              <w:t xml:space="preserve">This criterion applies to all </w:t>
            </w:r>
            <w:r>
              <w:rPr>
                <w:rFonts w:ascii="Arial" w:hAnsi="Arial" w:cs="Arial"/>
                <w:i/>
                <w:sz w:val="20"/>
              </w:rPr>
              <w:t xml:space="preserve">‘boundary fencing blocks’ </w:t>
            </w:r>
            <w:r>
              <w:rPr>
                <w:rFonts w:ascii="Arial" w:hAnsi="Arial" w:cs="Arial"/>
                <w:sz w:val="20"/>
              </w:rPr>
              <w:t>shown on the Crace ongoing block specific provisions map.</w:t>
            </w:r>
          </w:p>
          <w:p w:rsidR="009E77E6" w:rsidRDefault="009E77E6">
            <w:pPr>
              <w:spacing w:before="60" w:after="60"/>
              <w:rPr>
                <w:szCs w:val="24"/>
              </w:rPr>
            </w:pPr>
            <w:r>
              <w:rPr>
                <w:rFonts w:ascii="Arial" w:hAnsi="Arial" w:cs="Arial"/>
                <w:sz w:val="20"/>
              </w:rPr>
              <w:t>Boundary fencing forward of the building line is partially transparent and is constructed of quality materials that complement those used in the dwelling.</w:t>
            </w:r>
          </w:p>
          <w:p w:rsidR="009E77E6" w:rsidRDefault="009E77E6">
            <w:pPr>
              <w:spacing w:before="60" w:after="60"/>
              <w:rPr>
                <w:szCs w:val="24"/>
              </w:rPr>
            </w:pPr>
          </w:p>
          <w:p w:rsidR="009E77E6" w:rsidRDefault="009E77E6">
            <w:pPr>
              <w:spacing w:before="60" w:after="60"/>
              <w:rPr>
                <w:szCs w:val="24"/>
              </w:rPr>
            </w:pPr>
          </w:p>
        </w:tc>
      </w:tr>
    </w:tbl>
    <w:p w:rsidR="009E77E6" w:rsidRDefault="009E77E6">
      <w:pPr>
        <w:rPr>
          <w:szCs w:val="24"/>
          <w:lang w:val="en-US"/>
        </w:rPr>
      </w:pPr>
      <w:r>
        <w:rPr>
          <w:szCs w:val="24"/>
          <w:lang w:val="en-US"/>
        </w:rPr>
        <w:t> </w:t>
      </w:r>
    </w:p>
    <w:p w:rsidR="009E77E6" w:rsidRDefault="009E77E6">
      <w:pPr>
        <w:jc w:val="both"/>
        <w:sectPr w:rsidR="009E77E6">
          <w:pgSz w:w="11906" w:h="16838"/>
          <w:pgMar w:top="1440" w:right="1418" w:bottom="1440" w:left="1418" w:header="709" w:footer="709" w:gutter="0"/>
          <w:cols w:space="708"/>
          <w:docGrid w:linePitch="360"/>
        </w:sectPr>
      </w:pPr>
    </w:p>
    <w:p w:rsidR="009E77E6" w:rsidRDefault="009E77E6">
      <w:pPr>
        <w:jc w:val="both"/>
      </w:pPr>
    </w:p>
    <w:p w:rsidR="009E77E6" w:rsidRDefault="006C0439">
      <w:pPr>
        <w:jc w:val="both"/>
      </w:pPr>
      <w:r>
        <w:pict>
          <v:shape id="_x0000_i1027" type="#_x0000_t75" style="width:450.75pt;height:609.75pt">
            <v:imagedata r:id="rId17" o:title=""/>
          </v:shape>
        </w:pict>
      </w:r>
    </w:p>
    <w:p w:rsidR="009E77E6" w:rsidRDefault="009E77E6">
      <w:pPr>
        <w:jc w:val="both"/>
      </w:pPr>
    </w:p>
    <w:p w:rsidR="009E77E6" w:rsidRDefault="009E77E6">
      <w:pPr>
        <w:jc w:val="both"/>
        <w:rPr>
          <w:rFonts w:ascii="Arial" w:hAnsi="Arial" w:cs="Arial"/>
          <w:b/>
        </w:rPr>
      </w:pPr>
      <w:r>
        <w:rPr>
          <w:rFonts w:ascii="Arial" w:hAnsi="Arial" w:cs="Arial"/>
          <w:b/>
        </w:rPr>
        <w:t>Figure 9</w:t>
      </w:r>
    </w:p>
    <w:p w:rsidR="009E77E6" w:rsidRDefault="009E77E6">
      <w:pPr>
        <w:jc w:val="both"/>
        <w:sectPr w:rsidR="009E77E6">
          <w:pgSz w:w="11907" w:h="16840" w:code="9"/>
          <w:pgMar w:top="1440" w:right="1418" w:bottom="1440" w:left="1418" w:header="709" w:footer="709" w:gutter="0"/>
          <w:cols w:space="708"/>
          <w:docGrid w:linePitch="360"/>
        </w:sectPr>
      </w:pPr>
    </w:p>
    <w:p w:rsidR="009E77E6" w:rsidRDefault="009E77E6">
      <w:pPr>
        <w:jc w:val="both"/>
        <w:rPr>
          <w:rFonts w:ascii="Arial" w:hAnsi="Arial" w:cs="Arial"/>
        </w:rPr>
      </w:pPr>
    </w:p>
    <w:p w:rsidR="009E77E6" w:rsidRDefault="009E77E6">
      <w:pPr>
        <w:pStyle w:val="TAeditorialinsertedtext"/>
        <w:spacing w:line="264" w:lineRule="auto"/>
        <w:ind w:left="0"/>
        <w:jc w:val="both"/>
        <w:rPr>
          <w:rFonts w:ascii="Times New Roman" w:hAnsi="Times New Roman"/>
          <w:b/>
          <w:sz w:val="24"/>
          <w:szCs w:val="24"/>
        </w:rPr>
      </w:pPr>
    </w:p>
    <w:p w:rsidR="009E77E6" w:rsidRDefault="006C0439">
      <w:pPr>
        <w:pStyle w:val="TAeditorialinsertedtext"/>
        <w:spacing w:line="264" w:lineRule="auto"/>
        <w:ind w:left="0"/>
        <w:jc w:val="both"/>
      </w:pPr>
      <w:r>
        <w:pict>
          <v:shape id="_x0000_i1028" type="#_x0000_t75" style="width:461.25pt;height:336pt">
            <v:imagedata r:id="rId18" o:title=""/>
          </v:shape>
        </w:pict>
      </w:r>
    </w:p>
    <w:p w:rsidR="009E77E6" w:rsidRDefault="009E77E6">
      <w:pPr>
        <w:pStyle w:val="TAeditorialinsertedtext"/>
        <w:spacing w:line="264" w:lineRule="auto"/>
        <w:ind w:left="0"/>
        <w:jc w:val="both"/>
        <w:rPr>
          <w:rFonts w:ascii="Times New Roman" w:hAnsi="Times New Roman"/>
          <w:b/>
          <w:sz w:val="24"/>
          <w:szCs w:val="24"/>
        </w:rPr>
      </w:pPr>
    </w:p>
    <w:p w:rsidR="009E77E6" w:rsidRDefault="009E77E6">
      <w:pPr>
        <w:pStyle w:val="TAeditorialinsertedtext"/>
        <w:spacing w:line="264" w:lineRule="auto"/>
        <w:ind w:left="0"/>
        <w:jc w:val="both"/>
        <w:rPr>
          <w:rFonts w:cs="Arial"/>
        </w:rPr>
      </w:pPr>
      <w:r>
        <w:rPr>
          <w:rFonts w:cs="Arial"/>
          <w:b/>
          <w:sz w:val="24"/>
          <w:szCs w:val="24"/>
        </w:rPr>
        <w:t>Figure 10</w:t>
      </w:r>
    </w:p>
    <w:p w:rsidR="009E77E6" w:rsidRDefault="009E77E6">
      <w:pPr>
        <w:pStyle w:val="TAeditorialinsertedtext"/>
        <w:spacing w:line="264" w:lineRule="auto"/>
        <w:ind w:left="0"/>
        <w:sectPr w:rsidR="009E77E6">
          <w:pgSz w:w="11907" w:h="16840" w:code="9"/>
          <w:pgMar w:top="1440" w:right="1418" w:bottom="1440" w:left="1418" w:header="709" w:footer="709" w:gutter="0"/>
          <w:cols w:space="708"/>
          <w:docGrid w:linePitch="360"/>
        </w:sectPr>
      </w:pPr>
    </w:p>
    <w:p w:rsidR="009E77E6" w:rsidRDefault="009E77E6">
      <w:pPr>
        <w:pStyle w:val="TAeditorialinsertedtext"/>
        <w:spacing w:line="264" w:lineRule="auto"/>
        <w:ind w:left="0"/>
        <w:rPr>
          <w:rFonts w:cs="Arial"/>
          <w:sz w:val="32"/>
        </w:rPr>
      </w:pPr>
      <w:r>
        <w:rPr>
          <w:rFonts w:cs="Arial"/>
          <w:sz w:val="32"/>
        </w:rPr>
        <w:t>Variation to Coombs and Wright Concept Plan</w:t>
      </w:r>
    </w:p>
    <w:p w:rsidR="009E77E6" w:rsidRDefault="009E77E6">
      <w:pPr>
        <w:pStyle w:val="TAeditorialinsertedtext"/>
        <w:spacing w:line="264" w:lineRule="auto"/>
        <w:ind w:left="0"/>
        <w:rPr>
          <w:rFonts w:cs="Arial"/>
          <w:b/>
          <w:szCs w:val="24"/>
        </w:rPr>
      </w:pPr>
    </w:p>
    <w:p w:rsidR="009E77E6" w:rsidRDefault="009E77E6">
      <w:pPr>
        <w:pStyle w:val="TAeditorialitemgeneralheading"/>
      </w:pPr>
      <w:r>
        <w:t>Part B – Subdivision, Element 8: Road network, rule R46 and criterion C46</w:t>
      </w:r>
    </w:p>
    <w:p w:rsidR="009E77E6" w:rsidRDefault="009E77E6">
      <w:pPr>
        <w:pStyle w:val="TAeditorialinstructions"/>
        <w:ind w:left="0"/>
        <w:rPr>
          <w:rFonts w:cs="Arial"/>
          <w:i w:val="0"/>
          <w:iCs w:val="0"/>
        </w:rPr>
      </w:pPr>
    </w:p>
    <w:p w:rsidR="009E77E6" w:rsidRDefault="009E77E6">
      <w:pPr>
        <w:rPr>
          <w:rFonts w:ascii="Arial" w:hAnsi="Arial" w:cs="Arial"/>
          <w:i/>
        </w:rPr>
      </w:pPr>
      <w:r>
        <w:rPr>
          <w:rFonts w:ascii="Arial" w:hAnsi="Arial" w:cs="Arial"/>
        </w:rPr>
        <w:tab/>
      </w:r>
      <w:r>
        <w:rPr>
          <w:rFonts w:ascii="Arial" w:hAnsi="Arial" w:cs="Arial"/>
          <w:i/>
        </w:rPr>
        <w:t>Substitute with</w:t>
      </w:r>
    </w:p>
    <w:p w:rsidR="009E77E6" w:rsidRDefault="009E77E6">
      <w:pPr>
        <w:rPr>
          <w:rFonts w:ascii="Arial" w:hAnsi="Arial" w:cs="Arial"/>
          <w: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592"/>
      </w:tblGrid>
      <w:tr w:rsidR="009E77E6">
        <w:tc>
          <w:tcPr>
            <w:tcW w:w="9214" w:type="dxa"/>
            <w:gridSpan w:val="2"/>
            <w:shd w:val="pct10" w:color="FFFFFF" w:fill="E6E6E6"/>
          </w:tcPr>
          <w:p w:rsidR="009E77E6" w:rsidRDefault="009E77E6">
            <w:pPr>
              <w:pStyle w:val="CodeItem"/>
              <w:numPr>
                <w:ilvl w:val="0"/>
                <w:numId w:val="0"/>
              </w:numPr>
              <w:ind w:left="284"/>
            </w:pPr>
            <w:bookmarkStart w:id="22" w:name="_Toc244534737"/>
            <w:r>
              <w:t>5.   Road network</w:t>
            </w:r>
            <w:bookmarkEnd w:id="22"/>
          </w:p>
        </w:tc>
      </w:tr>
      <w:tr w:rsidR="009E77E6">
        <w:trPr>
          <w:tblHeader/>
        </w:trPr>
        <w:tc>
          <w:tcPr>
            <w:tcW w:w="9214" w:type="dxa"/>
            <w:gridSpan w:val="2"/>
          </w:tcPr>
          <w:p w:rsidR="009E77E6" w:rsidRDefault="009E77E6">
            <w:pPr>
              <w:pStyle w:val="codeHeading"/>
              <w:spacing w:line="288" w:lineRule="auto"/>
              <w:rPr>
                <w:sz w:val="20"/>
              </w:rPr>
            </w:pPr>
            <w:r>
              <w:rPr>
                <w:sz w:val="20"/>
              </w:rPr>
              <w:t>Note:</w:t>
            </w:r>
            <w:r>
              <w:rPr>
                <w:b w:val="0"/>
                <w:sz w:val="20"/>
              </w:rPr>
              <w:t xml:space="preserve">  Desired planning outcomes relevant to this element are: </w:t>
            </w:r>
            <w:r>
              <w:rPr>
                <w:sz w:val="20"/>
              </w:rPr>
              <w:t>b, c, d, e, f, g, i, l, n, o and q</w:t>
            </w:r>
            <w:r>
              <w:rPr>
                <w:b w:val="0"/>
                <w:sz w:val="20"/>
              </w:rPr>
              <w:t>.</w:t>
            </w:r>
          </w:p>
        </w:tc>
      </w:tr>
      <w:tr w:rsidR="009E77E6">
        <w:tc>
          <w:tcPr>
            <w:tcW w:w="4622" w:type="dxa"/>
            <w:shd w:val="solid" w:color="FFFFFF" w:fill="FFFFFF"/>
          </w:tcPr>
          <w:p w:rsidR="009E77E6" w:rsidRDefault="009E77E6">
            <w:pPr>
              <w:pStyle w:val="codeRuleList"/>
              <w:numPr>
                <w:ilvl w:val="0"/>
                <w:numId w:val="0"/>
              </w:numPr>
            </w:pPr>
            <w:r>
              <w:t>R46</w:t>
            </w:r>
          </w:p>
          <w:p w:rsidR="009E77E6" w:rsidRDefault="009E77E6">
            <w:pPr>
              <w:pStyle w:val="codeRuleList"/>
              <w:numPr>
                <w:ilvl w:val="0"/>
                <w:numId w:val="0"/>
              </w:numPr>
              <w:spacing w:before="60" w:after="60"/>
            </w:pPr>
            <w:r>
              <w:t>Junctions with the north south arterial are limited to the following:</w:t>
            </w:r>
          </w:p>
          <w:p w:rsidR="009E77E6" w:rsidRDefault="009E77E6">
            <w:pPr>
              <w:pStyle w:val="codeRuleList"/>
              <w:numPr>
                <w:ilvl w:val="0"/>
                <w:numId w:val="32"/>
              </w:numPr>
              <w:tabs>
                <w:tab w:val="clear" w:pos="720"/>
                <w:tab w:val="num" w:pos="459"/>
              </w:tabs>
              <w:spacing w:before="60" w:after="60"/>
              <w:ind w:left="459" w:hanging="425"/>
            </w:pPr>
            <w:r>
              <w:t xml:space="preserve">locations shown in </w:t>
            </w:r>
            <w:r>
              <w:rPr>
                <w:b/>
              </w:rPr>
              <w:t>Figure 3</w:t>
            </w:r>
          </w:p>
          <w:p w:rsidR="009E77E6" w:rsidRDefault="009E77E6">
            <w:pPr>
              <w:pStyle w:val="codeRuleList"/>
              <w:numPr>
                <w:ilvl w:val="0"/>
                <w:numId w:val="32"/>
              </w:numPr>
              <w:tabs>
                <w:tab w:val="clear" w:pos="720"/>
                <w:tab w:val="num" w:pos="459"/>
              </w:tabs>
              <w:spacing w:before="60" w:after="60"/>
              <w:ind w:left="459" w:hanging="425"/>
            </w:pPr>
            <w:r>
              <w:t>an uncontrolled T-intersection adjacent to the Stromlo Forestry Depot (temporary only)</w:t>
            </w:r>
          </w:p>
          <w:p w:rsidR="009E77E6" w:rsidRDefault="009E77E6">
            <w:pPr>
              <w:pStyle w:val="codeRuleList"/>
              <w:numPr>
                <w:ilvl w:val="0"/>
                <w:numId w:val="32"/>
              </w:numPr>
              <w:tabs>
                <w:tab w:val="clear" w:pos="720"/>
                <w:tab w:val="num" w:pos="459"/>
              </w:tabs>
              <w:spacing w:before="60" w:after="60"/>
              <w:ind w:left="459" w:hanging="425"/>
            </w:pPr>
            <w:r>
              <w:t>a left-in/left out arrangement near the Holdens Creek bridge accessing to the east</w:t>
            </w:r>
          </w:p>
          <w:p w:rsidR="009E77E6" w:rsidRDefault="009E77E6">
            <w:pPr>
              <w:pStyle w:val="codeRuleList"/>
              <w:numPr>
                <w:ilvl w:val="0"/>
                <w:numId w:val="32"/>
              </w:numPr>
              <w:tabs>
                <w:tab w:val="clear" w:pos="720"/>
                <w:tab w:val="num" w:pos="459"/>
              </w:tabs>
              <w:spacing w:before="60" w:after="60"/>
              <w:ind w:left="459" w:hanging="425"/>
            </w:pPr>
            <w:r>
              <w:t>protected right turn arrangements at the following locations –</w:t>
            </w:r>
          </w:p>
          <w:p w:rsidR="009E77E6" w:rsidRDefault="009E77E6">
            <w:pPr>
              <w:pStyle w:val="codeRuleList"/>
              <w:numPr>
                <w:ilvl w:val="1"/>
                <w:numId w:val="32"/>
              </w:numPr>
              <w:tabs>
                <w:tab w:val="clear" w:pos="1260"/>
                <w:tab w:val="num" w:pos="804"/>
              </w:tabs>
              <w:spacing w:before="60" w:after="60"/>
              <w:ind w:left="804" w:hanging="342"/>
            </w:pPr>
            <w:r>
              <w:t>adjacent to the Stromlo Forest Depot [in place of temporary arrangements referred to in item b)]</w:t>
            </w:r>
          </w:p>
          <w:p w:rsidR="009E77E6" w:rsidRDefault="009E77E6">
            <w:pPr>
              <w:pStyle w:val="codeRuleList"/>
              <w:numPr>
                <w:ilvl w:val="1"/>
                <w:numId w:val="32"/>
              </w:numPr>
              <w:tabs>
                <w:tab w:val="clear" w:pos="1260"/>
                <w:tab w:val="num" w:pos="804"/>
              </w:tabs>
              <w:spacing w:before="60" w:after="60"/>
              <w:ind w:left="804" w:hanging="342"/>
            </w:pPr>
            <w:r>
              <w:t>approximately 100m to the west of the junction referred to in item d)i)</w:t>
            </w:r>
          </w:p>
          <w:p w:rsidR="009E77E6" w:rsidRDefault="009E77E6">
            <w:pPr>
              <w:pStyle w:val="codeRuleList"/>
              <w:numPr>
                <w:ilvl w:val="1"/>
                <w:numId w:val="32"/>
              </w:numPr>
              <w:tabs>
                <w:tab w:val="clear" w:pos="1260"/>
                <w:tab w:val="num" w:pos="804"/>
              </w:tabs>
              <w:spacing w:before="60" w:after="60"/>
              <w:ind w:left="804" w:hanging="342"/>
            </w:pPr>
            <w:r>
              <w:t xml:space="preserve">approximately mid way between intersections 1 and 2 shown on </w:t>
            </w:r>
            <w:r>
              <w:rPr>
                <w:b/>
              </w:rPr>
              <w:t>Figure 3</w:t>
            </w:r>
            <w:r>
              <w:t xml:space="preserve"> accessing both sides</w:t>
            </w:r>
          </w:p>
          <w:p w:rsidR="009E77E6" w:rsidRDefault="009E77E6">
            <w:pPr>
              <w:pStyle w:val="codeRuleList"/>
              <w:numPr>
                <w:ilvl w:val="1"/>
                <w:numId w:val="32"/>
              </w:numPr>
              <w:tabs>
                <w:tab w:val="clear" w:pos="1260"/>
                <w:tab w:val="num" w:pos="804"/>
              </w:tabs>
              <w:spacing w:before="60" w:after="60"/>
              <w:ind w:left="804" w:hanging="342"/>
            </w:pPr>
            <w:r>
              <w:t xml:space="preserve">at Holdens Creek accessing </w:t>
            </w:r>
            <w:smartTag w:uri="urn:schemas-microsoft-com:office:smarttags" w:element="address">
              <w:smartTag w:uri="urn:schemas-microsoft-com:office:smarttags" w:element="Street">
                <w:r>
                  <w:t>Uriarra Road</w:t>
                </w:r>
              </w:smartTag>
            </w:smartTag>
            <w:r>
              <w:t xml:space="preserve">  </w:t>
            </w:r>
          </w:p>
          <w:p w:rsidR="009E77E6" w:rsidRDefault="009E77E6">
            <w:pPr>
              <w:pStyle w:val="codeRuleList"/>
              <w:numPr>
                <w:ilvl w:val="0"/>
                <w:numId w:val="32"/>
              </w:numPr>
              <w:tabs>
                <w:tab w:val="clear" w:pos="720"/>
                <w:tab w:val="num" w:pos="459"/>
              </w:tabs>
              <w:spacing w:before="60" w:after="60"/>
              <w:ind w:left="459" w:hanging="425"/>
            </w:pPr>
            <w:r>
              <w:t>a left-in/left out arrangement at the location referred to in item d) ii).</w:t>
            </w:r>
          </w:p>
        </w:tc>
        <w:tc>
          <w:tcPr>
            <w:tcW w:w="4592" w:type="dxa"/>
            <w:shd w:val="solid" w:color="FFFFFF" w:fill="FFFFFF"/>
          </w:tcPr>
          <w:p w:rsidR="009E77E6" w:rsidRDefault="009E77E6">
            <w:pPr>
              <w:pStyle w:val="codeCriteriaList"/>
              <w:ind w:left="-52" w:firstLine="0"/>
            </w:pPr>
            <w:r>
              <w:t>C46</w:t>
            </w:r>
          </w:p>
          <w:p w:rsidR="009E77E6" w:rsidRDefault="009E77E6">
            <w:pPr>
              <w:pStyle w:val="codeCriteriaList"/>
              <w:spacing w:before="60" w:after="60"/>
              <w:ind w:left="-52" w:firstLine="0"/>
            </w:pPr>
            <w:r>
              <w:t>Intersections on the north-south arterial road will be located and configured to achieve all of the following:</w:t>
            </w:r>
          </w:p>
          <w:p w:rsidR="009E77E6" w:rsidRDefault="009E77E6">
            <w:pPr>
              <w:pStyle w:val="codeRuleList"/>
              <w:numPr>
                <w:ilvl w:val="0"/>
                <w:numId w:val="33"/>
              </w:numPr>
              <w:tabs>
                <w:tab w:val="clear" w:pos="720"/>
                <w:tab w:val="num" w:pos="457"/>
              </w:tabs>
              <w:spacing w:before="60" w:after="60"/>
              <w:ind w:left="514" w:hanging="52"/>
            </w:pPr>
            <w:r>
              <w:t>convenient and safe vehicular access</w:t>
            </w:r>
          </w:p>
          <w:p w:rsidR="009E77E6" w:rsidRDefault="009E77E6">
            <w:pPr>
              <w:pStyle w:val="codeRuleList"/>
              <w:numPr>
                <w:ilvl w:val="0"/>
                <w:numId w:val="33"/>
              </w:numPr>
              <w:tabs>
                <w:tab w:val="clear" w:pos="720"/>
                <w:tab w:val="num" w:pos="457"/>
              </w:tabs>
              <w:spacing w:before="60" w:after="60"/>
              <w:ind w:left="514" w:hanging="52"/>
            </w:pPr>
            <w:r>
              <w:t>pedestrian and cyclist safety</w:t>
            </w:r>
          </w:p>
          <w:p w:rsidR="009E77E6" w:rsidRDefault="009E77E6">
            <w:pPr>
              <w:pStyle w:val="codeRuleList"/>
              <w:numPr>
                <w:ilvl w:val="0"/>
                <w:numId w:val="33"/>
              </w:numPr>
              <w:tabs>
                <w:tab w:val="clear" w:pos="720"/>
                <w:tab w:val="num" w:pos="457"/>
              </w:tabs>
              <w:spacing w:before="60" w:after="60"/>
              <w:ind w:left="514" w:hanging="52"/>
            </w:pPr>
            <w:r>
              <w:t xml:space="preserve">minimal impact on through traffic flow. </w:t>
            </w:r>
          </w:p>
          <w:p w:rsidR="009E77E6" w:rsidRDefault="009E77E6">
            <w:pPr>
              <w:pStyle w:val="codeCriteriaList"/>
              <w:spacing w:before="60" w:after="60"/>
              <w:ind w:hanging="283"/>
            </w:pPr>
          </w:p>
        </w:tc>
      </w:tr>
      <w:tr w:rsidR="009E77E6">
        <w:tc>
          <w:tcPr>
            <w:tcW w:w="4622" w:type="dxa"/>
            <w:shd w:val="solid" w:color="FFFFFF" w:fill="FFFFFF"/>
          </w:tcPr>
          <w:p w:rsidR="009E77E6" w:rsidRDefault="009E77E6">
            <w:pPr>
              <w:pStyle w:val="codeRuleList"/>
              <w:numPr>
                <w:ilvl w:val="0"/>
                <w:numId w:val="0"/>
              </w:numPr>
            </w:pPr>
            <w:r>
              <w:t>R46A</w:t>
            </w:r>
          </w:p>
          <w:p w:rsidR="009E77E6" w:rsidRDefault="009E77E6">
            <w:pPr>
              <w:pStyle w:val="codeRuleList"/>
              <w:numPr>
                <w:ilvl w:val="0"/>
                <w:numId w:val="0"/>
              </w:numPr>
              <w:spacing w:before="60" w:after="60"/>
            </w:pPr>
            <w:r>
              <w:t>Vehicular access to Wright complies with both of the following:</w:t>
            </w:r>
          </w:p>
          <w:p w:rsidR="009E77E6" w:rsidRDefault="009E77E6">
            <w:pPr>
              <w:pStyle w:val="codeRuleList"/>
              <w:numPr>
                <w:ilvl w:val="0"/>
                <w:numId w:val="33"/>
              </w:numPr>
              <w:spacing w:before="60" w:after="60"/>
            </w:pPr>
            <w:r>
              <w:t xml:space="preserve">not fewer than 1 access from </w:t>
            </w:r>
            <w:smartTag w:uri="urn:schemas-microsoft-com:office:smarttags" w:element="address">
              <w:smartTag w:uri="urn:schemas-microsoft-com:office:smarttags" w:element="Street">
                <w:r>
                  <w:t>Uriarra Road</w:t>
                </w:r>
              </w:smartTag>
            </w:smartTag>
          </w:p>
          <w:p w:rsidR="009E77E6" w:rsidRDefault="009E77E6">
            <w:pPr>
              <w:pStyle w:val="codeRuleList"/>
              <w:numPr>
                <w:ilvl w:val="0"/>
                <w:numId w:val="33"/>
              </w:numPr>
              <w:spacing w:before="60" w:after="60"/>
            </w:pPr>
            <w:r>
              <w:t xml:space="preserve">not fewer than 1 access from </w:t>
            </w:r>
            <w:smartTag w:uri="urn:schemas-microsoft-com:office:smarttags" w:element="address">
              <w:smartTag w:uri="urn:schemas-microsoft-com:office:smarttags" w:element="Street">
                <w:r>
                  <w:t>Cotter Road</w:t>
                </w:r>
              </w:smartTag>
            </w:smartTag>
            <w:r>
              <w:t>.</w:t>
            </w:r>
          </w:p>
        </w:tc>
        <w:tc>
          <w:tcPr>
            <w:tcW w:w="4592" w:type="dxa"/>
            <w:shd w:val="solid" w:color="FFFFFF" w:fill="FFFFFF"/>
          </w:tcPr>
          <w:p w:rsidR="009E77E6" w:rsidRDefault="009E77E6">
            <w:pPr>
              <w:pStyle w:val="codeCriteriaList"/>
              <w:ind w:left="-52" w:firstLine="0"/>
            </w:pPr>
            <w:r>
              <w:t>C46A</w:t>
            </w:r>
          </w:p>
          <w:p w:rsidR="009E77E6" w:rsidRDefault="009E77E6">
            <w:pPr>
              <w:pStyle w:val="codeCriteriaList"/>
              <w:spacing w:before="60" w:after="60"/>
              <w:ind w:left="-52" w:firstLine="0"/>
            </w:pPr>
            <w:r>
              <w:t>This is a mandatory requirement.  There is no applicable criterion.</w:t>
            </w:r>
          </w:p>
        </w:tc>
      </w:tr>
    </w:tbl>
    <w:p w:rsidR="009E77E6" w:rsidRDefault="009E77E6">
      <w:pPr>
        <w:pStyle w:val="codeRuleList"/>
        <w:numPr>
          <w:ilvl w:val="0"/>
          <w:numId w:val="0"/>
        </w:numPr>
        <w:sectPr w:rsidR="009E77E6">
          <w:pgSz w:w="11906" w:h="16838"/>
          <w:pgMar w:top="1440" w:right="1418" w:bottom="1440" w:left="1418" w:header="709" w:footer="709" w:gutter="0"/>
          <w:cols w:space="708"/>
          <w:docGrid w:linePitch="360"/>
        </w:sect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592"/>
      </w:tblGrid>
      <w:tr w:rsidR="009E77E6">
        <w:tc>
          <w:tcPr>
            <w:tcW w:w="4622" w:type="dxa"/>
            <w:shd w:val="solid" w:color="FFFFFF" w:fill="FFFFFF"/>
          </w:tcPr>
          <w:p w:rsidR="009E77E6" w:rsidRDefault="009E77E6">
            <w:pPr>
              <w:pStyle w:val="codeRuleList"/>
              <w:numPr>
                <w:ilvl w:val="0"/>
                <w:numId w:val="0"/>
              </w:numPr>
            </w:pPr>
            <w:r>
              <w:t>R46B</w:t>
            </w:r>
          </w:p>
          <w:p w:rsidR="009E77E6" w:rsidRDefault="009E77E6">
            <w:pPr>
              <w:pStyle w:val="codeRuleList"/>
              <w:numPr>
                <w:ilvl w:val="0"/>
                <w:numId w:val="0"/>
              </w:numPr>
              <w:spacing w:before="60" w:after="60"/>
            </w:pPr>
            <w:r>
              <w:t>Vehicular access from the north south arterial to adjoining blocks is permitted only from service streets.</w:t>
            </w:r>
          </w:p>
          <w:p w:rsidR="009E77E6" w:rsidRDefault="009E77E6">
            <w:pPr>
              <w:pStyle w:val="codeRuleList"/>
              <w:numPr>
                <w:ilvl w:val="0"/>
                <w:numId w:val="0"/>
              </w:numPr>
              <w:spacing w:before="60" w:after="60"/>
            </w:pPr>
            <w:r>
              <w:t>This rule does not apply to the Stromlo Forestry Depot.</w:t>
            </w:r>
          </w:p>
        </w:tc>
        <w:tc>
          <w:tcPr>
            <w:tcW w:w="4592" w:type="dxa"/>
            <w:shd w:val="solid" w:color="FFFFFF" w:fill="FFFFFF"/>
          </w:tcPr>
          <w:p w:rsidR="009E77E6" w:rsidRDefault="009E77E6">
            <w:pPr>
              <w:pStyle w:val="codeCriteriaList"/>
              <w:ind w:left="-52" w:firstLine="0"/>
            </w:pPr>
            <w:r>
              <w:t>C46B</w:t>
            </w:r>
          </w:p>
          <w:p w:rsidR="009E77E6" w:rsidRDefault="009E77E6">
            <w:pPr>
              <w:pStyle w:val="codeCriteriaList"/>
              <w:spacing w:before="60" w:after="60"/>
              <w:ind w:left="-52" w:firstLine="0"/>
            </w:pPr>
            <w:r>
              <w:t>This is a mandatory requirement.  There is no applicable criterion.</w:t>
            </w:r>
          </w:p>
        </w:tc>
      </w:tr>
    </w:tbl>
    <w:p w:rsidR="009E77E6" w:rsidRDefault="009E77E6"/>
    <w:p w:rsidR="009E77E6" w:rsidRDefault="009E77E6">
      <w:pPr>
        <w:pStyle w:val="TAeditorialinsertedtext"/>
        <w:spacing w:line="264" w:lineRule="auto"/>
        <w:ind w:left="0"/>
        <w:rPr>
          <w:rFonts w:cs="Arial"/>
          <w:szCs w:val="24"/>
        </w:rPr>
      </w:pPr>
    </w:p>
    <w:p w:rsidR="009E77E6" w:rsidRDefault="009E77E6">
      <w:pPr>
        <w:pStyle w:val="TAeditorialitemgeneralheading"/>
      </w:pPr>
      <w:r>
        <w:t>Part C – Buildings and structures, Element 10: Residential density, rule R49</w:t>
      </w:r>
    </w:p>
    <w:p w:rsidR="009E77E6" w:rsidRDefault="009E77E6">
      <w:pPr>
        <w:pStyle w:val="TAeditorialinstructions"/>
        <w:rPr>
          <w:rFonts w:cs="Arial"/>
          <w:i w:val="0"/>
          <w:iCs w:val="0"/>
        </w:rPr>
      </w:pPr>
    </w:p>
    <w:p w:rsidR="009E77E6" w:rsidRDefault="009E77E6">
      <w:pPr>
        <w:rPr>
          <w:rFonts w:ascii="Arial" w:hAnsi="Arial" w:cs="Arial"/>
        </w:rPr>
      </w:pPr>
      <w:r>
        <w:rPr>
          <w:rFonts w:ascii="Arial" w:hAnsi="Arial" w:cs="Arial"/>
        </w:rPr>
        <w:tab/>
      </w:r>
      <w:r>
        <w:rPr>
          <w:rFonts w:ascii="Arial" w:hAnsi="Arial" w:cs="Arial"/>
          <w:i/>
        </w:rPr>
        <w:t>Substitute with</w:t>
      </w:r>
    </w:p>
    <w:p w:rsidR="009E77E6" w:rsidRDefault="009E77E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4265"/>
      </w:tblGrid>
      <w:tr w:rsidR="009E77E6" w:rsidRPr="009E77E6" w:rsidTr="009E77E6">
        <w:tc>
          <w:tcPr>
            <w:tcW w:w="4264" w:type="dxa"/>
          </w:tcPr>
          <w:p w:rsidR="009E77E6" w:rsidRPr="009E77E6" w:rsidRDefault="009E77E6" w:rsidP="009E77E6">
            <w:pPr>
              <w:autoSpaceDE w:val="0"/>
              <w:autoSpaceDN w:val="0"/>
              <w:adjustRightInd w:val="0"/>
              <w:rPr>
                <w:rFonts w:ascii="Arial" w:hAnsi="Arial" w:cs="Arial"/>
                <w:sz w:val="20"/>
              </w:rPr>
            </w:pPr>
            <w:r w:rsidRPr="009E77E6">
              <w:rPr>
                <w:rFonts w:ascii="Arial" w:hAnsi="Arial" w:cs="Arial"/>
                <w:sz w:val="20"/>
              </w:rPr>
              <w:t>R49</w:t>
            </w:r>
          </w:p>
          <w:p w:rsidR="009E77E6" w:rsidRPr="009E77E6" w:rsidRDefault="009E77E6" w:rsidP="009E77E6">
            <w:pPr>
              <w:autoSpaceDE w:val="0"/>
              <w:autoSpaceDN w:val="0"/>
              <w:adjustRightInd w:val="0"/>
              <w:rPr>
                <w:rFonts w:ascii="Arial" w:hAnsi="Arial" w:cs="Arial"/>
                <w:sz w:val="20"/>
              </w:rPr>
            </w:pPr>
          </w:p>
          <w:p w:rsidR="009E77E6" w:rsidRPr="009E77E6" w:rsidRDefault="009E77E6" w:rsidP="009E77E6">
            <w:pPr>
              <w:autoSpaceDE w:val="0"/>
              <w:autoSpaceDN w:val="0"/>
              <w:adjustRightInd w:val="0"/>
              <w:rPr>
                <w:rFonts w:ascii="Arial" w:hAnsi="Arial" w:cs="Arial"/>
                <w:sz w:val="20"/>
              </w:rPr>
            </w:pPr>
            <w:r w:rsidRPr="009E77E6">
              <w:rPr>
                <w:rFonts w:ascii="Arial" w:hAnsi="Arial" w:cs="Arial"/>
                <w:sz w:val="20"/>
              </w:rPr>
              <w:t>In RZ4 and RZ5 zones in precincts B, E, G, I, M, N, P, Q and T, the minimum average residential density for these zones in each precinct is one dwelling for each 200m</w:t>
            </w:r>
            <w:r w:rsidRPr="009E77E6">
              <w:rPr>
                <w:rFonts w:ascii="Arial" w:hAnsi="Arial" w:cs="Arial"/>
                <w:sz w:val="20"/>
                <w:vertAlign w:val="superscript"/>
              </w:rPr>
              <w:t>2</w:t>
            </w:r>
            <w:r w:rsidRPr="009E77E6">
              <w:rPr>
                <w:rFonts w:ascii="Arial" w:hAnsi="Arial" w:cs="Arial"/>
                <w:sz w:val="20"/>
              </w:rPr>
              <w:t xml:space="preserve"> of site area (rounded to the nearest whole number).</w:t>
            </w:r>
          </w:p>
        </w:tc>
        <w:tc>
          <w:tcPr>
            <w:tcW w:w="4265" w:type="dxa"/>
          </w:tcPr>
          <w:p w:rsidR="009E77E6" w:rsidRPr="009E77E6" w:rsidRDefault="009E77E6">
            <w:pPr>
              <w:rPr>
                <w:rFonts w:ascii="Arial" w:hAnsi="Arial" w:cs="Arial"/>
                <w:sz w:val="20"/>
              </w:rPr>
            </w:pPr>
          </w:p>
          <w:p w:rsidR="009E77E6" w:rsidRPr="009E77E6" w:rsidRDefault="009E77E6">
            <w:pPr>
              <w:rPr>
                <w:rFonts w:ascii="Arial" w:hAnsi="Arial" w:cs="Arial"/>
                <w:sz w:val="20"/>
              </w:rPr>
            </w:pPr>
          </w:p>
          <w:p w:rsidR="009E77E6" w:rsidRPr="009E77E6" w:rsidRDefault="009E77E6">
            <w:pPr>
              <w:rPr>
                <w:rFonts w:ascii="Arial" w:hAnsi="Arial" w:cs="Arial"/>
                <w:sz w:val="20"/>
              </w:rPr>
            </w:pPr>
            <w:r w:rsidRPr="009E77E6">
              <w:rPr>
                <w:rFonts w:ascii="Arial" w:hAnsi="Arial" w:cs="Arial"/>
                <w:sz w:val="20"/>
              </w:rPr>
              <w:t>This is a mandatory rule. There is no applicable criterion.</w:t>
            </w:r>
          </w:p>
          <w:p w:rsidR="009E77E6" w:rsidRPr="009E77E6" w:rsidRDefault="009E77E6">
            <w:pPr>
              <w:rPr>
                <w:rFonts w:ascii="Arial" w:hAnsi="Arial" w:cs="Arial"/>
                <w:sz w:val="20"/>
              </w:rPr>
            </w:pPr>
          </w:p>
          <w:p w:rsidR="009E77E6" w:rsidRPr="009E77E6" w:rsidRDefault="009E77E6">
            <w:pPr>
              <w:rPr>
                <w:rFonts w:ascii="Arial" w:hAnsi="Arial" w:cs="Arial"/>
                <w:sz w:val="20"/>
              </w:rPr>
            </w:pPr>
          </w:p>
        </w:tc>
      </w:tr>
    </w:tbl>
    <w:p w:rsidR="009E77E6" w:rsidRDefault="009E77E6">
      <w:pPr>
        <w:pStyle w:val="TAeditorialinsertedtext"/>
        <w:spacing w:line="264" w:lineRule="auto"/>
        <w:ind w:left="0"/>
        <w:rPr>
          <w:rFonts w:cs="Arial"/>
          <w:b/>
          <w:szCs w:val="24"/>
        </w:rPr>
      </w:pPr>
      <w:r>
        <w:rPr>
          <w:rFonts w:cs="Arial"/>
          <w:b/>
          <w:szCs w:val="24"/>
        </w:rPr>
        <w:t xml:space="preserve"> </w:t>
      </w:r>
    </w:p>
    <w:p w:rsidR="009E77E6" w:rsidRDefault="009E77E6">
      <w:pPr>
        <w:pStyle w:val="TAeditorialinsertedtext"/>
        <w:spacing w:line="264" w:lineRule="auto"/>
        <w:ind w:left="0"/>
        <w:rPr>
          <w:rFonts w:cs="Arial"/>
          <w:b/>
          <w:szCs w:val="24"/>
        </w:rPr>
      </w:pPr>
    </w:p>
    <w:p w:rsidR="009E77E6" w:rsidRDefault="009E77E6">
      <w:pPr>
        <w:pStyle w:val="TAeditorialinsertedtext"/>
        <w:spacing w:line="264" w:lineRule="auto"/>
        <w:ind w:left="360" w:firstLine="720"/>
      </w:pPr>
      <w:r>
        <w:br w:type="page"/>
      </w:r>
    </w:p>
    <w:p w:rsidR="009E77E6" w:rsidRDefault="009E77E6">
      <w:pPr>
        <w:pStyle w:val="TAinterpretationservicetitle"/>
        <w:rPr>
          <w:rFonts w:ascii="Arial" w:hAnsi="Arial" w:cs="Arial"/>
        </w:rPr>
      </w:pPr>
      <w:r>
        <w:rPr>
          <w:rFonts w:ascii="Arial" w:hAnsi="Arial" w:cs="Arial"/>
        </w:rPr>
        <w:t>Interpretation service</w:t>
      </w:r>
    </w:p>
    <w:p w:rsidR="009E77E6" w:rsidRDefault="006C0439">
      <w:pPr>
        <w:pStyle w:val="BodyText"/>
      </w:pPr>
      <w:r>
        <w:pict>
          <v:shape id="_x0000_i1029" type="#_x0000_t75" style="width:423pt;height:279pt" o:bordertopcolor="this" o:borderleftcolor="this" o:borderbottomcolor="this" o:borderrightcolor="this" fillcolor="window">
            <v:imagedata r:id="rId19" o:title=""/>
          </v:shape>
        </w:pict>
      </w:r>
    </w:p>
    <w:p w:rsidR="009E77E6" w:rsidRDefault="009E77E6">
      <w:pPr>
        <w:pStyle w:val="BodyText"/>
        <w:rPr>
          <w:rFonts w:ascii="Arial" w:hAnsi="Arial" w:cs="Arial"/>
          <w:b/>
        </w:rPr>
      </w:pPr>
    </w:p>
    <w:sectPr w:rsidR="009E77E6">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7E6" w:rsidRDefault="009E77E6">
      <w:r>
        <w:separator/>
      </w:r>
    </w:p>
  </w:endnote>
  <w:endnote w:type="continuationSeparator" w:id="0">
    <w:p w:rsidR="009E77E6" w:rsidRDefault="009E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7" w:rsidRDefault="00D72B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7E6" w:rsidRDefault="007F3DDC">
    <w:pPr>
      <w:pStyle w:val="TAACTPLAlogo"/>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25pt;height:72.75pt" o:ole="" o:bordertopcolor="this" o:borderleftcolor="this" o:borderbottomcolor="this" o:borderrightcolor="this">
          <v:imagedata r:id="rId1" o:title="" croptop="5139f" cropleft="5549f"/>
        </v:shape>
        <o:OLEObject Type="Embed" ProgID="Imaging.Document" ShapeID="_x0000_i1026" DrawAspect="Content" ObjectID="_1598250716" r:id="rId2"/>
      </w:object>
    </w:r>
  </w:p>
  <w:p w:rsidR="00805145" w:rsidRPr="00667391" w:rsidRDefault="00667391" w:rsidP="00667391">
    <w:pPr>
      <w:pStyle w:val="TAACTPLAlogo"/>
      <w:rPr>
        <w:rFonts w:cs="Arial"/>
        <w:sz w:val="14"/>
        <w:szCs w:val="14"/>
      </w:rPr>
    </w:pPr>
    <w:r w:rsidRPr="00667391">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145" w:rsidRPr="00667391" w:rsidRDefault="00667391" w:rsidP="00667391">
    <w:pPr>
      <w:pStyle w:val="Footer"/>
      <w:jc w:val="center"/>
      <w:rPr>
        <w:rFonts w:ascii="Arial" w:hAnsi="Arial" w:cs="Arial"/>
        <w:sz w:val="14"/>
        <w:szCs w:val="14"/>
      </w:rPr>
    </w:pPr>
    <w:r w:rsidRPr="00667391">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7E6" w:rsidRPr="00667391" w:rsidRDefault="00667391" w:rsidP="00667391">
    <w:pPr>
      <w:pStyle w:val="TAfooter"/>
      <w:rPr>
        <w:sz w:val="14"/>
        <w:szCs w:val="14"/>
      </w:rPr>
    </w:pPr>
    <w:r w:rsidRPr="00667391">
      <w:rPr>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7E6" w:rsidRDefault="009E77E6">
    <w:pPr>
      <w:pStyle w:val="TAfooter"/>
    </w:pPr>
    <w:r>
      <w:t xml:space="preserve">TA2011-11 </w:t>
    </w:r>
  </w:p>
  <w:p w:rsidR="009E77E6" w:rsidRDefault="009E77E6">
    <w:pPr>
      <w:pStyle w:val="TApagenumber"/>
    </w:pPr>
    <w:r>
      <w:t xml:space="preserve">Page </w:t>
    </w:r>
    <w:r>
      <w:fldChar w:fldCharType="begin"/>
    </w:r>
    <w:r>
      <w:instrText xml:space="preserve"> PAGE </w:instrText>
    </w:r>
    <w:r>
      <w:fldChar w:fldCharType="separate"/>
    </w:r>
    <w:r w:rsidR="00667391">
      <w:rPr>
        <w:noProof/>
      </w:rPr>
      <w:t>2</w:t>
    </w:r>
    <w:r>
      <w:fldChar w:fldCharType="end"/>
    </w:r>
    <w:r>
      <w:t xml:space="preserve"> </w:t>
    </w:r>
  </w:p>
  <w:p w:rsidR="00805145" w:rsidRPr="00667391" w:rsidRDefault="00667391" w:rsidP="00667391">
    <w:pPr>
      <w:pStyle w:val="TApagenumber"/>
      <w:rPr>
        <w:sz w:val="14"/>
        <w:szCs w:val="14"/>
      </w:rPr>
    </w:pPr>
    <w:r w:rsidRPr="00667391">
      <w:rPr>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7E6" w:rsidRDefault="009E77E6">
      <w:r>
        <w:separator/>
      </w:r>
    </w:p>
  </w:footnote>
  <w:footnote w:type="continuationSeparator" w:id="0">
    <w:p w:rsidR="009E77E6" w:rsidRDefault="009E7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7" w:rsidRDefault="00D72B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7" w:rsidRDefault="00D72B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47" w:rsidRDefault="00D72B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7E6" w:rsidRDefault="009E77E6">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5647"/>
    <w:multiLevelType w:val="hybridMultilevel"/>
    <w:tmpl w:val="7528DB4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2466622"/>
    <w:multiLevelType w:val="multilevel"/>
    <w:tmpl w:val="DFC647EA"/>
    <w:lvl w:ilvl="0">
      <w:start w:val="2"/>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AEB7A52"/>
    <w:multiLevelType w:val="hybridMultilevel"/>
    <w:tmpl w:val="873216A0"/>
    <w:lvl w:ilvl="0" w:tplc="FFFFFFFF">
      <w:start w:val="1"/>
      <w:numFmt w:val="decimal"/>
      <w:pStyle w:val="TAeditorialitemgeneralheading"/>
      <w:lvlText w:val="%1."/>
      <w:lvlJc w:val="left"/>
      <w:pPr>
        <w:tabs>
          <w:tab w:val="num" w:pos="720"/>
        </w:tabs>
        <w:ind w:left="720" w:hanging="360"/>
      </w:pPr>
      <w:rPr>
        <w:rFonts w:cs="Times New Roman"/>
      </w:rPr>
    </w:lvl>
    <w:lvl w:ilvl="1" w:tplc="93966CE2">
      <w:start w:val="1"/>
      <w:numFmt w:val="lowerLetter"/>
      <w:lvlText w:val="%2)"/>
      <w:lvlJc w:val="left"/>
      <w:pPr>
        <w:tabs>
          <w:tab w:val="num" w:pos="1070"/>
        </w:tabs>
        <w:ind w:left="1070" w:hanging="360"/>
      </w:pPr>
      <w:rPr>
        <w:rFonts w:cs="Times New Roman" w:hint="default"/>
      </w:rPr>
    </w:lvl>
    <w:lvl w:ilvl="2" w:tplc="3CFC09C2">
      <w:start w:val="1"/>
      <w:numFmt w:val="lowerLetter"/>
      <w:lvlText w:val="%3)"/>
      <w:lvlJc w:val="left"/>
      <w:pPr>
        <w:tabs>
          <w:tab w:val="num" w:pos="2340"/>
        </w:tabs>
        <w:ind w:left="2340" w:hanging="360"/>
      </w:pPr>
      <w:rPr>
        <w:rFonts w:ascii="Arial" w:hAnsi="Arial" w:cs="Times New Roman" w:hint="default"/>
        <w:b w:val="0"/>
        <w:i w:val="0"/>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C1B1363"/>
    <w:multiLevelType w:val="hybridMultilevel"/>
    <w:tmpl w:val="E42295E0"/>
    <w:lvl w:ilvl="0" w:tplc="FFFFFFFF">
      <w:start w:val="1"/>
      <w:numFmt w:val="lowerRoman"/>
      <w:lvlText w:val="(%1)"/>
      <w:lvlJc w:val="left"/>
      <w:pPr>
        <w:tabs>
          <w:tab w:val="num" w:pos="2061"/>
        </w:tabs>
        <w:ind w:left="2061"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15:restartNumberingAfterBreak="0">
    <w:nsid w:val="116D3D75"/>
    <w:multiLevelType w:val="multilevel"/>
    <w:tmpl w:val="FCE20FB0"/>
    <w:lvl w:ilvl="0">
      <w:start w:val="3"/>
      <w:numFmt w:val="lowerLetter"/>
      <w:lvlText w:val="%1)"/>
      <w:lvlJc w:val="left"/>
      <w:pPr>
        <w:tabs>
          <w:tab w:val="num" w:pos="720"/>
        </w:tabs>
        <w:ind w:left="720" w:hanging="360"/>
      </w:pPr>
      <w:rPr>
        <w:rFonts w:ascii="Arial" w:hAnsi="Arial" w:cs="Arial" w:hint="default"/>
        <w:sz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15:restartNumberingAfterBreak="0">
    <w:nsid w:val="138933B5"/>
    <w:multiLevelType w:val="hybridMultilevel"/>
    <w:tmpl w:val="EBD049B0"/>
    <w:lvl w:ilvl="0" w:tplc="0C090017">
      <w:start w:val="1"/>
      <w:numFmt w:val="lowerLetter"/>
      <w:pStyle w:val="StyleStyleelementHeadingArialBoldLightBlueArial"/>
      <w:lvlText w:val="%1)"/>
      <w:lvlJc w:val="left"/>
      <w:pPr>
        <w:tabs>
          <w:tab w:val="num" w:pos="720"/>
        </w:tabs>
        <w:ind w:left="720" w:hanging="360"/>
      </w:pPr>
      <w:rPr>
        <w:rFonts w:cs="Times New Roman" w:hint="default"/>
      </w:rPr>
    </w:lvl>
    <w:lvl w:ilvl="1" w:tplc="3DF6839E">
      <w:start w:val="1"/>
      <w:numFmt w:val="lowerRoman"/>
      <w:lvlText w:val="%2."/>
      <w:lvlJc w:val="left"/>
      <w:pPr>
        <w:tabs>
          <w:tab w:val="num" w:pos="1260"/>
        </w:tabs>
        <w:ind w:left="1260" w:hanging="18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3A81188"/>
    <w:multiLevelType w:val="hybridMultilevel"/>
    <w:tmpl w:val="510CD114"/>
    <w:lvl w:ilvl="0" w:tplc="FFFFFFFF">
      <w:start w:val="1"/>
      <w:numFmt w:val="upperLetter"/>
      <w:pStyle w:val="TAexplanatorystatementsubheading"/>
      <w:lvlText w:val="%1."/>
      <w:lvlJc w:val="left"/>
      <w:pPr>
        <w:tabs>
          <w:tab w:val="num" w:pos="360"/>
        </w:tabs>
        <w:ind w:left="720" w:hanging="720"/>
      </w:pPr>
      <w:rPr>
        <w:rFonts w:cs="Times New Roman" w:hint="default"/>
      </w:rPr>
    </w:lvl>
    <w:lvl w:ilvl="1" w:tplc="80BC0CDC">
      <w:start w:val="16"/>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15:restartNumberingAfterBreak="0">
    <w:nsid w:val="23BE6374"/>
    <w:multiLevelType w:val="hybridMultilevel"/>
    <w:tmpl w:val="82C2EC2C"/>
    <w:lvl w:ilvl="0" w:tplc="AF26CC8A">
      <w:start w:val="1"/>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B122E0"/>
    <w:multiLevelType w:val="hybridMultilevel"/>
    <w:tmpl w:val="47E45800"/>
    <w:lvl w:ilvl="0" w:tplc="33628658">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5DD4EBA"/>
    <w:multiLevelType w:val="hybridMultilevel"/>
    <w:tmpl w:val="03147F5A"/>
    <w:lvl w:ilvl="0" w:tplc="0C090017">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7E94B9E"/>
    <w:multiLevelType w:val="hybridMultilevel"/>
    <w:tmpl w:val="FCE20FB0"/>
    <w:lvl w:ilvl="0" w:tplc="55D65F1A">
      <w:start w:val="3"/>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C2568F"/>
    <w:multiLevelType w:val="multilevel"/>
    <w:tmpl w:val="DFC647EA"/>
    <w:lvl w:ilvl="0">
      <w:start w:val="2"/>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09E6747"/>
    <w:multiLevelType w:val="multilevel"/>
    <w:tmpl w:val="B5FC3ABE"/>
    <w:lvl w:ilvl="0">
      <w:start w:val="2"/>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327030A9"/>
    <w:multiLevelType w:val="hybridMultilevel"/>
    <w:tmpl w:val="E29C326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F14045"/>
    <w:multiLevelType w:val="hybridMultilevel"/>
    <w:tmpl w:val="2DF42E2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163AD"/>
    <w:multiLevelType w:val="multilevel"/>
    <w:tmpl w:val="5124546C"/>
    <w:lvl w:ilvl="0">
      <w:start w:val="2"/>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05"/>
        </w:tabs>
        <w:ind w:left="705" w:hanging="525"/>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7" w15:restartNumberingAfterBreak="0">
    <w:nsid w:val="3F654552"/>
    <w:multiLevelType w:val="hybridMultilevel"/>
    <w:tmpl w:val="575AAB6E"/>
    <w:lvl w:ilvl="0" w:tplc="3CFC09C2">
      <w:start w:val="1"/>
      <w:numFmt w:val="lowerLetter"/>
      <w:lvlText w:val="%1)"/>
      <w:lvlJc w:val="left"/>
      <w:pPr>
        <w:tabs>
          <w:tab w:val="num" w:pos="1789"/>
        </w:tabs>
        <w:ind w:left="1789" w:hanging="360"/>
      </w:pPr>
      <w:rPr>
        <w:rFonts w:ascii="Arial" w:hAnsi="Arial" w:cs="Times New Roman" w:hint="default"/>
        <w:b w:val="0"/>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CB86ED4"/>
    <w:multiLevelType w:val="multilevel"/>
    <w:tmpl w:val="642C6FE4"/>
    <w:lvl w:ilvl="0">
      <w:start w:val="1"/>
      <w:numFmt w:val="decimal"/>
      <w:pStyle w:val="codeRuleList"/>
      <w:suff w:val="nothing"/>
      <w:lvlText w:val="R%1"/>
      <w:lvlJc w:val="left"/>
      <w:pPr>
        <w:ind w:left="426"/>
      </w:pPr>
      <w:rPr>
        <w:rFonts w:cs="Times New Roman" w:hint="default"/>
      </w:rPr>
    </w:lvl>
    <w:lvl w:ilvl="1">
      <w:start w:val="1"/>
      <w:numFmt w:val="upperLetter"/>
      <w:pStyle w:val="StyleCodeItemLeft0cmFirstline0cm"/>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CDB252F"/>
    <w:multiLevelType w:val="multilevel"/>
    <w:tmpl w:val="82C2EC2C"/>
    <w:lvl w:ilvl="0">
      <w:start w:val="1"/>
      <w:numFmt w:val="lowerLetter"/>
      <w:lvlText w:val="%1)"/>
      <w:lvlJc w:val="left"/>
      <w:pPr>
        <w:tabs>
          <w:tab w:val="num" w:pos="720"/>
        </w:tabs>
        <w:ind w:left="720" w:hanging="360"/>
      </w:pPr>
      <w:rPr>
        <w:rFonts w:ascii="Arial" w:hAnsi="Arial" w:cs="Arial" w:hint="default"/>
        <w:sz w:val="2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15:restartNumberingAfterBreak="0">
    <w:nsid w:val="4DA621AC"/>
    <w:multiLevelType w:val="hybridMultilevel"/>
    <w:tmpl w:val="0C767690"/>
    <w:lvl w:ilvl="0" w:tplc="4574C2D6">
      <w:start w:val="3"/>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3A6713"/>
    <w:multiLevelType w:val="hybridMultilevel"/>
    <w:tmpl w:val="4E962038"/>
    <w:lvl w:ilvl="0" w:tplc="73BA0FB0">
      <w:start w:val="1"/>
      <w:numFmt w:val="upperLetter"/>
      <w:lvlText w:val="%1"/>
      <w:lvlJc w:val="left"/>
      <w:pPr>
        <w:tabs>
          <w:tab w:val="num" w:pos="540"/>
        </w:tabs>
        <w:ind w:left="540" w:hanging="540"/>
      </w:pPr>
      <w:rPr>
        <w:rFonts w:ascii="Arial" w:hAnsi="Arial" w:cs="Times New Roman" w:hint="default"/>
        <w:b/>
        <w:i w:val="0"/>
      </w:rPr>
    </w:lvl>
    <w:lvl w:ilvl="1" w:tplc="49E68900">
      <w:start w:val="2"/>
      <w:numFmt w:val="bullet"/>
      <w:lvlText w:val="-"/>
      <w:lvlJc w:val="left"/>
      <w:pPr>
        <w:tabs>
          <w:tab w:val="num" w:pos="1440"/>
        </w:tabs>
        <w:ind w:left="1440" w:hanging="360"/>
      </w:pPr>
      <w:rPr>
        <w:rFonts w:ascii="Arial" w:eastAsia="Times New Roman" w:hAnsi="Aria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6FE091E"/>
    <w:multiLevelType w:val="hybridMultilevel"/>
    <w:tmpl w:val="645CB1F8"/>
    <w:lvl w:ilvl="0" w:tplc="0C090017">
      <w:start w:val="2"/>
      <w:numFmt w:val="lowerLetter"/>
      <w:lvlText w:val="%1)"/>
      <w:lvlJc w:val="left"/>
      <w:pPr>
        <w:tabs>
          <w:tab w:val="num" w:pos="720"/>
        </w:tabs>
        <w:ind w:left="720" w:hanging="360"/>
      </w:pPr>
      <w:rPr>
        <w:rFonts w:cs="Times New Roman" w:hint="default"/>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E79032E"/>
    <w:multiLevelType w:val="hybridMultilevel"/>
    <w:tmpl w:val="75C454D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EBA5526"/>
    <w:multiLevelType w:val="hybridMultilevel"/>
    <w:tmpl w:val="C33EA03A"/>
    <w:lvl w:ilvl="0" w:tplc="7F149136">
      <w:start w:val="1"/>
      <w:numFmt w:val="decimal"/>
      <w:lvlText w:val="%1."/>
      <w:lvlJc w:val="left"/>
      <w:pPr>
        <w:tabs>
          <w:tab w:val="num" w:pos="360"/>
        </w:tabs>
        <w:ind w:left="360" w:hanging="360"/>
      </w:pPr>
      <w:rPr>
        <w:rFonts w:cs="Times New Roman"/>
        <w:b/>
      </w:rPr>
    </w:lvl>
    <w:lvl w:ilvl="1" w:tplc="0C090001">
      <w:start w:val="1"/>
      <w:numFmt w:val="lowerLetter"/>
      <w:lvlText w:val="%2."/>
      <w:lvlJc w:val="left"/>
      <w:pPr>
        <w:tabs>
          <w:tab w:val="num" w:pos="1080"/>
        </w:tabs>
        <w:ind w:left="1080" w:hanging="360"/>
      </w:pPr>
      <w:rPr>
        <w:rFonts w:cs="Times New Roman"/>
      </w:rPr>
    </w:lvl>
    <w:lvl w:ilvl="2" w:tplc="8CAC1824">
      <w:start w:val="1"/>
      <w:numFmt w:val="lowerLetter"/>
      <w:lvlText w:val="%3)"/>
      <w:lvlJc w:val="left"/>
      <w:pPr>
        <w:tabs>
          <w:tab w:val="num" w:pos="1980"/>
        </w:tabs>
        <w:ind w:left="1980" w:hanging="360"/>
      </w:pPr>
      <w:rPr>
        <w:rFonts w:cs="Times New Roman" w:hint="default"/>
        <w:i/>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28A1E99"/>
    <w:multiLevelType w:val="multilevel"/>
    <w:tmpl w:val="113C9510"/>
    <w:lvl w:ilvl="0">
      <w:start w:val="2"/>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644D39AF"/>
    <w:multiLevelType w:val="hybridMultilevel"/>
    <w:tmpl w:val="3768DBE6"/>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5E13AE1"/>
    <w:multiLevelType w:val="multilevel"/>
    <w:tmpl w:val="04E2C430"/>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000000"/>
        <w:spacing w:val="0"/>
        <w:w w:val="100"/>
        <w:kern w:val="0"/>
        <w:position w:val="0"/>
        <w:sz w:val="20"/>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8" w15:restartNumberingAfterBreak="0">
    <w:nsid w:val="683203E6"/>
    <w:multiLevelType w:val="hybridMultilevel"/>
    <w:tmpl w:val="1A8E172A"/>
    <w:lvl w:ilvl="0" w:tplc="0C090015">
      <w:start w:val="1"/>
      <w:numFmt w:val="upperLetter"/>
      <w:lvlText w:val="%1."/>
      <w:lvlJc w:val="left"/>
      <w:pPr>
        <w:tabs>
          <w:tab w:val="num" w:pos="360"/>
        </w:tabs>
        <w:ind w:left="360" w:hanging="360"/>
      </w:pPr>
      <w:rPr>
        <w:rFonts w:cs="Times New Roman" w:hint="default"/>
      </w:rPr>
    </w:lvl>
    <w:lvl w:ilvl="1" w:tplc="0C090019">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90F362E"/>
    <w:multiLevelType w:val="hybridMultilevel"/>
    <w:tmpl w:val="3E3CCE6A"/>
    <w:lvl w:ilvl="0" w:tplc="2F3A16BA">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1" w15:restartNumberingAfterBreak="0">
    <w:nsid w:val="6E224F82"/>
    <w:multiLevelType w:val="hybridMultilevel"/>
    <w:tmpl w:val="03229522"/>
    <w:lvl w:ilvl="0" w:tplc="4574C2D6">
      <w:start w:val="3"/>
      <w:numFmt w:val="lowerLetter"/>
      <w:lvlText w:val="%1)"/>
      <w:lvlJc w:val="left"/>
      <w:pPr>
        <w:tabs>
          <w:tab w:val="num" w:pos="720"/>
        </w:tabs>
        <w:ind w:left="720" w:hanging="36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F4164D2"/>
    <w:multiLevelType w:val="hybridMultilevel"/>
    <w:tmpl w:val="709EC860"/>
    <w:lvl w:ilvl="0" w:tplc="33628658">
      <w:start w:val="1"/>
      <w:numFmt w:val="lowerLetter"/>
      <w:lvlText w:val="%1)"/>
      <w:lvlJc w:val="left"/>
      <w:pPr>
        <w:tabs>
          <w:tab w:val="num" w:pos="870"/>
        </w:tabs>
        <w:ind w:left="870" w:hanging="510"/>
      </w:pPr>
      <w:rPr>
        <w:rFonts w:ascii="Arial" w:hAnsi="Arial" w:cs="Arial" w:hint="default"/>
        <w:sz w:val="2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7A36D01"/>
    <w:multiLevelType w:val="multilevel"/>
    <w:tmpl w:val="8D22DC4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6"/>
  </w:num>
  <w:num w:numId="7">
    <w:abstractNumId w:val="18"/>
  </w:num>
  <w:num w:numId="8">
    <w:abstractNumId w:val="30"/>
  </w:num>
  <w:num w:numId="9">
    <w:abstractNumId w:val="27"/>
  </w:num>
  <w:num w:numId="10">
    <w:abstractNumId w:val="15"/>
  </w:num>
  <w:num w:numId="11">
    <w:abstractNumId w:val="14"/>
  </w:num>
  <w:num w:numId="12">
    <w:abstractNumId w:val="21"/>
  </w:num>
  <w:num w:numId="13">
    <w:abstractNumId w:val="17"/>
  </w:num>
  <w:num w:numId="14">
    <w:abstractNumId w:val="28"/>
  </w:num>
  <w:num w:numId="15">
    <w:abstractNumId w:val="22"/>
  </w:num>
  <w:num w:numId="16">
    <w:abstractNumId w:val="24"/>
  </w:num>
  <w:num w:numId="17">
    <w:abstractNumId w:val="23"/>
  </w:num>
  <w:num w:numId="18">
    <w:abstractNumId w:val="16"/>
  </w:num>
  <w:num w:numId="19">
    <w:abstractNumId w:val="1"/>
  </w:num>
  <w:num w:numId="20">
    <w:abstractNumId w:val="12"/>
  </w:num>
  <w:num w:numId="21">
    <w:abstractNumId w:val="0"/>
  </w:num>
  <w:num w:numId="22">
    <w:abstractNumId w:val="7"/>
  </w:num>
  <w:num w:numId="23">
    <w:abstractNumId w:val="19"/>
  </w:num>
  <w:num w:numId="24">
    <w:abstractNumId w:val="10"/>
  </w:num>
  <w:num w:numId="25">
    <w:abstractNumId w:val="4"/>
  </w:num>
  <w:num w:numId="26">
    <w:abstractNumId w:val="29"/>
  </w:num>
  <w:num w:numId="27">
    <w:abstractNumId w:val="26"/>
  </w:num>
  <w:num w:numId="28">
    <w:abstractNumId w:val="20"/>
  </w:num>
  <w:num w:numId="29">
    <w:abstractNumId w:val="31"/>
  </w:num>
  <w:num w:numId="30">
    <w:abstractNumId w:val="32"/>
  </w:num>
  <w:num w:numId="31">
    <w:abstractNumId w:val="8"/>
  </w:num>
  <w:num w:numId="32">
    <w:abstractNumId w:val="5"/>
  </w:num>
  <w:num w:numId="33">
    <w:abstractNumId w:val="9"/>
  </w:num>
  <w:num w:numId="34">
    <w:abstractNumId w:val="33"/>
  </w:num>
  <w:num w:numId="35">
    <w:abstractNumId w:val="13"/>
  </w:num>
  <w:num w:numId="36">
    <w:abstractNumId w:val="3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5145"/>
    <w:rsid w:val="00054807"/>
    <w:rsid w:val="000C6651"/>
    <w:rsid w:val="002D1D02"/>
    <w:rsid w:val="00417D0E"/>
    <w:rsid w:val="00667391"/>
    <w:rsid w:val="006C0439"/>
    <w:rsid w:val="007F3DDC"/>
    <w:rsid w:val="00805145"/>
    <w:rsid w:val="009D1A38"/>
    <w:rsid w:val="009E77E6"/>
    <w:rsid w:val="00D72B47"/>
    <w:rsid w:val="00E34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0D285A85-C446-4401-883F-DEE11733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semiHidden/>
    <w:pPr>
      <w:spacing w:before="360"/>
    </w:pPr>
    <w:rPr>
      <w:rFonts w:ascii="Arial" w:hAnsi="Arial"/>
      <w:caps/>
      <w:noProof/>
      <w:szCs w:val="24"/>
    </w:rPr>
  </w:style>
  <w:style w:type="paragraph" w:styleId="TOC2">
    <w:name w:val="toc 2"/>
    <w:basedOn w:val="Normal"/>
    <w:next w:val="BlockText"/>
    <w:uiPriority w:val="39"/>
    <w:semiHidden/>
    <w:pPr>
      <w:spacing w:before="240"/>
    </w:pPr>
    <w:rPr>
      <w:rFonts w:ascii="Arial" w:hAnsi="Arial"/>
      <w:szCs w:val="24"/>
    </w:rPr>
  </w:style>
  <w:style w:type="paragraph" w:customStyle="1" w:styleId="TAbodytext">
    <w:name w:val="TA body text"/>
    <w:basedOn w:val="Normal"/>
    <w:pPr>
      <w:tabs>
        <w:tab w:val="left" w:pos="720"/>
        <w:tab w:val="left" w:pos="1440"/>
      </w:tabs>
      <w:spacing w:after="120"/>
    </w:pPr>
    <w:rPr>
      <w:rFonts w:ascii="Arial" w:hAnsi="Arial"/>
      <w:szCs w:val="24"/>
    </w:rPr>
  </w:style>
  <w:style w:type="paragraph" w:styleId="BodyText">
    <w:name w:val="Body Text"/>
    <w:basedOn w:val="Normal"/>
    <w:link w:val="BodyTextChar"/>
    <w:uiPriority w:val="99"/>
    <w:pPr>
      <w:spacing w:after="120"/>
    </w:pPr>
    <w:rPr>
      <w:szCs w:val="24"/>
    </w:rPr>
  </w:style>
  <w:style w:type="character" w:customStyle="1" w:styleId="BodyTextChar">
    <w:name w:val="Body Text Char"/>
    <w:basedOn w:val="DefaultParagraphFont"/>
    <w:link w:val="BodyText"/>
    <w:uiPriority w:val="99"/>
    <w:semiHidden/>
    <w:locked/>
    <w:rPr>
      <w:rFonts w:cs="Times New Roman"/>
      <w:sz w:val="24"/>
    </w:rPr>
  </w:style>
  <w:style w:type="paragraph" w:customStyle="1" w:styleId="TAsectionheading2">
    <w:name w:val="TA section heading 2"/>
    <w:basedOn w:val="Heading2"/>
    <w:pPr>
      <w:keepNext w:val="0"/>
      <w:tabs>
        <w:tab w:val="left" w:pos="1440"/>
      </w:tabs>
      <w:spacing w:before="0" w:after="240"/>
    </w:pPr>
    <w:rPr>
      <w:bCs w:val="0"/>
      <w:i w:val="0"/>
      <w:iCs w:val="0"/>
    </w:rPr>
  </w:style>
  <w:style w:type="paragraph" w:styleId="TOC3">
    <w:name w:val="toc 3"/>
    <w:basedOn w:val="Normal"/>
    <w:next w:val="BodyText"/>
    <w:autoRedefine/>
    <w:uiPriority w:val="39"/>
    <w:semiHidden/>
    <w:pPr>
      <w:tabs>
        <w:tab w:val="left" w:pos="1202"/>
        <w:tab w:val="right" w:leader="dot" w:pos="8835"/>
      </w:tabs>
      <w:spacing w:before="240"/>
    </w:pPr>
    <w:rPr>
      <w:rFonts w:ascii="Arial" w:hAnsi="Arial"/>
      <w:szCs w:val="24"/>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ascii="Arial" w:hAnsi="Arial"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rFonts w:ascii="Arial" w:hAnsi="Arial"/>
      <w:b/>
      <w:szCs w:val="24"/>
    </w:rPr>
  </w:style>
  <w:style w:type="paragraph" w:customStyle="1" w:styleId="TAeditorialinstructions">
    <w:name w:val="TA editorial instructions"/>
    <w:basedOn w:val="Normal"/>
    <w:pPr>
      <w:ind w:left="720"/>
    </w:pPr>
    <w:rPr>
      <w:rFonts w:ascii="Arial" w:hAnsi="Arial"/>
      <w:i/>
      <w:iCs/>
      <w:szCs w:val="24"/>
    </w:rPr>
  </w:style>
  <w:style w:type="paragraph" w:customStyle="1" w:styleId="CodeItem">
    <w:name w:val="CodeItem"/>
    <w:basedOn w:val="Normal"/>
    <w:pPr>
      <w:numPr>
        <w:ilvl w:val="1"/>
        <w:numId w:val="4"/>
      </w:numPr>
      <w:spacing w:before="60" w:after="60"/>
    </w:pPr>
    <w:rPr>
      <w:rFonts w:ascii="Arial" w:hAnsi="Arial" w:cs="Arial"/>
      <w:b/>
      <w:bCs/>
      <w:sz w:val="20"/>
      <w:lang w:eastAsia="en-US"/>
    </w:r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style>
  <w:style w:type="paragraph" w:customStyle="1" w:styleId="TAsectionheading3">
    <w:name w:val="TA section heading 3"/>
    <w:basedOn w:val="Heading3"/>
    <w:pPr>
      <w:keepNext w:val="0"/>
      <w:numPr>
        <w:ilvl w:val="2"/>
        <w:numId w:val="2"/>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ascii="Arial" w:hAnsi="Arial" w:cs="Arial"/>
      <w:sz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rPr>
      <w:rFonts w:ascii="Arial" w:hAnsi="Arial"/>
      <w:szCs w:val="24"/>
    </w:rPr>
  </w:style>
  <w:style w:type="paragraph" w:customStyle="1" w:styleId="TAheader">
    <w:name w:val="TA header"/>
    <w:basedOn w:val="Header"/>
    <w:pPr>
      <w:tabs>
        <w:tab w:val="clear" w:pos="4153"/>
        <w:tab w:val="clear" w:pos="8306"/>
        <w:tab w:val="center" w:pos="4320"/>
        <w:tab w:val="right" w:pos="8640"/>
      </w:tabs>
    </w:pPr>
    <w:rPr>
      <w:rFonts w:ascii="Arial" w:hAnsi="Arial"/>
      <w:szCs w:val="24"/>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rPr>
  </w:style>
  <w:style w:type="paragraph" w:customStyle="1" w:styleId="TATitlepagemonthandyear">
    <w:name w:val="TA Title page month and year"/>
    <w:basedOn w:val="TATitleexplanatoryheading"/>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Heading">
    <w:name w:val="codeHeading"/>
    <w:basedOn w:val="Normal"/>
    <w:link w:val="codeHeadingChar"/>
    <w:pPr>
      <w:spacing w:before="60" w:after="60"/>
    </w:pPr>
    <w:rPr>
      <w:rFonts w:ascii="Arial" w:hAnsi="Arial" w:cs="Arial"/>
      <w:b/>
      <w:bCs/>
      <w:sz w:val="22"/>
      <w:lang w:eastAsia="en-US"/>
    </w:rPr>
  </w:style>
  <w:style w:type="paragraph" w:customStyle="1" w:styleId="codeCriteriaList">
    <w:name w:val="codeCriteriaList"/>
    <w:basedOn w:val="Normal"/>
    <w:pPr>
      <w:spacing w:line="288" w:lineRule="auto"/>
      <w:ind w:left="283" w:hanging="720"/>
    </w:pPr>
    <w:rPr>
      <w:rFonts w:ascii="Arial" w:hAnsi="Arial" w:cs="Arial"/>
      <w:sz w:val="20"/>
      <w:lang w:eastAsia="en-US"/>
    </w:rPr>
  </w:style>
  <w:style w:type="paragraph" w:customStyle="1" w:styleId="codeRuleList">
    <w:name w:val="codeRuleList"/>
    <w:basedOn w:val="Normal"/>
    <w:pPr>
      <w:numPr>
        <w:numId w:val="7"/>
      </w:numPr>
      <w:spacing w:line="288" w:lineRule="auto"/>
    </w:pPr>
    <w:rPr>
      <w:rFonts w:ascii="Arial" w:hAnsi="Arial" w:cs="Arial"/>
      <w:sz w:val="20"/>
      <w:lang w:eastAsia="en-US"/>
    </w:rPr>
  </w:style>
  <w:style w:type="paragraph" w:customStyle="1" w:styleId="StyleCodeItemLeft0cmFirstline0cm">
    <w:name w:val="Style CodeItem + Left:  0 cm First line:  0 cm"/>
    <w:basedOn w:val="CodeItem"/>
    <w:next w:val="Normal"/>
    <w:autoRedefine/>
    <w:pPr>
      <w:numPr>
        <w:numId w:val="7"/>
      </w:numPr>
      <w:spacing w:before="0" w:after="0"/>
      <w:ind w:left="0" w:firstLine="0"/>
    </w:pPr>
    <w:rPr>
      <w:rFonts w:cs="Times New Roman"/>
    </w:rPr>
  </w:style>
  <w:style w:type="character" w:customStyle="1" w:styleId="codeHeadingChar">
    <w:name w:val="codeHeading Char"/>
    <w:basedOn w:val="DefaultParagraphFont"/>
    <w:link w:val="codeHeading"/>
    <w:locked/>
    <w:rPr>
      <w:rFonts w:ascii="Arial" w:hAnsi="Arial" w:cs="Arial"/>
      <w:b/>
      <w:bCs/>
      <w:sz w:val="22"/>
      <w:lang w:val="en-AU" w:eastAsia="en-US" w:bidi="ar-SA"/>
    </w:rPr>
  </w:style>
  <w:style w:type="paragraph" w:customStyle="1" w:styleId="StylecodeHeading10ptNotBold">
    <w:name w:val="Style codeHeading + 10 pt Not Bold"/>
    <w:basedOn w:val="codeHeading"/>
    <w:link w:val="StylecodeHeading10ptNotBoldChar"/>
    <w:pPr>
      <w:spacing w:line="288" w:lineRule="auto"/>
    </w:pPr>
    <w:rPr>
      <w:b w:val="0"/>
      <w:bCs w:val="0"/>
      <w:sz w:val="20"/>
    </w:rPr>
  </w:style>
  <w:style w:type="character" w:customStyle="1" w:styleId="StylecodeHeading10ptNotBoldChar">
    <w:name w:val="Style codeHeading + 10 pt Not Bold Char"/>
    <w:basedOn w:val="codeHeadingChar"/>
    <w:link w:val="StylecodeHeading10ptNotBold"/>
    <w:locked/>
    <w:rPr>
      <w:rFonts w:ascii="Arial" w:hAnsi="Arial" w:cs="Arial"/>
      <w:b/>
      <w:bCs/>
      <w:sz w:val="22"/>
      <w:lang w:val="en-AU" w:eastAsia="en-US" w:bidi="ar-SA"/>
    </w:rPr>
  </w:style>
  <w:style w:type="paragraph" w:customStyle="1" w:styleId="bodyText0">
    <w:name w:val="bodyText"/>
    <w:basedOn w:val="Normal"/>
    <w:link w:val="bodyTextChar0"/>
    <w:pPr>
      <w:spacing w:before="120" w:line="288" w:lineRule="auto"/>
    </w:pPr>
    <w:rPr>
      <w:rFonts w:ascii="Arial" w:hAnsi="Arial" w:cs="Arial"/>
      <w:sz w:val="20"/>
      <w:lang w:eastAsia="en-US"/>
    </w:rPr>
  </w:style>
  <w:style w:type="character" w:customStyle="1" w:styleId="bodyTextChar0">
    <w:name w:val="bodyText Char"/>
    <w:basedOn w:val="DefaultParagraphFont"/>
    <w:link w:val="bodyText0"/>
    <w:locked/>
    <w:rPr>
      <w:rFonts w:ascii="Arial" w:hAnsi="Arial" w:cs="Arial"/>
      <w:lang w:val="en-AU" w:eastAsia="en-US" w:bidi="ar-SA"/>
    </w:rPr>
  </w:style>
  <w:style w:type="paragraph" w:customStyle="1" w:styleId="RuleList">
    <w:name w:val="RuleList"/>
    <w:basedOn w:val="Normal"/>
    <w:link w:val="RuleListChar"/>
    <w:pPr>
      <w:numPr>
        <w:numId w:val="8"/>
      </w:numPr>
      <w:spacing w:before="60" w:after="60" w:line="288" w:lineRule="auto"/>
    </w:pPr>
    <w:rPr>
      <w:rFonts w:ascii="Arial" w:hAnsi="Arial" w:cs="Arial"/>
      <w:sz w:val="20"/>
      <w:lang w:eastAsia="en-US"/>
    </w:rPr>
  </w:style>
  <w:style w:type="character" w:customStyle="1" w:styleId="RuleListChar">
    <w:name w:val="RuleList Char"/>
    <w:basedOn w:val="DefaultParagraphFont"/>
    <w:link w:val="RuleList"/>
    <w:locked/>
    <w:rPr>
      <w:rFonts w:ascii="Arial" w:hAnsi="Arial" w:cs="Arial"/>
      <w:lang w:val="en-AU" w:eastAsia="en-US" w:bidi="ar-SA"/>
    </w:rPr>
  </w:style>
  <w:style w:type="paragraph" w:customStyle="1" w:styleId="CritList">
    <w:name w:val="CritList"/>
    <w:basedOn w:val="Normal"/>
    <w:link w:val="CritListCharChar"/>
    <w:pPr>
      <w:numPr>
        <w:numId w:val="9"/>
      </w:numPr>
      <w:spacing w:before="60" w:after="60" w:line="288" w:lineRule="auto"/>
    </w:pPr>
    <w:rPr>
      <w:rFonts w:ascii="Arial" w:hAnsi="Arial" w:cs="Arial"/>
      <w:color w:val="000000"/>
      <w:sz w:val="20"/>
      <w:lang w:eastAsia="en-US"/>
    </w:rPr>
  </w:style>
  <w:style w:type="character" w:customStyle="1" w:styleId="CritListCharChar">
    <w:name w:val="CritList Char Char"/>
    <w:basedOn w:val="DefaultParagraphFont"/>
    <w:link w:val="CritList"/>
    <w:locked/>
    <w:rPr>
      <w:rFonts w:ascii="Arial" w:hAnsi="Arial" w:cs="Arial"/>
      <w:color w:val="000000"/>
      <w:lang w:val="en-AU" w:eastAsia="en-US" w:bidi="ar-SA"/>
    </w:rPr>
  </w:style>
  <w:style w:type="paragraph" w:styleId="BlockText">
    <w:name w:val="Block Text"/>
    <w:basedOn w:val="Normal"/>
    <w:uiPriority w:val="99"/>
    <w:pPr>
      <w:spacing w:after="120"/>
      <w:ind w:left="1440" w:right="144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rPr>
  </w:style>
  <w:style w:type="paragraph" w:customStyle="1" w:styleId="TAeditorialinsertedtext">
    <w:name w:val="TA editorial inserted text"/>
    <w:basedOn w:val="Normal"/>
    <w:pPr>
      <w:ind w:left="720"/>
    </w:pPr>
    <w:rPr>
      <w:rFonts w:ascii="Arial" w:hAnsi="Arial"/>
      <w:sz w:val="2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customStyle="1" w:styleId="codeheading0">
    <w:name w:val="codeheading"/>
    <w:basedOn w:val="Normal"/>
    <w:pPr>
      <w:spacing w:before="100" w:beforeAutospacing="1" w:after="100" w:afterAutospacing="1"/>
    </w:pPr>
    <w:rPr>
      <w:szCs w:val="24"/>
    </w:rPr>
  </w:style>
  <w:style w:type="paragraph" w:customStyle="1" w:styleId="codeitem0">
    <w:name w:val="codeitem"/>
    <w:basedOn w:val="Normal"/>
    <w:pPr>
      <w:spacing w:before="100" w:beforeAutospacing="1" w:after="100" w:afterAutospacing="1"/>
    </w:pPr>
    <w:rPr>
      <w:szCs w:val="24"/>
    </w:rPr>
  </w:style>
  <w:style w:type="paragraph" w:customStyle="1" w:styleId="rulelist0">
    <w:name w:val="rulelist"/>
    <w:basedOn w:val="Normal"/>
    <w:pPr>
      <w:spacing w:before="100" w:beforeAutospacing="1" w:after="100" w:afterAutospacing="1"/>
    </w:pPr>
    <w:rPr>
      <w:szCs w:val="24"/>
    </w:rPr>
  </w:style>
  <w:style w:type="paragraph" w:customStyle="1" w:styleId="coderulecriteria">
    <w:name w:val="coderulecriteria"/>
    <w:basedOn w:val="Normal"/>
    <w:pPr>
      <w:spacing w:before="100" w:beforeAutospacing="1" w:after="100" w:afterAutospacing="1"/>
    </w:pPr>
    <w:rPr>
      <w:szCs w:val="24"/>
    </w:rPr>
  </w:style>
  <w:style w:type="character" w:styleId="Strong">
    <w:name w:val="Strong"/>
    <w:basedOn w:val="DefaultParagraphFont"/>
    <w:uiPriority w:val="22"/>
    <w:qFormat/>
    <w:rPr>
      <w:rFonts w:cs="Times New Roman"/>
      <w:b/>
      <w:bCs/>
    </w:rPr>
  </w:style>
  <w:style w:type="paragraph" w:customStyle="1" w:styleId="StyleStyleelementHeadingArialBoldLightBlueArial">
    <w:name w:val="Style Style elementHeading + Arial Bold Light Blue + Arial"/>
    <w:basedOn w:val="Normal"/>
    <w:pPr>
      <w:numPr>
        <w:numId w:val="32"/>
      </w:numPr>
      <w:tabs>
        <w:tab w:val="left" w:pos="1418"/>
      </w:tabs>
      <w:spacing w:before="120" w:line="288" w:lineRule="auto"/>
    </w:pPr>
    <w:rPr>
      <w:rFonts w:ascii="Arial Bold" w:hAnsi="Arial Bold" w:cs="Arial"/>
      <w:b/>
      <w:bCs/>
      <w:color w:val="000000"/>
      <w:szCs w:val="24"/>
    </w:rPr>
  </w:style>
  <w:style w:type="paragraph" w:customStyle="1" w:styleId="TABody">
    <w:name w:val="TA Body"/>
    <w:basedOn w:val="Normal"/>
    <w:next w:val="Normal"/>
    <w:link w:val="TABodyChar"/>
    <w:pPr>
      <w:tabs>
        <w:tab w:val="left" w:pos="-720"/>
      </w:tabs>
      <w:spacing w:before="240"/>
    </w:pPr>
    <w:rPr>
      <w:rFonts w:ascii="Arial" w:hAnsi="Arial"/>
      <w:lang w:eastAsia="en-US"/>
    </w:rPr>
  </w:style>
  <w:style w:type="character" w:customStyle="1" w:styleId="TABodyChar">
    <w:name w:val="TA Body Char"/>
    <w:basedOn w:val="DefaultParagraphFont"/>
    <w:link w:val="TABody"/>
    <w:locked/>
    <w:rPr>
      <w:rFonts w:ascii="Arial" w:hAnsi="Arial" w:cs="Times New Roman"/>
      <w:sz w:val="24"/>
      <w:lang w:val="en-AU" w:eastAsia="en-US" w:bidi="ar-SA"/>
    </w:rPr>
  </w:style>
  <w:style w:type="paragraph" w:customStyle="1" w:styleId="TAheading">
    <w:name w:val="TA heading"/>
    <w:basedOn w:val="Normal"/>
    <w:pPr>
      <w:tabs>
        <w:tab w:val="left" w:pos="2400"/>
        <w:tab w:val="left" w:pos="2880"/>
      </w:tabs>
      <w:spacing w:before="120" w:after="240"/>
    </w:pPr>
    <w:rPr>
      <w:rFonts w:ascii="Arial" w:hAnsi="Arial"/>
      <w:b/>
      <w:bCs/>
      <w:sz w:val="40"/>
      <w:lang w:eastAsia="en-US"/>
    </w:rPr>
  </w:style>
  <w:style w:type="paragraph" w:customStyle="1" w:styleId="TAbody0">
    <w:name w:val="TA body"/>
    <w:basedOn w:val="Normal"/>
    <w:link w:val="TAbodyChar0"/>
    <w:rPr>
      <w:rFonts w:ascii="Arial" w:hAnsi="Arial"/>
      <w:lang w:val="en-GB" w:eastAsia="en-US"/>
    </w:rPr>
  </w:style>
  <w:style w:type="character" w:customStyle="1" w:styleId="TAbodyChar0">
    <w:name w:val="TA body Char"/>
    <w:basedOn w:val="DefaultParagraphFont"/>
    <w:link w:val="TAbody0"/>
    <w:locked/>
    <w:rPr>
      <w:rFonts w:ascii="Arial" w:hAnsi="Arial" w:cs="Times New Roman"/>
      <w:sz w:val="24"/>
      <w:lang w:val="en-GB" w:eastAsia="en-US" w:bidi="ar-SA"/>
    </w:rPr>
  </w:style>
  <w:style w:type="character" w:customStyle="1" w:styleId="TAannexureAtext">
    <w:name w:val="TA annexure A text"/>
    <w:basedOn w:val="DefaultParagraphFont"/>
    <w:rPr>
      <w:rFonts w:cs="Times New Roman"/>
      <w:b/>
      <w:bCs/>
    </w:rPr>
  </w:style>
  <w:style w:type="paragraph" w:customStyle="1" w:styleId="TAline">
    <w:name w:val="TA line"/>
    <w:basedOn w:val="Normal"/>
    <w:pPr>
      <w:pBdr>
        <w:top w:val="single" w:sz="12" w:space="1" w:color="auto"/>
      </w:pBdr>
    </w:pPr>
    <w:rPr>
      <w:rFonts w:ascii="Arial" w:hAnsi="Arial"/>
      <w:lang w:eastAsia="en-US"/>
    </w:rPr>
  </w:style>
  <w:style w:type="paragraph" w:customStyle="1" w:styleId="TALAtext">
    <w:name w:val="TA (LA) text"/>
    <w:basedOn w:val="Normal"/>
    <w:pPr>
      <w:spacing w:before="180" w:after="60"/>
      <w:jc w:val="both"/>
    </w:pPr>
    <w:rPr>
      <w:rFonts w:ascii="Arial" w:hAnsi="Arial"/>
      <w:sz w:val="20"/>
      <w:lang w:eastAsia="en-US"/>
    </w:rPr>
  </w:style>
  <w:style w:type="paragraph" w:customStyle="1" w:styleId="TA-LAitalicstext">
    <w:name w:val="TA - LA italics text"/>
    <w:basedOn w:val="Normal"/>
    <w:next w:val="Normal"/>
    <w:link w:val="TA-LAitalicstextChar"/>
    <w:pPr>
      <w:tabs>
        <w:tab w:val="left" w:pos="2600"/>
      </w:tabs>
      <w:spacing w:after="240"/>
      <w:jc w:val="both"/>
    </w:pPr>
    <w:rPr>
      <w:rFonts w:ascii="Arial" w:hAnsi="Arial"/>
      <w:b/>
      <w:i/>
      <w:sz w:val="18"/>
      <w:lang w:eastAsia="en-US"/>
    </w:rPr>
  </w:style>
  <w:style w:type="character" w:customStyle="1" w:styleId="TA-LAitalicstextChar">
    <w:name w:val="TA - LA italics text Char"/>
    <w:basedOn w:val="DefaultParagraphFont"/>
    <w:link w:val="TA-LAitalicstext"/>
    <w:locked/>
    <w:rPr>
      <w:rFonts w:ascii="Arial" w:hAnsi="Arial" w:cs="Times New Roman"/>
      <w:b/>
      <w:i/>
      <w:sz w:val="18"/>
      <w:lang w:val="en-AU" w:eastAsia="en-US" w:bidi="ar-SA"/>
    </w:rPr>
  </w:style>
  <w:style w:type="paragraph" w:styleId="Revision">
    <w:name w:val="Revision"/>
    <w:hidden/>
    <w:uiPriority w:val="99"/>
    <w:semiHidden/>
    <w:rsid w:val="002D1D0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619237">
      <w:marLeft w:val="0"/>
      <w:marRight w:val="0"/>
      <w:marTop w:val="0"/>
      <w:marBottom w:val="0"/>
      <w:divBdr>
        <w:top w:val="none" w:sz="0" w:space="0" w:color="auto"/>
        <w:left w:val="none" w:sz="0" w:space="0" w:color="auto"/>
        <w:bottom w:val="none" w:sz="0" w:space="0" w:color="auto"/>
        <w:right w:val="none" w:sz="0" w:space="0" w:color="auto"/>
      </w:divBdr>
    </w:div>
    <w:div w:id="1035619241">
      <w:marLeft w:val="0"/>
      <w:marRight w:val="0"/>
      <w:marTop w:val="0"/>
      <w:marBottom w:val="0"/>
      <w:divBdr>
        <w:top w:val="none" w:sz="0" w:space="0" w:color="auto"/>
        <w:left w:val="none" w:sz="0" w:space="0" w:color="auto"/>
        <w:bottom w:val="none" w:sz="0" w:space="0" w:color="auto"/>
        <w:right w:val="none" w:sz="0" w:space="0" w:color="auto"/>
      </w:divBdr>
    </w:div>
    <w:div w:id="1035619242">
      <w:marLeft w:val="0"/>
      <w:marRight w:val="0"/>
      <w:marTop w:val="0"/>
      <w:marBottom w:val="0"/>
      <w:divBdr>
        <w:top w:val="none" w:sz="0" w:space="0" w:color="auto"/>
        <w:left w:val="none" w:sz="0" w:space="0" w:color="auto"/>
        <w:bottom w:val="none" w:sz="0" w:space="0" w:color="auto"/>
        <w:right w:val="none" w:sz="0" w:space="0" w:color="auto"/>
      </w:divBdr>
    </w:div>
    <w:div w:id="1035619243">
      <w:marLeft w:val="0"/>
      <w:marRight w:val="0"/>
      <w:marTop w:val="0"/>
      <w:marBottom w:val="0"/>
      <w:divBdr>
        <w:top w:val="none" w:sz="0" w:space="0" w:color="auto"/>
        <w:left w:val="none" w:sz="0" w:space="0" w:color="auto"/>
        <w:bottom w:val="none" w:sz="0" w:space="0" w:color="auto"/>
        <w:right w:val="none" w:sz="0" w:space="0" w:color="auto"/>
      </w:divBdr>
      <w:divsChild>
        <w:div w:id="1035619240">
          <w:marLeft w:val="0"/>
          <w:marRight w:val="0"/>
          <w:marTop w:val="0"/>
          <w:marBottom w:val="0"/>
          <w:divBdr>
            <w:top w:val="none" w:sz="0" w:space="0" w:color="auto"/>
            <w:left w:val="none" w:sz="0" w:space="0" w:color="auto"/>
            <w:bottom w:val="none" w:sz="0" w:space="0" w:color="auto"/>
            <w:right w:val="none" w:sz="0" w:space="0" w:color="auto"/>
          </w:divBdr>
        </w:div>
      </w:divsChild>
    </w:div>
    <w:div w:id="1035619246">
      <w:marLeft w:val="0"/>
      <w:marRight w:val="0"/>
      <w:marTop w:val="0"/>
      <w:marBottom w:val="0"/>
      <w:divBdr>
        <w:top w:val="none" w:sz="0" w:space="0" w:color="auto"/>
        <w:left w:val="none" w:sz="0" w:space="0" w:color="auto"/>
        <w:bottom w:val="none" w:sz="0" w:space="0" w:color="auto"/>
        <w:right w:val="none" w:sz="0" w:space="0" w:color="auto"/>
      </w:divBdr>
      <w:divsChild>
        <w:div w:id="1035619238">
          <w:marLeft w:val="720"/>
          <w:marRight w:val="0"/>
          <w:marTop w:val="100"/>
          <w:marBottom w:val="100"/>
          <w:divBdr>
            <w:top w:val="none" w:sz="0" w:space="0" w:color="auto"/>
            <w:left w:val="none" w:sz="0" w:space="0" w:color="auto"/>
            <w:bottom w:val="none" w:sz="0" w:space="0" w:color="auto"/>
            <w:right w:val="none" w:sz="0" w:space="0" w:color="auto"/>
          </w:divBdr>
          <w:divsChild>
            <w:div w:id="1035619239">
              <w:marLeft w:val="0"/>
              <w:marRight w:val="0"/>
              <w:marTop w:val="0"/>
              <w:marBottom w:val="0"/>
              <w:divBdr>
                <w:top w:val="none" w:sz="0" w:space="0" w:color="auto"/>
                <w:left w:val="none" w:sz="0" w:space="0" w:color="auto"/>
                <w:bottom w:val="none" w:sz="0" w:space="0" w:color="auto"/>
                <w:right w:val="none" w:sz="0" w:space="0" w:color="auto"/>
              </w:divBdr>
            </w:div>
            <w:div w:id="1035619244">
              <w:marLeft w:val="0"/>
              <w:marRight w:val="0"/>
              <w:marTop w:val="0"/>
              <w:marBottom w:val="0"/>
              <w:divBdr>
                <w:top w:val="none" w:sz="0" w:space="0" w:color="auto"/>
                <w:left w:val="none" w:sz="0" w:space="0" w:color="auto"/>
                <w:bottom w:val="none" w:sz="0" w:space="0" w:color="auto"/>
                <w:right w:val="none" w:sz="0" w:space="0" w:color="auto"/>
              </w:divBdr>
            </w:div>
          </w:divsChild>
        </w:div>
        <w:div w:id="1035619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4223</Words>
  <Characters>22216</Characters>
  <Application>Microsoft Office Word</Application>
  <DocSecurity>0</DocSecurity>
  <Lines>811</Lines>
  <Paragraphs>276</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26233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2011-04-29T05:39:00Z</cp:lastPrinted>
  <dcterms:created xsi:type="dcterms:W3CDTF">2018-09-11T23:44:00Z</dcterms:created>
  <dcterms:modified xsi:type="dcterms:W3CDTF">2018-09-11T23:44:00Z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A6548841</vt:lpwstr>
  </property>
  <property fmtid="{D5CDD505-2E9C-101B-9397-08002B2CF9AE}" pid="3" name="Objective-Title">
    <vt:lpwstr>Attachment A TA2011-11 commencement notice plus TA document - June 2011</vt:lpwstr>
  </property>
  <property fmtid="{D5CDD505-2E9C-101B-9397-08002B2CF9AE}" pid="4" name="Objective-Comment">
    <vt:lpwstr> </vt:lpwstr>
  </property>
  <property fmtid="{D5CDD505-2E9C-101B-9397-08002B2CF9AE}" pid="5" name="Objective-CreationStamp">
    <vt:filetime>2011-06-25T14:00:00Z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2011-06-27T14:00:00Z</vt:filetime>
  </property>
  <property fmtid="{D5CDD505-2E9C-101B-9397-08002B2CF9AE}" pid="9" name="Objective-ModificationStamp">
    <vt:filetime>2011-06-27T14:00:00Z</vt:filetime>
  </property>
  <property fmtid="{D5CDD505-2E9C-101B-9397-08002B2CF9AE}" pid="10" name="Objective-Owner">
    <vt:lpwstr>Johannes Botha</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06 Commencement documents</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i4>5</vt:i4>
  </property>
  <property fmtid="{D5CDD505-2E9C-101B-9397-08002B2CF9AE}" pid="16" name="Objective-VersionComment">
    <vt:lpwstr> </vt:lpwstr>
  </property>
  <property fmtid="{D5CDD505-2E9C-101B-9397-08002B2CF9AE}" pid="17" name="Objective-FileNumber">
    <vt:lpwstr> </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