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BBA" w:rsidRDefault="00BE5BBA" w:rsidP="00BE5BBA">
      <w:pPr>
        <w:pStyle w:val="Header"/>
      </w:pPr>
      <w:bookmarkStart w:id="0" w:name="_GoBack"/>
      <w:bookmarkEnd w:id="0"/>
      <w:r>
        <w:t>Australian Capital Territory</w:t>
      </w:r>
    </w:p>
    <w:p w:rsidR="00BE5BBA" w:rsidRDefault="00BE5BBA" w:rsidP="00BE5BBA">
      <w:pPr>
        <w:pStyle w:val="Billname"/>
        <w:spacing w:before="600" w:after="120"/>
        <w:rPr>
          <w:rFonts w:ascii="Arial" w:hAnsi="Arial"/>
          <w:szCs w:val="36"/>
        </w:rPr>
      </w:pPr>
      <w:r>
        <w:rPr>
          <w:rFonts w:ascii="Arial" w:hAnsi="Arial"/>
          <w:szCs w:val="36"/>
        </w:rPr>
        <w:t>Planning and Development (Plan Variation No 355) Approval 2020</w:t>
      </w:r>
    </w:p>
    <w:p w:rsidR="00BE5BBA" w:rsidRPr="008D3451" w:rsidRDefault="00BE5BBA" w:rsidP="00BE5BBA">
      <w:pPr>
        <w:pStyle w:val="Heading5"/>
        <w:spacing w:before="240" w:after="60"/>
        <w:rPr>
          <w:rFonts w:ascii="Arial" w:eastAsia="Times New Roman" w:hAnsi="Arial" w:cs="Arial"/>
          <w:color w:val="auto"/>
          <w:szCs w:val="24"/>
        </w:rPr>
      </w:pPr>
      <w:r w:rsidRPr="008D3451">
        <w:rPr>
          <w:rFonts w:ascii="Arial" w:eastAsia="Times New Roman" w:hAnsi="Arial" w:cs="Arial"/>
          <w:color w:val="auto"/>
          <w:szCs w:val="24"/>
        </w:rPr>
        <w:t>Notifiable instrument NI2020-</w:t>
      </w:r>
      <w:r w:rsidR="00263C5B">
        <w:rPr>
          <w:rFonts w:ascii="Arial" w:eastAsia="Times New Roman" w:hAnsi="Arial" w:cs="Arial"/>
          <w:color w:val="auto"/>
          <w:szCs w:val="24"/>
        </w:rPr>
        <w:t>85</w:t>
      </w:r>
    </w:p>
    <w:p w:rsidR="00BE5BBA" w:rsidRDefault="00BE5BBA" w:rsidP="00BE5BBA">
      <w:pPr>
        <w:pStyle w:val="madeunder"/>
        <w:rPr>
          <w:rFonts w:ascii="Times New Roman" w:hAnsi="Times New Roman" w:cs="Times New Roman"/>
          <w:sz w:val="24"/>
          <w:szCs w:val="20"/>
        </w:rPr>
      </w:pPr>
      <w:bookmarkStart w:id="1" w:name="Citation"/>
      <w:r>
        <w:rPr>
          <w:rFonts w:ascii="Times New Roman" w:hAnsi="Times New Roman" w:cs="Times New Roman"/>
          <w:sz w:val="24"/>
          <w:szCs w:val="20"/>
        </w:rPr>
        <w:t>made under the</w:t>
      </w:r>
    </w:p>
    <w:p w:rsidR="00BE5BBA" w:rsidRDefault="00BE5BBA" w:rsidP="00BE5BBA">
      <w:pPr>
        <w:pStyle w:val="CoverActName"/>
        <w:spacing w:after="240" w:line="240" w:lineRule="auto"/>
        <w:rPr>
          <w:rFonts w:ascii="Arial" w:eastAsia="Times New Roman" w:hAnsi="Arial"/>
          <w:bCs w:val="0"/>
          <w:sz w:val="20"/>
          <w:szCs w:val="20"/>
        </w:rPr>
      </w:pPr>
      <w:r>
        <w:rPr>
          <w:rFonts w:ascii="Arial" w:eastAsia="Times New Roman" w:hAnsi="Arial"/>
          <w:bCs w:val="0"/>
          <w:sz w:val="20"/>
          <w:szCs w:val="20"/>
        </w:rPr>
        <w:t>Planning and Development Act 2007, section 76 (Minister’s powers in relation to draft plan variations)</w:t>
      </w:r>
    </w:p>
    <w:bookmarkEnd w:id="1"/>
    <w:p w:rsidR="00BE5BBA" w:rsidRDefault="00BE5BBA" w:rsidP="00BE5BBA">
      <w:pPr>
        <w:pStyle w:val="N-line3"/>
        <w:pBdr>
          <w:top w:val="single" w:sz="12" w:space="1" w:color="auto"/>
          <w:bottom w:val="none" w:sz="0" w:space="0" w:color="auto"/>
        </w:pBdr>
        <w:spacing w:after="0" w:line="240" w:lineRule="auto"/>
        <w:jc w:val="left"/>
        <w:rPr>
          <w:rFonts w:ascii="Arial" w:hAnsi="Arial"/>
          <w:sz w:val="24"/>
        </w:rPr>
      </w:pPr>
    </w:p>
    <w:p w:rsidR="00BE5BBA" w:rsidRDefault="00BE5BBA" w:rsidP="00BE5BBA">
      <w:pPr>
        <w:autoSpaceDE w:val="0"/>
        <w:autoSpaceDN w:val="0"/>
        <w:adjustRightInd w:val="0"/>
        <w:spacing w:before="120" w:after="120"/>
        <w:rPr>
          <w:rFonts w:cs="Arial"/>
          <w:b/>
          <w:lang w:eastAsia="en-AU"/>
        </w:rPr>
      </w:pPr>
      <w:r>
        <w:rPr>
          <w:rFonts w:cs="Arial"/>
          <w:b/>
          <w:lang w:eastAsia="en-AU"/>
        </w:rPr>
        <w:t>1</w:t>
      </w:r>
      <w:r>
        <w:rPr>
          <w:rFonts w:cs="Arial"/>
          <w:b/>
          <w:lang w:eastAsia="en-AU"/>
        </w:rPr>
        <w:tab/>
        <w:t xml:space="preserve">Name of instrument </w:t>
      </w:r>
    </w:p>
    <w:p w:rsidR="003F1F37" w:rsidRDefault="00BE5BBA" w:rsidP="00B02B3E">
      <w:pPr>
        <w:autoSpaceDE w:val="0"/>
        <w:autoSpaceDN w:val="0"/>
        <w:adjustRightInd w:val="0"/>
        <w:spacing w:after="120"/>
        <w:rPr>
          <w:rFonts w:ascii="Times New Roman" w:hAnsi="Times New Roman"/>
          <w:lang w:eastAsia="en-AU"/>
        </w:rPr>
      </w:pPr>
      <w:r>
        <w:rPr>
          <w:rFonts w:ascii="Times New Roman" w:hAnsi="Times New Roman"/>
          <w:lang w:eastAsia="en-AU"/>
        </w:rPr>
        <w:t xml:space="preserve">This instrument is the </w:t>
      </w:r>
      <w:r>
        <w:rPr>
          <w:rFonts w:ascii="Times New Roman" w:hAnsi="Times New Roman"/>
          <w:i/>
          <w:lang w:eastAsia="en-AU"/>
        </w:rPr>
        <w:t>Planning and Development (Plan Variation No 355) Approval 2020</w:t>
      </w:r>
      <w:r>
        <w:rPr>
          <w:rFonts w:ascii="Times New Roman" w:hAnsi="Times New Roman"/>
          <w:lang w:eastAsia="en-AU"/>
        </w:rPr>
        <w:t>.</w:t>
      </w:r>
    </w:p>
    <w:p w:rsidR="00B02B3E" w:rsidRDefault="00B02B3E" w:rsidP="00BE5BBA">
      <w:pPr>
        <w:autoSpaceDE w:val="0"/>
        <w:autoSpaceDN w:val="0"/>
        <w:adjustRightInd w:val="0"/>
        <w:spacing w:before="240" w:after="120"/>
        <w:rPr>
          <w:rFonts w:cs="Arial"/>
          <w:b/>
          <w:lang w:eastAsia="en-AU"/>
        </w:rPr>
      </w:pPr>
    </w:p>
    <w:p w:rsidR="00BE5BBA" w:rsidRDefault="00BE5BBA" w:rsidP="00BE5BBA">
      <w:pPr>
        <w:autoSpaceDE w:val="0"/>
        <w:autoSpaceDN w:val="0"/>
        <w:adjustRightInd w:val="0"/>
        <w:spacing w:before="240" w:after="120"/>
        <w:rPr>
          <w:rFonts w:cs="Arial"/>
          <w:b/>
          <w:lang w:eastAsia="en-AU"/>
        </w:rPr>
      </w:pPr>
      <w:r>
        <w:rPr>
          <w:rFonts w:cs="Arial"/>
          <w:b/>
          <w:lang w:eastAsia="en-AU"/>
        </w:rPr>
        <w:t>2</w:t>
      </w:r>
      <w:r>
        <w:rPr>
          <w:rFonts w:cs="Arial"/>
          <w:b/>
          <w:lang w:eastAsia="en-AU"/>
        </w:rPr>
        <w:tab/>
        <w:t>Approval of draft plan variation</w:t>
      </w:r>
    </w:p>
    <w:p w:rsidR="00BE5BBA" w:rsidRDefault="00BE5BBA" w:rsidP="00BE5BBA">
      <w:pPr>
        <w:tabs>
          <w:tab w:val="left" w:pos="-720"/>
        </w:tabs>
        <w:spacing w:before="120" w:after="120"/>
        <w:ind w:left="709" w:hanging="425"/>
        <w:rPr>
          <w:rFonts w:ascii="Times New Roman" w:hAnsi="Times New Roman"/>
          <w:lang w:eastAsia="en-AU"/>
        </w:rPr>
      </w:pPr>
      <w:r>
        <w:rPr>
          <w:rFonts w:ascii="Times New Roman" w:hAnsi="Times New Roman"/>
          <w:lang w:eastAsia="en-AU"/>
        </w:rPr>
        <w:t>(1)</w:t>
      </w:r>
      <w:r>
        <w:rPr>
          <w:rFonts w:ascii="Times New Roman" w:hAnsi="Times New Roman"/>
          <w:lang w:eastAsia="en-AU"/>
        </w:rPr>
        <w:tab/>
        <w:t xml:space="preserve">I approve under section 76 (2) (a) of the </w:t>
      </w:r>
      <w:r>
        <w:rPr>
          <w:rFonts w:ascii="Times New Roman" w:hAnsi="Times New Roman"/>
          <w:i/>
          <w:lang w:eastAsia="en-AU"/>
        </w:rPr>
        <w:t>Planning and Development Act 2007</w:t>
      </w:r>
      <w:r>
        <w:rPr>
          <w:rFonts w:ascii="Times New Roman" w:hAnsi="Times New Roman"/>
          <w:lang w:eastAsia="en-AU"/>
        </w:rPr>
        <w:t xml:space="preserve"> the draft plan variation No 355 to the Territory Plan.</w:t>
      </w:r>
    </w:p>
    <w:p w:rsidR="00BE5BBA" w:rsidRDefault="00BE5BBA" w:rsidP="00BE5BBA">
      <w:pPr>
        <w:tabs>
          <w:tab w:val="left" w:pos="-720"/>
        </w:tabs>
        <w:spacing w:before="120" w:after="120"/>
        <w:ind w:left="709" w:hanging="425"/>
        <w:rPr>
          <w:rFonts w:ascii="Times New Roman" w:hAnsi="Times New Roman"/>
          <w:lang w:eastAsia="en-AU"/>
        </w:rPr>
      </w:pPr>
      <w:r>
        <w:rPr>
          <w:rFonts w:ascii="Times New Roman" w:hAnsi="Times New Roman"/>
          <w:lang w:eastAsia="en-AU"/>
        </w:rPr>
        <w:t>(2)</w:t>
      </w:r>
      <w:r>
        <w:rPr>
          <w:rFonts w:ascii="Times New Roman" w:hAnsi="Times New Roman"/>
          <w:lang w:eastAsia="en-AU"/>
        </w:rPr>
        <w:tab/>
        <w:t>In this section:</w:t>
      </w:r>
    </w:p>
    <w:p w:rsidR="00BE5BBA" w:rsidRDefault="00BE5BBA" w:rsidP="00BE5BBA">
      <w:pPr>
        <w:tabs>
          <w:tab w:val="left" w:pos="-720"/>
        </w:tabs>
        <w:ind w:left="709"/>
        <w:rPr>
          <w:rFonts w:ascii="Times New Roman" w:hAnsi="Times New Roman"/>
          <w:i/>
          <w:lang w:eastAsia="en-AU"/>
        </w:rPr>
      </w:pPr>
      <w:r>
        <w:rPr>
          <w:rFonts w:ascii="Times New Roman" w:hAnsi="Times New Roman"/>
          <w:b/>
          <w:i/>
          <w:lang w:eastAsia="en-AU"/>
        </w:rPr>
        <w:t xml:space="preserve">Draft plan variation No 355 to the Territory Plan </w:t>
      </w:r>
      <w:r>
        <w:rPr>
          <w:rFonts w:ascii="Times New Roman" w:hAnsi="Times New Roman"/>
          <w:lang w:eastAsia="en-AU"/>
        </w:rPr>
        <w:t xml:space="preserve">means the draft plan variation in the schedule. </w:t>
      </w:r>
    </w:p>
    <w:p w:rsidR="00BE5BBA" w:rsidRDefault="00BE5BBA" w:rsidP="00BE5BBA">
      <w:pPr>
        <w:autoSpaceDE w:val="0"/>
        <w:autoSpaceDN w:val="0"/>
        <w:adjustRightInd w:val="0"/>
        <w:spacing w:before="240" w:after="120"/>
        <w:rPr>
          <w:rFonts w:cs="Arial"/>
          <w:b/>
          <w:lang w:eastAsia="en-AU"/>
        </w:rPr>
      </w:pPr>
    </w:p>
    <w:p w:rsidR="00BE5BBA" w:rsidRDefault="00BE5BBA" w:rsidP="00BE5BBA">
      <w:pPr>
        <w:autoSpaceDE w:val="0"/>
        <w:autoSpaceDN w:val="0"/>
        <w:adjustRightInd w:val="0"/>
        <w:spacing w:before="240" w:after="120"/>
        <w:rPr>
          <w:rFonts w:cs="Arial"/>
          <w:b/>
          <w:lang w:eastAsia="en-AU"/>
        </w:rPr>
      </w:pPr>
    </w:p>
    <w:p w:rsidR="00BE5BBA" w:rsidRDefault="00BE5BBA" w:rsidP="00BE5BBA">
      <w:pPr>
        <w:autoSpaceDE w:val="0"/>
        <w:autoSpaceDN w:val="0"/>
        <w:adjustRightInd w:val="0"/>
        <w:rPr>
          <w:rFonts w:ascii="Times New Roman" w:eastAsia="Calibri" w:hAnsi="Times New Roman"/>
          <w:szCs w:val="24"/>
          <w:lang w:eastAsia="en-AU"/>
        </w:rPr>
      </w:pPr>
      <w:r>
        <w:rPr>
          <w:rFonts w:ascii="Times New Roman" w:hAnsi="Times New Roman"/>
          <w:szCs w:val="24"/>
          <w:lang w:eastAsia="en-AU"/>
        </w:rPr>
        <w:t>Mick Gentleman MLA</w:t>
      </w:r>
    </w:p>
    <w:p w:rsidR="00BE5BBA" w:rsidRDefault="00BE5BBA" w:rsidP="00BE5BBA">
      <w:pPr>
        <w:autoSpaceDE w:val="0"/>
        <w:autoSpaceDN w:val="0"/>
        <w:adjustRightInd w:val="0"/>
        <w:rPr>
          <w:rFonts w:ascii="Times New Roman" w:hAnsi="Times New Roman"/>
          <w:szCs w:val="24"/>
          <w:lang w:eastAsia="en-AU"/>
        </w:rPr>
      </w:pPr>
      <w:r>
        <w:rPr>
          <w:rFonts w:ascii="Times New Roman" w:hAnsi="Times New Roman"/>
          <w:szCs w:val="24"/>
          <w:lang w:eastAsia="en-AU"/>
        </w:rPr>
        <w:t>Minister for Planning and Land Management</w:t>
      </w:r>
    </w:p>
    <w:p w:rsidR="00BE5BBA" w:rsidRDefault="00263C5B" w:rsidP="00BE5BBA">
      <w:pPr>
        <w:autoSpaceDE w:val="0"/>
        <w:autoSpaceDN w:val="0"/>
        <w:adjustRightInd w:val="0"/>
        <w:rPr>
          <w:rFonts w:ascii="Times New Roman" w:hAnsi="Times New Roman"/>
          <w:szCs w:val="24"/>
          <w:lang w:eastAsia="en-AU"/>
        </w:rPr>
      </w:pPr>
      <w:r>
        <w:rPr>
          <w:rFonts w:ascii="Times New Roman" w:hAnsi="Times New Roman"/>
          <w:szCs w:val="24"/>
          <w:lang w:eastAsia="en-AU"/>
        </w:rPr>
        <w:t>03/02/</w:t>
      </w:r>
      <w:r w:rsidR="00BE5BBA">
        <w:rPr>
          <w:rFonts w:ascii="Times New Roman" w:hAnsi="Times New Roman"/>
          <w:szCs w:val="24"/>
          <w:lang w:eastAsia="en-AU"/>
        </w:rPr>
        <w:t>2020</w:t>
      </w:r>
    </w:p>
    <w:p w:rsidR="00BE5BBA" w:rsidRDefault="00BE5BBA" w:rsidP="00BE5BBA">
      <w:pPr>
        <w:autoSpaceDE w:val="0"/>
        <w:autoSpaceDN w:val="0"/>
        <w:adjustRightInd w:val="0"/>
        <w:spacing w:before="240" w:after="120"/>
        <w:rPr>
          <w:rFonts w:cs="Arial"/>
          <w:lang w:eastAsia="en-AU"/>
        </w:rPr>
      </w:pPr>
    </w:p>
    <w:p w:rsidR="00BE5BBA" w:rsidRDefault="00BE5BBA" w:rsidP="00D93017">
      <w:pPr>
        <w:pStyle w:val="BodyText"/>
        <w:sectPr w:rsidR="00BE5BBA" w:rsidSect="00AA3627">
          <w:headerReference w:type="even" r:id="rId8"/>
          <w:headerReference w:type="default" r:id="rId9"/>
          <w:footerReference w:type="even" r:id="rId10"/>
          <w:footerReference w:type="default" r:id="rId11"/>
          <w:headerReference w:type="first" r:id="rId12"/>
          <w:footerReference w:type="first" r:id="rId13"/>
          <w:pgSz w:w="11907" w:h="16840" w:code="9"/>
          <w:pgMar w:top="1418" w:right="1531" w:bottom="1474" w:left="1531" w:header="720" w:footer="589" w:gutter="0"/>
          <w:pgNumType w:fmt="lowerRoman" w:start="1"/>
          <w:cols w:space="720"/>
          <w:titlePg/>
          <w:docGrid w:linePitch="326"/>
        </w:sectPr>
      </w:pPr>
    </w:p>
    <w:p w:rsidR="00575B48" w:rsidRDefault="00575B48" w:rsidP="00D93017">
      <w:pPr>
        <w:pStyle w:val="BodyText"/>
      </w:pPr>
    </w:p>
    <w:p w:rsidR="00D93017" w:rsidRDefault="00D93017" w:rsidP="00D93017">
      <w:pPr>
        <w:pStyle w:val="BodyText"/>
      </w:pPr>
    </w:p>
    <w:p w:rsidR="001C7FD4" w:rsidRPr="00D93017" w:rsidRDefault="001C7FD4" w:rsidP="00D93017">
      <w:pPr>
        <w:pStyle w:val="BodyText"/>
        <w:jc w:val="center"/>
        <w:rPr>
          <w:i/>
          <w:sz w:val="32"/>
          <w:szCs w:val="32"/>
        </w:rPr>
      </w:pPr>
      <w:r w:rsidRPr="00D93017">
        <w:rPr>
          <w:i/>
          <w:sz w:val="32"/>
          <w:szCs w:val="32"/>
        </w:rPr>
        <w:t>Planning and Development Act 2007</w:t>
      </w:r>
    </w:p>
    <w:p w:rsidR="001C7FD4" w:rsidRPr="00D93017" w:rsidRDefault="001C7FD4" w:rsidP="00D93017">
      <w:pPr>
        <w:pStyle w:val="BodyText"/>
      </w:pPr>
    </w:p>
    <w:p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F904A8">
        <w:rPr>
          <w:rFonts w:ascii="Arial" w:hAnsi="Arial" w:cs="Arial"/>
          <w:caps w:val="0"/>
          <w:sz w:val="64"/>
          <w:szCs w:val="64"/>
        </w:rPr>
        <w:t>355</w:t>
      </w:r>
    </w:p>
    <w:p w:rsidR="005A252E" w:rsidRDefault="005A252E" w:rsidP="00D93017">
      <w:pPr>
        <w:pStyle w:val="BodyText"/>
      </w:pPr>
    </w:p>
    <w:p w:rsidR="005A252E" w:rsidRDefault="005A252E" w:rsidP="00D93017">
      <w:pPr>
        <w:pStyle w:val="BodyText"/>
      </w:pPr>
    </w:p>
    <w:p w:rsidR="00F904A8" w:rsidRPr="00F14EA7" w:rsidRDefault="00F904A8" w:rsidP="00F904A8">
      <w:pPr>
        <w:pStyle w:val="TATitleexplanatoryheading"/>
        <w:spacing w:after="120"/>
        <w:rPr>
          <w:sz w:val="48"/>
        </w:rPr>
      </w:pPr>
      <w:proofErr w:type="spellStart"/>
      <w:r>
        <w:rPr>
          <w:sz w:val="48"/>
        </w:rPr>
        <w:t>Calwell</w:t>
      </w:r>
      <w:proofErr w:type="spellEnd"/>
      <w:r>
        <w:rPr>
          <w:sz w:val="48"/>
        </w:rPr>
        <w:t xml:space="preserve"> Group Centre - </w:t>
      </w:r>
    </w:p>
    <w:p w:rsidR="00F904A8" w:rsidRPr="00F14EA7" w:rsidRDefault="00F904A8" w:rsidP="00F904A8">
      <w:pPr>
        <w:pStyle w:val="TATitleexplanatoryheading"/>
        <w:spacing w:after="120"/>
        <w:rPr>
          <w:sz w:val="48"/>
        </w:rPr>
      </w:pPr>
      <w:r w:rsidRPr="00F14EA7">
        <w:rPr>
          <w:sz w:val="48"/>
        </w:rPr>
        <w:t xml:space="preserve">Zone changes and amendments to the </w:t>
      </w:r>
      <w:proofErr w:type="spellStart"/>
      <w:r>
        <w:rPr>
          <w:sz w:val="48"/>
        </w:rPr>
        <w:t>Calwell</w:t>
      </w:r>
      <w:proofErr w:type="spellEnd"/>
      <w:r>
        <w:rPr>
          <w:sz w:val="48"/>
        </w:rPr>
        <w:t xml:space="preserve"> Precinct Map and Code</w:t>
      </w:r>
    </w:p>
    <w:p w:rsidR="004965FA" w:rsidRPr="00134218" w:rsidRDefault="004965FA" w:rsidP="00D93017">
      <w:pPr>
        <w:pStyle w:val="BodyText"/>
      </w:pPr>
    </w:p>
    <w:p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rsidR="00AE0C37" w:rsidRPr="00AE0C37" w:rsidRDefault="00AE0C37" w:rsidP="001C7FD4">
      <w:pPr>
        <w:pStyle w:val="BlockText"/>
        <w:jc w:val="center"/>
        <w:rPr>
          <w:rFonts w:cs="Arial"/>
          <w:i/>
          <w:szCs w:val="24"/>
        </w:rPr>
      </w:pPr>
      <w:r>
        <w:rPr>
          <w:rFonts w:cs="Arial"/>
          <w:i/>
          <w:szCs w:val="24"/>
        </w:rPr>
        <w:t>Planning and Development Act 2007</w:t>
      </w:r>
    </w:p>
    <w:p w:rsidR="001C7FD4" w:rsidRPr="0074529E" w:rsidRDefault="001C7FD4" w:rsidP="00D93017">
      <w:pPr>
        <w:pStyle w:val="BodyText"/>
      </w:pPr>
    </w:p>
    <w:p w:rsidR="0074529E" w:rsidRDefault="0074529E" w:rsidP="00D93017">
      <w:pPr>
        <w:pStyle w:val="BodyText"/>
      </w:pPr>
    </w:p>
    <w:p w:rsidR="0074529E" w:rsidRDefault="0074529E" w:rsidP="00D93017">
      <w:pPr>
        <w:pStyle w:val="BodyText"/>
      </w:pPr>
    </w:p>
    <w:p w:rsidR="0074529E" w:rsidRDefault="0074529E" w:rsidP="00D93017">
      <w:pPr>
        <w:pStyle w:val="BodyText"/>
      </w:pPr>
    </w:p>
    <w:p w:rsidR="006466FF" w:rsidRPr="0074529E" w:rsidRDefault="006466FF" w:rsidP="00D93017">
      <w:pPr>
        <w:pStyle w:val="BodyText"/>
      </w:pPr>
      <w:r w:rsidRPr="0074529E">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Default="006466FF" w:rsidP="00D93017">
      <w:pPr>
        <w:pStyle w:val="BodyText"/>
      </w:pPr>
      <w:r>
        <w:br w:type="page"/>
      </w:r>
    </w:p>
    <w:p w:rsidR="00D93017" w:rsidRDefault="00D93017" w:rsidP="00D93017">
      <w:pPr>
        <w:pStyle w:val="ContentsTitle"/>
      </w:pPr>
      <w:r w:rsidRPr="00785E51">
        <w:lastRenderedPageBreak/>
        <w:t>Contents</w:t>
      </w:r>
    </w:p>
    <w:p w:rsidR="00D93017" w:rsidRPr="00785E51" w:rsidRDefault="00D93017" w:rsidP="00D93017">
      <w:pPr>
        <w:pStyle w:val="BodyText"/>
      </w:pPr>
    </w:p>
    <w:p w:rsidR="00E20129" w:rsidRDefault="001A4AA3">
      <w:pPr>
        <w:pStyle w:val="TOC1"/>
        <w:rPr>
          <w:rFonts w:asciiTheme="minorHAnsi" w:hAnsiTheme="minorHAnsi" w:cstheme="minorBidi"/>
          <w:b w:val="0"/>
          <w:caps w:val="0"/>
          <w:sz w:val="22"/>
          <w:szCs w:val="22"/>
        </w:rPr>
      </w:pPr>
      <w:r>
        <w:fldChar w:fldCharType="begin"/>
      </w:r>
      <w:r w:rsidR="006C39CF">
        <w:instrText xml:space="preserve"> TOC \o "1-1" \h \z \t "Heading 2,2,Heading 3,3,Head 1,1,Head 2,2,Head 3,3" </w:instrText>
      </w:r>
      <w:r>
        <w:fldChar w:fldCharType="separate"/>
      </w:r>
      <w:hyperlink w:anchor="_Toc29816835" w:history="1">
        <w:r w:rsidR="00E20129" w:rsidRPr="007D43A3">
          <w:rPr>
            <w:rStyle w:val="Hyperlink"/>
          </w:rPr>
          <w:t>1.</w:t>
        </w:r>
        <w:r w:rsidR="00E20129">
          <w:rPr>
            <w:rFonts w:asciiTheme="minorHAnsi" w:hAnsiTheme="minorHAnsi" w:cstheme="minorBidi"/>
            <w:b w:val="0"/>
            <w:caps w:val="0"/>
            <w:sz w:val="22"/>
            <w:szCs w:val="22"/>
          </w:rPr>
          <w:tab/>
        </w:r>
        <w:r w:rsidR="00E20129" w:rsidRPr="007D43A3">
          <w:rPr>
            <w:rStyle w:val="Hyperlink"/>
          </w:rPr>
          <w:t>EXPLANATORY STATEMENT</w:t>
        </w:r>
        <w:r w:rsidR="00E20129">
          <w:rPr>
            <w:webHidden/>
          </w:rPr>
          <w:tab/>
        </w:r>
        <w:r w:rsidR="00E20129">
          <w:rPr>
            <w:webHidden/>
          </w:rPr>
          <w:fldChar w:fldCharType="begin"/>
        </w:r>
        <w:r w:rsidR="00E20129">
          <w:rPr>
            <w:webHidden/>
          </w:rPr>
          <w:instrText xml:space="preserve"> PAGEREF _Toc29816835 \h </w:instrText>
        </w:r>
        <w:r w:rsidR="00E20129">
          <w:rPr>
            <w:webHidden/>
          </w:rPr>
        </w:r>
        <w:r w:rsidR="00E20129">
          <w:rPr>
            <w:webHidden/>
          </w:rPr>
          <w:fldChar w:fldCharType="separate"/>
        </w:r>
        <w:r w:rsidR="00B02B3E">
          <w:rPr>
            <w:webHidden/>
          </w:rPr>
          <w:t>1</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36" w:history="1">
        <w:r w:rsidR="00E20129" w:rsidRPr="007D43A3">
          <w:rPr>
            <w:rStyle w:val="Hyperlink"/>
          </w:rPr>
          <w:t>1.1</w:t>
        </w:r>
        <w:r w:rsidR="00E20129">
          <w:rPr>
            <w:rFonts w:asciiTheme="minorHAnsi" w:hAnsiTheme="minorHAnsi" w:cstheme="minorBidi"/>
            <w:sz w:val="22"/>
            <w:szCs w:val="22"/>
          </w:rPr>
          <w:tab/>
        </w:r>
        <w:r w:rsidR="00E20129" w:rsidRPr="007D43A3">
          <w:rPr>
            <w:rStyle w:val="Hyperlink"/>
          </w:rPr>
          <w:t>Background</w:t>
        </w:r>
        <w:r w:rsidR="00E20129">
          <w:rPr>
            <w:webHidden/>
          </w:rPr>
          <w:tab/>
        </w:r>
        <w:r w:rsidR="00E20129">
          <w:rPr>
            <w:webHidden/>
          </w:rPr>
          <w:fldChar w:fldCharType="begin"/>
        </w:r>
        <w:r w:rsidR="00E20129">
          <w:rPr>
            <w:webHidden/>
          </w:rPr>
          <w:instrText xml:space="preserve"> PAGEREF _Toc29816836 \h </w:instrText>
        </w:r>
        <w:r w:rsidR="00E20129">
          <w:rPr>
            <w:webHidden/>
          </w:rPr>
        </w:r>
        <w:r w:rsidR="00E20129">
          <w:rPr>
            <w:webHidden/>
          </w:rPr>
          <w:fldChar w:fldCharType="separate"/>
        </w:r>
        <w:r w:rsidR="00B02B3E">
          <w:rPr>
            <w:webHidden/>
          </w:rPr>
          <w:t>1</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37" w:history="1">
        <w:r w:rsidR="00E20129" w:rsidRPr="007D43A3">
          <w:rPr>
            <w:rStyle w:val="Hyperlink"/>
          </w:rPr>
          <w:t>1.2</w:t>
        </w:r>
        <w:r w:rsidR="00E20129">
          <w:rPr>
            <w:rFonts w:asciiTheme="minorHAnsi" w:hAnsiTheme="minorHAnsi" w:cstheme="minorBidi"/>
            <w:sz w:val="22"/>
            <w:szCs w:val="22"/>
          </w:rPr>
          <w:tab/>
        </w:r>
        <w:r w:rsidR="00E20129" w:rsidRPr="007D43A3">
          <w:rPr>
            <w:rStyle w:val="Hyperlink"/>
          </w:rPr>
          <w:t>Summary of the Proposal</w:t>
        </w:r>
        <w:r w:rsidR="00E20129">
          <w:rPr>
            <w:webHidden/>
          </w:rPr>
          <w:tab/>
        </w:r>
        <w:r w:rsidR="00E20129">
          <w:rPr>
            <w:webHidden/>
          </w:rPr>
          <w:fldChar w:fldCharType="begin"/>
        </w:r>
        <w:r w:rsidR="00E20129">
          <w:rPr>
            <w:webHidden/>
          </w:rPr>
          <w:instrText xml:space="preserve"> PAGEREF _Toc29816837 \h </w:instrText>
        </w:r>
        <w:r w:rsidR="00E20129">
          <w:rPr>
            <w:webHidden/>
          </w:rPr>
        </w:r>
        <w:r w:rsidR="00E20129">
          <w:rPr>
            <w:webHidden/>
          </w:rPr>
          <w:fldChar w:fldCharType="separate"/>
        </w:r>
        <w:r w:rsidR="00B02B3E">
          <w:rPr>
            <w:webHidden/>
          </w:rPr>
          <w:t>1</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38" w:history="1">
        <w:r w:rsidR="00E20129" w:rsidRPr="007D43A3">
          <w:rPr>
            <w:rStyle w:val="Hyperlink"/>
          </w:rPr>
          <w:t>1.3</w:t>
        </w:r>
        <w:r w:rsidR="00E20129">
          <w:rPr>
            <w:rFonts w:asciiTheme="minorHAnsi" w:hAnsiTheme="minorHAnsi" w:cstheme="minorBidi"/>
            <w:sz w:val="22"/>
            <w:szCs w:val="22"/>
          </w:rPr>
          <w:tab/>
        </w:r>
        <w:r w:rsidR="00E20129" w:rsidRPr="007D43A3">
          <w:rPr>
            <w:rStyle w:val="Hyperlink"/>
          </w:rPr>
          <w:t>The National Capital Plan</w:t>
        </w:r>
        <w:r w:rsidR="00E20129">
          <w:rPr>
            <w:webHidden/>
          </w:rPr>
          <w:tab/>
        </w:r>
        <w:r w:rsidR="00E20129">
          <w:rPr>
            <w:webHidden/>
          </w:rPr>
          <w:fldChar w:fldCharType="begin"/>
        </w:r>
        <w:r w:rsidR="00E20129">
          <w:rPr>
            <w:webHidden/>
          </w:rPr>
          <w:instrText xml:space="preserve"> PAGEREF _Toc29816838 \h </w:instrText>
        </w:r>
        <w:r w:rsidR="00E20129">
          <w:rPr>
            <w:webHidden/>
          </w:rPr>
        </w:r>
        <w:r w:rsidR="00E20129">
          <w:rPr>
            <w:webHidden/>
          </w:rPr>
          <w:fldChar w:fldCharType="separate"/>
        </w:r>
        <w:r w:rsidR="00B02B3E">
          <w:rPr>
            <w:webHidden/>
          </w:rPr>
          <w:t>2</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39" w:history="1">
        <w:r w:rsidR="00E20129" w:rsidRPr="007D43A3">
          <w:rPr>
            <w:rStyle w:val="Hyperlink"/>
          </w:rPr>
          <w:t>1.4</w:t>
        </w:r>
        <w:r w:rsidR="00E20129">
          <w:rPr>
            <w:rFonts w:asciiTheme="minorHAnsi" w:hAnsiTheme="minorHAnsi" w:cstheme="minorBidi"/>
            <w:sz w:val="22"/>
            <w:szCs w:val="22"/>
          </w:rPr>
          <w:tab/>
        </w:r>
        <w:r w:rsidR="00E20129" w:rsidRPr="007D43A3">
          <w:rPr>
            <w:rStyle w:val="Hyperlink"/>
          </w:rPr>
          <w:t>Site Description</w:t>
        </w:r>
        <w:r w:rsidR="00E20129">
          <w:rPr>
            <w:webHidden/>
          </w:rPr>
          <w:tab/>
        </w:r>
        <w:r w:rsidR="00E20129">
          <w:rPr>
            <w:webHidden/>
          </w:rPr>
          <w:fldChar w:fldCharType="begin"/>
        </w:r>
        <w:r w:rsidR="00E20129">
          <w:rPr>
            <w:webHidden/>
          </w:rPr>
          <w:instrText xml:space="preserve"> PAGEREF _Toc29816839 \h </w:instrText>
        </w:r>
        <w:r w:rsidR="00E20129">
          <w:rPr>
            <w:webHidden/>
          </w:rPr>
        </w:r>
        <w:r w:rsidR="00E20129">
          <w:rPr>
            <w:webHidden/>
          </w:rPr>
          <w:fldChar w:fldCharType="separate"/>
        </w:r>
        <w:r w:rsidR="00B02B3E">
          <w:rPr>
            <w:webHidden/>
          </w:rPr>
          <w:t>2</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40" w:history="1">
        <w:r w:rsidR="00E20129" w:rsidRPr="007D43A3">
          <w:rPr>
            <w:rStyle w:val="Hyperlink"/>
          </w:rPr>
          <w:t>1.5</w:t>
        </w:r>
        <w:r w:rsidR="00E20129">
          <w:rPr>
            <w:rFonts w:asciiTheme="minorHAnsi" w:hAnsiTheme="minorHAnsi" w:cstheme="minorBidi"/>
            <w:sz w:val="22"/>
            <w:szCs w:val="22"/>
          </w:rPr>
          <w:tab/>
        </w:r>
        <w:r w:rsidR="00E20129" w:rsidRPr="007D43A3">
          <w:rPr>
            <w:rStyle w:val="Hyperlink"/>
          </w:rPr>
          <w:t>Current Territory Plan Provisions</w:t>
        </w:r>
        <w:r w:rsidR="00E20129">
          <w:rPr>
            <w:webHidden/>
          </w:rPr>
          <w:tab/>
        </w:r>
        <w:r w:rsidR="00E20129">
          <w:rPr>
            <w:webHidden/>
          </w:rPr>
          <w:fldChar w:fldCharType="begin"/>
        </w:r>
        <w:r w:rsidR="00E20129">
          <w:rPr>
            <w:webHidden/>
          </w:rPr>
          <w:instrText xml:space="preserve"> PAGEREF _Toc29816840 \h </w:instrText>
        </w:r>
        <w:r w:rsidR="00E20129">
          <w:rPr>
            <w:webHidden/>
          </w:rPr>
        </w:r>
        <w:r w:rsidR="00E20129">
          <w:rPr>
            <w:webHidden/>
          </w:rPr>
          <w:fldChar w:fldCharType="separate"/>
        </w:r>
        <w:r w:rsidR="00B02B3E">
          <w:rPr>
            <w:webHidden/>
          </w:rPr>
          <w:t>4</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41" w:history="1">
        <w:r w:rsidR="00E20129" w:rsidRPr="007D43A3">
          <w:rPr>
            <w:rStyle w:val="Hyperlink"/>
          </w:rPr>
          <w:t>1.6</w:t>
        </w:r>
        <w:r w:rsidR="00E20129">
          <w:rPr>
            <w:rFonts w:asciiTheme="minorHAnsi" w:hAnsiTheme="minorHAnsi" w:cstheme="minorBidi"/>
            <w:sz w:val="22"/>
            <w:szCs w:val="22"/>
          </w:rPr>
          <w:tab/>
        </w:r>
        <w:r w:rsidR="00E20129" w:rsidRPr="007D43A3">
          <w:rPr>
            <w:rStyle w:val="Hyperlink"/>
          </w:rPr>
          <w:t>Changes to the Territory Plan</w:t>
        </w:r>
        <w:r w:rsidR="00E20129">
          <w:rPr>
            <w:webHidden/>
          </w:rPr>
          <w:tab/>
        </w:r>
        <w:r w:rsidR="00E20129">
          <w:rPr>
            <w:webHidden/>
          </w:rPr>
          <w:fldChar w:fldCharType="begin"/>
        </w:r>
        <w:r w:rsidR="00E20129">
          <w:rPr>
            <w:webHidden/>
          </w:rPr>
          <w:instrText xml:space="preserve"> PAGEREF _Toc29816841 \h </w:instrText>
        </w:r>
        <w:r w:rsidR="00E20129">
          <w:rPr>
            <w:webHidden/>
          </w:rPr>
        </w:r>
        <w:r w:rsidR="00E20129">
          <w:rPr>
            <w:webHidden/>
          </w:rPr>
          <w:fldChar w:fldCharType="separate"/>
        </w:r>
        <w:r w:rsidR="00B02B3E">
          <w:rPr>
            <w:webHidden/>
          </w:rPr>
          <w:t>5</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42" w:history="1">
        <w:r w:rsidR="00E20129" w:rsidRPr="007D43A3">
          <w:rPr>
            <w:rStyle w:val="Hyperlink"/>
          </w:rPr>
          <w:t>1.7</w:t>
        </w:r>
        <w:r w:rsidR="00E20129">
          <w:rPr>
            <w:rFonts w:asciiTheme="minorHAnsi" w:hAnsiTheme="minorHAnsi" w:cstheme="minorBidi"/>
            <w:sz w:val="22"/>
            <w:szCs w:val="22"/>
          </w:rPr>
          <w:tab/>
        </w:r>
        <w:r w:rsidR="00E20129" w:rsidRPr="007D43A3">
          <w:rPr>
            <w:rStyle w:val="Hyperlink"/>
          </w:rPr>
          <w:t>Consultation on the Draft Variation</w:t>
        </w:r>
        <w:r w:rsidR="00E20129">
          <w:rPr>
            <w:webHidden/>
          </w:rPr>
          <w:tab/>
        </w:r>
        <w:r w:rsidR="00E20129">
          <w:rPr>
            <w:webHidden/>
          </w:rPr>
          <w:fldChar w:fldCharType="begin"/>
        </w:r>
        <w:r w:rsidR="00E20129">
          <w:rPr>
            <w:webHidden/>
          </w:rPr>
          <w:instrText xml:space="preserve"> PAGEREF _Toc29816842 \h </w:instrText>
        </w:r>
        <w:r w:rsidR="00E20129">
          <w:rPr>
            <w:webHidden/>
          </w:rPr>
        </w:r>
        <w:r w:rsidR="00E20129">
          <w:rPr>
            <w:webHidden/>
          </w:rPr>
          <w:fldChar w:fldCharType="separate"/>
        </w:r>
        <w:r w:rsidR="00B02B3E">
          <w:rPr>
            <w:webHidden/>
          </w:rPr>
          <w:t>5</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43" w:history="1">
        <w:r w:rsidR="00E20129" w:rsidRPr="007D43A3">
          <w:rPr>
            <w:rStyle w:val="Hyperlink"/>
          </w:rPr>
          <w:t>1.8</w:t>
        </w:r>
        <w:r w:rsidR="00E20129">
          <w:rPr>
            <w:rFonts w:asciiTheme="minorHAnsi" w:hAnsiTheme="minorHAnsi" w:cstheme="minorBidi"/>
            <w:sz w:val="22"/>
            <w:szCs w:val="22"/>
          </w:rPr>
          <w:tab/>
        </w:r>
        <w:r w:rsidR="00E20129" w:rsidRPr="007D43A3">
          <w:rPr>
            <w:rStyle w:val="Hyperlink"/>
          </w:rPr>
          <w:t>Revisions to the Draft Variation Recommended to the Minister</w:t>
        </w:r>
        <w:r w:rsidR="00E20129">
          <w:rPr>
            <w:webHidden/>
          </w:rPr>
          <w:tab/>
        </w:r>
        <w:r w:rsidR="00E20129">
          <w:rPr>
            <w:webHidden/>
          </w:rPr>
          <w:fldChar w:fldCharType="begin"/>
        </w:r>
        <w:r w:rsidR="00E20129">
          <w:rPr>
            <w:webHidden/>
          </w:rPr>
          <w:instrText xml:space="preserve"> PAGEREF _Toc29816843 \h </w:instrText>
        </w:r>
        <w:r w:rsidR="00E20129">
          <w:rPr>
            <w:webHidden/>
          </w:rPr>
        </w:r>
        <w:r w:rsidR="00E20129">
          <w:rPr>
            <w:webHidden/>
          </w:rPr>
          <w:fldChar w:fldCharType="separate"/>
        </w:r>
        <w:r w:rsidR="00B02B3E">
          <w:rPr>
            <w:webHidden/>
          </w:rPr>
          <w:t>5</w:t>
        </w:r>
        <w:r w:rsidR="00E20129">
          <w:rPr>
            <w:webHidden/>
          </w:rPr>
          <w:fldChar w:fldCharType="end"/>
        </w:r>
      </w:hyperlink>
    </w:p>
    <w:p w:rsidR="00E20129" w:rsidRDefault="000626C5">
      <w:pPr>
        <w:pStyle w:val="TOC1"/>
        <w:rPr>
          <w:rFonts w:asciiTheme="minorHAnsi" w:hAnsiTheme="minorHAnsi" w:cstheme="minorBidi"/>
          <w:b w:val="0"/>
          <w:caps w:val="0"/>
          <w:sz w:val="22"/>
          <w:szCs w:val="22"/>
        </w:rPr>
      </w:pPr>
      <w:hyperlink w:anchor="_Toc29816844" w:history="1">
        <w:r w:rsidR="00E20129" w:rsidRPr="007D43A3">
          <w:rPr>
            <w:rStyle w:val="Hyperlink"/>
          </w:rPr>
          <w:t>2.</w:t>
        </w:r>
        <w:r w:rsidR="00E20129">
          <w:rPr>
            <w:rFonts w:asciiTheme="minorHAnsi" w:hAnsiTheme="minorHAnsi" w:cstheme="minorBidi"/>
            <w:b w:val="0"/>
            <w:caps w:val="0"/>
            <w:sz w:val="22"/>
            <w:szCs w:val="22"/>
          </w:rPr>
          <w:tab/>
        </w:r>
        <w:r w:rsidR="00E20129" w:rsidRPr="007D43A3">
          <w:rPr>
            <w:rStyle w:val="Hyperlink"/>
          </w:rPr>
          <w:t>VARIATION</w:t>
        </w:r>
        <w:r w:rsidR="00E20129">
          <w:rPr>
            <w:webHidden/>
          </w:rPr>
          <w:tab/>
        </w:r>
        <w:r w:rsidR="00E20129">
          <w:rPr>
            <w:webHidden/>
          </w:rPr>
          <w:fldChar w:fldCharType="begin"/>
        </w:r>
        <w:r w:rsidR="00E20129">
          <w:rPr>
            <w:webHidden/>
          </w:rPr>
          <w:instrText xml:space="preserve"> PAGEREF _Toc29816844 \h </w:instrText>
        </w:r>
        <w:r w:rsidR="00E20129">
          <w:rPr>
            <w:webHidden/>
          </w:rPr>
        </w:r>
        <w:r w:rsidR="00E20129">
          <w:rPr>
            <w:webHidden/>
          </w:rPr>
          <w:fldChar w:fldCharType="separate"/>
        </w:r>
        <w:r w:rsidR="00B02B3E">
          <w:rPr>
            <w:webHidden/>
          </w:rPr>
          <w:t>6</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45" w:history="1">
        <w:r w:rsidR="00E20129" w:rsidRPr="007D43A3">
          <w:rPr>
            <w:rStyle w:val="Hyperlink"/>
          </w:rPr>
          <w:t>2.1</w:t>
        </w:r>
        <w:r w:rsidR="00E20129">
          <w:rPr>
            <w:rFonts w:asciiTheme="minorHAnsi" w:hAnsiTheme="minorHAnsi" w:cstheme="minorBidi"/>
            <w:sz w:val="22"/>
            <w:szCs w:val="22"/>
          </w:rPr>
          <w:tab/>
        </w:r>
        <w:r w:rsidR="00E20129" w:rsidRPr="007D43A3">
          <w:rPr>
            <w:rStyle w:val="Hyperlink"/>
          </w:rPr>
          <w:t>Variation to the Territory Plan map</w:t>
        </w:r>
        <w:r w:rsidR="00E20129">
          <w:rPr>
            <w:webHidden/>
          </w:rPr>
          <w:tab/>
        </w:r>
        <w:r w:rsidR="00E20129">
          <w:rPr>
            <w:webHidden/>
          </w:rPr>
          <w:fldChar w:fldCharType="begin"/>
        </w:r>
        <w:r w:rsidR="00E20129">
          <w:rPr>
            <w:webHidden/>
          </w:rPr>
          <w:instrText xml:space="preserve"> PAGEREF _Toc29816845 \h </w:instrText>
        </w:r>
        <w:r w:rsidR="00E20129">
          <w:rPr>
            <w:webHidden/>
          </w:rPr>
        </w:r>
        <w:r w:rsidR="00E20129">
          <w:rPr>
            <w:webHidden/>
          </w:rPr>
          <w:fldChar w:fldCharType="separate"/>
        </w:r>
        <w:r w:rsidR="00B02B3E">
          <w:rPr>
            <w:webHidden/>
          </w:rPr>
          <w:t>6</w:t>
        </w:r>
        <w:r w:rsidR="00E20129">
          <w:rPr>
            <w:webHidden/>
          </w:rPr>
          <w:fldChar w:fldCharType="end"/>
        </w:r>
      </w:hyperlink>
    </w:p>
    <w:p w:rsidR="00E20129" w:rsidRDefault="000626C5">
      <w:pPr>
        <w:pStyle w:val="TOC2"/>
        <w:rPr>
          <w:rFonts w:asciiTheme="minorHAnsi" w:hAnsiTheme="minorHAnsi" w:cstheme="minorBidi"/>
          <w:sz w:val="22"/>
          <w:szCs w:val="22"/>
        </w:rPr>
      </w:pPr>
      <w:hyperlink w:anchor="_Toc29816846" w:history="1">
        <w:r w:rsidR="00E20129" w:rsidRPr="007D43A3">
          <w:rPr>
            <w:rStyle w:val="Hyperlink"/>
          </w:rPr>
          <w:t>2.2</w:t>
        </w:r>
        <w:r w:rsidR="00E20129">
          <w:rPr>
            <w:rFonts w:asciiTheme="minorHAnsi" w:hAnsiTheme="minorHAnsi" w:cstheme="minorBidi"/>
            <w:sz w:val="22"/>
            <w:szCs w:val="22"/>
          </w:rPr>
          <w:tab/>
        </w:r>
        <w:r w:rsidR="00E20129" w:rsidRPr="007D43A3">
          <w:rPr>
            <w:rStyle w:val="Hyperlink"/>
          </w:rPr>
          <w:t>Variation to the Territory Plan</w:t>
        </w:r>
        <w:r w:rsidR="00E20129">
          <w:rPr>
            <w:webHidden/>
          </w:rPr>
          <w:tab/>
        </w:r>
        <w:r w:rsidR="00E20129">
          <w:rPr>
            <w:webHidden/>
          </w:rPr>
          <w:fldChar w:fldCharType="begin"/>
        </w:r>
        <w:r w:rsidR="00E20129">
          <w:rPr>
            <w:webHidden/>
          </w:rPr>
          <w:instrText xml:space="preserve"> PAGEREF _Toc29816846 \h </w:instrText>
        </w:r>
        <w:r w:rsidR="00E20129">
          <w:rPr>
            <w:webHidden/>
          </w:rPr>
        </w:r>
        <w:r w:rsidR="00E20129">
          <w:rPr>
            <w:webHidden/>
          </w:rPr>
          <w:fldChar w:fldCharType="separate"/>
        </w:r>
        <w:r w:rsidR="00B02B3E">
          <w:rPr>
            <w:webHidden/>
          </w:rPr>
          <w:t>7</w:t>
        </w:r>
        <w:r w:rsidR="00E20129">
          <w:rPr>
            <w:webHidden/>
          </w:rPr>
          <w:fldChar w:fldCharType="end"/>
        </w:r>
      </w:hyperlink>
    </w:p>
    <w:p w:rsidR="001C7FD4" w:rsidRDefault="001A4AA3" w:rsidP="006C39CF">
      <w:pPr>
        <w:pStyle w:val="TOC1"/>
      </w:pPr>
      <w:r>
        <w:fldChar w:fldCharType="end"/>
      </w:r>
    </w:p>
    <w:p w:rsidR="006466FF" w:rsidRDefault="006466FF" w:rsidP="00D93017">
      <w:pPr>
        <w:pStyle w:val="BodyText"/>
      </w:pPr>
      <w:r>
        <w:br w:type="page"/>
      </w:r>
    </w:p>
    <w:p w:rsidR="006466FF" w:rsidRDefault="006466FF" w:rsidP="00D93017">
      <w:pPr>
        <w:pStyle w:val="BodyText"/>
      </w:pPr>
    </w:p>
    <w:p w:rsidR="006466FF" w:rsidRDefault="006466FF" w:rsidP="00D93017">
      <w:pPr>
        <w:pStyle w:val="BodyText"/>
      </w:pPr>
    </w:p>
    <w:p w:rsidR="006466FF" w:rsidRPr="00D93017" w:rsidRDefault="006466FF" w:rsidP="00D93017">
      <w:pPr>
        <w:pStyle w:val="BodyText"/>
        <w:jc w:val="center"/>
        <w:rPr>
          <w:i/>
        </w:rPr>
      </w:pPr>
      <w:r w:rsidRPr="00D93017">
        <w:rPr>
          <w:i/>
        </w:rPr>
        <w:t>This page is intentionally blank.</w:t>
      </w:r>
    </w:p>
    <w:p w:rsidR="006466FF" w:rsidRPr="00137C11" w:rsidRDefault="006466FF" w:rsidP="00D93017">
      <w:pPr>
        <w:pStyle w:val="BodyText"/>
      </w:pPr>
    </w:p>
    <w:p w:rsidR="006466FF" w:rsidRDefault="006466FF" w:rsidP="00D93017">
      <w:pPr>
        <w:pStyle w:val="BodyText"/>
        <w:sectPr w:rsidR="006466FF" w:rsidSect="00AA3627">
          <w:headerReference w:type="first" r:id="rId14"/>
          <w:pgSz w:w="11907" w:h="16840" w:code="9"/>
          <w:pgMar w:top="1418" w:right="1531" w:bottom="1474" w:left="1531" w:header="720" w:footer="589" w:gutter="0"/>
          <w:pgNumType w:fmt="lowerRoman" w:start="1"/>
          <w:cols w:space="720"/>
          <w:titlePg/>
          <w:docGrid w:linePitch="326"/>
        </w:sectPr>
      </w:pPr>
    </w:p>
    <w:p w:rsidR="001C7FD4" w:rsidRDefault="001C7FD4" w:rsidP="001C7FD4">
      <w:pPr>
        <w:pStyle w:val="Head1"/>
        <w:numPr>
          <w:ilvl w:val="0"/>
          <w:numId w:val="3"/>
        </w:numPr>
        <w:tabs>
          <w:tab w:val="clear" w:pos="851"/>
        </w:tabs>
        <w:ind w:left="851" w:hanging="851"/>
      </w:pPr>
      <w:bookmarkStart w:id="2" w:name="_Toc29816835"/>
      <w:r>
        <w:lastRenderedPageBreak/>
        <w:t>EXPLANATORY STATEMENT</w:t>
      </w:r>
      <w:bookmarkEnd w:id="2"/>
    </w:p>
    <w:p w:rsidR="001C7FD4" w:rsidRPr="00C3544D" w:rsidRDefault="001C7FD4" w:rsidP="00D93017">
      <w:pPr>
        <w:pStyle w:val="Head2"/>
        <w:keepNext/>
        <w:rPr>
          <w:rFonts w:cs="Arial"/>
          <w:szCs w:val="28"/>
        </w:rPr>
      </w:pPr>
      <w:bookmarkStart w:id="3" w:name="_Toc29816836"/>
      <w:r w:rsidRPr="00006764">
        <w:rPr>
          <w:rFonts w:cs="Arial"/>
        </w:rPr>
        <w:t>Background</w:t>
      </w:r>
      <w:bookmarkEnd w:id="3"/>
    </w:p>
    <w:p w:rsidR="007D1FF4" w:rsidRPr="00CA1108" w:rsidRDefault="00F904A8" w:rsidP="007D1FF4">
      <w:pPr>
        <w:pStyle w:val="BodyText"/>
      </w:pPr>
      <w:r>
        <w:t xml:space="preserve">Territory Plan Variation </w:t>
      </w:r>
      <w:r w:rsidR="007D1FF4">
        <w:t>number 355 (V</w:t>
      </w:r>
      <w:r w:rsidRPr="00CA1108">
        <w:t>355</w:t>
      </w:r>
      <w:r w:rsidR="007D1FF4">
        <w:t>)</w:t>
      </w:r>
      <w:r w:rsidRPr="00CA1108">
        <w:t xml:space="preserve"> </w:t>
      </w:r>
      <w:proofErr w:type="spellStart"/>
      <w:r w:rsidR="008914A7">
        <w:t>Calwell</w:t>
      </w:r>
      <w:proofErr w:type="spellEnd"/>
      <w:r w:rsidR="008914A7">
        <w:t xml:space="preserve"> G</w:t>
      </w:r>
      <w:r>
        <w:t xml:space="preserve">roup Centre </w:t>
      </w:r>
      <w:r w:rsidRPr="00CA1108">
        <w:t xml:space="preserve">incorporates the </w:t>
      </w:r>
      <w:r w:rsidR="007D1FF4">
        <w:t xml:space="preserve">planning related </w:t>
      </w:r>
      <w:r w:rsidRPr="00CA1108">
        <w:t xml:space="preserve">recommendations of the </w:t>
      </w:r>
      <w:proofErr w:type="spellStart"/>
      <w:r w:rsidRPr="00CA1108">
        <w:t>Calwell</w:t>
      </w:r>
      <w:proofErr w:type="spellEnd"/>
      <w:r w:rsidRPr="00CA1108">
        <w:t xml:space="preserve"> Group Centre Master Plan 2016, which has been undertaken as part of the ACT Government initiative for encouraging the rejuvenation of selected commercial centres, and to direct development within the centre over time.</w:t>
      </w:r>
      <w:r w:rsidR="007D1FF4">
        <w:t xml:space="preserve"> </w:t>
      </w:r>
      <w:r w:rsidR="007D1FF4" w:rsidRPr="00CA1108">
        <w:t xml:space="preserve">The Territory Plan amendments are intended to provide guidance for future development in the </w:t>
      </w:r>
      <w:proofErr w:type="spellStart"/>
      <w:r w:rsidR="007D1FF4" w:rsidRPr="00CA1108">
        <w:t>Calwell</w:t>
      </w:r>
      <w:proofErr w:type="spellEnd"/>
      <w:r w:rsidR="007D1FF4" w:rsidRPr="00CA1108">
        <w:t xml:space="preserve"> Group Centre particularly in relation to the desired built form and character.</w:t>
      </w:r>
    </w:p>
    <w:p w:rsidR="00F904A8" w:rsidRPr="00CA1108" w:rsidRDefault="007D1FF4" w:rsidP="00F904A8">
      <w:pPr>
        <w:pStyle w:val="BodyText"/>
      </w:pPr>
      <w:r>
        <w:t xml:space="preserve"> </w:t>
      </w:r>
    </w:p>
    <w:p w:rsidR="00F15049" w:rsidRPr="00E215A4" w:rsidRDefault="00F15049" w:rsidP="00D93017">
      <w:pPr>
        <w:pStyle w:val="Head2"/>
        <w:keepNext/>
        <w:rPr>
          <w:szCs w:val="28"/>
        </w:rPr>
      </w:pPr>
      <w:bookmarkStart w:id="4" w:name="_Toc29816837"/>
      <w:r>
        <w:rPr>
          <w:rFonts w:cs="Arial"/>
        </w:rPr>
        <w:t>Summary of the Proposal</w:t>
      </w:r>
      <w:bookmarkEnd w:id="4"/>
    </w:p>
    <w:p w:rsidR="007D1FF4" w:rsidRPr="00CA1108" w:rsidRDefault="007D1FF4" w:rsidP="007D1FF4">
      <w:pPr>
        <w:pStyle w:val="BodyText"/>
      </w:pPr>
      <w:r>
        <w:t>This</w:t>
      </w:r>
      <w:r w:rsidRPr="00CA1108">
        <w:t xml:space="preserve"> </w:t>
      </w:r>
      <w:r>
        <w:t>v</w:t>
      </w:r>
      <w:r w:rsidRPr="00CA1108">
        <w:t xml:space="preserve">ariation </w:t>
      </w:r>
      <w:r>
        <w:t>rezones</w:t>
      </w:r>
      <w:r w:rsidRPr="00CA1108">
        <w:t xml:space="preserve"> part of block 41 section 787 from Commercial CZ3 Services Zone to CZ1 Core Zone to ensure that the entire block is included in one zone and to provide a moderate increase in development opportunities in this location consistent with the master plan.   The variation also rezone</w:t>
      </w:r>
      <w:r>
        <w:t>s</w:t>
      </w:r>
      <w:r w:rsidRPr="00CA1108">
        <w:t xml:space="preserve"> part of block 8 section 788 along Johnson Drive from the Transport TSZ Services Zone to the CFZ Community Facilities Zone.  This is intended to promote community uses in this location consistent with the master plan.</w:t>
      </w:r>
    </w:p>
    <w:p w:rsidR="007D1FF4" w:rsidRPr="00CA1108" w:rsidRDefault="007D1FF4" w:rsidP="007D1FF4">
      <w:pPr>
        <w:pStyle w:val="BodyText"/>
      </w:pPr>
      <w:r w:rsidRPr="00CA1108">
        <w:t xml:space="preserve">Provisions allowing additional merit track commercial services uses in the Commercial CZ1 Core Zone </w:t>
      </w:r>
      <w:r>
        <w:t>have been</w:t>
      </w:r>
      <w:r w:rsidRPr="00CA1108">
        <w:t xml:space="preserve"> removed from the </w:t>
      </w:r>
      <w:proofErr w:type="spellStart"/>
      <w:r w:rsidRPr="00CA1108">
        <w:t>Calwell</w:t>
      </w:r>
      <w:proofErr w:type="spellEnd"/>
      <w:r w:rsidRPr="00CA1108">
        <w:t xml:space="preserve"> Precinct </w:t>
      </w:r>
      <w:r w:rsidR="008914A7">
        <w:t xml:space="preserve">Map and </w:t>
      </w:r>
      <w:r w:rsidRPr="00CA1108">
        <w:t>Code</w:t>
      </w:r>
      <w:r>
        <w:t xml:space="preserve"> under V355</w:t>
      </w:r>
      <w:r w:rsidRPr="00CA1108">
        <w:t>.  This is consistent with the master plan intention to focus commercial services uses, particularly industrial trades and the like, within the existing CZ3 Services Zoned areas. This will improve the amenity of the group centre consistent with the recommendations of the master plan.</w:t>
      </w:r>
    </w:p>
    <w:p w:rsidR="007D1FF4" w:rsidRDefault="007D1FF4" w:rsidP="007D1FF4">
      <w:pPr>
        <w:pStyle w:val="BodyText"/>
      </w:pPr>
      <w:r>
        <w:t xml:space="preserve">The existing building heights in the </w:t>
      </w:r>
      <w:proofErr w:type="spellStart"/>
      <w:r>
        <w:t>Calwell</w:t>
      </w:r>
      <w:proofErr w:type="spellEnd"/>
      <w:r>
        <w:t xml:space="preserve"> Group Centre have been retained at predominantly two storeys under V355.  However there is a site specific allowance of up to four storeys towards the eastern edge of the centre. This is intended to provide a moderate increase in development opportunities in this location consistent with the master plan.  </w:t>
      </w:r>
    </w:p>
    <w:p w:rsidR="007D1FF4" w:rsidRPr="00014E7A" w:rsidRDefault="007D1FF4" w:rsidP="007D1FF4">
      <w:pPr>
        <w:pStyle w:val="BodyText"/>
      </w:pPr>
      <w:r>
        <w:t xml:space="preserve">V355 introduces new rules and criteria into the </w:t>
      </w:r>
      <w:proofErr w:type="spellStart"/>
      <w:r>
        <w:t>Calwell</w:t>
      </w:r>
      <w:proofErr w:type="spellEnd"/>
      <w:r>
        <w:t xml:space="preserve"> Precinct </w:t>
      </w:r>
      <w:r w:rsidR="008914A7">
        <w:t xml:space="preserve">Map and </w:t>
      </w:r>
      <w:r>
        <w:t>Code to improve public spaces, pedestrian places and thoroughfares.  These include requiring active building frontages to have awnings, maintaining solar access to public places and improving public safety through passive surveillance measures.</w:t>
      </w:r>
    </w:p>
    <w:p w:rsidR="00F15049" w:rsidRDefault="00F15049" w:rsidP="00D93017">
      <w:pPr>
        <w:pStyle w:val="BodyText"/>
      </w:pPr>
    </w:p>
    <w:p w:rsidR="001C7FD4" w:rsidRPr="00E215A4" w:rsidRDefault="001C7FD4" w:rsidP="00D93017">
      <w:pPr>
        <w:pStyle w:val="Head2"/>
        <w:keepNext/>
        <w:rPr>
          <w:szCs w:val="28"/>
        </w:rPr>
      </w:pPr>
      <w:bookmarkStart w:id="5" w:name="_Toc29816838"/>
      <w:bookmarkStart w:id="6" w:name="_Toc134526692"/>
      <w:r w:rsidRPr="00006764">
        <w:rPr>
          <w:rFonts w:cs="Arial"/>
        </w:rPr>
        <w:lastRenderedPageBreak/>
        <w:t>The</w:t>
      </w:r>
      <w:r w:rsidRPr="00E215A4">
        <w:rPr>
          <w:szCs w:val="28"/>
        </w:rPr>
        <w:t xml:space="preserve"> National Capital Plan</w:t>
      </w:r>
      <w:bookmarkEnd w:id="5"/>
    </w:p>
    <w:p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DF2B25" w:rsidRDefault="00DF2B25" w:rsidP="00D93017">
      <w:pPr>
        <w:pStyle w:val="BodyText"/>
      </w:pPr>
      <w:r>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t xml:space="preserve">, the National Capital Plan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p w:rsidR="001C7FD4" w:rsidRDefault="001C7FD4" w:rsidP="001C7FD4">
      <w:pPr>
        <w:pStyle w:val="BodyText"/>
        <w:spacing w:after="0"/>
      </w:pPr>
    </w:p>
    <w:p w:rsidR="001C7FD4" w:rsidRDefault="001C7FD4" w:rsidP="00D93017">
      <w:pPr>
        <w:pStyle w:val="Head2"/>
        <w:keepNext/>
      </w:pPr>
      <w:bookmarkStart w:id="7" w:name="_Toc29816839"/>
      <w:bookmarkEnd w:id="6"/>
      <w:r>
        <w:t>Site Description</w:t>
      </w:r>
      <w:bookmarkEnd w:id="7"/>
    </w:p>
    <w:p w:rsidR="007D1FF4" w:rsidRDefault="007D1FF4" w:rsidP="007D1FF4">
      <w:pPr>
        <w:pStyle w:val="BodyText"/>
      </w:pPr>
      <w:r>
        <w:t xml:space="preserve">The land subject to V355 is the </w:t>
      </w:r>
      <w:proofErr w:type="spellStart"/>
      <w:r>
        <w:t>Calwell</w:t>
      </w:r>
      <w:proofErr w:type="spellEnd"/>
      <w:r>
        <w:t xml:space="preserve"> Group Centre. The centre is located 5km south east of Tuggeranong Town Centre and approximately 17km south of the city centre. The centre is bounded by Johnson Drive to the north, Were Street to the west and south, and playing fields to the east.</w:t>
      </w:r>
    </w:p>
    <w:p w:rsidR="007D1FF4" w:rsidRDefault="007D1FF4" w:rsidP="007D1FF4">
      <w:pPr>
        <w:pStyle w:val="BodyText"/>
      </w:pPr>
      <w:r>
        <w:t>The centre consists of a central single storey commercial mall surrounded on three sides by surface car parking, with a nearby service station, sporting club and car wash facilities in separate stand-alone single storey buildings.</w:t>
      </w:r>
    </w:p>
    <w:p w:rsidR="007D1FF4" w:rsidRDefault="007D1FF4" w:rsidP="007D1FF4">
      <w:pPr>
        <w:pStyle w:val="BodyText"/>
      </w:pPr>
    </w:p>
    <w:p w:rsidR="007D1FF4" w:rsidRDefault="007D1FF4" w:rsidP="007D1FF4">
      <w:pPr>
        <w:pStyle w:val="BodyText"/>
      </w:pPr>
      <w:r>
        <w:rPr>
          <w:noProof/>
          <w:lang w:eastAsia="en-AU"/>
        </w:rPr>
        <w:lastRenderedPageBreak/>
        <w:drawing>
          <wp:inline distT="0" distB="0" distL="0" distR="0" wp14:anchorId="5515A63B" wp14:editId="3A970831">
            <wp:extent cx="5870451" cy="4892040"/>
            <wp:effectExtent l="0" t="0" r="0" b="0"/>
            <wp:docPr id="9" name="Picture 1" descr="C:\temp\1 WORK DOCUMENTS\DVXXX Calwell\maps\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 WORK DOCUMENTS\DVXXX Calwell\maps\location map.jpg"/>
                    <pic:cNvPicPr>
                      <a:picLocks noChangeAspect="1" noChangeArrowheads="1"/>
                    </pic:cNvPicPr>
                  </pic:nvPicPr>
                  <pic:blipFill>
                    <a:blip r:embed="rId15" cstate="print"/>
                    <a:srcRect/>
                    <a:stretch>
                      <a:fillRect/>
                    </a:stretch>
                  </pic:blipFill>
                  <pic:spPr bwMode="auto">
                    <a:xfrm>
                      <a:off x="0" y="0"/>
                      <a:ext cx="5892463" cy="4910383"/>
                    </a:xfrm>
                    <a:prstGeom prst="rect">
                      <a:avLst/>
                    </a:prstGeom>
                    <a:noFill/>
                    <a:ln w="9525">
                      <a:noFill/>
                      <a:miter lim="800000"/>
                      <a:headEnd/>
                      <a:tailEnd/>
                    </a:ln>
                  </pic:spPr>
                </pic:pic>
              </a:graphicData>
            </a:graphic>
          </wp:inline>
        </w:drawing>
      </w:r>
    </w:p>
    <w:p w:rsidR="007D1FF4" w:rsidRDefault="007D1FF4" w:rsidP="007D1FF4">
      <w:pPr>
        <w:pStyle w:val="BodyText"/>
      </w:pPr>
      <w:r>
        <w:rPr>
          <w:b/>
          <w:bCs/>
        </w:rPr>
        <w:t>Figure</w:t>
      </w:r>
      <w:r w:rsidRPr="00CA1108">
        <w:rPr>
          <w:b/>
          <w:bCs/>
        </w:rPr>
        <w:t xml:space="preserve"> 1: Site Plan </w:t>
      </w:r>
    </w:p>
    <w:p w:rsidR="001C7FD4" w:rsidRDefault="001C7FD4" w:rsidP="00D93017">
      <w:pPr>
        <w:pStyle w:val="BodyText"/>
      </w:pPr>
      <w:r>
        <w:br w:type="page"/>
      </w:r>
    </w:p>
    <w:p w:rsidR="001C7FD4" w:rsidRDefault="00F15049" w:rsidP="00D93017">
      <w:pPr>
        <w:pStyle w:val="Head2"/>
        <w:keepNext/>
        <w:rPr>
          <w:rFonts w:cs="Arial"/>
        </w:rPr>
      </w:pPr>
      <w:bookmarkStart w:id="8" w:name="_Toc29816840"/>
      <w:r>
        <w:rPr>
          <w:rFonts w:cs="Arial"/>
        </w:rPr>
        <w:lastRenderedPageBreak/>
        <w:t>Current Territory Plan Provisions</w:t>
      </w:r>
      <w:bookmarkEnd w:id="8"/>
    </w:p>
    <w:p w:rsidR="007D1FF4" w:rsidRDefault="007D1FF4" w:rsidP="007D1FF4">
      <w:pPr>
        <w:pStyle w:val="BodyText"/>
        <w:rPr>
          <w:b/>
        </w:rPr>
      </w:pPr>
      <w:r>
        <w:t xml:space="preserve">The Territory Plan map for the area subject to this draft variation is shown in </w:t>
      </w:r>
      <w:r>
        <w:rPr>
          <w:b/>
        </w:rPr>
        <w:t>Figure 2.</w:t>
      </w:r>
    </w:p>
    <w:p w:rsidR="007D1FF4" w:rsidRDefault="007D1FF4" w:rsidP="007D1FF4">
      <w:pPr>
        <w:pStyle w:val="BodyText"/>
        <w:rPr>
          <w:b/>
        </w:rPr>
      </w:pPr>
    </w:p>
    <w:p w:rsidR="007D1FF4" w:rsidRDefault="007D1FF4" w:rsidP="007D1FF4">
      <w:pPr>
        <w:pStyle w:val="BodyText"/>
        <w:rPr>
          <w:b/>
        </w:rPr>
      </w:pPr>
      <w:r>
        <w:rPr>
          <w:noProof/>
          <w:lang w:eastAsia="en-AU"/>
        </w:rPr>
        <w:drawing>
          <wp:inline distT="0" distB="0" distL="0" distR="0" wp14:anchorId="15B739F2" wp14:editId="3136A4E6">
            <wp:extent cx="5567674" cy="5524500"/>
            <wp:effectExtent l="0" t="0" r="0" b="0"/>
            <wp:docPr id="11" name="Picture 2" descr="C:\temp\1 WORK DOCUMENTS\DVXXX Calwell\maps\TP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 WORK DOCUMENTS\DVXXX Calwell\maps\TP existing.jpg"/>
                    <pic:cNvPicPr>
                      <a:picLocks noChangeAspect="1" noChangeArrowheads="1"/>
                    </pic:cNvPicPr>
                  </pic:nvPicPr>
                  <pic:blipFill>
                    <a:blip r:embed="rId16" cstate="print"/>
                    <a:srcRect/>
                    <a:stretch>
                      <a:fillRect/>
                    </a:stretch>
                  </pic:blipFill>
                  <pic:spPr bwMode="auto">
                    <a:xfrm>
                      <a:off x="0" y="0"/>
                      <a:ext cx="5575423" cy="5532189"/>
                    </a:xfrm>
                    <a:prstGeom prst="rect">
                      <a:avLst/>
                    </a:prstGeom>
                    <a:noFill/>
                    <a:ln w="9525">
                      <a:noFill/>
                      <a:miter lim="800000"/>
                      <a:headEnd/>
                      <a:tailEnd/>
                    </a:ln>
                  </pic:spPr>
                </pic:pic>
              </a:graphicData>
            </a:graphic>
          </wp:inline>
        </w:drawing>
      </w:r>
    </w:p>
    <w:p w:rsidR="007D1FF4" w:rsidRDefault="007D1FF4" w:rsidP="007D1FF4">
      <w:pPr>
        <w:pStyle w:val="BodyText"/>
        <w:rPr>
          <w:b/>
        </w:rPr>
      </w:pPr>
      <w:r>
        <w:rPr>
          <w:b/>
        </w:rPr>
        <w:t>Figure</w:t>
      </w:r>
      <w:r w:rsidRPr="002A155B">
        <w:rPr>
          <w:b/>
        </w:rPr>
        <w:t xml:space="preserve"> 2   Territory Plan Zones Map </w:t>
      </w:r>
    </w:p>
    <w:p w:rsidR="007D1FF4" w:rsidRDefault="007D1FF4" w:rsidP="007D1FF4">
      <w:pPr>
        <w:pStyle w:val="BodyText"/>
      </w:pPr>
    </w:p>
    <w:p w:rsidR="001C7FD4" w:rsidRPr="00E215A4" w:rsidRDefault="001C7FD4" w:rsidP="00DB6CD9">
      <w:pPr>
        <w:pStyle w:val="BodyText"/>
        <w:tabs>
          <w:tab w:val="left" w:pos="1134"/>
        </w:tabs>
        <w:rPr>
          <w:b/>
          <w:bCs/>
        </w:rPr>
      </w:pPr>
    </w:p>
    <w:p w:rsidR="001C7FD4" w:rsidRDefault="001C7FD4" w:rsidP="001C7FD4">
      <w:pPr>
        <w:pStyle w:val="BodyText"/>
        <w:jc w:val="center"/>
        <w:rPr>
          <w:b/>
        </w:rPr>
      </w:pPr>
    </w:p>
    <w:p w:rsidR="001C7FD4" w:rsidRDefault="001C7FD4" w:rsidP="001C7FD4">
      <w:pPr>
        <w:pStyle w:val="BodyText"/>
        <w:jc w:val="center"/>
        <w:rPr>
          <w:b/>
        </w:rPr>
      </w:pPr>
      <w:r>
        <w:rPr>
          <w:b/>
        </w:rPr>
        <w:br w:type="page"/>
      </w:r>
    </w:p>
    <w:p w:rsidR="001C7FD4" w:rsidRDefault="001C7FD4" w:rsidP="00D93017">
      <w:pPr>
        <w:pStyle w:val="Head2"/>
        <w:keepNext/>
        <w:rPr>
          <w:rFonts w:cs="Arial"/>
        </w:rPr>
      </w:pPr>
      <w:bookmarkStart w:id="9" w:name="_Toc29816841"/>
      <w:r>
        <w:rPr>
          <w:rFonts w:cs="Arial"/>
        </w:rPr>
        <w:lastRenderedPageBreak/>
        <w:t>Changes to the Territory Plan</w:t>
      </w:r>
      <w:bookmarkEnd w:id="9"/>
    </w:p>
    <w:p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rsidR="001C7FD4" w:rsidRDefault="001C7FD4" w:rsidP="00D93017">
      <w:pPr>
        <w:pStyle w:val="Head2"/>
        <w:keepNext/>
        <w:rPr>
          <w:rFonts w:cs="Arial"/>
        </w:rPr>
      </w:pPr>
      <w:bookmarkStart w:id="10" w:name="_Toc29816842"/>
      <w:r>
        <w:rPr>
          <w:rFonts w:cs="Arial"/>
        </w:rPr>
        <w:t xml:space="preserve">Consultation on the </w:t>
      </w:r>
      <w:r w:rsidR="00DB6CD9">
        <w:rPr>
          <w:rFonts w:cs="Arial"/>
        </w:rPr>
        <w:t>Draft Variation</w:t>
      </w:r>
      <w:bookmarkEnd w:id="10"/>
    </w:p>
    <w:p w:rsidR="00981216" w:rsidRDefault="00981216" w:rsidP="00981216">
      <w:pPr>
        <w:pStyle w:val="BodyText"/>
      </w:pPr>
      <w:r>
        <w:t xml:space="preserve">Draft Variation No 355 (DV355) was released for public comment between Friday 10 August 2018 and Monday 24 September 2018. A consultation notice under section 63 of the </w:t>
      </w:r>
      <w:r w:rsidRPr="009842A5">
        <w:rPr>
          <w:i/>
        </w:rPr>
        <w:t xml:space="preserve">Planning and </w:t>
      </w:r>
      <w:r>
        <w:rPr>
          <w:i/>
        </w:rPr>
        <w:t>Development</w:t>
      </w:r>
      <w:r w:rsidRPr="009842A5">
        <w:rPr>
          <w:i/>
        </w:rPr>
        <w:t xml:space="preserve"> Act </w:t>
      </w:r>
      <w:r>
        <w:rPr>
          <w:i/>
        </w:rPr>
        <w:t>2007</w:t>
      </w:r>
      <w:r>
        <w:t xml:space="preserve"> (P&amp;D Act) was published on the ACT Legislation Register on Friday 10 August 2018.</w:t>
      </w:r>
    </w:p>
    <w:p w:rsidR="00981216" w:rsidRPr="00AA409C" w:rsidRDefault="00981216" w:rsidP="00981216">
      <w:r w:rsidRPr="00AA409C">
        <w:t>A total of three written submissions were received and the following key issues were raised:</w:t>
      </w:r>
    </w:p>
    <w:p w:rsidR="00981216" w:rsidRPr="00AA409C" w:rsidRDefault="00981216" w:rsidP="00981216">
      <w:pPr>
        <w:numPr>
          <w:ilvl w:val="0"/>
          <w:numId w:val="23"/>
        </w:numPr>
      </w:pPr>
      <w:r w:rsidRPr="00AA409C">
        <w:t>Building heights – 1 submission</w:t>
      </w:r>
    </w:p>
    <w:p w:rsidR="00981216" w:rsidRPr="00AA409C" w:rsidRDefault="00981216" w:rsidP="00981216">
      <w:pPr>
        <w:numPr>
          <w:ilvl w:val="0"/>
          <w:numId w:val="23"/>
        </w:numPr>
      </w:pPr>
      <w:r w:rsidRPr="00AA409C">
        <w:t xml:space="preserve">Implications for redevelopment on block 41 section 787 </w:t>
      </w:r>
      <w:proofErr w:type="spellStart"/>
      <w:r w:rsidRPr="00AA409C">
        <w:t>Calwell</w:t>
      </w:r>
      <w:proofErr w:type="spellEnd"/>
      <w:r w:rsidRPr="00AA409C">
        <w:t xml:space="preserve"> – 1 submission</w:t>
      </w:r>
    </w:p>
    <w:p w:rsidR="00981216" w:rsidRPr="00AA409C" w:rsidRDefault="00981216" w:rsidP="00981216">
      <w:pPr>
        <w:numPr>
          <w:ilvl w:val="0"/>
          <w:numId w:val="23"/>
        </w:numPr>
      </w:pPr>
      <w:r w:rsidRPr="00AA409C">
        <w:t>Commercial services – 1 submission</w:t>
      </w:r>
    </w:p>
    <w:p w:rsidR="00981216" w:rsidRPr="00AA409C" w:rsidRDefault="00981216" w:rsidP="00981216">
      <w:pPr>
        <w:numPr>
          <w:ilvl w:val="0"/>
          <w:numId w:val="23"/>
        </w:numPr>
      </w:pPr>
      <w:r w:rsidRPr="00AA409C">
        <w:t>Planning process and consultation – 1 submission</w:t>
      </w:r>
    </w:p>
    <w:p w:rsidR="00981216" w:rsidRPr="00AA409C" w:rsidRDefault="00981216" w:rsidP="00981216">
      <w:pPr>
        <w:numPr>
          <w:ilvl w:val="0"/>
          <w:numId w:val="23"/>
        </w:numPr>
      </w:pPr>
      <w:r w:rsidRPr="00AA409C">
        <w:t>Car parking within the group centre – 1 submission</w:t>
      </w:r>
    </w:p>
    <w:p w:rsidR="00981216" w:rsidRPr="00AA409C" w:rsidRDefault="00981216" w:rsidP="00981216">
      <w:pPr>
        <w:numPr>
          <w:ilvl w:val="0"/>
          <w:numId w:val="23"/>
        </w:numPr>
      </w:pPr>
      <w:r w:rsidRPr="00AA409C">
        <w:t>Solar access to pedestrian pathways – 1 submission</w:t>
      </w:r>
    </w:p>
    <w:p w:rsidR="00981216" w:rsidRPr="00AA409C" w:rsidRDefault="00981216" w:rsidP="00981216">
      <w:pPr>
        <w:numPr>
          <w:ilvl w:val="0"/>
          <w:numId w:val="23"/>
        </w:numPr>
      </w:pPr>
      <w:r w:rsidRPr="00AA409C">
        <w:t>Plot ratio – 1 submission</w:t>
      </w:r>
    </w:p>
    <w:p w:rsidR="00981216" w:rsidRPr="00AA409C" w:rsidRDefault="008914A7" w:rsidP="00981216">
      <w:pPr>
        <w:numPr>
          <w:ilvl w:val="0"/>
          <w:numId w:val="23"/>
        </w:numPr>
      </w:pPr>
      <w:r>
        <w:t xml:space="preserve">Focus on the </w:t>
      </w:r>
      <w:proofErr w:type="spellStart"/>
      <w:r>
        <w:t>Calwell</w:t>
      </w:r>
      <w:proofErr w:type="spellEnd"/>
      <w:r>
        <w:t xml:space="preserve"> Group C</w:t>
      </w:r>
      <w:r w:rsidR="00981216" w:rsidRPr="00AA409C">
        <w:t>entre – 2 submissions</w:t>
      </w:r>
    </w:p>
    <w:p w:rsidR="00981216" w:rsidRPr="00AA409C" w:rsidRDefault="00981216" w:rsidP="00981216">
      <w:pPr>
        <w:numPr>
          <w:ilvl w:val="0"/>
          <w:numId w:val="23"/>
        </w:numPr>
      </w:pPr>
      <w:r w:rsidRPr="00AA409C">
        <w:t>Community uses – 1 submission</w:t>
      </w:r>
    </w:p>
    <w:p w:rsidR="00981216" w:rsidRPr="00AA409C" w:rsidRDefault="00981216" w:rsidP="00981216">
      <w:pPr>
        <w:numPr>
          <w:ilvl w:val="0"/>
          <w:numId w:val="23"/>
        </w:numPr>
      </w:pPr>
      <w:r w:rsidRPr="00AA409C">
        <w:t>Playground and pedestrian path upgrades within the group centre – 1 submission each</w:t>
      </w:r>
    </w:p>
    <w:p w:rsidR="00981216" w:rsidRPr="00AA409C" w:rsidRDefault="00981216" w:rsidP="00981216">
      <w:pPr>
        <w:numPr>
          <w:ilvl w:val="0"/>
          <w:numId w:val="23"/>
        </w:numPr>
      </w:pPr>
      <w:r w:rsidRPr="00AA409C">
        <w:t>Upgrades and provisions for area outside the group centre – 2 submissions.</w:t>
      </w:r>
    </w:p>
    <w:p w:rsidR="00981216" w:rsidRDefault="00981216" w:rsidP="00981216">
      <w:pPr>
        <w:pStyle w:val="BodyText"/>
      </w:pPr>
    </w:p>
    <w:p w:rsidR="006764C0" w:rsidRDefault="00BE4E8D" w:rsidP="00006764">
      <w:pPr>
        <w:pStyle w:val="BodyText"/>
        <w:spacing w:after="240"/>
      </w:pPr>
      <w:r>
        <w:t>The a</w:t>
      </w:r>
      <w:r w:rsidR="006764C0">
        <w:t xml:space="preserve">bove issues were considered and </w:t>
      </w:r>
      <w:r>
        <w:t xml:space="preserve">are </w:t>
      </w:r>
      <w:r w:rsidR="006764C0">
        <w:t xml:space="preserve">detailed in a report on consultation.  </w:t>
      </w:r>
      <w:r w:rsidR="008B77D9" w:rsidRPr="00981216">
        <w:t xml:space="preserve">Changes were </w:t>
      </w:r>
      <w:r w:rsidR="00981216">
        <w:t xml:space="preserve">made to the draft variation DV355 that was recommended to the Minister.  These changes were </w:t>
      </w:r>
      <w:r w:rsidR="008B77D9" w:rsidRPr="00981216">
        <w:t xml:space="preserve">informed by the issues raised.  </w:t>
      </w:r>
      <w:r>
        <w:t>The outcomes of consultation</w:t>
      </w:r>
      <w:r w:rsidR="006764C0">
        <w:t xml:space="preserve"> were considered by the Minister </w:t>
      </w:r>
      <w:r w:rsidR="00B02B3E">
        <w:t xml:space="preserve">for Planning and Land Management </w:t>
      </w:r>
      <w:r w:rsidR="006764C0">
        <w:t>responsible for planning prior to approval of this variation.</w:t>
      </w:r>
    </w:p>
    <w:p w:rsidR="00006764" w:rsidRDefault="00006764" w:rsidP="00006764">
      <w:pPr>
        <w:pStyle w:val="BodyText"/>
        <w:spacing w:after="0"/>
      </w:pPr>
    </w:p>
    <w:p w:rsidR="001C7FD4" w:rsidRDefault="001C7FD4" w:rsidP="00D93017">
      <w:pPr>
        <w:pStyle w:val="Head2"/>
        <w:keepNext/>
        <w:rPr>
          <w:rFonts w:cs="Arial"/>
        </w:rPr>
      </w:pPr>
      <w:bookmarkStart w:id="11" w:name="_Toc29816843"/>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1"/>
    </w:p>
    <w:p w:rsidR="00BE4E8D" w:rsidRDefault="00BE4E8D" w:rsidP="00BE4E8D">
      <w:pPr>
        <w:pStyle w:val="BodyText"/>
        <w:spacing w:after="240"/>
      </w:pPr>
      <w:r>
        <w:t>The following</w:t>
      </w:r>
      <w:r w:rsidR="0043284E">
        <w:t xml:space="preserve"> changes were made </w:t>
      </w:r>
      <w:r w:rsidR="00E8768E">
        <w:t>as directed by the Minister for Planning and Land Management</w:t>
      </w:r>
      <w:r w:rsidR="00B02B3E">
        <w:t xml:space="preserve"> under section 76(2)(b)(iv). C</w:t>
      </w:r>
      <w:r w:rsidR="00E8768E">
        <w:t>onsistent with the ACT Government Response to the Standing Committee Report number 10 which was tabled in the Legislative Assembly on 26 November 2019</w:t>
      </w:r>
      <w:r w:rsidR="0043284E">
        <w:t>:</w:t>
      </w:r>
    </w:p>
    <w:p w:rsidR="0043284E" w:rsidRPr="00BD33EC" w:rsidRDefault="00BD33EC" w:rsidP="0043284E">
      <w:pPr>
        <w:pStyle w:val="BodyText"/>
        <w:numPr>
          <w:ilvl w:val="0"/>
          <w:numId w:val="20"/>
        </w:numPr>
        <w:spacing w:after="240"/>
      </w:pPr>
      <w:r w:rsidRPr="00BD33EC">
        <w:t xml:space="preserve">Rule 2 was revised to allow residential ground floor uses on block 41 section 787 </w:t>
      </w:r>
      <w:proofErr w:type="spellStart"/>
      <w:r w:rsidRPr="00BD33EC">
        <w:t>Calwell</w:t>
      </w:r>
      <w:proofErr w:type="spellEnd"/>
      <w:r w:rsidRPr="00BD33EC">
        <w:t xml:space="preserve"> except along the primary active frontages.</w:t>
      </w:r>
    </w:p>
    <w:p w:rsidR="00BD33EC" w:rsidRPr="00BD33EC" w:rsidRDefault="00BD33EC" w:rsidP="0043284E">
      <w:pPr>
        <w:pStyle w:val="BodyText"/>
        <w:numPr>
          <w:ilvl w:val="0"/>
          <w:numId w:val="20"/>
        </w:numPr>
        <w:spacing w:after="240"/>
      </w:pPr>
      <w:r w:rsidRPr="00BD33EC">
        <w:t xml:space="preserve">Figure 1 was amended to identify block 41 section 787 as a location for residential ground floor uses. </w:t>
      </w:r>
    </w:p>
    <w:p w:rsidR="00BE4E8D" w:rsidRDefault="00BE4E8D" w:rsidP="009B3BED">
      <w:pPr>
        <w:pStyle w:val="BodyText"/>
        <w:spacing w:after="0"/>
      </w:pPr>
    </w:p>
    <w:p w:rsidR="001C7FD4" w:rsidRDefault="001C7FD4" w:rsidP="0092522E">
      <w:pPr>
        <w:pStyle w:val="Head1"/>
        <w:numPr>
          <w:ilvl w:val="0"/>
          <w:numId w:val="3"/>
        </w:numPr>
        <w:tabs>
          <w:tab w:val="clear" w:pos="567"/>
          <w:tab w:val="clear" w:pos="851"/>
        </w:tabs>
        <w:rPr>
          <w:rFonts w:cs="Arial"/>
        </w:rPr>
      </w:pPr>
      <w:bookmarkStart w:id="12" w:name="_Toc29816844"/>
      <w:r>
        <w:rPr>
          <w:rFonts w:cs="Arial"/>
        </w:rPr>
        <w:t>VARIATION</w:t>
      </w:r>
      <w:bookmarkEnd w:id="12"/>
      <w:r w:rsidR="00D5669E">
        <w:rPr>
          <w:rFonts w:cs="Arial"/>
        </w:rPr>
        <w:t xml:space="preserve"> </w:t>
      </w:r>
    </w:p>
    <w:p w:rsidR="006C39CF" w:rsidRDefault="006C39CF" w:rsidP="00D93017">
      <w:pPr>
        <w:pStyle w:val="Head2"/>
        <w:keepNext/>
        <w:rPr>
          <w:rFonts w:cs="Arial"/>
        </w:rPr>
      </w:pPr>
      <w:bookmarkStart w:id="13" w:name="_Toc29816845"/>
      <w:bookmarkStart w:id="14" w:name="_Toc189989954"/>
      <w:r>
        <w:rPr>
          <w:rFonts w:cs="Arial"/>
        </w:rPr>
        <w:t>Variation to the Territory Plan</w:t>
      </w:r>
      <w:r w:rsidR="00981216">
        <w:rPr>
          <w:rFonts w:cs="Arial"/>
        </w:rPr>
        <w:t xml:space="preserve"> map</w:t>
      </w:r>
      <w:bookmarkEnd w:id="13"/>
      <w:r>
        <w:rPr>
          <w:rFonts w:cs="Arial"/>
        </w:rPr>
        <w:t xml:space="preserve"> </w:t>
      </w:r>
    </w:p>
    <w:p w:rsidR="00D458BB" w:rsidRDefault="00D458BB" w:rsidP="00D93017">
      <w:pPr>
        <w:pStyle w:val="BodyText"/>
      </w:pPr>
      <w:r>
        <w:t xml:space="preserve">The Territory Plan map is varied </w:t>
      </w:r>
      <w:r w:rsidR="008B77D9">
        <w:t>in all of the following ways:</w:t>
      </w:r>
    </w:p>
    <w:p w:rsidR="00981216" w:rsidRPr="00211049" w:rsidRDefault="00981216" w:rsidP="00D93017">
      <w:pPr>
        <w:pStyle w:val="BodyText"/>
      </w:pPr>
      <w:r>
        <w:rPr>
          <w:i/>
          <w:noProof/>
          <w:lang w:eastAsia="en-AU"/>
        </w:rPr>
        <w:drawing>
          <wp:inline distT="0" distB="0" distL="0" distR="0" wp14:anchorId="2B90BB9A" wp14:editId="6A79DCEF">
            <wp:extent cx="5616575" cy="5540741"/>
            <wp:effectExtent l="0" t="0" r="0" b="0"/>
            <wp:docPr id="12" name="Picture 3" descr="C:\temp\1 WORK DOCUMENTS\DVXXX Calwell\maps\TP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1 WORK DOCUMENTS\DVXXX Calwell\maps\TP proposed.jpg"/>
                    <pic:cNvPicPr>
                      <a:picLocks noChangeAspect="1" noChangeArrowheads="1"/>
                    </pic:cNvPicPr>
                  </pic:nvPicPr>
                  <pic:blipFill>
                    <a:blip r:embed="rId17" cstate="print"/>
                    <a:srcRect/>
                    <a:stretch>
                      <a:fillRect/>
                    </a:stretch>
                  </pic:blipFill>
                  <pic:spPr bwMode="auto">
                    <a:xfrm>
                      <a:off x="0" y="0"/>
                      <a:ext cx="5616575" cy="5540741"/>
                    </a:xfrm>
                    <a:prstGeom prst="rect">
                      <a:avLst/>
                    </a:prstGeom>
                    <a:noFill/>
                    <a:ln w="9525">
                      <a:noFill/>
                      <a:miter lim="800000"/>
                      <a:headEnd/>
                      <a:tailEnd/>
                    </a:ln>
                  </pic:spPr>
                </pic:pic>
              </a:graphicData>
            </a:graphic>
          </wp:inline>
        </w:drawing>
      </w:r>
    </w:p>
    <w:p w:rsidR="00981216" w:rsidRDefault="00981216">
      <w:pPr>
        <w:rPr>
          <w:rFonts w:cs="Arial"/>
        </w:rPr>
      </w:pPr>
      <w:r>
        <w:br w:type="page"/>
      </w:r>
    </w:p>
    <w:p w:rsidR="00981216" w:rsidRPr="00813359" w:rsidRDefault="00981216" w:rsidP="00813359">
      <w:pPr>
        <w:pStyle w:val="Head2"/>
        <w:keepNext/>
        <w:rPr>
          <w:rFonts w:cs="Arial"/>
        </w:rPr>
      </w:pPr>
      <w:bookmarkStart w:id="15" w:name="_Toc1467546"/>
      <w:bookmarkStart w:id="16" w:name="_Toc29816846"/>
      <w:bookmarkEnd w:id="14"/>
      <w:r w:rsidRPr="00981216">
        <w:rPr>
          <w:rFonts w:cs="Arial"/>
        </w:rPr>
        <w:lastRenderedPageBreak/>
        <w:t>Variation</w:t>
      </w:r>
      <w:r w:rsidRPr="00813359">
        <w:rPr>
          <w:rFonts w:cs="Arial"/>
        </w:rPr>
        <w:t xml:space="preserve"> to the Territory Plan</w:t>
      </w:r>
      <w:bookmarkEnd w:id="15"/>
      <w:bookmarkEnd w:id="16"/>
      <w:r w:rsidRPr="00813359">
        <w:rPr>
          <w:rFonts w:cs="Arial"/>
        </w:rPr>
        <w:t xml:space="preserve"> </w:t>
      </w:r>
    </w:p>
    <w:p w:rsidR="00981216" w:rsidRPr="00981216" w:rsidRDefault="00981216" w:rsidP="00981216">
      <w:pPr>
        <w:spacing w:before="240" w:after="240"/>
        <w:outlineLvl w:val="3"/>
        <w:rPr>
          <w:sz w:val="32"/>
          <w:lang w:eastAsia="en-AU"/>
        </w:rPr>
      </w:pPr>
      <w:r w:rsidRPr="00981216">
        <w:rPr>
          <w:rFonts w:cs="Arial"/>
        </w:rPr>
        <w:t>The Territory Plan is varied in all of the following ways:</w:t>
      </w:r>
    </w:p>
    <w:p w:rsidR="00981216" w:rsidRPr="00981216" w:rsidRDefault="00981216" w:rsidP="00981216">
      <w:pPr>
        <w:spacing w:before="240" w:after="240"/>
        <w:outlineLvl w:val="3"/>
        <w:rPr>
          <w:sz w:val="32"/>
          <w:lang w:eastAsia="en-AU"/>
        </w:rPr>
      </w:pPr>
      <w:r w:rsidRPr="00981216">
        <w:rPr>
          <w:sz w:val="32"/>
          <w:lang w:eastAsia="en-AU"/>
        </w:rPr>
        <w:t xml:space="preserve">Variation to the </w:t>
      </w:r>
      <w:proofErr w:type="spellStart"/>
      <w:r w:rsidRPr="00981216">
        <w:rPr>
          <w:sz w:val="32"/>
          <w:lang w:eastAsia="en-AU"/>
        </w:rPr>
        <w:t>Calwell</w:t>
      </w:r>
      <w:proofErr w:type="spellEnd"/>
      <w:r w:rsidR="008914A7">
        <w:rPr>
          <w:sz w:val="32"/>
          <w:lang w:eastAsia="en-AU"/>
        </w:rPr>
        <w:t xml:space="preserve"> Precinct M</w:t>
      </w:r>
      <w:r w:rsidRPr="00981216">
        <w:rPr>
          <w:sz w:val="32"/>
          <w:lang w:eastAsia="en-AU"/>
        </w:rPr>
        <w:t>ap and</w:t>
      </w:r>
      <w:r w:rsidRPr="00981216">
        <w:rPr>
          <w:i/>
          <w:sz w:val="32"/>
          <w:lang w:eastAsia="en-AU"/>
        </w:rPr>
        <w:t xml:space="preserve"> </w:t>
      </w:r>
      <w:r w:rsidRPr="00981216">
        <w:rPr>
          <w:sz w:val="32"/>
          <w:lang w:eastAsia="en-AU"/>
        </w:rPr>
        <w:t>Code</w:t>
      </w:r>
    </w:p>
    <w:p w:rsidR="00981216" w:rsidRPr="00981216" w:rsidRDefault="00981216" w:rsidP="00981216">
      <w:pPr>
        <w:pBdr>
          <w:top w:val="single" w:sz="4" w:space="1" w:color="auto"/>
          <w:left w:val="single" w:sz="4" w:space="4" w:color="auto"/>
          <w:bottom w:val="single" w:sz="4" w:space="1" w:color="auto"/>
          <w:right w:val="single" w:sz="4" w:space="4" w:color="auto"/>
        </w:pBdr>
        <w:shd w:val="clear" w:color="auto" w:fill="D9D9D9"/>
        <w:rPr>
          <w:b/>
          <w:szCs w:val="24"/>
          <w:lang w:eastAsia="en-AU"/>
        </w:rPr>
      </w:pPr>
      <w:r w:rsidRPr="00981216">
        <w:rPr>
          <w:b/>
          <w:szCs w:val="24"/>
          <w:lang w:eastAsia="en-AU"/>
        </w:rPr>
        <w:t xml:space="preserve">2. </w:t>
      </w:r>
      <w:r w:rsidRPr="00981216">
        <w:rPr>
          <w:b/>
          <w:szCs w:val="24"/>
          <w:lang w:eastAsia="en-AU"/>
        </w:rPr>
        <w:tab/>
        <w:t xml:space="preserve">Precinct map and code, </w:t>
      </w:r>
      <w:proofErr w:type="spellStart"/>
      <w:r w:rsidRPr="00981216">
        <w:rPr>
          <w:b/>
          <w:szCs w:val="24"/>
          <w:lang w:eastAsia="en-AU"/>
        </w:rPr>
        <w:t>Calwell</w:t>
      </w:r>
      <w:proofErr w:type="spellEnd"/>
      <w:r w:rsidRPr="00981216">
        <w:rPr>
          <w:b/>
          <w:szCs w:val="24"/>
          <w:lang w:eastAsia="en-AU"/>
        </w:rPr>
        <w:t xml:space="preserve"> Precinct Code</w:t>
      </w:r>
    </w:p>
    <w:p w:rsidR="00981216" w:rsidRPr="00981216" w:rsidRDefault="00981216" w:rsidP="00981216">
      <w:pPr>
        <w:keepLines/>
        <w:spacing w:before="360" w:after="120" w:line="288" w:lineRule="auto"/>
        <w:rPr>
          <w:rFonts w:cs="Arial"/>
          <w:i/>
        </w:rPr>
      </w:pPr>
      <w:r w:rsidRPr="00981216">
        <w:rPr>
          <w:rFonts w:cs="Arial"/>
          <w:i/>
        </w:rPr>
        <w:t>Substitute all of the following with the nominated attachments</w:t>
      </w:r>
    </w:p>
    <w:p w:rsidR="00981216" w:rsidRPr="00981216" w:rsidRDefault="00981216" w:rsidP="00981216">
      <w:pPr>
        <w:keepLines/>
        <w:spacing w:after="120" w:line="288" w:lineRule="auto"/>
        <w:rPr>
          <w:rFonts w:cs="Arial"/>
        </w:rPr>
      </w:pPr>
      <w:proofErr w:type="spellStart"/>
      <w:r w:rsidRPr="00981216">
        <w:rPr>
          <w:rFonts w:cs="Arial"/>
        </w:rPr>
        <w:t>Calwell</w:t>
      </w:r>
      <w:proofErr w:type="spellEnd"/>
      <w:r w:rsidRPr="00981216">
        <w:rPr>
          <w:rFonts w:cs="Arial"/>
        </w:rPr>
        <w:t xml:space="preserve"> Precinct Map – Attachment A</w:t>
      </w:r>
    </w:p>
    <w:p w:rsidR="00981216" w:rsidRPr="00981216" w:rsidRDefault="00981216" w:rsidP="00981216">
      <w:pPr>
        <w:keepLines/>
        <w:spacing w:after="120" w:line="288" w:lineRule="auto"/>
        <w:rPr>
          <w:rFonts w:cs="Arial"/>
        </w:rPr>
      </w:pPr>
      <w:proofErr w:type="spellStart"/>
      <w:r w:rsidRPr="00981216">
        <w:rPr>
          <w:rFonts w:cs="Arial"/>
        </w:rPr>
        <w:t>Calwell</w:t>
      </w:r>
      <w:proofErr w:type="spellEnd"/>
      <w:r w:rsidRPr="00981216">
        <w:rPr>
          <w:rFonts w:cs="Arial"/>
        </w:rPr>
        <w:t xml:space="preserve"> Precinct Code, RC1 – </w:t>
      </w:r>
      <w:proofErr w:type="spellStart"/>
      <w:r w:rsidRPr="00981216">
        <w:rPr>
          <w:rFonts w:cs="Arial"/>
        </w:rPr>
        <w:t>Calwell</w:t>
      </w:r>
      <w:proofErr w:type="spellEnd"/>
      <w:r w:rsidRPr="00981216">
        <w:rPr>
          <w:rFonts w:cs="Arial"/>
        </w:rPr>
        <w:t xml:space="preserve"> Group Centre – Attachment B</w:t>
      </w:r>
    </w:p>
    <w:p w:rsidR="00981216" w:rsidRPr="00981216" w:rsidRDefault="00981216" w:rsidP="00981216">
      <w:pPr>
        <w:keepLines/>
        <w:spacing w:after="120" w:line="288" w:lineRule="auto"/>
        <w:rPr>
          <w:rFonts w:cs="Arial"/>
          <w:i/>
        </w:rPr>
      </w:pPr>
      <w:r w:rsidRPr="00981216">
        <w:rPr>
          <w:rFonts w:cs="Arial"/>
          <w:i/>
        </w:rPr>
        <w:t xml:space="preserve">Insert </w:t>
      </w:r>
    </w:p>
    <w:p w:rsidR="00981216" w:rsidRPr="00981216" w:rsidRDefault="00981216" w:rsidP="00981216">
      <w:pPr>
        <w:keepLines/>
        <w:spacing w:after="120" w:line="288" w:lineRule="auto"/>
        <w:rPr>
          <w:rFonts w:cs="Arial"/>
        </w:rPr>
      </w:pPr>
      <w:r w:rsidRPr="00981216">
        <w:rPr>
          <w:rFonts w:cs="Arial"/>
        </w:rPr>
        <w:t xml:space="preserve">RC2 – </w:t>
      </w:r>
      <w:proofErr w:type="spellStart"/>
      <w:r w:rsidRPr="00981216">
        <w:rPr>
          <w:rFonts w:cs="Arial"/>
        </w:rPr>
        <w:t>Calwell</w:t>
      </w:r>
      <w:proofErr w:type="spellEnd"/>
      <w:r w:rsidRPr="00981216">
        <w:rPr>
          <w:rFonts w:cs="Arial"/>
        </w:rPr>
        <w:t xml:space="preserve"> Community Facilities – Attachment C</w:t>
      </w:r>
    </w:p>
    <w:p w:rsidR="00981216" w:rsidRPr="00981216" w:rsidRDefault="00981216" w:rsidP="00981216">
      <w:pPr>
        <w:keepLines/>
        <w:spacing w:before="360" w:after="120" w:line="288" w:lineRule="auto"/>
        <w:rPr>
          <w:rFonts w:cs="Arial"/>
          <w:i/>
        </w:rPr>
      </w:pPr>
      <w:r w:rsidRPr="00981216">
        <w:rPr>
          <w:rFonts w:cs="Arial"/>
          <w:i/>
        </w:rPr>
        <w:t>Renumber</w:t>
      </w:r>
    </w:p>
    <w:p w:rsidR="00981216" w:rsidRPr="00981216" w:rsidRDefault="00981216" w:rsidP="00981216">
      <w:pPr>
        <w:keepLines/>
        <w:spacing w:after="120" w:line="288" w:lineRule="auto"/>
        <w:rPr>
          <w:rFonts w:cs="Arial"/>
        </w:rPr>
      </w:pPr>
      <w:r w:rsidRPr="00981216">
        <w:rPr>
          <w:rFonts w:cs="Arial"/>
        </w:rPr>
        <w:t xml:space="preserve">RC2 – </w:t>
      </w:r>
      <w:proofErr w:type="spellStart"/>
      <w:r w:rsidRPr="00981216">
        <w:rPr>
          <w:rFonts w:cs="Arial"/>
        </w:rPr>
        <w:t>Calwell</w:t>
      </w:r>
      <w:proofErr w:type="spellEnd"/>
      <w:r w:rsidRPr="00981216">
        <w:rPr>
          <w:rFonts w:cs="Arial"/>
        </w:rPr>
        <w:t xml:space="preserve"> / </w:t>
      </w:r>
      <w:proofErr w:type="spellStart"/>
      <w:r w:rsidRPr="00981216">
        <w:rPr>
          <w:rFonts w:cs="Arial"/>
        </w:rPr>
        <w:t>Conder</w:t>
      </w:r>
      <w:proofErr w:type="spellEnd"/>
      <w:r w:rsidRPr="00981216">
        <w:rPr>
          <w:rFonts w:cs="Arial"/>
        </w:rPr>
        <w:t xml:space="preserve"> Fire Station to RC3 – </w:t>
      </w:r>
      <w:proofErr w:type="spellStart"/>
      <w:r w:rsidRPr="00981216">
        <w:rPr>
          <w:rFonts w:cs="Arial"/>
        </w:rPr>
        <w:t>Calwell</w:t>
      </w:r>
      <w:proofErr w:type="spellEnd"/>
      <w:r w:rsidRPr="00981216">
        <w:rPr>
          <w:rFonts w:cs="Arial"/>
        </w:rPr>
        <w:t xml:space="preserve"> / </w:t>
      </w:r>
      <w:proofErr w:type="spellStart"/>
      <w:r w:rsidRPr="00981216">
        <w:rPr>
          <w:rFonts w:cs="Arial"/>
        </w:rPr>
        <w:t>Conder</w:t>
      </w:r>
      <w:proofErr w:type="spellEnd"/>
      <w:r w:rsidRPr="00981216">
        <w:rPr>
          <w:rFonts w:cs="Arial"/>
        </w:rPr>
        <w:t xml:space="preserve"> Fire Station</w:t>
      </w:r>
    </w:p>
    <w:p w:rsidR="00981216" w:rsidRPr="00981216" w:rsidRDefault="00981216" w:rsidP="00981216">
      <w:pPr>
        <w:keepLines/>
        <w:spacing w:before="360" w:after="120" w:line="288" w:lineRule="auto"/>
        <w:rPr>
          <w:rFonts w:cs="Arial"/>
          <w:i/>
        </w:rPr>
      </w:pPr>
      <w:r w:rsidRPr="00981216">
        <w:rPr>
          <w:rFonts w:cs="Arial"/>
          <w:i/>
        </w:rPr>
        <w:t>Substitute</w:t>
      </w:r>
    </w:p>
    <w:p w:rsidR="00981216" w:rsidRPr="00981216" w:rsidRDefault="00981216" w:rsidP="00981216">
      <w:pPr>
        <w:keepLines/>
        <w:spacing w:after="120" w:line="288" w:lineRule="auto"/>
        <w:rPr>
          <w:rFonts w:cs="Arial"/>
        </w:rPr>
      </w:pPr>
      <w:r w:rsidRPr="00981216">
        <w:rPr>
          <w:rFonts w:cs="Arial"/>
        </w:rPr>
        <w:t xml:space="preserve">This part applies to blocks and parcels identified in area RC2 shown on the </w:t>
      </w:r>
      <w:proofErr w:type="spellStart"/>
      <w:r w:rsidRPr="00981216">
        <w:rPr>
          <w:rFonts w:cs="Arial"/>
        </w:rPr>
        <w:t>Calwell</w:t>
      </w:r>
      <w:proofErr w:type="spellEnd"/>
      <w:r w:rsidRPr="00981216">
        <w:rPr>
          <w:rFonts w:cs="Arial"/>
        </w:rPr>
        <w:t xml:space="preserve"> Precinct Map </w:t>
      </w:r>
    </w:p>
    <w:p w:rsidR="00981216" w:rsidRPr="00981216" w:rsidRDefault="00981216" w:rsidP="00981216">
      <w:pPr>
        <w:keepLines/>
        <w:spacing w:after="120" w:line="288" w:lineRule="auto"/>
        <w:rPr>
          <w:rFonts w:cs="Arial"/>
        </w:rPr>
      </w:pPr>
      <w:r w:rsidRPr="00981216">
        <w:rPr>
          <w:rFonts w:cs="Arial"/>
        </w:rPr>
        <w:t>with</w:t>
      </w:r>
    </w:p>
    <w:p w:rsidR="00981216" w:rsidRPr="00981216" w:rsidRDefault="00981216" w:rsidP="00981216">
      <w:pPr>
        <w:keepLines/>
        <w:spacing w:after="120" w:line="288" w:lineRule="auto"/>
        <w:rPr>
          <w:rFonts w:cs="Arial"/>
        </w:rPr>
      </w:pPr>
      <w:r w:rsidRPr="00981216">
        <w:rPr>
          <w:rFonts w:cs="Arial"/>
        </w:rPr>
        <w:t xml:space="preserve">This part applies to blocks and parcels identified in area RC3 shown on the </w:t>
      </w:r>
      <w:proofErr w:type="spellStart"/>
      <w:r w:rsidRPr="00981216">
        <w:rPr>
          <w:rFonts w:cs="Arial"/>
        </w:rPr>
        <w:t>Calwell</w:t>
      </w:r>
      <w:proofErr w:type="spellEnd"/>
      <w:r w:rsidRPr="00981216">
        <w:rPr>
          <w:rFonts w:cs="Arial"/>
        </w:rPr>
        <w:t xml:space="preserve"> Precinct Map</w:t>
      </w:r>
    </w:p>
    <w:p w:rsidR="00981216" w:rsidRPr="00981216" w:rsidRDefault="00981216" w:rsidP="00981216">
      <w:pPr>
        <w:keepLines/>
        <w:spacing w:before="360" w:after="120" w:line="288" w:lineRule="auto"/>
        <w:rPr>
          <w:rFonts w:cs="Arial"/>
          <w:i/>
        </w:rPr>
      </w:pPr>
      <w:r w:rsidRPr="00981216">
        <w:rPr>
          <w:rFonts w:cs="Arial"/>
          <w:i/>
        </w:rPr>
        <w:t>Renumber all components within the new RC3 as follows:</w:t>
      </w:r>
    </w:p>
    <w:p w:rsidR="00981216" w:rsidRPr="00981216" w:rsidRDefault="00981216" w:rsidP="00981216">
      <w:pPr>
        <w:keepLines/>
        <w:spacing w:after="120" w:line="288" w:lineRule="auto"/>
        <w:rPr>
          <w:rFonts w:cs="Arial"/>
        </w:rPr>
      </w:pPr>
      <w:r w:rsidRPr="00981216">
        <w:rPr>
          <w:rFonts w:cs="Arial"/>
        </w:rPr>
        <w:t>Element 1: Buildings to Element 4: Buildings</w:t>
      </w:r>
    </w:p>
    <w:p w:rsidR="00981216" w:rsidRPr="00981216" w:rsidRDefault="00981216" w:rsidP="00981216">
      <w:pPr>
        <w:keepLines/>
        <w:spacing w:after="120" w:line="288" w:lineRule="auto"/>
        <w:rPr>
          <w:rFonts w:cs="Arial"/>
        </w:rPr>
      </w:pPr>
      <w:r w:rsidRPr="00981216">
        <w:rPr>
          <w:rFonts w:cs="Arial"/>
        </w:rPr>
        <w:t>item 1.1 Height to 4.1 Height</w:t>
      </w:r>
    </w:p>
    <w:p w:rsidR="00981216" w:rsidRPr="00981216" w:rsidRDefault="00981216" w:rsidP="00981216">
      <w:pPr>
        <w:keepLines/>
        <w:spacing w:after="120" w:line="288" w:lineRule="auto"/>
        <w:rPr>
          <w:rFonts w:cs="Arial"/>
        </w:rPr>
      </w:pPr>
      <w:r w:rsidRPr="00981216">
        <w:rPr>
          <w:rFonts w:cs="Arial"/>
        </w:rPr>
        <w:t xml:space="preserve">Rule R1 to R20 </w:t>
      </w:r>
    </w:p>
    <w:p w:rsidR="00981216" w:rsidRPr="00981216" w:rsidRDefault="00981216" w:rsidP="00981216">
      <w:pPr>
        <w:keepLines/>
        <w:spacing w:after="120" w:line="288" w:lineRule="auto"/>
        <w:rPr>
          <w:rFonts w:cs="Arial"/>
        </w:rPr>
      </w:pPr>
      <w:r w:rsidRPr="00981216">
        <w:rPr>
          <w:rFonts w:cs="Arial"/>
        </w:rPr>
        <w:t>item 1.2 Setback to 4.2 Setback</w:t>
      </w:r>
    </w:p>
    <w:p w:rsidR="00981216" w:rsidRPr="00981216" w:rsidRDefault="00981216" w:rsidP="00981216">
      <w:pPr>
        <w:keepLines/>
        <w:spacing w:after="120" w:line="288" w:lineRule="auto"/>
        <w:rPr>
          <w:rFonts w:cs="Arial"/>
        </w:rPr>
      </w:pPr>
      <w:r w:rsidRPr="00981216">
        <w:rPr>
          <w:rFonts w:cs="Arial"/>
        </w:rPr>
        <w:t>Criterion C2 to C21</w:t>
      </w:r>
    </w:p>
    <w:p w:rsidR="00981216" w:rsidRPr="00981216" w:rsidRDefault="00981216" w:rsidP="00981216">
      <w:pPr>
        <w:keepLines/>
        <w:spacing w:after="120" w:line="288" w:lineRule="auto"/>
        <w:rPr>
          <w:rFonts w:cs="Arial"/>
        </w:rPr>
      </w:pPr>
      <w:r w:rsidRPr="00981216">
        <w:rPr>
          <w:rFonts w:cs="Arial"/>
        </w:rPr>
        <w:t>item 1.3 Screening to 4.3 Screening</w:t>
      </w:r>
    </w:p>
    <w:p w:rsidR="00981216" w:rsidRPr="00981216" w:rsidRDefault="00981216" w:rsidP="00981216">
      <w:pPr>
        <w:keepLines/>
        <w:spacing w:after="120" w:line="288" w:lineRule="auto"/>
        <w:rPr>
          <w:rFonts w:cs="Arial"/>
        </w:rPr>
      </w:pPr>
      <w:r w:rsidRPr="00981216">
        <w:rPr>
          <w:rFonts w:cs="Arial"/>
        </w:rPr>
        <w:t>Rule R3 and Criterion C3 to R22 and C22</w:t>
      </w:r>
    </w:p>
    <w:p w:rsidR="00981216" w:rsidRPr="00981216" w:rsidRDefault="00981216" w:rsidP="00981216">
      <w:pPr>
        <w:keepLines/>
        <w:spacing w:after="120" w:line="288" w:lineRule="auto"/>
        <w:rPr>
          <w:rFonts w:cs="Arial"/>
        </w:rPr>
      </w:pPr>
      <w:r w:rsidRPr="00981216">
        <w:rPr>
          <w:rFonts w:cs="Arial"/>
        </w:rPr>
        <w:t>item 1.4 Environment to 4.4 Environment</w:t>
      </w:r>
    </w:p>
    <w:p w:rsidR="00981216" w:rsidRPr="00981216" w:rsidRDefault="00981216" w:rsidP="00981216">
      <w:pPr>
        <w:keepLines/>
        <w:spacing w:after="120" w:line="288" w:lineRule="auto"/>
        <w:rPr>
          <w:rFonts w:cs="Arial"/>
          <w:highlight w:val="yellow"/>
        </w:rPr>
      </w:pPr>
      <w:r w:rsidRPr="00981216">
        <w:rPr>
          <w:rFonts w:cs="Arial"/>
        </w:rPr>
        <w:t>Rule R4 to R23</w:t>
      </w:r>
    </w:p>
    <w:p w:rsidR="001C7FD4" w:rsidRDefault="001C7FD4" w:rsidP="001C7FD4">
      <w:pPr>
        <w:pStyle w:val="BodyText"/>
      </w:pPr>
    </w:p>
    <w:p w:rsidR="001C7FD4" w:rsidRDefault="001C7FD4" w:rsidP="004965FA">
      <w:pPr>
        <w:pStyle w:val="BodyText"/>
        <w:spacing w:after="240"/>
        <w:rPr>
          <w:b/>
          <w:bCs/>
        </w:rPr>
      </w:pPr>
      <w:r>
        <w:br w:type="page"/>
      </w:r>
      <w:r>
        <w:rPr>
          <w:b/>
          <w:bCs/>
        </w:rPr>
        <w:lastRenderedPageBreak/>
        <w:t>Interpretation service</w:t>
      </w:r>
    </w:p>
    <w:p w:rsidR="001C7FD4" w:rsidRDefault="00346D1B" w:rsidP="00D93017">
      <w:pPr>
        <w:pStyle w:val="BodyText"/>
      </w:pPr>
      <w:r>
        <w:rPr>
          <w:noProof/>
          <w:lang w:eastAsia="en-AU"/>
        </w:rPr>
        <w:drawing>
          <wp:inline distT="0" distB="0" distL="0" distR="0">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18"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rsidR="00981216" w:rsidRDefault="00981216" w:rsidP="00D93017">
      <w:pPr>
        <w:pStyle w:val="BodyText"/>
        <w:sectPr w:rsidR="00981216" w:rsidSect="007456C5">
          <w:pgSz w:w="11907" w:h="16840" w:code="9"/>
          <w:pgMar w:top="1418" w:right="1531" w:bottom="1474" w:left="1531" w:header="720" w:footer="577" w:gutter="0"/>
          <w:pgNumType w:start="1"/>
          <w:cols w:space="720"/>
        </w:sectPr>
      </w:pPr>
    </w:p>
    <w:p w:rsidR="00356231" w:rsidRDefault="00356231" w:rsidP="00D93017">
      <w:pPr>
        <w:pStyle w:val="BodyText"/>
      </w:pPr>
    </w:p>
    <w:p w:rsidR="00981216" w:rsidRDefault="00981216" w:rsidP="00D93017">
      <w:pPr>
        <w:pStyle w:val="BodyText"/>
      </w:pPr>
      <w:r>
        <w:rPr>
          <w:noProof/>
          <w:lang w:eastAsia="en-AU"/>
        </w:rPr>
        <w:drawing>
          <wp:inline distT="0" distB="0" distL="0" distR="0" wp14:anchorId="008C1ADD" wp14:editId="19EF347A">
            <wp:extent cx="5486400" cy="7726680"/>
            <wp:effectExtent l="0" t="0" r="0" b="0"/>
            <wp:docPr id="3" name="Picture 3" descr="Calwell Precinct Code 31_7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well Precinct Code 31_7_2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726680"/>
                    </a:xfrm>
                    <a:prstGeom prst="rect">
                      <a:avLst/>
                    </a:prstGeom>
                    <a:noFill/>
                    <a:ln>
                      <a:noFill/>
                    </a:ln>
                  </pic:spPr>
                </pic:pic>
              </a:graphicData>
            </a:graphic>
          </wp:inline>
        </w:drawing>
      </w:r>
    </w:p>
    <w:p w:rsidR="00981216" w:rsidRDefault="00981216" w:rsidP="00D93017">
      <w:pPr>
        <w:pStyle w:val="BodyText"/>
      </w:pPr>
    </w:p>
    <w:p w:rsidR="00981216" w:rsidRPr="004418BF" w:rsidRDefault="00981216" w:rsidP="00981216">
      <w:pPr>
        <w:rPr>
          <w:b/>
          <w:sz w:val="36"/>
          <w:szCs w:val="36"/>
        </w:rPr>
      </w:pPr>
      <w:r>
        <w:rPr>
          <w:b/>
          <w:sz w:val="36"/>
          <w:szCs w:val="36"/>
        </w:rPr>
        <w:br w:type="page"/>
      </w:r>
      <w:r w:rsidRPr="004418BF">
        <w:rPr>
          <w:b/>
          <w:sz w:val="36"/>
          <w:szCs w:val="36"/>
        </w:rPr>
        <w:lastRenderedPageBreak/>
        <w:t>Assessment Tracks</w:t>
      </w:r>
    </w:p>
    <w:p w:rsidR="00981216" w:rsidRDefault="00981216" w:rsidP="00981216">
      <w:pPr>
        <w:rPr>
          <w:b/>
          <w:sz w:val="28"/>
          <w:szCs w:val="28"/>
        </w:rPr>
      </w:pPr>
    </w:p>
    <w:p w:rsidR="00981216" w:rsidRDefault="00981216" w:rsidP="00981216">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proofErr w:type="spellStart"/>
      <w:r>
        <w:t>Calwell</w:t>
      </w:r>
      <w:proofErr w:type="spellEnd"/>
      <w:r>
        <w:t xml:space="preserve"> Precinct Map (identified as </w:t>
      </w:r>
      <w:proofErr w:type="spellStart"/>
      <w:r>
        <w:t>PDn</w:t>
      </w:r>
      <w:proofErr w:type="spellEnd"/>
      <w:r>
        <w:t xml:space="preserve"> or </w:t>
      </w:r>
      <w:proofErr w:type="spellStart"/>
      <w:r>
        <w:t>MTn</w:t>
      </w:r>
      <w:proofErr w:type="spellEnd"/>
      <w:r>
        <w:t>).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981216" w:rsidRDefault="00981216" w:rsidP="00981216">
      <w:pPr>
        <w:rPr>
          <w:sz w:val="20"/>
        </w:rPr>
      </w:pPr>
    </w:p>
    <w:p w:rsidR="00981216" w:rsidRDefault="00981216" w:rsidP="00981216">
      <w:pPr>
        <w:rPr>
          <w:sz w:val="20"/>
        </w:rPr>
      </w:pPr>
      <w:r>
        <w:rPr>
          <w:sz w:val="20"/>
        </w:rPr>
        <w:t>The following tables constitute part of the relevant zone development table.</w:t>
      </w:r>
    </w:p>
    <w:p w:rsidR="00981216" w:rsidRDefault="00981216" w:rsidP="00981216">
      <w:pPr>
        <w:pStyle w:val="bodyText0"/>
        <w:spacing w:before="240" w:after="200" w:line="276" w:lineRule="auto"/>
      </w:pPr>
    </w:p>
    <w:p w:rsidR="00981216" w:rsidRPr="00866AD0" w:rsidRDefault="00981216" w:rsidP="00981216">
      <w:pPr>
        <w:keepNext/>
        <w:rPr>
          <w:rStyle w:val="Strong"/>
        </w:rPr>
      </w:pPr>
      <w:r w:rsidRPr="00866AD0">
        <w:rPr>
          <w:rStyle w:val="Strong"/>
        </w:rPr>
        <w:t xml:space="preserve">Table 1 – Additional prohibited development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4"/>
        <w:gridCol w:w="2694"/>
        <w:gridCol w:w="3686"/>
      </w:tblGrid>
      <w:tr w:rsidR="00981216" w:rsidRPr="00232A38" w:rsidTr="00154C73">
        <w:trPr>
          <w:trHeight w:val="252"/>
        </w:trPr>
        <w:tc>
          <w:tcPr>
            <w:tcW w:w="5000" w:type="pct"/>
            <w:gridSpan w:val="3"/>
            <w:shd w:val="clear" w:color="auto" w:fill="E0E0E0"/>
          </w:tcPr>
          <w:p w:rsidR="00981216" w:rsidRPr="00CF08B3" w:rsidRDefault="00981216" w:rsidP="00154C73">
            <w:pPr>
              <w:spacing w:before="60" w:after="60"/>
              <w:jc w:val="center"/>
              <w:rPr>
                <w:rFonts w:cs="Arial"/>
                <w:b/>
                <w:sz w:val="20"/>
              </w:rPr>
            </w:pPr>
            <w:r w:rsidRPr="00CF08B3">
              <w:rPr>
                <w:rFonts w:cs="Arial"/>
                <w:b/>
                <w:sz w:val="20"/>
              </w:rPr>
              <w:t>Additional prohibited development</w:t>
            </w:r>
          </w:p>
        </w:tc>
      </w:tr>
      <w:tr w:rsidR="00981216" w:rsidRPr="00232A38" w:rsidTr="00154C73">
        <w:tblPrEx>
          <w:tblCellMar>
            <w:left w:w="108" w:type="dxa"/>
            <w:right w:w="108" w:type="dxa"/>
          </w:tblCellMar>
        </w:tblPrEx>
        <w:trPr>
          <w:trHeight w:val="16"/>
        </w:trPr>
        <w:tc>
          <w:tcPr>
            <w:tcW w:w="1538" w:type="pct"/>
          </w:tcPr>
          <w:p w:rsidR="00981216" w:rsidRPr="00232A38" w:rsidRDefault="00981216" w:rsidP="00154C73">
            <w:pPr>
              <w:spacing w:before="60" w:after="60"/>
              <w:ind w:left="34"/>
              <w:rPr>
                <w:rFonts w:cs="Arial"/>
                <w:b/>
                <w:sz w:val="20"/>
              </w:rPr>
            </w:pPr>
            <w:r w:rsidRPr="00232A38">
              <w:rPr>
                <w:rFonts w:cs="Arial"/>
                <w:b/>
                <w:sz w:val="20"/>
              </w:rPr>
              <w:t>Suburb precinct map label</w:t>
            </w:r>
          </w:p>
        </w:tc>
        <w:tc>
          <w:tcPr>
            <w:tcW w:w="1462" w:type="pct"/>
          </w:tcPr>
          <w:p w:rsidR="00981216" w:rsidRPr="00232A38" w:rsidRDefault="00981216" w:rsidP="00154C73">
            <w:pPr>
              <w:spacing w:before="60" w:after="60"/>
              <w:ind w:left="34"/>
              <w:jc w:val="center"/>
              <w:rPr>
                <w:rFonts w:cs="Arial"/>
                <w:b/>
                <w:sz w:val="20"/>
              </w:rPr>
            </w:pPr>
            <w:r>
              <w:rPr>
                <w:rFonts w:cs="Arial"/>
                <w:b/>
                <w:sz w:val="20"/>
              </w:rPr>
              <w:t>Zone</w:t>
            </w:r>
          </w:p>
        </w:tc>
        <w:tc>
          <w:tcPr>
            <w:tcW w:w="2000" w:type="pct"/>
            <w:shd w:val="clear" w:color="auto" w:fill="auto"/>
          </w:tcPr>
          <w:p w:rsidR="00981216" w:rsidRPr="00232A38" w:rsidRDefault="00981216" w:rsidP="00154C73">
            <w:pPr>
              <w:spacing w:before="60" w:after="60"/>
              <w:ind w:left="34"/>
              <w:jc w:val="right"/>
              <w:rPr>
                <w:rFonts w:cs="Arial"/>
                <w:sz w:val="20"/>
              </w:rPr>
            </w:pPr>
            <w:r w:rsidRPr="00232A38">
              <w:rPr>
                <w:rFonts w:cs="Arial"/>
                <w:b/>
                <w:sz w:val="20"/>
              </w:rPr>
              <w:t>Development</w:t>
            </w:r>
          </w:p>
        </w:tc>
      </w:tr>
      <w:tr w:rsidR="00981216" w:rsidRPr="00E804BA" w:rsidTr="00154C73">
        <w:tblPrEx>
          <w:tblCellMar>
            <w:left w:w="108" w:type="dxa"/>
            <w:right w:w="108" w:type="dxa"/>
          </w:tblCellMar>
        </w:tblPrEx>
        <w:trPr>
          <w:trHeight w:val="16"/>
        </w:trPr>
        <w:tc>
          <w:tcPr>
            <w:tcW w:w="1538" w:type="pct"/>
            <w:vAlign w:val="center"/>
          </w:tcPr>
          <w:p w:rsidR="00981216" w:rsidRPr="00E804BA" w:rsidRDefault="00981216" w:rsidP="00154C73">
            <w:pPr>
              <w:ind w:left="34"/>
              <w:rPr>
                <w:rFonts w:cs="Arial"/>
                <w:b/>
                <w:sz w:val="20"/>
              </w:rPr>
            </w:pPr>
            <w:r w:rsidRPr="00E804BA">
              <w:rPr>
                <w:rFonts w:cs="Arial"/>
                <w:sz w:val="20"/>
              </w:rPr>
              <w:t>PD1</w:t>
            </w:r>
          </w:p>
        </w:tc>
        <w:tc>
          <w:tcPr>
            <w:tcW w:w="1462" w:type="pct"/>
            <w:vAlign w:val="center"/>
          </w:tcPr>
          <w:p w:rsidR="00981216" w:rsidRPr="00E804BA" w:rsidRDefault="00981216" w:rsidP="00154C73">
            <w:pPr>
              <w:spacing w:line="288" w:lineRule="auto"/>
              <w:jc w:val="center"/>
              <w:rPr>
                <w:rFonts w:cs="Arial"/>
                <w:sz w:val="20"/>
              </w:rPr>
            </w:pPr>
            <w:r w:rsidRPr="00E804BA">
              <w:rPr>
                <w:rFonts w:cs="Arial"/>
                <w:sz w:val="20"/>
              </w:rPr>
              <w:t>CFZ</w:t>
            </w:r>
          </w:p>
        </w:tc>
        <w:tc>
          <w:tcPr>
            <w:tcW w:w="2000" w:type="pct"/>
            <w:shd w:val="clear" w:color="auto" w:fill="auto"/>
            <w:vAlign w:val="center"/>
          </w:tcPr>
          <w:p w:rsidR="00981216" w:rsidRPr="00E804BA" w:rsidRDefault="00981216" w:rsidP="00154C73">
            <w:pPr>
              <w:spacing w:line="288" w:lineRule="auto"/>
              <w:jc w:val="right"/>
              <w:rPr>
                <w:rFonts w:cs="Arial"/>
                <w:i/>
                <w:sz w:val="20"/>
              </w:rPr>
            </w:pPr>
            <w:r w:rsidRPr="00E804BA">
              <w:rPr>
                <w:rFonts w:cs="Arial"/>
                <w:i/>
                <w:sz w:val="20"/>
              </w:rPr>
              <w:t xml:space="preserve">retirement village </w:t>
            </w:r>
          </w:p>
          <w:p w:rsidR="00981216" w:rsidRPr="00E804BA" w:rsidRDefault="00981216" w:rsidP="00154C73">
            <w:pPr>
              <w:spacing w:line="288" w:lineRule="auto"/>
              <w:jc w:val="right"/>
              <w:rPr>
                <w:rFonts w:cs="Arial"/>
                <w:i/>
                <w:sz w:val="20"/>
              </w:rPr>
            </w:pPr>
            <w:r w:rsidRPr="00E804BA">
              <w:rPr>
                <w:rFonts w:cs="Arial"/>
                <w:i/>
                <w:sz w:val="20"/>
              </w:rPr>
              <w:t xml:space="preserve">supportive housing </w:t>
            </w:r>
          </w:p>
        </w:tc>
      </w:tr>
    </w:tbl>
    <w:p w:rsidR="00981216" w:rsidRDefault="00981216" w:rsidP="00981216">
      <w:pPr>
        <w:pStyle w:val="BodyText"/>
      </w:pPr>
    </w:p>
    <w:p w:rsidR="00981216" w:rsidRDefault="00981216" w:rsidP="00981216">
      <w:pPr>
        <w:pStyle w:val="BodyText"/>
      </w:pPr>
    </w:p>
    <w:p w:rsidR="00981216" w:rsidRPr="00866AD0" w:rsidRDefault="00981216" w:rsidP="00981216">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4"/>
        <w:gridCol w:w="2694"/>
        <w:gridCol w:w="3686"/>
      </w:tblGrid>
      <w:tr w:rsidR="00981216" w:rsidRPr="00232A38" w:rsidTr="00154C73">
        <w:trPr>
          <w:trHeight w:val="16"/>
        </w:trPr>
        <w:tc>
          <w:tcPr>
            <w:tcW w:w="5000" w:type="pct"/>
            <w:gridSpan w:val="3"/>
            <w:shd w:val="clear" w:color="auto" w:fill="E0E0E0"/>
          </w:tcPr>
          <w:p w:rsidR="00981216" w:rsidRPr="00CF08B3" w:rsidRDefault="00981216" w:rsidP="00154C73">
            <w:pPr>
              <w:spacing w:before="60" w:after="60"/>
              <w:jc w:val="center"/>
              <w:rPr>
                <w:rFonts w:cs="Arial"/>
                <w:b/>
                <w:sz w:val="20"/>
              </w:rPr>
            </w:pPr>
            <w:r w:rsidRPr="00CF08B3">
              <w:rPr>
                <w:rFonts w:cs="Arial"/>
                <w:b/>
                <w:sz w:val="20"/>
              </w:rPr>
              <w:t>Additional merit track development that may be approved subject to assessment</w:t>
            </w:r>
          </w:p>
        </w:tc>
      </w:tr>
      <w:tr w:rsidR="00981216" w:rsidRPr="00232A38" w:rsidTr="00154C73">
        <w:trPr>
          <w:trHeight w:val="16"/>
        </w:trPr>
        <w:tc>
          <w:tcPr>
            <w:tcW w:w="1538" w:type="pct"/>
          </w:tcPr>
          <w:p w:rsidR="00981216" w:rsidRPr="00232A38" w:rsidRDefault="00981216" w:rsidP="00154C73">
            <w:pPr>
              <w:spacing w:before="60" w:after="60"/>
              <w:ind w:left="34"/>
              <w:rPr>
                <w:rFonts w:cs="Arial"/>
                <w:b/>
                <w:sz w:val="20"/>
              </w:rPr>
            </w:pPr>
            <w:r w:rsidRPr="00232A38">
              <w:rPr>
                <w:rFonts w:cs="Arial"/>
                <w:b/>
                <w:sz w:val="20"/>
              </w:rPr>
              <w:t>Suburb precinct map label</w:t>
            </w:r>
          </w:p>
        </w:tc>
        <w:tc>
          <w:tcPr>
            <w:tcW w:w="1462" w:type="pct"/>
          </w:tcPr>
          <w:p w:rsidR="00981216" w:rsidRPr="00232A38" w:rsidRDefault="00981216" w:rsidP="00154C73">
            <w:pPr>
              <w:spacing w:before="60" w:after="60"/>
              <w:ind w:left="34"/>
              <w:jc w:val="center"/>
              <w:rPr>
                <w:rFonts w:cs="Arial"/>
                <w:b/>
                <w:sz w:val="20"/>
              </w:rPr>
            </w:pPr>
            <w:r>
              <w:rPr>
                <w:rFonts w:cs="Arial"/>
                <w:b/>
                <w:sz w:val="20"/>
              </w:rPr>
              <w:t>Zone</w:t>
            </w:r>
          </w:p>
        </w:tc>
        <w:tc>
          <w:tcPr>
            <w:tcW w:w="2000" w:type="pct"/>
            <w:shd w:val="clear" w:color="auto" w:fill="auto"/>
          </w:tcPr>
          <w:p w:rsidR="00981216" w:rsidRPr="00232A38" w:rsidRDefault="00981216" w:rsidP="00154C73">
            <w:pPr>
              <w:spacing w:before="60" w:after="60"/>
              <w:ind w:left="34"/>
              <w:jc w:val="right"/>
              <w:rPr>
                <w:rFonts w:cs="Arial"/>
                <w:sz w:val="20"/>
              </w:rPr>
            </w:pPr>
            <w:r w:rsidRPr="00232A38">
              <w:rPr>
                <w:rFonts w:cs="Arial"/>
                <w:b/>
                <w:sz w:val="20"/>
              </w:rPr>
              <w:t>Development</w:t>
            </w:r>
          </w:p>
        </w:tc>
      </w:tr>
      <w:tr w:rsidR="00981216" w:rsidRPr="00E804BA" w:rsidTr="00154C73">
        <w:trPr>
          <w:trHeight w:val="16"/>
        </w:trPr>
        <w:tc>
          <w:tcPr>
            <w:tcW w:w="1538" w:type="pct"/>
            <w:vAlign w:val="center"/>
          </w:tcPr>
          <w:p w:rsidR="00981216" w:rsidRPr="00146DF6" w:rsidRDefault="00981216" w:rsidP="00154C73">
            <w:pPr>
              <w:rPr>
                <w:noProof/>
                <w:sz w:val="20"/>
              </w:rPr>
            </w:pPr>
            <w:r w:rsidRPr="00146DF6">
              <w:rPr>
                <w:noProof/>
                <w:sz w:val="20"/>
              </w:rPr>
              <w:t>MT</w:t>
            </w:r>
            <w:r>
              <w:rPr>
                <w:noProof/>
                <w:sz w:val="20"/>
              </w:rPr>
              <w:t>1</w:t>
            </w:r>
          </w:p>
        </w:tc>
        <w:tc>
          <w:tcPr>
            <w:tcW w:w="1462" w:type="pct"/>
            <w:vAlign w:val="center"/>
          </w:tcPr>
          <w:p w:rsidR="00981216" w:rsidRPr="004F1306" w:rsidRDefault="00981216" w:rsidP="00154C73">
            <w:pPr>
              <w:pStyle w:val="BodyText"/>
              <w:spacing w:after="0"/>
              <w:jc w:val="center"/>
              <w:rPr>
                <w:noProof/>
                <w:sz w:val="20"/>
              </w:rPr>
            </w:pPr>
            <w:r w:rsidRPr="004F1306">
              <w:rPr>
                <w:noProof/>
                <w:sz w:val="20"/>
              </w:rPr>
              <w:t>TSZ1</w:t>
            </w:r>
          </w:p>
        </w:tc>
        <w:tc>
          <w:tcPr>
            <w:tcW w:w="2000" w:type="pct"/>
            <w:shd w:val="clear" w:color="auto" w:fill="auto"/>
            <w:vAlign w:val="center"/>
          </w:tcPr>
          <w:p w:rsidR="00981216" w:rsidRPr="004F1306" w:rsidRDefault="00981216" w:rsidP="00154C73">
            <w:pPr>
              <w:pStyle w:val="BodyText"/>
              <w:spacing w:after="0"/>
              <w:jc w:val="right"/>
              <w:rPr>
                <w:i/>
                <w:sz w:val="20"/>
              </w:rPr>
            </w:pPr>
            <w:r w:rsidRPr="004F1306">
              <w:rPr>
                <w:i/>
                <w:noProof/>
                <w:sz w:val="20"/>
              </w:rPr>
              <w:t>emergency services facility</w:t>
            </w:r>
          </w:p>
        </w:tc>
      </w:tr>
    </w:tbl>
    <w:p w:rsidR="00981216" w:rsidRDefault="00981216" w:rsidP="00981216">
      <w:pPr>
        <w:pStyle w:val="BodyText"/>
      </w:pPr>
    </w:p>
    <w:p w:rsidR="00F26E18" w:rsidRDefault="00F26E18" w:rsidP="00981216">
      <w:pPr>
        <w:pStyle w:val="BodyText"/>
      </w:pPr>
    </w:p>
    <w:p w:rsidR="00154C73" w:rsidRDefault="00154C73" w:rsidP="00D93017">
      <w:pPr>
        <w:pStyle w:val="BodyText"/>
        <w:sectPr w:rsidR="00154C73" w:rsidSect="007456C5">
          <w:headerReference w:type="default" r:id="rId20"/>
          <w:footerReference w:type="default" r:id="rId21"/>
          <w:pgSz w:w="11907" w:h="16840" w:code="9"/>
          <w:pgMar w:top="1418" w:right="1531" w:bottom="1474" w:left="1531" w:header="720" w:footer="577" w:gutter="0"/>
          <w:pgNumType w:start="1"/>
          <w:cols w:space="720"/>
        </w:sectPr>
      </w:pPr>
    </w:p>
    <w:p w:rsidR="00154C73" w:rsidRPr="00154C73" w:rsidRDefault="00154C73" w:rsidP="00154C73">
      <w:pPr>
        <w:shd w:val="clear" w:color="auto" w:fill="000000" w:themeFill="text1"/>
        <w:tabs>
          <w:tab w:val="left" w:pos="1134"/>
          <w:tab w:val="left" w:pos="1287"/>
          <w:tab w:val="left" w:pos="1701"/>
        </w:tabs>
        <w:spacing w:before="60" w:after="120" w:line="276" w:lineRule="auto"/>
        <w:rPr>
          <w:rFonts w:cs="Arial"/>
          <w:b/>
          <w:bCs/>
          <w:color w:val="FFFFFF"/>
          <w:sz w:val="32"/>
          <w:lang w:eastAsia="en-AU"/>
        </w:rPr>
      </w:pPr>
      <w:bookmarkStart w:id="17" w:name="_Toc356548017"/>
      <w:r w:rsidRPr="00154C73">
        <w:rPr>
          <w:rFonts w:cs="Arial"/>
          <w:b/>
          <w:bCs/>
          <w:color w:val="FFFFFF"/>
          <w:sz w:val="32"/>
          <w:lang w:eastAsia="en-AU"/>
        </w:rPr>
        <w:lastRenderedPageBreak/>
        <w:t xml:space="preserve">RC1 – </w:t>
      </w:r>
      <w:proofErr w:type="spellStart"/>
      <w:r w:rsidRPr="00154C73">
        <w:rPr>
          <w:rFonts w:cs="Arial"/>
          <w:b/>
          <w:bCs/>
          <w:color w:val="FFFFFF"/>
          <w:sz w:val="32"/>
          <w:lang w:eastAsia="en-AU"/>
        </w:rPr>
        <w:t>Calwell</w:t>
      </w:r>
      <w:proofErr w:type="spellEnd"/>
      <w:r w:rsidRPr="00154C73">
        <w:rPr>
          <w:rFonts w:cs="Arial"/>
          <w:b/>
          <w:bCs/>
          <w:color w:val="FFFFFF"/>
          <w:sz w:val="32"/>
          <w:lang w:eastAsia="en-AU"/>
        </w:rPr>
        <w:t xml:space="preserve"> Group Centre</w:t>
      </w:r>
      <w:bookmarkEnd w:id="17"/>
    </w:p>
    <w:p w:rsidR="00154C73" w:rsidRPr="00154C73" w:rsidRDefault="00154C73" w:rsidP="00154C73">
      <w:pPr>
        <w:spacing w:before="120" w:line="288" w:lineRule="auto"/>
        <w:rPr>
          <w:rFonts w:cs="Arial"/>
          <w:sz w:val="20"/>
        </w:rPr>
      </w:pPr>
      <w:r w:rsidRPr="00154C73">
        <w:rPr>
          <w:rFonts w:cs="Arial"/>
          <w:sz w:val="20"/>
        </w:rPr>
        <w:t xml:space="preserve">This part applies to blocks and parcels identified in area RC1 shown on the </w:t>
      </w:r>
      <w:proofErr w:type="spellStart"/>
      <w:r w:rsidRPr="00154C73">
        <w:rPr>
          <w:rFonts w:cs="Arial"/>
          <w:sz w:val="20"/>
        </w:rPr>
        <w:t>Calwell</w:t>
      </w:r>
      <w:proofErr w:type="spellEnd"/>
      <w:r w:rsidRPr="00154C73">
        <w:rPr>
          <w:rFonts w:cs="Arial"/>
          <w:sz w:val="20"/>
        </w:rPr>
        <w:t xml:space="preserve"> Precinct Map. RC1 includes the </w:t>
      </w:r>
      <w:proofErr w:type="spellStart"/>
      <w:r w:rsidRPr="00154C73">
        <w:rPr>
          <w:rFonts w:cs="Arial"/>
          <w:sz w:val="20"/>
        </w:rPr>
        <w:t>Calwell</w:t>
      </w:r>
      <w:proofErr w:type="spellEnd"/>
      <w:r w:rsidRPr="00154C73">
        <w:rPr>
          <w:rFonts w:cs="Arial"/>
          <w:sz w:val="20"/>
        </w:rPr>
        <w:t xml:space="preserve"> Group Centre.</w:t>
      </w:r>
    </w:p>
    <w:p w:rsidR="00154C73" w:rsidRPr="00154C73" w:rsidRDefault="00154C73" w:rsidP="00154C73">
      <w:pPr>
        <w:keepNext/>
        <w:numPr>
          <w:ilvl w:val="0"/>
          <w:numId w:val="26"/>
        </w:numPr>
        <w:tabs>
          <w:tab w:val="left" w:pos="1418"/>
        </w:tabs>
        <w:spacing w:before="120" w:line="288" w:lineRule="auto"/>
        <w:rPr>
          <w:rFonts w:cs="Arial"/>
          <w:b/>
          <w:bCs/>
        </w:rPr>
      </w:pPr>
      <w:bookmarkStart w:id="18" w:name="_Toc324236448"/>
      <w:bookmarkStart w:id="19" w:name="_Toc347238332"/>
      <w:r w:rsidRPr="00154C73">
        <w:rPr>
          <w:rFonts w:cs="Arial"/>
          <w:b/>
          <w:bCs/>
        </w:rPr>
        <w:t>Use</w:t>
      </w:r>
      <w:bookmarkEnd w:id="18"/>
      <w:bookmarkEnd w:id="1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rPr>
          <w:tblHeader/>
        </w:trPr>
        <w:tc>
          <w:tcPr>
            <w:tcW w:w="2500" w:type="pct"/>
            <w:tcBorders>
              <w:bottom w:val="single" w:sz="4" w:space="0" w:color="auto"/>
            </w:tcBorders>
            <w:shd w:val="clear" w:color="auto" w:fill="CCCCCC"/>
          </w:tcPr>
          <w:p w:rsidR="00154C73" w:rsidRPr="00154C73" w:rsidRDefault="00154C73" w:rsidP="00154C73">
            <w:pPr>
              <w:keepNext/>
              <w:spacing w:before="60" w:after="60"/>
              <w:rPr>
                <w:rFonts w:cs="Arial"/>
                <w:b/>
                <w:bCs/>
                <w:sz w:val="22"/>
              </w:rPr>
            </w:pPr>
            <w:r w:rsidRPr="00154C73">
              <w:rPr>
                <w:rFonts w:cs="Arial"/>
                <w:b/>
                <w:bCs/>
                <w:sz w:val="22"/>
              </w:rPr>
              <w:t>Rules</w:t>
            </w:r>
          </w:p>
        </w:tc>
        <w:tc>
          <w:tcPr>
            <w:tcW w:w="2500" w:type="pct"/>
            <w:tcBorders>
              <w:bottom w:val="single" w:sz="4" w:space="0" w:color="auto"/>
            </w:tcBorders>
            <w:shd w:val="clear" w:color="auto" w:fill="CCCCCC"/>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bookmarkStart w:id="20" w:name="_Toc325973386"/>
            <w:bookmarkStart w:id="21" w:name="_Toc333400003"/>
            <w:bookmarkStart w:id="22" w:name="_Toc347238333"/>
            <w:r w:rsidRPr="00154C73">
              <w:rPr>
                <w:rFonts w:cs="Arial"/>
                <w:b/>
                <w:bCs/>
                <w:sz w:val="20"/>
              </w:rPr>
              <w:t>Ground floor uses</w:t>
            </w:r>
            <w:bookmarkEnd w:id="20"/>
            <w:bookmarkEnd w:id="21"/>
            <w:bookmarkEnd w:id="22"/>
            <w:r w:rsidRPr="00154C73">
              <w:rPr>
                <w:rFonts w:cs="Arial"/>
                <w:b/>
                <w:bCs/>
                <w:sz w:val="20"/>
              </w:rPr>
              <w:t xml:space="preserve"> – CZ1</w:t>
            </w:r>
          </w:p>
        </w:tc>
      </w:tr>
      <w:tr w:rsidR="00154C73" w:rsidRPr="00154C73" w:rsidTr="00154C73">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R1</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This rule applies to sites with frontages to primary active frontages shown in Figure 1.</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Only the following uses are permitted at the ground floor level:</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business agency</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club</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community activity centre</w:t>
            </w:r>
            <w:r w:rsidRPr="00154C73">
              <w:rPr>
                <w:rFonts w:cs="Arial"/>
                <w:sz w:val="20"/>
                <w:lang w:eastAsia="en-AU"/>
              </w:rPr>
              <w:t xml:space="preserve">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drink establishment</w:t>
            </w:r>
            <w:r w:rsidRPr="00154C73">
              <w:rPr>
                <w:rFonts w:cs="Arial"/>
                <w:sz w:val="20"/>
                <w:lang w:eastAsia="en-AU"/>
              </w:rPr>
              <w:t xml:space="preserve">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financial establishment</w:t>
            </w:r>
            <w:r w:rsidRPr="00154C73">
              <w:rPr>
                <w:rFonts w:cs="Arial"/>
                <w:sz w:val="20"/>
                <w:lang w:eastAsia="en-AU"/>
              </w:rPr>
              <w:t xml:space="preserve">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hotel</w:t>
            </w:r>
            <w:r w:rsidRPr="00154C73">
              <w:rPr>
                <w:rFonts w:cs="Arial"/>
                <w:sz w:val="20"/>
                <w:lang w:eastAsia="en-AU"/>
              </w:rPr>
              <w:t xml:space="preserve">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indoor entertainment facility</w:t>
            </w:r>
            <w:r w:rsidRPr="00154C73">
              <w:rPr>
                <w:rFonts w:cs="Arial"/>
                <w:sz w:val="20"/>
                <w:lang w:eastAsia="en-AU"/>
              </w:rPr>
              <w:t xml:space="preserve">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indoor recreation facility</w:t>
            </w:r>
            <w:r w:rsidRPr="00154C73">
              <w:rPr>
                <w:rFonts w:cs="Arial"/>
                <w:sz w:val="20"/>
                <w:lang w:eastAsia="en-AU"/>
              </w:rPr>
              <w:t xml:space="preserve">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public agency</w:t>
            </w:r>
            <w:r w:rsidRPr="00154C73">
              <w:rPr>
                <w:rFonts w:cs="Arial"/>
                <w:sz w:val="20"/>
                <w:lang w:eastAsia="en-AU"/>
              </w:rPr>
              <w:t xml:space="preserve">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restaurant</w:t>
            </w:r>
            <w:r w:rsidRPr="00154C73">
              <w:rPr>
                <w:rFonts w:cs="Arial"/>
                <w:sz w:val="20"/>
                <w:lang w:eastAsia="en-AU"/>
              </w:rPr>
              <w:t xml:space="preserve">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i/>
                <w:sz w:val="20"/>
                <w:lang w:eastAsia="en-AU"/>
              </w:rPr>
              <w:t>SHOP</w:t>
            </w:r>
            <w:r w:rsidR="00C36013">
              <w:rPr>
                <w:rFonts w:cs="Arial"/>
                <w:i/>
                <w:sz w:val="20"/>
                <w:lang w:eastAsia="en-AU"/>
              </w:rPr>
              <w:t>.</w:t>
            </w:r>
          </w:p>
        </w:tc>
        <w:tc>
          <w:tcPr>
            <w:tcW w:w="2500" w:type="pct"/>
            <w:tcBorders>
              <w:bottom w:val="single" w:sz="4" w:space="0" w:color="auto"/>
            </w:tcBorders>
            <w:shd w:val="clear" w:color="auto" w:fill="auto"/>
          </w:tcPr>
          <w:p w:rsidR="00154C73" w:rsidRPr="00154C73" w:rsidRDefault="00154C73" w:rsidP="00154C73">
            <w:pPr>
              <w:spacing w:before="60" w:after="60" w:line="288" w:lineRule="auto"/>
              <w:rPr>
                <w:rFonts w:cs="Arial"/>
                <w:vanish/>
                <w:sz w:val="20"/>
                <w:lang w:eastAsia="en-AU"/>
              </w:rPr>
            </w:pPr>
            <w:r w:rsidRPr="00154C73">
              <w:rPr>
                <w:rFonts w:cs="Arial"/>
                <w:vanish/>
                <w:sz w:val="20"/>
                <w:lang w:eastAsia="en-AU"/>
              </w:rPr>
              <w:t>XX</w:t>
            </w:r>
          </w:p>
          <w:p w:rsidR="00154C73" w:rsidRPr="00154C73" w:rsidRDefault="00154C73" w:rsidP="00154C73">
            <w:pPr>
              <w:numPr>
                <w:ilvl w:val="1"/>
                <w:numId w:val="25"/>
              </w:numPr>
              <w:spacing w:before="60" w:after="60" w:line="288" w:lineRule="auto"/>
              <w:rPr>
                <w:rFonts w:cs="Arial"/>
                <w:sz w:val="20"/>
                <w:lang w:eastAsia="en-AU"/>
              </w:rPr>
            </w:pPr>
          </w:p>
          <w:p w:rsidR="00154C73" w:rsidRPr="00154C73" w:rsidRDefault="00154C73" w:rsidP="00154C73">
            <w:pPr>
              <w:numPr>
                <w:ilvl w:val="1"/>
                <w:numId w:val="25"/>
              </w:numPr>
              <w:spacing w:before="60" w:after="60" w:line="288" w:lineRule="auto"/>
              <w:rPr>
                <w:rFonts w:cs="Arial"/>
                <w:sz w:val="20"/>
                <w:lang w:eastAsia="en-AU"/>
              </w:rPr>
            </w:pPr>
            <w:r w:rsidRPr="00154C73">
              <w:rPr>
                <w:rFonts w:cs="Arial"/>
                <w:sz w:val="20"/>
                <w:lang w:eastAsia="en-AU"/>
              </w:rPr>
              <w:t>This is a mandatory requirement. There is no applicable criterion.</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bookmarkStart w:id="23" w:name="_Toc324236450"/>
            <w:bookmarkStart w:id="24" w:name="_Toc347238335"/>
            <w:r w:rsidRPr="00154C73">
              <w:rPr>
                <w:rFonts w:cs="Arial"/>
                <w:b/>
                <w:bCs/>
                <w:sz w:val="20"/>
              </w:rPr>
              <w:t>Residential use – ground floor</w:t>
            </w:r>
            <w:bookmarkEnd w:id="23"/>
            <w:bookmarkEnd w:id="24"/>
          </w:p>
        </w:tc>
      </w:tr>
      <w:tr w:rsidR="00154C73" w:rsidRPr="00154C73" w:rsidTr="00813359">
        <w:tc>
          <w:tcPr>
            <w:tcW w:w="2500" w:type="pct"/>
            <w:shd w:val="clear" w:color="auto" w:fill="auto"/>
          </w:tcPr>
          <w:p w:rsidR="00C36013" w:rsidRDefault="00C36013" w:rsidP="00154C73">
            <w:pPr>
              <w:tabs>
                <w:tab w:val="left" w:pos="0"/>
              </w:tabs>
              <w:spacing w:before="60" w:after="60" w:line="288" w:lineRule="auto"/>
              <w:rPr>
                <w:rFonts w:cs="Arial"/>
                <w:sz w:val="20"/>
                <w:lang w:eastAsia="en-AU"/>
              </w:rPr>
            </w:pPr>
            <w:r>
              <w:rPr>
                <w:rFonts w:cs="Arial"/>
                <w:sz w:val="20"/>
                <w:lang w:eastAsia="en-AU"/>
              </w:rPr>
              <w:t>R2</w:t>
            </w:r>
          </w:p>
          <w:p w:rsidR="00154C73" w:rsidRPr="00154C73" w:rsidRDefault="00154C73" w:rsidP="00154C73">
            <w:pPr>
              <w:tabs>
                <w:tab w:val="left" w:pos="0"/>
              </w:tabs>
              <w:spacing w:before="60" w:after="60" w:line="288" w:lineRule="auto"/>
              <w:rPr>
                <w:rFonts w:cs="Arial"/>
                <w:sz w:val="20"/>
                <w:lang w:eastAsia="en-AU"/>
              </w:rPr>
            </w:pPr>
            <w:r w:rsidRPr="00154C73">
              <w:rPr>
                <w:rFonts w:cs="Arial"/>
                <w:sz w:val="20"/>
                <w:lang w:eastAsia="en-AU"/>
              </w:rPr>
              <w:t>This rule applies to area</w:t>
            </w:r>
            <w:r w:rsidR="00870B41">
              <w:rPr>
                <w:rFonts w:cs="Arial"/>
                <w:sz w:val="20"/>
                <w:lang w:eastAsia="en-AU"/>
              </w:rPr>
              <w:t>s</w:t>
            </w:r>
            <w:r w:rsidRPr="00154C73">
              <w:rPr>
                <w:rFonts w:cs="Arial"/>
                <w:sz w:val="20"/>
                <w:lang w:eastAsia="en-AU"/>
              </w:rPr>
              <w:t xml:space="preserve"> ‘A’ in Figure 1.</w:t>
            </w:r>
          </w:p>
          <w:p w:rsidR="00813359" w:rsidRDefault="00154C73" w:rsidP="00813359">
            <w:pPr>
              <w:tabs>
                <w:tab w:val="left" w:pos="0"/>
              </w:tabs>
              <w:spacing w:before="60" w:after="60" w:line="288" w:lineRule="auto"/>
              <w:rPr>
                <w:rFonts w:cs="Arial"/>
                <w:sz w:val="20"/>
                <w:lang w:eastAsia="en-AU"/>
              </w:rPr>
            </w:pPr>
            <w:r w:rsidRPr="00154C73">
              <w:rPr>
                <w:rFonts w:cs="Arial"/>
                <w:sz w:val="20"/>
                <w:lang w:eastAsia="en-AU"/>
              </w:rPr>
              <w:t>RESIDENTIAL USE is permitted on the ground floor</w:t>
            </w:r>
            <w:r w:rsidR="00813359">
              <w:rPr>
                <w:rFonts w:cs="Arial"/>
                <w:sz w:val="20"/>
                <w:lang w:eastAsia="en-AU"/>
              </w:rPr>
              <w:t xml:space="preserve"> consistent with all of the following:</w:t>
            </w:r>
            <w:r w:rsidRPr="00154C73">
              <w:rPr>
                <w:rFonts w:cs="Arial"/>
                <w:sz w:val="20"/>
                <w:lang w:eastAsia="en-AU"/>
              </w:rPr>
              <w:t xml:space="preserve"> </w:t>
            </w:r>
          </w:p>
          <w:p w:rsidR="00F368C9" w:rsidRDefault="00F368C9" w:rsidP="00F368C9">
            <w:pPr>
              <w:pStyle w:val="ListParagraph"/>
              <w:numPr>
                <w:ilvl w:val="2"/>
                <w:numId w:val="25"/>
              </w:numPr>
              <w:tabs>
                <w:tab w:val="left" w:pos="0"/>
              </w:tabs>
              <w:spacing w:before="60" w:after="60" w:line="288" w:lineRule="auto"/>
              <w:rPr>
                <w:rFonts w:cs="Arial"/>
                <w:sz w:val="20"/>
                <w:lang w:eastAsia="en-AU"/>
              </w:rPr>
            </w:pPr>
            <w:r>
              <w:rPr>
                <w:rFonts w:cs="Arial"/>
                <w:sz w:val="20"/>
                <w:lang w:eastAsia="en-AU"/>
              </w:rPr>
              <w:t>i</w:t>
            </w:r>
            <w:r w:rsidR="00813359">
              <w:rPr>
                <w:rFonts w:cs="Arial"/>
                <w:sz w:val="20"/>
                <w:lang w:eastAsia="en-AU"/>
              </w:rPr>
              <w:t>t</w:t>
            </w:r>
            <w:r>
              <w:rPr>
                <w:rFonts w:cs="Arial"/>
                <w:sz w:val="20"/>
                <w:lang w:eastAsia="en-AU"/>
              </w:rPr>
              <w:t xml:space="preserve"> is not located on a primary active frontage as identified on Figure 1</w:t>
            </w:r>
          </w:p>
          <w:p w:rsidR="00154C73" w:rsidRPr="00813359" w:rsidRDefault="00154C73" w:rsidP="00F368C9">
            <w:pPr>
              <w:pStyle w:val="ListParagraph"/>
              <w:numPr>
                <w:ilvl w:val="2"/>
                <w:numId w:val="25"/>
              </w:numPr>
              <w:tabs>
                <w:tab w:val="left" w:pos="0"/>
              </w:tabs>
              <w:spacing w:before="60" w:after="60" w:line="288" w:lineRule="auto"/>
              <w:rPr>
                <w:rFonts w:cs="Arial"/>
                <w:sz w:val="20"/>
                <w:lang w:eastAsia="en-AU"/>
              </w:rPr>
            </w:pPr>
            <w:r w:rsidRPr="00813359">
              <w:rPr>
                <w:rFonts w:cs="Arial"/>
                <w:sz w:val="20"/>
                <w:lang w:eastAsia="en-AU"/>
              </w:rPr>
              <w:t xml:space="preserve">it complies with the Australian Standard </w:t>
            </w:r>
            <w:r w:rsidRPr="00813359">
              <w:rPr>
                <w:rFonts w:cs="Arial"/>
                <w:i/>
                <w:sz w:val="20"/>
                <w:lang w:eastAsia="en-AU"/>
              </w:rPr>
              <w:t xml:space="preserve">AS4299 – Adaptable housing </w:t>
            </w:r>
            <w:r w:rsidRPr="00813359">
              <w:rPr>
                <w:rFonts w:cs="Arial"/>
                <w:sz w:val="20"/>
                <w:lang w:eastAsia="en-AU"/>
              </w:rPr>
              <w:t>(class C) and the Access and Mobility General Code.</w:t>
            </w:r>
          </w:p>
        </w:tc>
        <w:tc>
          <w:tcPr>
            <w:tcW w:w="2500" w:type="pct"/>
            <w:shd w:val="clear" w:color="auto" w:fill="auto"/>
          </w:tcPr>
          <w:p w:rsidR="00154C73" w:rsidRPr="00154C73" w:rsidRDefault="00154C73" w:rsidP="00154C73">
            <w:pPr>
              <w:spacing w:before="60" w:after="60" w:line="288" w:lineRule="auto"/>
              <w:rPr>
                <w:rFonts w:cs="Arial"/>
                <w:vanish/>
                <w:sz w:val="20"/>
                <w:lang w:eastAsia="en-AU"/>
              </w:rPr>
            </w:pPr>
            <w:r w:rsidRPr="00154C73">
              <w:rPr>
                <w:rFonts w:cs="Arial"/>
                <w:vanish/>
                <w:sz w:val="20"/>
                <w:lang w:eastAsia="en-AU"/>
              </w:rPr>
              <w:t>XX</w:t>
            </w:r>
          </w:p>
          <w:p w:rsidR="00154C73" w:rsidRPr="00154C73" w:rsidRDefault="00154C73" w:rsidP="00154C73">
            <w:pPr>
              <w:spacing w:before="60" w:after="60" w:line="288" w:lineRule="auto"/>
              <w:rPr>
                <w:rFonts w:cs="Arial"/>
                <w:sz w:val="20"/>
              </w:rPr>
            </w:pPr>
          </w:p>
          <w:p w:rsidR="00154C73" w:rsidRPr="00154C73" w:rsidRDefault="00154C73" w:rsidP="00154C73">
            <w:pPr>
              <w:spacing w:before="60" w:after="60" w:line="288" w:lineRule="auto"/>
              <w:rPr>
                <w:rFonts w:cs="Arial"/>
                <w:sz w:val="20"/>
              </w:rPr>
            </w:pPr>
            <w:r w:rsidRPr="00154C73">
              <w:rPr>
                <w:rFonts w:cs="Arial"/>
                <w:sz w:val="20"/>
              </w:rPr>
              <w:t>This is a mandatory requirement. There is no applicable criterion.</w:t>
            </w:r>
          </w:p>
        </w:tc>
      </w:tr>
    </w:tbl>
    <w:p w:rsidR="00154C73" w:rsidRPr="00154C73" w:rsidRDefault="00154C73" w:rsidP="00154C73">
      <w:r w:rsidRPr="00154C73">
        <w:br w:type="page"/>
      </w:r>
    </w:p>
    <w:p w:rsidR="00154C73" w:rsidRPr="00154C73" w:rsidRDefault="00154C73" w:rsidP="00154C73"/>
    <w:p w:rsidR="00154C73" w:rsidRPr="00154C73" w:rsidRDefault="00154C73" w:rsidP="00154C73">
      <w:pPr>
        <w:keepLines/>
        <w:spacing w:after="120" w:line="288" w:lineRule="auto"/>
        <w:rPr>
          <w:rFonts w:cs="Arial"/>
          <w:b/>
          <w:bCs/>
          <w:sz w:val="20"/>
          <w:lang w:eastAsia="en-AU"/>
        </w:rPr>
      </w:pPr>
      <w:bookmarkStart w:id="25" w:name="_Toc347238376"/>
    </w:p>
    <w:bookmarkEnd w:id="25"/>
    <w:p w:rsidR="00154C73" w:rsidRPr="00154C73" w:rsidRDefault="00851C0B" w:rsidP="00154C73">
      <w:pPr>
        <w:keepLines/>
        <w:spacing w:after="120" w:line="288" w:lineRule="auto"/>
        <w:rPr>
          <w:rFonts w:cs="Arial"/>
          <w:sz w:val="20"/>
          <w:lang w:eastAsia="en-AU"/>
        </w:rPr>
      </w:pPr>
      <w:r>
        <w:rPr>
          <w:rFonts w:cs="Arial"/>
          <w:noProof/>
          <w:sz w:val="20"/>
          <w:lang w:eastAsia="en-AU"/>
        </w:rPr>
        <w:drawing>
          <wp:inline distT="0" distB="0" distL="0" distR="0">
            <wp:extent cx="5766435" cy="4912995"/>
            <wp:effectExtent l="0" t="0" r="5715" b="1905"/>
            <wp:docPr id="2" name="Picture 1" descr="Fig 1 - frontages etc revis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 frontages etc revised-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6435" cy="4912995"/>
                    </a:xfrm>
                    <a:prstGeom prst="rect">
                      <a:avLst/>
                    </a:prstGeom>
                    <a:noFill/>
                    <a:ln>
                      <a:noFill/>
                    </a:ln>
                  </pic:spPr>
                </pic:pic>
              </a:graphicData>
            </a:graphic>
          </wp:inline>
        </w:drawing>
      </w:r>
    </w:p>
    <w:p w:rsidR="00154C73" w:rsidRPr="00154C73" w:rsidRDefault="00154C73" w:rsidP="00154C73">
      <w:pPr>
        <w:keepLines/>
        <w:spacing w:after="120" w:line="288" w:lineRule="auto"/>
        <w:rPr>
          <w:rFonts w:cs="Arial"/>
          <w:b/>
          <w:bCs/>
          <w:sz w:val="20"/>
          <w:lang w:eastAsia="en-AU"/>
        </w:rPr>
      </w:pPr>
      <w:r w:rsidRPr="00154C73">
        <w:rPr>
          <w:rFonts w:cs="Arial"/>
          <w:b/>
          <w:bCs/>
          <w:sz w:val="20"/>
          <w:lang w:eastAsia="en-AU"/>
        </w:rPr>
        <w:t>Figure 1   Active frontages, ground floor uses and commercial adaptability</w:t>
      </w:r>
      <w:r w:rsidR="00870B41">
        <w:rPr>
          <w:rFonts w:cs="Arial"/>
          <w:b/>
          <w:bCs/>
          <w:sz w:val="20"/>
          <w:lang w:eastAsia="en-AU"/>
        </w:rPr>
        <w:t xml:space="preserve"> </w:t>
      </w:r>
    </w:p>
    <w:p w:rsidR="00154C73" w:rsidRPr="00154C73" w:rsidRDefault="00154C73" w:rsidP="00154C73">
      <w:r w:rsidRPr="00154C73">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rPr>
          <w:tblHeader/>
        </w:trPr>
        <w:tc>
          <w:tcPr>
            <w:tcW w:w="2500" w:type="pct"/>
            <w:tcBorders>
              <w:bottom w:val="single" w:sz="4" w:space="0" w:color="auto"/>
            </w:tcBorders>
            <w:shd w:val="clear" w:color="auto" w:fill="CCCCCC"/>
          </w:tcPr>
          <w:p w:rsidR="00154C73" w:rsidRPr="00154C73" w:rsidRDefault="00154C73" w:rsidP="00154C73">
            <w:pPr>
              <w:keepNext/>
              <w:spacing w:before="60" w:after="60"/>
              <w:rPr>
                <w:rFonts w:cs="Arial"/>
                <w:b/>
                <w:bCs/>
                <w:sz w:val="22"/>
              </w:rPr>
            </w:pPr>
            <w:r w:rsidRPr="00154C73">
              <w:rPr>
                <w:rFonts w:cs="Arial"/>
                <w:b/>
                <w:bCs/>
                <w:sz w:val="22"/>
              </w:rPr>
              <w:lastRenderedPageBreak/>
              <w:t>Rules</w:t>
            </w:r>
          </w:p>
        </w:tc>
        <w:tc>
          <w:tcPr>
            <w:tcW w:w="2500" w:type="pct"/>
            <w:tcBorders>
              <w:bottom w:val="single" w:sz="4" w:space="0" w:color="auto"/>
            </w:tcBorders>
            <w:shd w:val="clear" w:color="auto" w:fill="CCCCCC"/>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bookmarkStart w:id="26" w:name="_Toc325973389"/>
            <w:bookmarkStart w:id="27" w:name="_Toc333400005"/>
            <w:bookmarkStart w:id="28" w:name="_Toc347238337"/>
            <w:r w:rsidRPr="00154C73">
              <w:rPr>
                <w:rFonts w:cs="Arial"/>
                <w:sz w:val="20"/>
              </w:rPr>
              <w:br w:type="page"/>
            </w:r>
            <w:r w:rsidRPr="00154C73">
              <w:rPr>
                <w:rFonts w:cs="Arial"/>
                <w:b/>
                <w:bCs/>
                <w:sz w:val="20"/>
              </w:rPr>
              <w:t>Development on nominated car parking areas</w:t>
            </w:r>
            <w:bookmarkEnd w:id="26"/>
            <w:bookmarkEnd w:id="27"/>
            <w:bookmarkEnd w:id="28"/>
          </w:p>
        </w:tc>
      </w:tr>
      <w:tr w:rsidR="00154C73" w:rsidRPr="00154C73" w:rsidTr="00154C73">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R3</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This rule applies to the area shaded grey shown in Figure 2.</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Development complies with all of the following:</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the existing number of car parking spaces is retained on the site and made available for public use at all times</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 xml:space="preserve">provides car parking that is generated by the development on site in accordance with the </w:t>
            </w:r>
            <w:r w:rsidRPr="00154C73">
              <w:rPr>
                <w:rFonts w:cs="Arial"/>
                <w:i/>
                <w:sz w:val="20"/>
                <w:lang w:eastAsia="en-AU"/>
              </w:rPr>
              <w:t>Parking and Vehicular Access General Code</w:t>
            </w:r>
            <w:r w:rsidRPr="00154C73">
              <w:rPr>
                <w:rFonts w:cs="Arial"/>
                <w:sz w:val="20"/>
                <w:lang w:eastAsia="en-AU"/>
              </w:rPr>
              <w:t xml:space="preserve"> in addition to the spaces required by item a).</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C3</w:t>
            </w:r>
          </w:p>
          <w:p w:rsidR="00154C73" w:rsidRPr="00154C73" w:rsidRDefault="00154C73" w:rsidP="00154C73">
            <w:pPr>
              <w:numPr>
                <w:ilvl w:val="1"/>
                <w:numId w:val="25"/>
              </w:numPr>
              <w:spacing w:before="60" w:after="60" w:line="288" w:lineRule="auto"/>
              <w:rPr>
                <w:rFonts w:eastAsiaTheme="minorHAnsi" w:cs="Arial"/>
                <w:sz w:val="20"/>
              </w:rPr>
            </w:pPr>
            <w:r w:rsidRPr="00154C73">
              <w:rPr>
                <w:rFonts w:cs="Arial"/>
                <w:sz w:val="20"/>
                <w:lang w:eastAsia="en-AU"/>
              </w:rPr>
              <w:t>Development</w:t>
            </w:r>
            <w:r w:rsidRPr="00154C73">
              <w:rPr>
                <w:rFonts w:eastAsiaTheme="minorHAnsi" w:cs="Arial"/>
                <w:sz w:val="20"/>
              </w:rPr>
              <w:t xml:space="preserve"> meets all of the following:</w:t>
            </w:r>
          </w:p>
          <w:p w:rsidR="00154C73" w:rsidRPr="00154C73" w:rsidRDefault="00154C73" w:rsidP="00154C73">
            <w:pPr>
              <w:numPr>
                <w:ilvl w:val="2"/>
                <w:numId w:val="25"/>
              </w:numPr>
              <w:spacing w:before="60" w:after="60" w:line="288" w:lineRule="auto"/>
              <w:rPr>
                <w:rFonts w:cs="Arial"/>
                <w:sz w:val="20"/>
                <w:lang w:val="en-US" w:eastAsia="en-AU" w:bidi="en-US"/>
              </w:rPr>
            </w:pPr>
            <w:r w:rsidRPr="00154C73">
              <w:rPr>
                <w:rFonts w:cs="Arial"/>
                <w:sz w:val="20"/>
                <w:lang w:val="en-US" w:eastAsia="en-AU" w:bidi="en-US"/>
              </w:rPr>
              <w:t xml:space="preserve">in accordance with the Parking and </w:t>
            </w:r>
            <w:r w:rsidRPr="00154C73">
              <w:rPr>
                <w:rFonts w:cs="Arial"/>
                <w:sz w:val="20"/>
                <w:lang w:eastAsia="en-AU"/>
              </w:rPr>
              <w:t>Vehicular</w:t>
            </w:r>
            <w:r w:rsidRPr="00154C73">
              <w:rPr>
                <w:rFonts w:cs="Arial"/>
                <w:sz w:val="20"/>
                <w:lang w:val="en-US" w:eastAsia="en-AU" w:bidi="en-US"/>
              </w:rPr>
              <w:t xml:space="preserve"> Access General Code, there is enough car parking for the needs of the </w:t>
            </w:r>
            <w:proofErr w:type="spellStart"/>
            <w:r w:rsidRPr="00154C73">
              <w:rPr>
                <w:rFonts w:cs="Arial"/>
                <w:sz w:val="20"/>
                <w:lang w:val="en-US" w:eastAsia="en-AU" w:bidi="en-US"/>
              </w:rPr>
              <w:t>centre</w:t>
            </w:r>
            <w:proofErr w:type="spellEnd"/>
            <w:r w:rsidRPr="00154C73">
              <w:rPr>
                <w:rFonts w:cs="Arial"/>
                <w:sz w:val="20"/>
                <w:lang w:val="en-US" w:eastAsia="en-AU" w:bidi="en-US"/>
              </w:rPr>
              <w:t xml:space="preserve"> as a whole</w:t>
            </w:r>
          </w:p>
          <w:p w:rsidR="00154C73" w:rsidRPr="00154C73" w:rsidRDefault="00154C73" w:rsidP="00154C73">
            <w:pPr>
              <w:numPr>
                <w:ilvl w:val="2"/>
                <w:numId w:val="25"/>
              </w:numPr>
              <w:spacing w:before="60" w:after="60" w:line="288" w:lineRule="auto"/>
              <w:rPr>
                <w:rFonts w:cs="Arial"/>
                <w:sz w:val="20"/>
                <w:lang w:val="en-US" w:eastAsia="en-AU" w:bidi="en-US"/>
              </w:rPr>
            </w:pPr>
            <w:r w:rsidRPr="00154C73">
              <w:rPr>
                <w:rFonts w:cs="Arial"/>
                <w:sz w:val="20"/>
                <w:lang w:val="en-US" w:eastAsia="en-AU" w:bidi="en-US"/>
              </w:rPr>
              <w:t xml:space="preserve">the development does not adversely affect the overall function of the </w:t>
            </w:r>
            <w:proofErr w:type="spellStart"/>
            <w:r w:rsidRPr="00154C73">
              <w:rPr>
                <w:rFonts w:cs="Arial"/>
                <w:sz w:val="20"/>
                <w:lang w:val="en-US" w:eastAsia="en-AU" w:bidi="en-US"/>
              </w:rPr>
              <w:t>centre</w:t>
            </w:r>
            <w:proofErr w:type="spellEnd"/>
            <w:r w:rsidRPr="00154C73">
              <w:rPr>
                <w:rFonts w:cs="Arial"/>
                <w:sz w:val="20"/>
                <w:lang w:val="en-US" w:eastAsia="en-AU" w:bidi="en-US"/>
              </w:rPr>
              <w:t xml:space="preserve"> in terms of </w:t>
            </w:r>
            <w:r w:rsidRPr="00154C73">
              <w:rPr>
                <w:rFonts w:cs="Arial"/>
                <w:sz w:val="20"/>
                <w:lang w:eastAsia="en-AU"/>
              </w:rPr>
              <w:t>economic</w:t>
            </w:r>
            <w:r w:rsidRPr="00154C73">
              <w:rPr>
                <w:rFonts w:cs="Arial"/>
                <w:sz w:val="20"/>
                <w:lang w:val="en-US" w:eastAsia="en-AU" w:bidi="en-US"/>
              </w:rPr>
              <w:t>, social, traffic and parking and urban design impacts.</w:t>
            </w:r>
          </w:p>
        </w:tc>
      </w:tr>
    </w:tbl>
    <w:p w:rsidR="00154C73" w:rsidRPr="004C2EC5" w:rsidRDefault="00154C73" w:rsidP="00154C73">
      <w:pPr>
        <w:keepLines/>
        <w:spacing w:after="120" w:line="288" w:lineRule="auto"/>
        <w:jc w:val="center"/>
        <w:rPr>
          <w:rFonts w:cs="Arial"/>
          <w:noProof/>
          <w:sz w:val="16"/>
          <w:szCs w:val="12"/>
          <w:lang w:eastAsia="en-AU"/>
        </w:rPr>
      </w:pPr>
    </w:p>
    <w:p w:rsidR="00154C73" w:rsidRPr="00154C73" w:rsidRDefault="00154C73" w:rsidP="00154C73">
      <w:pPr>
        <w:keepLines/>
        <w:spacing w:after="120" w:line="288" w:lineRule="auto"/>
        <w:jc w:val="center"/>
        <w:rPr>
          <w:rFonts w:cs="Arial"/>
          <w:bCs/>
          <w:noProof/>
          <w:lang w:eastAsia="en-AU"/>
        </w:rPr>
      </w:pPr>
      <w:r w:rsidRPr="00154C73">
        <w:rPr>
          <w:rFonts w:cs="Arial"/>
          <w:noProof/>
          <w:lang w:eastAsia="en-AU"/>
        </w:rPr>
        <w:drawing>
          <wp:inline distT="0" distB="0" distL="0" distR="0" wp14:anchorId="7B862CEF" wp14:editId="6576C36F">
            <wp:extent cx="5545447" cy="4907280"/>
            <wp:effectExtent l="0" t="0" r="0" b="0"/>
            <wp:docPr id="8" name="Picture 8" descr="G:\Common\TerrPlan\DV355\Fig 2 - 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on\TerrPlan\DV355\Fig 2 - parkin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8849" cy="4910291"/>
                    </a:xfrm>
                    <a:prstGeom prst="rect">
                      <a:avLst/>
                    </a:prstGeom>
                    <a:noFill/>
                    <a:ln>
                      <a:noFill/>
                    </a:ln>
                  </pic:spPr>
                </pic:pic>
              </a:graphicData>
            </a:graphic>
          </wp:inline>
        </w:drawing>
      </w:r>
    </w:p>
    <w:p w:rsidR="00154C73" w:rsidRPr="00154C73" w:rsidRDefault="00154C73" w:rsidP="00154C73">
      <w:pPr>
        <w:keepNext/>
        <w:tabs>
          <w:tab w:val="left" w:pos="1418"/>
        </w:tabs>
        <w:spacing w:before="120" w:line="288" w:lineRule="auto"/>
        <w:rPr>
          <w:rFonts w:cs="Arial"/>
          <w:b/>
          <w:bCs/>
          <w:sz w:val="20"/>
        </w:rPr>
      </w:pPr>
      <w:bookmarkStart w:id="29" w:name="_Toc347238338"/>
      <w:r w:rsidRPr="00154C73">
        <w:rPr>
          <w:rFonts w:cs="Arial"/>
          <w:b/>
          <w:bCs/>
          <w:sz w:val="20"/>
        </w:rPr>
        <w:t>Figure 2 – car parking</w:t>
      </w:r>
    </w:p>
    <w:p w:rsidR="00154C73" w:rsidRPr="00154C73" w:rsidRDefault="00154C73" w:rsidP="00154C73">
      <w:pPr>
        <w:rPr>
          <w:rFonts w:cs="Arial"/>
          <w:b/>
          <w:bCs/>
          <w:lang w:eastAsia="en-AU"/>
        </w:rPr>
      </w:pPr>
      <w:r w:rsidRPr="00154C73">
        <w:br w:type="page"/>
      </w:r>
    </w:p>
    <w:p w:rsidR="00154C73" w:rsidRPr="00154C73" w:rsidRDefault="00154C73" w:rsidP="00154C73">
      <w:pPr>
        <w:keepNext/>
        <w:numPr>
          <w:ilvl w:val="0"/>
          <w:numId w:val="26"/>
        </w:numPr>
        <w:tabs>
          <w:tab w:val="left" w:pos="1418"/>
        </w:tabs>
        <w:spacing w:before="120" w:line="288" w:lineRule="auto"/>
        <w:rPr>
          <w:rFonts w:cs="Arial"/>
          <w:b/>
          <w:bCs/>
        </w:rPr>
      </w:pPr>
      <w:r w:rsidRPr="00154C73">
        <w:rPr>
          <w:rFonts w:cs="Arial"/>
          <w:b/>
          <w:bCs/>
        </w:rPr>
        <w:lastRenderedPageBreak/>
        <w:t>Buildings</w:t>
      </w:r>
      <w:bookmarkEnd w:id="29"/>
      <w:r w:rsidRPr="00154C73">
        <w:rPr>
          <w:rFonts w:cs="Arial"/>
          <w:b/>
          <w:bCs/>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rPr>
          <w:tblHeader/>
        </w:trPr>
        <w:tc>
          <w:tcPr>
            <w:tcW w:w="2500" w:type="pct"/>
            <w:tcBorders>
              <w:bottom w:val="single" w:sz="4" w:space="0" w:color="auto"/>
            </w:tcBorders>
            <w:shd w:val="clear" w:color="auto" w:fill="CCCCCC"/>
          </w:tcPr>
          <w:p w:rsidR="00154C73" w:rsidRPr="00154C73" w:rsidRDefault="00154C73" w:rsidP="00154C73">
            <w:pPr>
              <w:spacing w:before="60" w:after="60"/>
              <w:rPr>
                <w:rFonts w:cs="Arial"/>
                <w:b/>
                <w:bCs/>
                <w:sz w:val="22"/>
              </w:rPr>
            </w:pPr>
            <w:r w:rsidRPr="00154C73">
              <w:rPr>
                <w:rFonts w:cs="Arial"/>
                <w:b/>
                <w:bCs/>
                <w:sz w:val="22"/>
              </w:rPr>
              <w:t>Rules</w:t>
            </w:r>
          </w:p>
        </w:tc>
        <w:tc>
          <w:tcPr>
            <w:tcW w:w="2500" w:type="pct"/>
            <w:tcBorders>
              <w:bottom w:val="single" w:sz="4" w:space="0" w:color="auto"/>
            </w:tcBorders>
            <w:shd w:val="clear" w:color="auto" w:fill="CCCCCC"/>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numPr>
                <w:ilvl w:val="1"/>
                <w:numId w:val="26"/>
              </w:numPr>
              <w:spacing w:before="60" w:after="60"/>
              <w:rPr>
                <w:rFonts w:cs="Arial"/>
                <w:b/>
                <w:bCs/>
                <w:sz w:val="20"/>
              </w:rPr>
            </w:pPr>
            <w:bookmarkStart w:id="30" w:name="_Toc347238341"/>
            <w:r w:rsidRPr="00154C73">
              <w:rPr>
                <w:rFonts w:cs="Arial"/>
                <w:b/>
                <w:bCs/>
                <w:sz w:val="20"/>
              </w:rPr>
              <w:t>Building heights</w:t>
            </w:r>
            <w:bookmarkEnd w:id="30"/>
          </w:p>
        </w:tc>
      </w:tr>
      <w:tr w:rsidR="00154C73" w:rsidRPr="00154C73" w:rsidTr="00154C73">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R4</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 xml:space="preserve">The maximum </w:t>
            </w:r>
            <w:r w:rsidRPr="00154C73">
              <w:rPr>
                <w:rFonts w:cs="Arial"/>
                <w:i/>
                <w:sz w:val="20"/>
                <w:lang w:eastAsia="en-AU"/>
              </w:rPr>
              <w:t>height of buildings</w:t>
            </w:r>
            <w:r w:rsidRPr="00154C73">
              <w:rPr>
                <w:rFonts w:cs="Arial"/>
                <w:sz w:val="20"/>
                <w:lang w:eastAsia="en-AU"/>
              </w:rPr>
              <w:t xml:space="preserve"> is 2 </w:t>
            </w:r>
            <w:r w:rsidRPr="00154C73">
              <w:rPr>
                <w:rFonts w:cs="Arial"/>
                <w:i/>
                <w:sz w:val="20"/>
                <w:lang w:eastAsia="en-AU"/>
              </w:rPr>
              <w:t>storeys</w:t>
            </w:r>
            <w:r w:rsidRPr="00154C73">
              <w:rPr>
                <w:rFonts w:cs="Arial"/>
                <w:sz w:val="20"/>
                <w:lang w:eastAsia="en-AU"/>
              </w:rPr>
              <w:t xml:space="preserve"> except areas A and B in Figure 3. </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 xml:space="preserve">Plant room set back a minimum of 3m from the building facade of the floor immediately below is not included in the number of </w:t>
            </w:r>
            <w:r w:rsidRPr="00F821EA">
              <w:rPr>
                <w:rFonts w:cs="Arial"/>
                <w:i/>
                <w:iCs/>
                <w:sz w:val="20"/>
                <w:lang w:eastAsia="en-AU"/>
              </w:rPr>
              <w:t>storeys</w:t>
            </w:r>
            <w:r w:rsidRPr="00154C73">
              <w:rPr>
                <w:rFonts w:cs="Arial"/>
                <w:sz w:val="20"/>
                <w:lang w:eastAsia="en-AU"/>
              </w:rPr>
              <w:t>.</w:t>
            </w:r>
          </w:p>
        </w:tc>
        <w:tc>
          <w:tcPr>
            <w:tcW w:w="2500" w:type="pct"/>
            <w:tcBorders>
              <w:bottom w:val="single" w:sz="4" w:space="0" w:color="auto"/>
            </w:tcBorders>
            <w:shd w:val="clear" w:color="auto" w:fill="auto"/>
          </w:tcPr>
          <w:p w:rsidR="00154C73" w:rsidRPr="00154C73" w:rsidRDefault="00154C73" w:rsidP="00154C73">
            <w:pPr>
              <w:spacing w:before="60" w:after="60" w:line="288" w:lineRule="auto"/>
              <w:rPr>
                <w:rFonts w:cs="Arial"/>
                <w:vanish/>
                <w:sz w:val="20"/>
                <w:lang w:eastAsia="en-AU"/>
              </w:rPr>
            </w:pPr>
            <w:r w:rsidRPr="00154C73">
              <w:rPr>
                <w:rFonts w:cs="Arial"/>
                <w:vanish/>
                <w:sz w:val="20"/>
                <w:lang w:eastAsia="en-AU"/>
              </w:rPr>
              <w:t>xxx</w:t>
            </w:r>
          </w:p>
          <w:p w:rsidR="00154C73" w:rsidRPr="00154C73" w:rsidRDefault="00154C73" w:rsidP="00154C73">
            <w:pPr>
              <w:spacing w:before="60" w:after="60" w:line="288" w:lineRule="auto"/>
              <w:rPr>
                <w:rFonts w:cs="Arial"/>
                <w:sz w:val="20"/>
                <w:lang w:eastAsia="en-AU"/>
              </w:rPr>
            </w:pPr>
          </w:p>
          <w:p w:rsidR="00154C73" w:rsidRPr="00154C73" w:rsidRDefault="00154C73" w:rsidP="00154C73">
            <w:pPr>
              <w:spacing w:before="60" w:after="60" w:line="288" w:lineRule="auto"/>
              <w:rPr>
                <w:rFonts w:cs="Arial"/>
                <w:sz w:val="20"/>
                <w:lang w:eastAsia="en-AU"/>
              </w:rPr>
            </w:pPr>
            <w:r w:rsidRPr="00154C73">
              <w:rPr>
                <w:rFonts w:cs="Arial"/>
                <w:sz w:val="20"/>
                <w:lang w:eastAsia="en-AU"/>
              </w:rPr>
              <w:t>This is a mandatory requirement. There is no applicable criterion.</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numPr>
                <w:ilvl w:val="1"/>
                <w:numId w:val="26"/>
              </w:numPr>
              <w:spacing w:before="60" w:after="60"/>
              <w:rPr>
                <w:rFonts w:cs="Arial"/>
                <w:b/>
                <w:bCs/>
                <w:sz w:val="20"/>
              </w:rPr>
            </w:pPr>
            <w:r w:rsidRPr="00154C73">
              <w:rPr>
                <w:rFonts w:cs="Arial"/>
                <w:b/>
                <w:bCs/>
                <w:sz w:val="20"/>
              </w:rPr>
              <w:t>Building heights</w:t>
            </w:r>
          </w:p>
        </w:tc>
      </w:tr>
      <w:tr w:rsidR="00154C73" w:rsidRPr="00154C73" w:rsidTr="00154C73">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R5</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This rule applies to areas A and B in Figure 3.</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 xml:space="preserve">The maximum </w:t>
            </w:r>
            <w:r w:rsidRPr="00154C73">
              <w:rPr>
                <w:rFonts w:cs="Arial"/>
                <w:i/>
                <w:sz w:val="20"/>
                <w:lang w:eastAsia="en-AU"/>
              </w:rPr>
              <w:t>height of building</w:t>
            </w:r>
            <w:r w:rsidRPr="00154C73">
              <w:rPr>
                <w:rFonts w:cs="Arial"/>
                <w:sz w:val="20"/>
                <w:lang w:eastAsia="en-AU"/>
              </w:rPr>
              <w:t xml:space="preserve"> in areas A and B is 2 </w:t>
            </w:r>
            <w:r w:rsidRPr="00F821EA">
              <w:rPr>
                <w:rFonts w:cs="Arial"/>
                <w:i/>
                <w:iCs/>
                <w:sz w:val="20"/>
                <w:lang w:eastAsia="en-AU"/>
              </w:rPr>
              <w:t>storeys</w:t>
            </w:r>
            <w:r w:rsidRPr="00154C73">
              <w:rPr>
                <w:rFonts w:cs="Arial"/>
                <w:sz w:val="20"/>
                <w:lang w:eastAsia="en-AU"/>
              </w:rPr>
              <w:t xml:space="preserve">. </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C5</w:t>
            </w:r>
          </w:p>
          <w:p w:rsidR="00154C73" w:rsidRPr="00154C73" w:rsidRDefault="00154C73" w:rsidP="00154C73">
            <w:pPr>
              <w:spacing w:before="60" w:after="60" w:line="288" w:lineRule="auto"/>
              <w:rPr>
                <w:rFonts w:cs="Arial"/>
                <w:vanish/>
                <w:sz w:val="20"/>
                <w:lang w:eastAsia="en-AU"/>
              </w:rPr>
            </w:pPr>
          </w:p>
          <w:p w:rsidR="00154C73" w:rsidRPr="00154C73" w:rsidRDefault="00154C73" w:rsidP="00154C73">
            <w:pPr>
              <w:spacing w:before="60" w:after="60" w:line="288" w:lineRule="auto"/>
              <w:rPr>
                <w:rFonts w:cs="Arial"/>
                <w:sz w:val="20"/>
                <w:lang w:eastAsia="en-AU"/>
              </w:rPr>
            </w:pPr>
            <w:r w:rsidRPr="00154C73">
              <w:rPr>
                <w:rFonts w:cs="Arial"/>
                <w:sz w:val="20"/>
                <w:lang w:eastAsia="en-AU"/>
              </w:rPr>
              <w:t xml:space="preserve">The maximum </w:t>
            </w:r>
            <w:r w:rsidRPr="00154C73">
              <w:rPr>
                <w:rFonts w:cs="Arial"/>
                <w:i/>
                <w:sz w:val="20"/>
                <w:lang w:eastAsia="en-AU"/>
              </w:rPr>
              <w:t>height of building</w:t>
            </w:r>
            <w:r w:rsidRPr="00154C73">
              <w:rPr>
                <w:rFonts w:cs="Arial"/>
                <w:sz w:val="20"/>
                <w:lang w:eastAsia="en-AU"/>
              </w:rPr>
              <w:t xml:space="preserve"> in areas A and B may be increased to 4 </w:t>
            </w:r>
            <w:r w:rsidRPr="00F821EA">
              <w:rPr>
                <w:rFonts w:cs="Arial"/>
                <w:i/>
                <w:iCs/>
                <w:sz w:val="20"/>
                <w:lang w:eastAsia="en-AU"/>
              </w:rPr>
              <w:t>storeys</w:t>
            </w:r>
            <w:r w:rsidRPr="00154C73">
              <w:rPr>
                <w:rFonts w:cs="Arial"/>
                <w:sz w:val="20"/>
                <w:lang w:eastAsia="en-AU"/>
              </w:rPr>
              <w:t xml:space="preserve"> where:</w:t>
            </w:r>
          </w:p>
          <w:p w:rsidR="00154C73" w:rsidRPr="00154C73" w:rsidRDefault="00154C73" w:rsidP="00154C73">
            <w:pPr>
              <w:numPr>
                <w:ilvl w:val="2"/>
                <w:numId w:val="24"/>
              </w:numPr>
              <w:spacing w:before="60" w:after="60" w:line="288" w:lineRule="auto"/>
              <w:rPr>
                <w:rFonts w:cs="Arial"/>
                <w:sz w:val="20"/>
                <w:lang w:eastAsia="en-AU"/>
              </w:rPr>
            </w:pPr>
            <w:r w:rsidRPr="00F821EA">
              <w:rPr>
                <w:rFonts w:cs="Arial"/>
                <w:i/>
                <w:iCs/>
                <w:sz w:val="20"/>
                <w:lang w:eastAsia="en-AU"/>
              </w:rPr>
              <w:t>development</w:t>
            </w:r>
            <w:r w:rsidRPr="00154C73">
              <w:rPr>
                <w:rFonts w:cs="Arial"/>
                <w:sz w:val="20"/>
                <w:lang w:eastAsia="en-AU"/>
              </w:rPr>
              <w:t xml:space="preserve"> maintains reasonable solar access on the surrounding publicly accessible areas.</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area A achieves all of the following:</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 xml:space="preserve">is contained within </w:t>
            </w:r>
            <w:r w:rsidRPr="00F821EA">
              <w:rPr>
                <w:rFonts w:cs="Arial"/>
                <w:i/>
                <w:iCs/>
                <w:sz w:val="20"/>
                <w:lang w:eastAsia="en-AU"/>
              </w:rPr>
              <w:t>block</w:t>
            </w:r>
            <w:r w:rsidRPr="00154C73">
              <w:rPr>
                <w:rFonts w:cs="Arial"/>
                <w:sz w:val="20"/>
                <w:lang w:eastAsia="en-AU"/>
              </w:rPr>
              <w:t xml:space="preserve"> 41 </w:t>
            </w:r>
            <w:r w:rsidRPr="00F821EA">
              <w:rPr>
                <w:rFonts w:cs="Arial"/>
                <w:i/>
                <w:iCs/>
                <w:sz w:val="20"/>
                <w:lang w:eastAsia="en-AU"/>
              </w:rPr>
              <w:t>section</w:t>
            </w:r>
            <w:r w:rsidRPr="00154C73">
              <w:rPr>
                <w:rFonts w:cs="Arial"/>
                <w:sz w:val="20"/>
                <w:lang w:eastAsia="en-AU"/>
              </w:rPr>
              <w:t xml:space="preserve"> 787 </w:t>
            </w:r>
            <w:proofErr w:type="spellStart"/>
            <w:r w:rsidRPr="00154C73">
              <w:rPr>
                <w:rFonts w:cs="Arial"/>
                <w:sz w:val="20"/>
                <w:lang w:eastAsia="en-AU"/>
              </w:rPr>
              <w:t>Calwell</w:t>
            </w:r>
            <w:proofErr w:type="spellEnd"/>
            <w:r w:rsidRPr="00154C73">
              <w:rPr>
                <w:rFonts w:cs="Arial"/>
                <w:sz w:val="20"/>
                <w:lang w:eastAsia="en-AU"/>
              </w:rPr>
              <w:t xml:space="preserve"> </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 xml:space="preserve">is measured from the north western most boundary of </w:t>
            </w:r>
            <w:r w:rsidRPr="00F821EA">
              <w:rPr>
                <w:rFonts w:cs="Arial"/>
                <w:i/>
                <w:iCs/>
                <w:sz w:val="20"/>
                <w:lang w:eastAsia="en-AU"/>
              </w:rPr>
              <w:t>block</w:t>
            </w:r>
            <w:r w:rsidRPr="00154C73">
              <w:rPr>
                <w:rFonts w:cs="Arial"/>
                <w:sz w:val="20"/>
                <w:lang w:eastAsia="en-AU"/>
              </w:rPr>
              <w:t xml:space="preserve"> 41 </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is a maximum of 26 metres wide.</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area B achieves all of the following:</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 xml:space="preserve">is contained within </w:t>
            </w:r>
            <w:r w:rsidRPr="00F821EA">
              <w:rPr>
                <w:rFonts w:cs="Arial"/>
                <w:i/>
                <w:iCs/>
                <w:sz w:val="20"/>
                <w:lang w:eastAsia="en-AU"/>
              </w:rPr>
              <w:t>block</w:t>
            </w:r>
            <w:r w:rsidRPr="00154C73">
              <w:rPr>
                <w:rFonts w:cs="Arial"/>
                <w:sz w:val="20"/>
                <w:lang w:eastAsia="en-AU"/>
              </w:rPr>
              <w:t xml:space="preserve"> 12 </w:t>
            </w:r>
            <w:r w:rsidRPr="00F821EA">
              <w:rPr>
                <w:rFonts w:cs="Arial"/>
                <w:i/>
                <w:iCs/>
                <w:sz w:val="20"/>
                <w:lang w:eastAsia="en-AU"/>
              </w:rPr>
              <w:t>section</w:t>
            </w:r>
            <w:r w:rsidRPr="00154C73">
              <w:rPr>
                <w:rFonts w:cs="Arial"/>
                <w:sz w:val="20"/>
                <w:lang w:eastAsia="en-AU"/>
              </w:rPr>
              <w:t xml:space="preserve"> 787 </w:t>
            </w:r>
            <w:proofErr w:type="spellStart"/>
            <w:r w:rsidRPr="00154C73">
              <w:rPr>
                <w:rFonts w:cs="Arial"/>
                <w:sz w:val="20"/>
                <w:lang w:eastAsia="en-AU"/>
              </w:rPr>
              <w:t>Calwell</w:t>
            </w:r>
            <w:proofErr w:type="spellEnd"/>
            <w:r w:rsidRPr="00154C73">
              <w:rPr>
                <w:rFonts w:cs="Arial"/>
                <w:sz w:val="20"/>
                <w:lang w:eastAsia="en-AU"/>
              </w:rPr>
              <w:t xml:space="preserve"> </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 xml:space="preserve">is measured 10.5metres from the western </w:t>
            </w:r>
            <w:r w:rsidRPr="005F5AA3">
              <w:rPr>
                <w:rFonts w:cs="Arial"/>
                <w:sz w:val="20"/>
                <w:lang w:eastAsia="en-AU"/>
              </w:rPr>
              <w:t>boundary</w:t>
            </w:r>
            <w:r w:rsidRPr="00154C73">
              <w:rPr>
                <w:rFonts w:cs="Arial"/>
                <w:sz w:val="20"/>
                <w:lang w:eastAsia="en-AU"/>
              </w:rPr>
              <w:t xml:space="preserve"> of area A</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 xml:space="preserve">is a maximum of 22 metres wide </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is a maximum of 60 metres long.</w:t>
            </w:r>
          </w:p>
        </w:tc>
      </w:tr>
    </w:tbl>
    <w:p w:rsidR="00154C73" w:rsidRPr="00154C73" w:rsidRDefault="00154C73" w:rsidP="00154C73">
      <w:r w:rsidRPr="00154C73">
        <w:br w:type="page"/>
      </w:r>
    </w:p>
    <w:p w:rsidR="00154C73" w:rsidRPr="00154C73" w:rsidRDefault="00154C73" w:rsidP="00154C73">
      <w:r w:rsidRPr="00154C73">
        <w:rPr>
          <w:noProof/>
          <w:lang w:eastAsia="en-AU"/>
        </w:rPr>
        <w:lastRenderedPageBreak/>
        <w:drawing>
          <wp:inline distT="0" distB="0" distL="0" distR="0" wp14:anchorId="183467D9" wp14:editId="2D80A03D">
            <wp:extent cx="6087936" cy="5387340"/>
            <wp:effectExtent l="0" t="0" r="0" b="0"/>
            <wp:docPr id="13" name="Picture 13" descr="G:\Common\TerrPlan\DV355\Fig 3 - heights A and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on\TerrPlan\DV355\Fig 3 - heights A and 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9262" cy="5388513"/>
                    </a:xfrm>
                    <a:prstGeom prst="rect">
                      <a:avLst/>
                    </a:prstGeom>
                    <a:noFill/>
                    <a:ln>
                      <a:noFill/>
                    </a:ln>
                  </pic:spPr>
                </pic:pic>
              </a:graphicData>
            </a:graphic>
          </wp:inline>
        </w:drawing>
      </w:r>
    </w:p>
    <w:p w:rsidR="00154C73" w:rsidRPr="00154C73" w:rsidRDefault="00154C73" w:rsidP="00154C73">
      <w:pPr>
        <w:keepNext/>
        <w:tabs>
          <w:tab w:val="left" w:pos="1418"/>
        </w:tabs>
        <w:spacing w:before="120" w:line="288" w:lineRule="auto"/>
        <w:rPr>
          <w:rFonts w:cs="Arial"/>
          <w:b/>
          <w:bCs/>
        </w:rPr>
      </w:pPr>
      <w:r w:rsidRPr="00154C73">
        <w:rPr>
          <w:rFonts w:cs="Arial"/>
          <w:b/>
          <w:bCs/>
          <w:sz w:val="20"/>
        </w:rPr>
        <w:t xml:space="preserve">Figure 3: building heights </w:t>
      </w:r>
    </w:p>
    <w:p w:rsidR="00154C73" w:rsidRPr="00154C73" w:rsidRDefault="00154C73" w:rsidP="00154C73">
      <w:r w:rsidRPr="00154C73">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lastRenderedPageBreak/>
              <w:t>Rules</w:t>
            </w:r>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r w:rsidRPr="00154C73">
              <w:rPr>
                <w:rFonts w:cs="Arial"/>
                <w:b/>
                <w:bCs/>
                <w:sz w:val="20"/>
              </w:rPr>
              <w:t>Building design</w:t>
            </w:r>
          </w:p>
        </w:tc>
      </w:tr>
      <w:tr w:rsidR="00154C73" w:rsidRPr="00154C73" w:rsidTr="00154C73">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R6</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 xml:space="preserve">This rule applies to </w:t>
            </w:r>
            <w:r w:rsidRPr="00F821EA">
              <w:rPr>
                <w:rFonts w:cs="Arial"/>
                <w:i/>
                <w:iCs/>
                <w:sz w:val="20"/>
                <w:lang w:eastAsia="en-AU"/>
              </w:rPr>
              <w:t>development</w:t>
            </w:r>
            <w:r w:rsidRPr="00154C73">
              <w:rPr>
                <w:rFonts w:cs="Arial"/>
                <w:sz w:val="20"/>
                <w:lang w:eastAsia="en-AU"/>
              </w:rPr>
              <w:t xml:space="preserve"> along primary and secondary active frontages shown in Figure 1.</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The minimum floor to ceiling height at the ground floor level is 3.6m.</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C6</w:t>
            </w:r>
          </w:p>
          <w:p w:rsidR="00154C73" w:rsidRPr="00154C73" w:rsidRDefault="00154C73" w:rsidP="00154C73">
            <w:pPr>
              <w:numPr>
                <w:ilvl w:val="1"/>
                <w:numId w:val="25"/>
              </w:numPr>
              <w:spacing w:before="60" w:after="60" w:line="288" w:lineRule="auto"/>
              <w:rPr>
                <w:rFonts w:cs="Arial"/>
                <w:sz w:val="20"/>
                <w:lang w:eastAsia="en-AU"/>
              </w:rPr>
            </w:pPr>
            <w:r w:rsidRPr="00154C73">
              <w:rPr>
                <w:rFonts w:cs="Arial"/>
                <w:sz w:val="20"/>
                <w:lang w:eastAsia="en-AU"/>
              </w:rPr>
              <w:t>The ground floor level of buildings is adaptable for commercial uses.</w:t>
            </w:r>
          </w:p>
        </w:tc>
      </w:tr>
      <w:tr w:rsidR="00154C73" w:rsidRPr="00154C73" w:rsidTr="00154C73">
        <w:trPr>
          <w:hidden/>
        </w:trPr>
        <w:tc>
          <w:tcPr>
            <w:tcW w:w="2500" w:type="pct"/>
            <w:tcBorders>
              <w:bottom w:val="single" w:sz="4" w:space="0" w:color="auto"/>
            </w:tcBorders>
            <w:shd w:val="clear" w:color="auto" w:fill="auto"/>
          </w:tcPr>
          <w:p w:rsidR="00154C73" w:rsidRPr="00154C73" w:rsidRDefault="00154C73" w:rsidP="00154C73">
            <w:pPr>
              <w:spacing w:before="60" w:after="60" w:line="288" w:lineRule="auto"/>
              <w:rPr>
                <w:rFonts w:cs="Arial"/>
                <w:vanish/>
                <w:sz w:val="20"/>
                <w:lang w:eastAsia="en-AU"/>
              </w:rPr>
            </w:pP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 xml:space="preserve"> </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There is no applicable rule.</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C7</w:t>
            </w:r>
          </w:p>
          <w:p w:rsidR="00154C73" w:rsidRPr="00154C73" w:rsidRDefault="00154C73" w:rsidP="00154C73">
            <w:pPr>
              <w:numPr>
                <w:ilvl w:val="1"/>
                <w:numId w:val="25"/>
              </w:numPr>
              <w:spacing w:before="60" w:after="60" w:line="288" w:lineRule="auto"/>
              <w:rPr>
                <w:rFonts w:cs="Arial"/>
                <w:sz w:val="20"/>
                <w:lang w:eastAsia="en-AU"/>
              </w:rPr>
            </w:pPr>
            <w:r w:rsidRPr="00154C73">
              <w:rPr>
                <w:rFonts w:cs="Arial"/>
                <w:sz w:val="20"/>
                <w:lang w:eastAsia="en-AU"/>
              </w:rPr>
              <w:t>Building design achieves all of the following:</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entrances to common areas for residential use provide strong visual connection to the street and ensure a high level of surveillance</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 xml:space="preserve">driveways and pedestrian entrances to the site are visible from the </w:t>
            </w:r>
            <w:r w:rsidRPr="00F821EA">
              <w:rPr>
                <w:rFonts w:cs="Arial"/>
                <w:i/>
                <w:iCs/>
                <w:sz w:val="20"/>
                <w:lang w:eastAsia="en-AU"/>
              </w:rPr>
              <w:t>block</w:t>
            </w:r>
            <w:r w:rsidRPr="00154C73">
              <w:rPr>
                <w:rFonts w:cs="Arial"/>
                <w:sz w:val="20"/>
                <w:lang w:eastAsia="en-AU"/>
              </w:rPr>
              <w:t xml:space="preserve"> boundary</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west-facing facades incorporate sun shading into building designs</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car parking does not front onto main pedestrian routes and streets at ground floor, and</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service access does not adversely impact on or limit active frontages and/or public places.</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bookmarkStart w:id="31" w:name="_Toc324236456"/>
            <w:bookmarkStart w:id="32" w:name="_Toc347238345"/>
            <w:r w:rsidRPr="00154C73">
              <w:rPr>
                <w:rFonts w:cs="Arial"/>
                <w:b/>
                <w:bCs/>
                <w:sz w:val="20"/>
              </w:rPr>
              <w:t>Plot ratio</w:t>
            </w:r>
            <w:bookmarkEnd w:id="31"/>
            <w:bookmarkEnd w:id="32"/>
          </w:p>
        </w:tc>
      </w:tr>
      <w:tr w:rsidR="00154C73" w:rsidRPr="00154C73" w:rsidTr="00154C73">
        <w:trPr>
          <w:hidden/>
        </w:trPr>
        <w:tc>
          <w:tcPr>
            <w:tcW w:w="2500" w:type="pct"/>
            <w:tcBorders>
              <w:bottom w:val="single" w:sz="4" w:space="0" w:color="auto"/>
            </w:tcBorders>
            <w:shd w:val="clear" w:color="auto" w:fill="auto"/>
          </w:tcPr>
          <w:p w:rsidR="00154C73" w:rsidRPr="00154C73" w:rsidRDefault="00154C73" w:rsidP="00154C73">
            <w:pPr>
              <w:spacing w:before="60" w:after="60" w:line="288" w:lineRule="auto"/>
              <w:rPr>
                <w:rFonts w:cs="Arial"/>
                <w:vanish/>
                <w:sz w:val="20"/>
                <w:lang w:eastAsia="en-AU"/>
              </w:rPr>
            </w:pP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 xml:space="preserve"> </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There is no applicable rule.</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C8</w:t>
            </w:r>
          </w:p>
          <w:p w:rsidR="00154C73" w:rsidRPr="00154C73" w:rsidRDefault="00154C73" w:rsidP="00154C73">
            <w:pPr>
              <w:numPr>
                <w:ilvl w:val="1"/>
                <w:numId w:val="25"/>
              </w:numPr>
              <w:spacing w:before="60" w:after="60" w:line="288" w:lineRule="auto"/>
              <w:rPr>
                <w:rFonts w:eastAsiaTheme="minorHAnsi" w:cs="Arial"/>
                <w:sz w:val="20"/>
                <w:lang w:eastAsia="en-AU"/>
              </w:rPr>
            </w:pPr>
            <w:r w:rsidRPr="00154C73">
              <w:rPr>
                <w:rFonts w:eastAsiaTheme="minorHAnsi" w:cs="Arial"/>
                <w:i/>
                <w:sz w:val="20"/>
                <w:lang w:eastAsia="en-AU"/>
              </w:rPr>
              <w:t>Plot ratio</w:t>
            </w:r>
            <w:r w:rsidRPr="00154C73">
              <w:rPr>
                <w:rFonts w:eastAsiaTheme="minorHAnsi" w:cs="Arial"/>
                <w:sz w:val="20"/>
                <w:lang w:eastAsia="en-AU"/>
              </w:rPr>
              <w:t xml:space="preserve"> achieves consistency with the </w:t>
            </w:r>
            <w:r w:rsidRPr="00154C73">
              <w:rPr>
                <w:rFonts w:eastAsiaTheme="minorHAnsi" w:cs="Arial"/>
                <w:i/>
                <w:sz w:val="20"/>
                <w:lang w:eastAsia="en-AU"/>
              </w:rPr>
              <w:t>desired character.</w:t>
            </w:r>
            <w:r w:rsidRPr="00154C73">
              <w:rPr>
                <w:rFonts w:eastAsiaTheme="minorHAnsi" w:cs="Arial"/>
                <w:sz w:val="20"/>
                <w:lang w:eastAsia="en-AU"/>
              </w:rPr>
              <w:t xml:space="preserve"> </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bookmarkStart w:id="33" w:name="_Toc347238347"/>
            <w:r w:rsidRPr="00154C73">
              <w:rPr>
                <w:rFonts w:cs="Arial"/>
                <w:b/>
                <w:bCs/>
                <w:sz w:val="20"/>
              </w:rPr>
              <w:t>Setbacks</w:t>
            </w:r>
            <w:bookmarkEnd w:id="33"/>
          </w:p>
        </w:tc>
      </w:tr>
      <w:tr w:rsidR="00154C73" w:rsidRPr="00154C73" w:rsidTr="00154C73">
        <w:trPr>
          <w:hidden/>
        </w:trPr>
        <w:tc>
          <w:tcPr>
            <w:tcW w:w="2500" w:type="pct"/>
            <w:tcBorders>
              <w:bottom w:val="single" w:sz="4" w:space="0" w:color="auto"/>
            </w:tcBorders>
            <w:shd w:val="clear" w:color="auto" w:fill="auto"/>
          </w:tcPr>
          <w:p w:rsidR="00154C73" w:rsidRPr="00154C73" w:rsidRDefault="00154C73" w:rsidP="00154C73">
            <w:pPr>
              <w:spacing w:before="60" w:after="60" w:line="288" w:lineRule="auto"/>
              <w:rPr>
                <w:rFonts w:cs="Arial"/>
                <w:vanish/>
                <w:sz w:val="20"/>
                <w:lang w:eastAsia="en-AU"/>
              </w:rPr>
            </w:pP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 xml:space="preserve"> </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There is no applicable rule.</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C9</w:t>
            </w:r>
          </w:p>
          <w:p w:rsidR="00154C73" w:rsidRPr="00154C73" w:rsidRDefault="00154C73" w:rsidP="00154C73">
            <w:pPr>
              <w:numPr>
                <w:ilvl w:val="1"/>
                <w:numId w:val="25"/>
              </w:numPr>
              <w:spacing w:before="60" w:after="60" w:line="288" w:lineRule="auto"/>
              <w:rPr>
                <w:rFonts w:cs="Arial"/>
                <w:sz w:val="20"/>
                <w:lang w:eastAsia="en-AU"/>
              </w:rPr>
            </w:pPr>
            <w:r w:rsidRPr="00154C73">
              <w:rPr>
                <w:rFonts w:cs="Arial"/>
                <w:sz w:val="20"/>
                <w:lang w:eastAsia="en-AU"/>
              </w:rPr>
              <w:t xml:space="preserve">This criterion applies to </w:t>
            </w:r>
            <w:r w:rsidRPr="00F821EA">
              <w:rPr>
                <w:rFonts w:cs="Arial"/>
                <w:i/>
                <w:iCs/>
                <w:sz w:val="20"/>
                <w:lang w:eastAsia="en-AU"/>
              </w:rPr>
              <w:t>development</w:t>
            </w:r>
            <w:r w:rsidRPr="00154C73">
              <w:rPr>
                <w:rFonts w:cs="Arial"/>
                <w:sz w:val="20"/>
                <w:lang w:eastAsia="en-AU"/>
              </w:rPr>
              <w:t xml:space="preserve"> on the southern block boundary where it adjoins at least one of the following:</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 xml:space="preserve">public spaces identified on Figure 4 or </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the proposed and existing pedestrian access paths identified in Figure 4 that are located north of Webber Crescent.</w:t>
            </w:r>
          </w:p>
          <w:p w:rsidR="00154C73" w:rsidRPr="00154C73" w:rsidRDefault="00154C73" w:rsidP="00154C73">
            <w:pPr>
              <w:numPr>
                <w:ilvl w:val="1"/>
                <w:numId w:val="25"/>
              </w:numPr>
              <w:spacing w:before="60" w:after="60" w:line="288" w:lineRule="auto"/>
              <w:rPr>
                <w:rFonts w:cs="Arial"/>
                <w:sz w:val="20"/>
                <w:lang w:eastAsia="en-AU"/>
              </w:rPr>
            </w:pPr>
            <w:r w:rsidRPr="00154C73">
              <w:rPr>
                <w:rFonts w:cs="Arial"/>
                <w:sz w:val="20"/>
                <w:lang w:eastAsia="en-AU"/>
              </w:rPr>
              <w:t>Building elements above the first floor are setback from the southern block boundary to retain reasonable solar access to public spaces and pedestrian access paths.</w:t>
            </w:r>
          </w:p>
        </w:tc>
      </w:tr>
    </w:tbl>
    <w:p w:rsidR="00154C73" w:rsidRPr="000626C5" w:rsidRDefault="00154C73" w:rsidP="00154C73">
      <w:pPr>
        <w:rPr>
          <w:sz w:val="20"/>
        </w:rPr>
      </w:pPr>
      <w:r w:rsidRPr="000626C5">
        <w:rPr>
          <w:b/>
          <w:bCs/>
          <w:sz w:val="20"/>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lastRenderedPageBreak/>
              <w:t>Rules</w:t>
            </w:r>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r w:rsidRPr="00154C73">
              <w:rPr>
                <w:rFonts w:cs="Arial"/>
                <w:b/>
                <w:bCs/>
                <w:sz w:val="20"/>
              </w:rPr>
              <w:t>Solar access</w:t>
            </w:r>
          </w:p>
        </w:tc>
      </w:tr>
      <w:tr w:rsidR="00154C73" w:rsidRPr="00154C73" w:rsidTr="00154C73">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R10</w:t>
            </w:r>
          </w:p>
          <w:p w:rsidR="00154C73" w:rsidRPr="00154C73" w:rsidRDefault="00154C73" w:rsidP="00154C73">
            <w:pPr>
              <w:numPr>
                <w:ilvl w:val="1"/>
                <w:numId w:val="24"/>
              </w:numPr>
              <w:spacing w:before="60" w:after="60" w:line="288" w:lineRule="auto"/>
              <w:rPr>
                <w:rFonts w:cs="Arial"/>
                <w:sz w:val="20"/>
                <w:lang w:eastAsia="en-AU"/>
              </w:rPr>
            </w:pPr>
            <w:r w:rsidRPr="00F821EA">
              <w:rPr>
                <w:rFonts w:cs="Arial"/>
                <w:i/>
                <w:iCs/>
                <w:sz w:val="20"/>
                <w:lang w:eastAsia="en-AU"/>
              </w:rPr>
              <w:t>Development</w:t>
            </w:r>
            <w:r w:rsidRPr="00154C73">
              <w:rPr>
                <w:rFonts w:cs="Arial"/>
                <w:sz w:val="20"/>
                <w:lang w:eastAsia="en-AU"/>
              </w:rPr>
              <w:t xml:space="preserve"> retains a minimum 3 hours solar access to the main daytime living areas and principal </w:t>
            </w:r>
            <w:r w:rsidRPr="00154C73">
              <w:rPr>
                <w:rFonts w:cs="Arial"/>
                <w:i/>
                <w:sz w:val="20"/>
                <w:lang w:eastAsia="en-AU"/>
              </w:rPr>
              <w:t>private open space</w:t>
            </w:r>
            <w:r w:rsidRPr="00154C73">
              <w:rPr>
                <w:rFonts w:cs="Arial"/>
                <w:sz w:val="20"/>
                <w:lang w:eastAsia="en-AU"/>
              </w:rPr>
              <w:t xml:space="preserve"> of </w:t>
            </w:r>
            <w:r w:rsidRPr="00154C73">
              <w:rPr>
                <w:rFonts w:cs="Arial"/>
                <w:i/>
                <w:sz w:val="20"/>
                <w:lang w:eastAsia="en-AU"/>
              </w:rPr>
              <w:t>dwellings</w:t>
            </w:r>
            <w:r w:rsidRPr="00154C73">
              <w:rPr>
                <w:rFonts w:cs="Arial"/>
                <w:sz w:val="20"/>
                <w:lang w:eastAsia="en-AU"/>
              </w:rPr>
              <w:t xml:space="preserve"> and </w:t>
            </w:r>
            <w:r w:rsidRPr="00154C73">
              <w:rPr>
                <w:rFonts w:cs="Arial"/>
                <w:i/>
                <w:sz w:val="20"/>
                <w:lang w:eastAsia="en-AU"/>
              </w:rPr>
              <w:t>habitable rooms</w:t>
            </w:r>
            <w:r w:rsidRPr="00154C73">
              <w:rPr>
                <w:rFonts w:cs="Arial"/>
                <w:sz w:val="20"/>
                <w:lang w:eastAsia="en-AU"/>
              </w:rPr>
              <w:t xml:space="preserve"> on adjoining </w:t>
            </w:r>
            <w:r w:rsidRPr="00F821EA">
              <w:rPr>
                <w:rFonts w:cs="Arial"/>
                <w:i/>
                <w:iCs/>
                <w:sz w:val="20"/>
                <w:lang w:eastAsia="en-AU"/>
              </w:rPr>
              <w:t>blocks</w:t>
            </w:r>
            <w:r w:rsidRPr="00154C73">
              <w:rPr>
                <w:rFonts w:cs="Arial"/>
                <w:sz w:val="20"/>
                <w:lang w:eastAsia="en-AU"/>
              </w:rPr>
              <w:t xml:space="preserve"> between the hours of 9am and 3pm on the winter solstice (21 June).</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C10</w:t>
            </w:r>
          </w:p>
          <w:p w:rsidR="00154C73" w:rsidRPr="00154C73" w:rsidRDefault="00154C73" w:rsidP="00154C73">
            <w:pPr>
              <w:numPr>
                <w:ilvl w:val="1"/>
                <w:numId w:val="25"/>
              </w:numPr>
              <w:spacing w:before="60" w:after="60" w:line="288" w:lineRule="auto"/>
              <w:rPr>
                <w:rFonts w:cs="Arial"/>
                <w:sz w:val="20"/>
                <w:lang w:eastAsia="en-AU"/>
              </w:rPr>
            </w:pPr>
            <w:r w:rsidRPr="00F821EA">
              <w:rPr>
                <w:rFonts w:cs="Arial"/>
                <w:i/>
                <w:iCs/>
                <w:sz w:val="20"/>
                <w:lang w:eastAsia="en-AU"/>
              </w:rPr>
              <w:t>Development</w:t>
            </w:r>
            <w:r w:rsidRPr="00154C73">
              <w:rPr>
                <w:rFonts w:cs="Arial"/>
                <w:sz w:val="20"/>
                <w:lang w:eastAsia="en-AU"/>
              </w:rPr>
              <w:t xml:space="preserve"> retains reasonable solar access to </w:t>
            </w:r>
            <w:r w:rsidRPr="00154C73">
              <w:rPr>
                <w:rFonts w:cs="Arial"/>
                <w:i/>
                <w:sz w:val="20"/>
                <w:lang w:eastAsia="en-AU"/>
              </w:rPr>
              <w:t xml:space="preserve">dwellings </w:t>
            </w:r>
            <w:r w:rsidRPr="00154C73">
              <w:rPr>
                <w:rFonts w:cs="Arial"/>
                <w:sz w:val="20"/>
                <w:lang w:eastAsia="en-AU"/>
              </w:rPr>
              <w:t xml:space="preserve">and </w:t>
            </w:r>
            <w:r w:rsidRPr="00154C73">
              <w:rPr>
                <w:rFonts w:cs="Arial"/>
                <w:i/>
                <w:sz w:val="20"/>
                <w:lang w:eastAsia="en-AU"/>
              </w:rPr>
              <w:t>habitable rooms</w:t>
            </w:r>
            <w:r w:rsidRPr="00154C73">
              <w:rPr>
                <w:rFonts w:cs="Arial"/>
                <w:sz w:val="20"/>
                <w:lang w:eastAsia="en-AU"/>
              </w:rPr>
              <w:t xml:space="preserve"> on adjoining </w:t>
            </w:r>
            <w:r w:rsidRPr="00154C73">
              <w:rPr>
                <w:rFonts w:cs="Arial"/>
                <w:i/>
                <w:sz w:val="20"/>
                <w:lang w:eastAsia="en-AU"/>
              </w:rPr>
              <w:t>blocks</w:t>
            </w:r>
            <w:r w:rsidRPr="00154C73">
              <w:rPr>
                <w:rFonts w:cs="Arial"/>
                <w:sz w:val="20"/>
                <w:lang w:eastAsia="en-AU"/>
              </w:rPr>
              <w:t xml:space="preserve"> and their associated principal area of </w:t>
            </w:r>
            <w:r w:rsidRPr="00154C73">
              <w:rPr>
                <w:rFonts w:cs="Arial"/>
                <w:i/>
                <w:sz w:val="20"/>
                <w:lang w:eastAsia="en-AU"/>
              </w:rPr>
              <w:t>private open space</w:t>
            </w:r>
            <w:r w:rsidRPr="00154C73">
              <w:rPr>
                <w:rFonts w:cs="Arial"/>
                <w:sz w:val="20"/>
                <w:lang w:eastAsia="en-AU"/>
              </w:rPr>
              <w:t>.</w:t>
            </w:r>
          </w:p>
        </w:tc>
      </w:tr>
    </w:tbl>
    <w:p w:rsidR="00154C73" w:rsidRPr="00154C73" w:rsidRDefault="00154C73" w:rsidP="00154C73"/>
    <w:p w:rsidR="00154C73" w:rsidRPr="00154C73" w:rsidRDefault="00154C73" w:rsidP="00154C73">
      <w:r w:rsidRPr="00154C73">
        <w:rPr>
          <w:noProof/>
          <w:lang w:eastAsia="en-AU"/>
        </w:rPr>
        <w:drawing>
          <wp:inline distT="0" distB="0" distL="0" distR="0" wp14:anchorId="3A9004AD" wp14:editId="42102362">
            <wp:extent cx="5753100" cy="5090160"/>
            <wp:effectExtent l="0" t="0" r="0" b="0"/>
            <wp:docPr id="4" name="Picture 4" descr="Fig 4 - public spaces and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 public spaces and path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5090160"/>
                    </a:xfrm>
                    <a:prstGeom prst="rect">
                      <a:avLst/>
                    </a:prstGeom>
                    <a:noFill/>
                    <a:ln>
                      <a:noFill/>
                    </a:ln>
                  </pic:spPr>
                </pic:pic>
              </a:graphicData>
            </a:graphic>
          </wp:inline>
        </w:drawing>
      </w:r>
    </w:p>
    <w:p w:rsidR="00154C73" w:rsidRPr="00154C73" w:rsidRDefault="00154C73" w:rsidP="00154C73">
      <w:r w:rsidRPr="00154C73">
        <w:rPr>
          <w:rFonts w:cs="Arial"/>
          <w:b/>
          <w:bCs/>
          <w:sz w:val="20"/>
          <w:lang w:eastAsia="en-AU"/>
        </w:rPr>
        <w:t xml:space="preserve">Figure 4: public spaces and pedestrian paths </w:t>
      </w:r>
      <w:r w:rsidRPr="00154C73">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lastRenderedPageBreak/>
              <w:t>Rules</w:t>
            </w:r>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r w:rsidRPr="00154C73">
              <w:rPr>
                <w:rFonts w:cs="Arial"/>
                <w:b/>
                <w:bCs/>
                <w:sz w:val="20"/>
              </w:rPr>
              <w:t>Public spaces</w:t>
            </w:r>
          </w:p>
        </w:tc>
      </w:tr>
      <w:tr w:rsidR="00154C73" w:rsidRPr="00154C73" w:rsidTr="00154C73">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R11</w:t>
            </w:r>
          </w:p>
          <w:p w:rsidR="00154C73" w:rsidRPr="00154C73" w:rsidRDefault="00154C73" w:rsidP="00154C73">
            <w:pPr>
              <w:spacing w:before="60" w:after="60" w:line="288" w:lineRule="auto"/>
              <w:rPr>
                <w:rFonts w:cs="Arial"/>
                <w:sz w:val="20"/>
                <w:lang w:eastAsia="en-AU"/>
              </w:rPr>
            </w:pPr>
            <w:r w:rsidRPr="00154C73">
              <w:rPr>
                <w:rFonts w:cs="Arial"/>
                <w:sz w:val="20"/>
                <w:lang w:eastAsia="en-AU"/>
              </w:rPr>
              <w:t>This rule applies to the public spaces shown in Figure 4.</w:t>
            </w:r>
          </w:p>
          <w:p w:rsidR="00154C73" w:rsidRPr="00154C73" w:rsidRDefault="00154C73" w:rsidP="00154C73">
            <w:pPr>
              <w:spacing w:before="60" w:after="60" w:line="288" w:lineRule="auto"/>
              <w:rPr>
                <w:rFonts w:cs="Arial"/>
                <w:sz w:val="20"/>
                <w:lang w:eastAsia="en-AU"/>
              </w:rPr>
            </w:pPr>
            <w:r w:rsidRPr="00154C73">
              <w:rPr>
                <w:rFonts w:cs="Arial"/>
                <w:sz w:val="20"/>
                <w:lang w:eastAsia="en-AU"/>
              </w:rPr>
              <w:t>Public spaces are provided and comply with all of the following:</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area A on Figure 4 has a minimum area of 540m</w:t>
            </w:r>
            <w:r w:rsidRPr="00154C73">
              <w:rPr>
                <w:rFonts w:cs="Arial"/>
                <w:sz w:val="20"/>
                <w:vertAlign w:val="superscript"/>
                <w:lang w:eastAsia="en-AU"/>
              </w:rPr>
              <w:t>2</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area B on Figure 4 has a minimum area of 800m</w:t>
            </w:r>
            <w:r w:rsidRPr="00154C73">
              <w:rPr>
                <w:rFonts w:cs="Arial"/>
                <w:sz w:val="20"/>
                <w:vertAlign w:val="superscript"/>
                <w:lang w:eastAsia="en-AU"/>
              </w:rPr>
              <w:t>2</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 connected</w:t>
            </w:r>
            <w:r w:rsidR="00D76428">
              <w:rPr>
                <w:rFonts w:cs="Arial"/>
                <w:sz w:val="20"/>
                <w:lang w:eastAsia="en-AU"/>
              </w:rPr>
              <w:t xml:space="preserve"> to each other</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 accessible by existing and proposed pedestrian paths</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have no buildings or structures located within the area (excluding basements)</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 paved and landscaped.</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C11</w:t>
            </w:r>
          </w:p>
          <w:p w:rsidR="00154C73" w:rsidRPr="00154C73" w:rsidRDefault="00154C73" w:rsidP="00154C73">
            <w:pPr>
              <w:spacing w:before="60" w:after="60" w:line="288" w:lineRule="auto"/>
              <w:rPr>
                <w:rFonts w:cs="Arial"/>
                <w:sz w:val="20"/>
                <w:lang w:eastAsia="en-AU"/>
              </w:rPr>
            </w:pPr>
            <w:r w:rsidRPr="00154C73">
              <w:rPr>
                <w:rFonts w:cs="Arial"/>
                <w:sz w:val="20"/>
                <w:lang w:eastAsia="en-AU"/>
              </w:rPr>
              <w:t xml:space="preserve">Public spaces are provided and comply with all of the following: </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are located generally in accordance with Figure 4</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are of a scale and dimensions that provide usable open spaces</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are publicly accessible</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 xml:space="preserve">are paved and landscaped.  </w:t>
            </w:r>
          </w:p>
          <w:p w:rsidR="00154C73" w:rsidRPr="00154C73" w:rsidRDefault="00154C73" w:rsidP="00154C73">
            <w:pPr>
              <w:spacing w:before="60" w:after="60" w:line="288" w:lineRule="auto"/>
              <w:rPr>
                <w:rFonts w:cs="Arial"/>
                <w:sz w:val="20"/>
                <w:lang w:eastAsia="en-AU"/>
              </w:rPr>
            </w:pP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bookmarkStart w:id="34" w:name="_Toc347238348"/>
            <w:r w:rsidRPr="00154C73">
              <w:rPr>
                <w:rFonts w:cs="Arial"/>
                <w:b/>
                <w:bCs/>
                <w:sz w:val="20"/>
              </w:rPr>
              <w:t>Pedestrian connections – section 787</w:t>
            </w:r>
            <w:bookmarkEnd w:id="34"/>
          </w:p>
        </w:tc>
      </w:tr>
      <w:tr w:rsidR="00154C73" w:rsidRPr="00154C73" w:rsidTr="00154C73">
        <w:tc>
          <w:tcPr>
            <w:tcW w:w="2500" w:type="pct"/>
            <w:tcBorders>
              <w:top w:val="single" w:sz="4" w:space="0" w:color="auto"/>
              <w:left w:val="single" w:sz="4" w:space="0" w:color="auto"/>
              <w:bottom w:val="single" w:sz="4" w:space="0" w:color="auto"/>
              <w:right w:val="single" w:sz="4" w:space="0" w:color="auto"/>
            </w:tcBorders>
            <w:shd w:val="clear" w:color="auto" w:fill="auto"/>
          </w:tcPr>
          <w:p w:rsidR="00154C73" w:rsidRPr="00154C73" w:rsidRDefault="00C36013" w:rsidP="00154C73">
            <w:pPr>
              <w:keepNext/>
              <w:spacing w:before="60" w:after="60" w:line="288" w:lineRule="auto"/>
              <w:rPr>
                <w:rFonts w:cs="Arial"/>
                <w:sz w:val="20"/>
                <w:lang w:eastAsia="en-AU"/>
              </w:rPr>
            </w:pPr>
            <w:r>
              <w:rPr>
                <w:rFonts w:cs="Arial"/>
                <w:sz w:val="20"/>
                <w:lang w:eastAsia="en-AU"/>
              </w:rPr>
              <w:t>R12</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 xml:space="preserve">This rule applies to the proposed pedestrian access paths shown in Figure 4. </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A pedestrian connection is provided that complies with all of the following:</w:t>
            </w:r>
          </w:p>
          <w:p w:rsidR="00154C73" w:rsidRPr="00154C73" w:rsidRDefault="00154C73" w:rsidP="00154C73">
            <w:pPr>
              <w:keepNext/>
              <w:numPr>
                <w:ilvl w:val="2"/>
                <w:numId w:val="24"/>
              </w:numPr>
              <w:spacing w:before="60" w:after="60" w:line="288" w:lineRule="auto"/>
              <w:rPr>
                <w:rFonts w:cs="Arial"/>
                <w:sz w:val="20"/>
                <w:lang w:eastAsia="en-AU"/>
              </w:rPr>
            </w:pPr>
            <w:r w:rsidRPr="00154C73">
              <w:rPr>
                <w:rFonts w:cs="Arial"/>
                <w:sz w:val="20"/>
                <w:lang w:eastAsia="en-AU"/>
              </w:rPr>
              <w:t>a minimum unobstructed width of 6m</w:t>
            </w:r>
          </w:p>
          <w:p w:rsidR="00154C73" w:rsidRPr="00154C73" w:rsidRDefault="00154C73" w:rsidP="00154C73">
            <w:pPr>
              <w:keepNext/>
              <w:numPr>
                <w:ilvl w:val="2"/>
                <w:numId w:val="24"/>
              </w:numPr>
              <w:spacing w:before="60" w:after="60" w:line="288" w:lineRule="auto"/>
              <w:rPr>
                <w:rFonts w:cs="Arial"/>
                <w:sz w:val="20"/>
                <w:lang w:eastAsia="en-AU"/>
              </w:rPr>
            </w:pPr>
            <w:r w:rsidRPr="00154C73">
              <w:rPr>
                <w:rFonts w:cs="Arial"/>
                <w:sz w:val="20"/>
                <w:lang w:eastAsia="en-AU"/>
              </w:rPr>
              <w:t>a minimum extent of 30% glazing at the ground floor measured along the length of the pedestrian connection, and</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access to ground floor commercial tenancies adjoining the pedestrian connection</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the pedestrian access path remains unenclosed and publicly accessible at all times.</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C12</w:t>
            </w:r>
          </w:p>
          <w:p w:rsidR="00154C73" w:rsidRPr="00154C73" w:rsidRDefault="00154C73" w:rsidP="00154C73">
            <w:pPr>
              <w:numPr>
                <w:ilvl w:val="1"/>
                <w:numId w:val="25"/>
              </w:numPr>
              <w:spacing w:before="60" w:after="60" w:line="288" w:lineRule="auto"/>
              <w:rPr>
                <w:rFonts w:cs="Arial"/>
                <w:sz w:val="20"/>
                <w:lang w:eastAsia="en-AU"/>
              </w:rPr>
            </w:pPr>
            <w:r w:rsidRPr="00154C73">
              <w:rPr>
                <w:rFonts w:cs="Arial"/>
                <w:sz w:val="20"/>
                <w:lang w:eastAsia="en-AU"/>
              </w:rPr>
              <w:t>Pedestrian connections are provided generally in accordance with Figure 4 and achieve all of the following:</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reasonable public access</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 xml:space="preserve">views into and out of adjoining commercial premises and </w:t>
            </w:r>
          </w:p>
          <w:p w:rsidR="00154C73" w:rsidRPr="00154C73" w:rsidRDefault="00154C73" w:rsidP="00154C73">
            <w:pPr>
              <w:numPr>
                <w:ilvl w:val="2"/>
                <w:numId w:val="25"/>
              </w:numPr>
              <w:spacing w:before="60" w:after="60" w:line="288" w:lineRule="auto"/>
              <w:rPr>
                <w:rFonts w:cs="Arial"/>
                <w:sz w:val="20"/>
                <w:lang w:eastAsia="en-AU"/>
              </w:rPr>
            </w:pPr>
            <w:r w:rsidRPr="00154C73">
              <w:rPr>
                <w:rFonts w:cs="Arial"/>
                <w:sz w:val="20"/>
                <w:lang w:eastAsia="en-AU"/>
              </w:rPr>
              <w:t>clearly identifiable entrances.</w:t>
            </w:r>
          </w:p>
        </w:tc>
      </w:tr>
    </w:tbl>
    <w:p w:rsidR="00154C73" w:rsidRPr="00154C73" w:rsidRDefault="00154C73" w:rsidP="00154C73">
      <w:r w:rsidRPr="00154C73">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lastRenderedPageBreak/>
              <w:t>Rules</w:t>
            </w:r>
          </w:p>
        </w:tc>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2500" w:type="pct"/>
            <w:tcBorders>
              <w:top w:val="single" w:sz="4" w:space="0" w:color="auto"/>
              <w:left w:val="single" w:sz="4" w:space="0" w:color="auto"/>
              <w:bottom w:val="single" w:sz="4" w:space="0" w:color="auto"/>
              <w:right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R13</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This rule applies to development in the hatched area in Figure 4.</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Development incorporates an extension to the existing public pedestrian path onto block 41 section 787, shown in Figure 4, by providing a pedestrian path along the entire length of the southern boundary that complies with all of the following:</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Has a total minimum width of 6m when combined with the existing public pathway</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is finished at the level of the pedestrian path and with matching materials and</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remains unobstructed and publicly accessible at all times.</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154C73" w:rsidRPr="00154C73" w:rsidRDefault="00154C73" w:rsidP="00154C73">
            <w:pPr>
              <w:spacing w:before="60" w:after="60" w:line="288" w:lineRule="auto"/>
              <w:rPr>
                <w:rFonts w:cs="Arial"/>
                <w:sz w:val="20"/>
                <w:lang w:eastAsia="en-AU"/>
              </w:rPr>
            </w:pPr>
          </w:p>
          <w:p w:rsidR="00154C73" w:rsidRPr="00154C73" w:rsidRDefault="00154C73" w:rsidP="00154C73">
            <w:pPr>
              <w:numPr>
                <w:ilvl w:val="1"/>
                <w:numId w:val="25"/>
              </w:numPr>
              <w:spacing w:before="60" w:after="60" w:line="288" w:lineRule="auto"/>
              <w:rPr>
                <w:rFonts w:cs="Arial"/>
                <w:sz w:val="20"/>
                <w:lang w:eastAsia="en-AU"/>
              </w:rPr>
            </w:pPr>
            <w:r w:rsidRPr="00154C73">
              <w:rPr>
                <w:rFonts w:cs="Arial"/>
                <w:sz w:val="20"/>
                <w:lang w:eastAsia="en-AU"/>
              </w:rPr>
              <w:t xml:space="preserve">This is a mandatory requirement.  There is no applicable criterion. </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bookmarkStart w:id="35" w:name="_Toc347238350"/>
            <w:r w:rsidRPr="00154C73">
              <w:rPr>
                <w:rFonts w:cs="Arial"/>
                <w:b/>
                <w:bCs/>
                <w:sz w:val="20"/>
              </w:rPr>
              <w:t>Active frontages</w:t>
            </w:r>
            <w:bookmarkEnd w:id="35"/>
          </w:p>
        </w:tc>
      </w:tr>
      <w:tr w:rsidR="00154C73" w:rsidRPr="00154C73" w:rsidTr="00154C73">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R14</w:t>
            </w:r>
          </w:p>
          <w:p w:rsidR="00154C73" w:rsidRPr="00154C73" w:rsidRDefault="00154C73" w:rsidP="00154C73">
            <w:pPr>
              <w:numPr>
                <w:ilvl w:val="1"/>
                <w:numId w:val="24"/>
              </w:numPr>
              <w:spacing w:before="60" w:after="60" w:line="288" w:lineRule="auto"/>
              <w:rPr>
                <w:rFonts w:cs="Arial"/>
                <w:i/>
                <w:sz w:val="20"/>
                <w:lang w:eastAsia="en-AU"/>
              </w:rPr>
            </w:pPr>
            <w:r w:rsidRPr="00154C73">
              <w:rPr>
                <w:rFonts w:cs="Arial"/>
                <w:sz w:val="20"/>
                <w:lang w:eastAsia="en-AU"/>
              </w:rPr>
              <w:t>For new buildings located along primary active frontage areas identified in Figure 1, frontages and building design comply with all of the following:</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buildings incorporate clear display windows and/or shop fronts at the ground floor level</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buildings incorporate direct pedestrian access at grade with the verge level for access and egress for persons with disabilities</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any small areas of walls without windows contain displays, showcases and/or public art, with a maximum of 30% blank frontage per tenancy</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open structured car parks and/or loading docks are not located along the frontage.</w:t>
            </w:r>
          </w:p>
        </w:tc>
        <w:tc>
          <w:tcPr>
            <w:tcW w:w="2500" w:type="pct"/>
            <w:tcBorders>
              <w:bottom w:val="single" w:sz="4" w:space="0" w:color="auto"/>
            </w:tcBorders>
            <w:shd w:val="clear" w:color="auto" w:fill="auto"/>
          </w:tcPr>
          <w:p w:rsidR="00154C73" w:rsidRPr="00154C73" w:rsidRDefault="00154C73" w:rsidP="00154C73">
            <w:pPr>
              <w:spacing w:before="60" w:after="60" w:line="288" w:lineRule="auto"/>
              <w:rPr>
                <w:rFonts w:cs="Arial"/>
                <w:vanish/>
                <w:sz w:val="20"/>
                <w:lang w:eastAsia="en-AU"/>
              </w:rPr>
            </w:pPr>
          </w:p>
          <w:p w:rsidR="00154C73" w:rsidRPr="00154C73" w:rsidRDefault="00154C73" w:rsidP="00154C73">
            <w:pPr>
              <w:numPr>
                <w:ilvl w:val="1"/>
                <w:numId w:val="25"/>
              </w:numPr>
              <w:spacing w:before="60" w:after="60" w:line="288" w:lineRule="auto"/>
              <w:rPr>
                <w:rFonts w:cs="Arial"/>
                <w:sz w:val="20"/>
                <w:lang w:eastAsia="en-AU"/>
              </w:rPr>
            </w:pPr>
          </w:p>
          <w:p w:rsidR="00154C73" w:rsidRPr="00154C73" w:rsidRDefault="00154C73" w:rsidP="00154C73">
            <w:pPr>
              <w:spacing w:before="60" w:after="60" w:line="288" w:lineRule="auto"/>
              <w:rPr>
                <w:rFonts w:cs="Arial"/>
                <w:sz w:val="20"/>
              </w:rPr>
            </w:pPr>
            <w:r w:rsidRPr="00154C73">
              <w:rPr>
                <w:rFonts w:cs="Arial"/>
                <w:sz w:val="20"/>
              </w:rPr>
              <w:t>This is a mandatory requirement. There is no applicable criterion.</w:t>
            </w:r>
          </w:p>
        </w:tc>
      </w:tr>
    </w:tbl>
    <w:p w:rsidR="00154C73" w:rsidRPr="00154C73" w:rsidRDefault="00154C73" w:rsidP="00154C73">
      <w:r w:rsidRPr="00154C73">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c>
          <w:tcPr>
            <w:tcW w:w="2500" w:type="pct"/>
            <w:tcBorders>
              <w:bottom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lastRenderedPageBreak/>
              <w:t>Rules</w:t>
            </w:r>
          </w:p>
        </w:tc>
        <w:tc>
          <w:tcPr>
            <w:tcW w:w="2500" w:type="pct"/>
            <w:tcBorders>
              <w:bottom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rPr>
          <w:hidden/>
        </w:trPr>
        <w:tc>
          <w:tcPr>
            <w:tcW w:w="2500" w:type="pct"/>
            <w:tcBorders>
              <w:bottom w:val="single" w:sz="4" w:space="0" w:color="auto"/>
            </w:tcBorders>
            <w:shd w:val="clear" w:color="auto" w:fill="auto"/>
          </w:tcPr>
          <w:p w:rsidR="00154C73" w:rsidRPr="00154C73" w:rsidRDefault="00154C73" w:rsidP="00154C73">
            <w:pPr>
              <w:spacing w:before="60" w:after="60" w:line="288" w:lineRule="auto"/>
              <w:rPr>
                <w:rFonts w:cs="Arial"/>
                <w:vanish/>
                <w:sz w:val="20"/>
                <w:lang w:eastAsia="en-AU"/>
              </w:rPr>
            </w:pPr>
            <w:r w:rsidRPr="00154C73">
              <w:rPr>
                <w:rFonts w:cs="Arial"/>
                <w:vanish/>
                <w:sz w:val="20"/>
                <w:lang w:eastAsia="en-AU"/>
              </w:rPr>
              <w:t>xx</w:t>
            </w:r>
          </w:p>
          <w:p w:rsidR="00154C73" w:rsidRPr="00154C73" w:rsidRDefault="00154C73" w:rsidP="00154C73">
            <w:pPr>
              <w:spacing w:before="60" w:after="60" w:line="288" w:lineRule="auto"/>
              <w:rPr>
                <w:rFonts w:cs="Arial"/>
                <w:sz w:val="20"/>
                <w:lang w:eastAsia="en-AU"/>
              </w:rPr>
            </w:pPr>
          </w:p>
          <w:p w:rsidR="00154C73" w:rsidRPr="00154C73" w:rsidRDefault="00154C73" w:rsidP="00154C73">
            <w:pPr>
              <w:spacing w:before="60" w:after="60" w:line="288" w:lineRule="auto"/>
              <w:rPr>
                <w:rFonts w:cs="Arial"/>
                <w:sz w:val="20"/>
                <w:lang w:eastAsia="en-AU"/>
              </w:rPr>
            </w:pPr>
            <w:r w:rsidRPr="00154C73">
              <w:rPr>
                <w:rFonts w:cs="Arial"/>
                <w:sz w:val="20"/>
                <w:lang w:eastAsia="en-AU"/>
              </w:rPr>
              <w:t>There is no applicable rule</w:t>
            </w:r>
            <w:r w:rsidR="00C36013">
              <w:rPr>
                <w:rFonts w:cs="Arial"/>
                <w:sz w:val="20"/>
                <w:lang w:eastAsia="en-AU"/>
              </w:rPr>
              <w:t>.</w:t>
            </w:r>
          </w:p>
          <w:p w:rsidR="00154C73" w:rsidRPr="00154C73" w:rsidRDefault="00154C73" w:rsidP="00154C73">
            <w:pPr>
              <w:spacing w:before="60" w:after="60" w:line="288" w:lineRule="auto"/>
              <w:rPr>
                <w:rFonts w:cs="Arial"/>
                <w:sz w:val="20"/>
                <w:lang w:eastAsia="en-AU"/>
              </w:rPr>
            </w:pP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C15</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For buildings located along secondary active frontage areas identified in Figure 1, frontages and building design complies with all of the following:</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commercial buildings incorporate clear display windows and shop fronts at the ground floor level</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 xml:space="preserve">buildings incorporate direct pedestrian access at grade with the verge level for access and egress for persons with disabilities </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building facades are not dominated by extensive lengths of blank facades, open structured carparks, loading docks, substations or other service infrastructure</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residential development of 2 storeys or more incorporates balconies and windows to habitable rooms addressing the public realm</w:t>
            </w:r>
            <w:r w:rsidR="00C36013">
              <w:rPr>
                <w:rFonts w:cs="Arial"/>
                <w:sz w:val="20"/>
                <w:lang w:eastAsia="en-AU"/>
              </w:rPr>
              <w:t>.</w:t>
            </w:r>
          </w:p>
        </w:tc>
      </w:tr>
    </w:tbl>
    <w:p w:rsidR="00154C73" w:rsidRPr="00154C73" w:rsidRDefault="00154C73" w:rsidP="00154C73"/>
    <w:p w:rsidR="00154C73" w:rsidRPr="00154C73" w:rsidRDefault="00154C73" w:rsidP="00154C73">
      <w:r w:rsidRPr="00154C73">
        <w:br w:type="page"/>
      </w:r>
    </w:p>
    <w:p w:rsidR="00154C73" w:rsidRPr="00154C73" w:rsidRDefault="00154C73" w:rsidP="00154C7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c>
          <w:tcPr>
            <w:tcW w:w="2500" w:type="pct"/>
            <w:tcBorders>
              <w:bottom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t>Rules</w:t>
            </w:r>
          </w:p>
        </w:tc>
        <w:tc>
          <w:tcPr>
            <w:tcW w:w="2500" w:type="pct"/>
            <w:tcBorders>
              <w:bottom w:val="single" w:sz="4" w:space="0" w:color="auto"/>
            </w:tcBorders>
            <w:shd w:val="clear" w:color="auto" w:fill="BFBFBF" w:themeFill="background1" w:themeFillShade="BF"/>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bookmarkStart w:id="36" w:name="_Toc347238351"/>
            <w:r w:rsidRPr="00154C73">
              <w:rPr>
                <w:rFonts w:cs="Arial"/>
                <w:b/>
                <w:bCs/>
                <w:sz w:val="20"/>
              </w:rPr>
              <w:t>Awnings</w:t>
            </w:r>
            <w:bookmarkEnd w:id="36"/>
          </w:p>
        </w:tc>
      </w:tr>
      <w:tr w:rsidR="00154C73" w:rsidRPr="00154C73" w:rsidTr="00154C73">
        <w:tc>
          <w:tcPr>
            <w:tcW w:w="2500" w:type="pct"/>
            <w:shd w:val="clear" w:color="auto" w:fill="auto"/>
          </w:tcPr>
          <w:p w:rsidR="00154C73" w:rsidRPr="00154C73" w:rsidRDefault="00C36013" w:rsidP="00154C73">
            <w:pPr>
              <w:keepNext/>
              <w:spacing w:before="60" w:after="60" w:line="288" w:lineRule="auto"/>
              <w:rPr>
                <w:rFonts w:cs="Arial"/>
                <w:sz w:val="20"/>
                <w:lang w:eastAsia="en-AU"/>
              </w:rPr>
            </w:pPr>
            <w:r>
              <w:rPr>
                <w:rFonts w:cs="Arial"/>
                <w:sz w:val="20"/>
                <w:lang w:eastAsia="en-AU"/>
              </w:rPr>
              <w:t>R16</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This rule applies to buildings fronting primary active frontage areas shown in Figure 1 except where the awning is contained wholly within a block.</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 xml:space="preserve">Awnings are provided along the length of the building frontage </w:t>
            </w:r>
            <w:r w:rsidR="00B94D1D">
              <w:rPr>
                <w:rFonts w:cs="Arial"/>
                <w:sz w:val="20"/>
                <w:lang w:eastAsia="en-AU"/>
              </w:rPr>
              <w:t>consistent</w:t>
            </w:r>
            <w:r w:rsidRPr="00154C73">
              <w:rPr>
                <w:rFonts w:cs="Arial"/>
                <w:sz w:val="20"/>
                <w:lang w:eastAsia="en-AU"/>
              </w:rPr>
              <w:t xml:space="preserve"> with all of the following:</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 a minimum height of 3m above finished pavement or ground level of the verge</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are integrated into the building design at the first floor level</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 xml:space="preserve">are a minimum of 3m in cantilever depth, except </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where opposing primary active frontages are 6m apart or less, awning depth may be reduced to ensure awnings are separated by 0.5m</w:t>
            </w:r>
          </w:p>
          <w:p w:rsidR="00154C73" w:rsidRPr="00154C73" w:rsidRDefault="00154C73" w:rsidP="00154C73">
            <w:pPr>
              <w:numPr>
                <w:ilvl w:val="3"/>
                <w:numId w:val="24"/>
              </w:numPr>
              <w:spacing w:before="60" w:after="60" w:line="288" w:lineRule="auto"/>
              <w:rPr>
                <w:rFonts w:cs="Arial"/>
                <w:sz w:val="20"/>
                <w:lang w:eastAsia="en-AU"/>
              </w:rPr>
            </w:pPr>
            <w:r w:rsidRPr="00154C73">
              <w:rPr>
                <w:rFonts w:cs="Arial"/>
                <w:sz w:val="20"/>
                <w:lang w:eastAsia="en-AU"/>
              </w:rPr>
              <w:t>where a reduction in awning depth is required to accommodate existing infrastructure and/or existing or replacement street trees.</w:t>
            </w:r>
          </w:p>
        </w:tc>
        <w:tc>
          <w:tcPr>
            <w:tcW w:w="2500" w:type="pct"/>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C16</w:t>
            </w:r>
          </w:p>
          <w:p w:rsidR="00154C73" w:rsidRPr="00154C73" w:rsidRDefault="00154C73" w:rsidP="00154C73">
            <w:pPr>
              <w:spacing w:before="60" w:after="60" w:line="288" w:lineRule="auto"/>
              <w:rPr>
                <w:rFonts w:cs="Arial"/>
                <w:sz w:val="20"/>
                <w:lang w:eastAsia="en-AU"/>
              </w:rPr>
            </w:pPr>
            <w:r w:rsidRPr="00154C73">
              <w:rPr>
                <w:rFonts w:cs="Arial"/>
                <w:sz w:val="20"/>
                <w:lang w:eastAsia="en-AU"/>
              </w:rPr>
              <w:t>Awnings provide continuous all weather pedestrian shelter and activity in a form compatible with existing awnings.</w:t>
            </w:r>
          </w:p>
        </w:tc>
      </w:tr>
      <w:tr w:rsidR="00154C73" w:rsidRPr="00154C73" w:rsidTr="00BD33EC">
        <w:trPr>
          <w:trHeight w:val="4826"/>
        </w:trPr>
        <w:tc>
          <w:tcPr>
            <w:tcW w:w="2500" w:type="pct"/>
            <w:tcBorders>
              <w:bottom w:val="single" w:sz="4" w:space="0" w:color="auto"/>
            </w:tcBorders>
            <w:shd w:val="clear" w:color="auto" w:fill="auto"/>
          </w:tcPr>
          <w:p w:rsidR="00154C73" w:rsidRPr="00154C73" w:rsidRDefault="00C36013" w:rsidP="00154C73">
            <w:pPr>
              <w:keepNext/>
              <w:spacing w:before="60" w:after="60" w:line="288" w:lineRule="auto"/>
              <w:rPr>
                <w:rFonts w:cs="Arial"/>
                <w:sz w:val="20"/>
                <w:lang w:eastAsia="en-AU"/>
              </w:rPr>
            </w:pPr>
            <w:r>
              <w:rPr>
                <w:rFonts w:cs="Arial"/>
                <w:sz w:val="20"/>
                <w:lang w:eastAsia="en-AU"/>
              </w:rPr>
              <w:t>R17</w:t>
            </w:r>
          </w:p>
          <w:p w:rsidR="00154C73" w:rsidRPr="00BD33EC" w:rsidRDefault="00154C73" w:rsidP="00BD33EC">
            <w:pPr>
              <w:keepNext/>
              <w:spacing w:before="60" w:after="60" w:line="288" w:lineRule="auto"/>
              <w:rPr>
                <w:rFonts w:cs="Arial"/>
                <w:sz w:val="20"/>
                <w:lang w:eastAsia="en-AU"/>
              </w:rPr>
            </w:pPr>
            <w:r w:rsidRPr="00BD33EC">
              <w:rPr>
                <w:rFonts w:cs="Arial"/>
                <w:sz w:val="20"/>
                <w:lang w:eastAsia="en-AU"/>
              </w:rPr>
              <w:t>This rule a</w:t>
            </w:r>
            <w:r w:rsidR="00BD33EC" w:rsidRPr="00BD33EC">
              <w:rPr>
                <w:rFonts w:cs="Arial"/>
                <w:sz w:val="20"/>
                <w:lang w:eastAsia="en-AU"/>
              </w:rPr>
              <w:t xml:space="preserve">pplies to </w:t>
            </w:r>
            <w:r w:rsidR="00BD33EC">
              <w:rPr>
                <w:rFonts w:cs="Arial"/>
                <w:sz w:val="20"/>
                <w:lang w:eastAsia="en-AU"/>
              </w:rPr>
              <w:t xml:space="preserve">new </w:t>
            </w:r>
            <w:r w:rsidRPr="00BD33EC">
              <w:rPr>
                <w:rFonts w:cs="Arial"/>
                <w:sz w:val="20"/>
                <w:lang w:eastAsia="en-AU"/>
              </w:rPr>
              <w:t>buildings front</w:t>
            </w:r>
            <w:r w:rsidR="00BD33EC" w:rsidRPr="00BD33EC">
              <w:rPr>
                <w:rFonts w:cs="Arial"/>
                <w:sz w:val="20"/>
                <w:lang w:eastAsia="en-AU"/>
              </w:rPr>
              <w:t>ing</w:t>
            </w:r>
            <w:r w:rsidRPr="00BD33EC">
              <w:rPr>
                <w:rFonts w:cs="Arial"/>
                <w:sz w:val="20"/>
                <w:lang w:eastAsia="en-AU"/>
              </w:rPr>
              <w:t xml:space="preserve"> the primary active frontage areas shown in Figure 1</w:t>
            </w:r>
            <w:r w:rsidR="00BD33EC" w:rsidRPr="00BD33EC">
              <w:rPr>
                <w:rFonts w:cs="Arial"/>
                <w:sz w:val="20"/>
                <w:lang w:eastAsia="en-AU"/>
              </w:rPr>
              <w:t xml:space="preserve"> where </w:t>
            </w:r>
            <w:r w:rsidRPr="00BD33EC">
              <w:rPr>
                <w:rFonts w:cs="Arial"/>
                <w:sz w:val="20"/>
                <w:lang w:eastAsia="en-AU"/>
              </w:rPr>
              <w:t xml:space="preserve">awnings are wholly contained within the block boundary.  </w:t>
            </w:r>
          </w:p>
          <w:p w:rsidR="00154C73" w:rsidRPr="00154C73" w:rsidRDefault="00154C73" w:rsidP="00154C73">
            <w:pPr>
              <w:autoSpaceDE w:val="0"/>
              <w:autoSpaceDN w:val="0"/>
              <w:adjustRightInd w:val="0"/>
              <w:rPr>
                <w:rFonts w:cs="Arial"/>
                <w:sz w:val="20"/>
                <w:lang w:eastAsia="en-AU"/>
              </w:rPr>
            </w:pPr>
          </w:p>
          <w:p w:rsidR="00154C73" w:rsidRPr="00154C73" w:rsidRDefault="00154C73" w:rsidP="00154C73">
            <w:pPr>
              <w:autoSpaceDE w:val="0"/>
              <w:autoSpaceDN w:val="0"/>
              <w:adjustRightInd w:val="0"/>
              <w:rPr>
                <w:rFonts w:cs="Arial"/>
                <w:sz w:val="20"/>
                <w:lang w:eastAsia="en-AU"/>
              </w:rPr>
            </w:pPr>
            <w:r w:rsidRPr="00154C73">
              <w:rPr>
                <w:rFonts w:cs="Arial"/>
                <w:sz w:val="20"/>
                <w:lang w:eastAsia="en-AU"/>
              </w:rPr>
              <w:t>Awnings comply with all of the following:</w:t>
            </w:r>
          </w:p>
          <w:p w:rsidR="00154C73" w:rsidRPr="00154C73" w:rsidRDefault="00154C73" w:rsidP="00154C73">
            <w:pPr>
              <w:numPr>
                <w:ilvl w:val="2"/>
                <w:numId w:val="27"/>
              </w:numPr>
              <w:spacing w:before="60" w:after="60" w:line="288" w:lineRule="auto"/>
              <w:rPr>
                <w:rFonts w:cs="Arial"/>
                <w:sz w:val="20"/>
                <w:lang w:eastAsia="en-AU"/>
              </w:rPr>
            </w:pPr>
            <w:r w:rsidRPr="00154C73">
              <w:rPr>
                <w:rFonts w:cs="Arial"/>
                <w:sz w:val="20"/>
                <w:lang w:eastAsia="en-AU"/>
              </w:rPr>
              <w:t>a minimum height of 3m above the finished pavement or ground level</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a minimum of 3m depth</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integrated into the building design at the first floor level</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have posts at 3m intervals along the outside edge of the awning</w:t>
            </w:r>
          </w:p>
          <w:p w:rsidR="00154C73" w:rsidRPr="00154C73" w:rsidRDefault="00154C73" w:rsidP="00154C73">
            <w:pPr>
              <w:numPr>
                <w:ilvl w:val="2"/>
                <w:numId w:val="24"/>
              </w:numPr>
              <w:spacing w:before="60" w:after="60" w:line="288" w:lineRule="auto"/>
              <w:rPr>
                <w:rFonts w:cs="Arial"/>
                <w:sz w:val="20"/>
                <w:lang w:eastAsia="en-AU"/>
              </w:rPr>
            </w:pPr>
            <w:r w:rsidRPr="00154C73">
              <w:rPr>
                <w:rFonts w:cs="Arial"/>
                <w:sz w:val="20"/>
                <w:lang w:eastAsia="en-AU"/>
              </w:rPr>
              <w:t>extend the full facade of the building</w:t>
            </w:r>
            <w:r w:rsidR="00C36013">
              <w:rPr>
                <w:rFonts w:cs="Arial"/>
                <w:sz w:val="20"/>
                <w:lang w:eastAsia="en-AU"/>
              </w:rPr>
              <w:t>.</w:t>
            </w:r>
          </w:p>
        </w:tc>
        <w:tc>
          <w:tcPr>
            <w:tcW w:w="2500" w:type="pct"/>
            <w:tcBorders>
              <w:bottom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C17</w:t>
            </w:r>
          </w:p>
          <w:p w:rsidR="00154C73" w:rsidRPr="00154C73" w:rsidRDefault="00154C73" w:rsidP="00154C73">
            <w:pPr>
              <w:numPr>
                <w:ilvl w:val="1"/>
                <w:numId w:val="25"/>
              </w:numPr>
              <w:spacing w:before="60" w:after="60" w:line="288" w:lineRule="auto"/>
              <w:rPr>
                <w:rFonts w:cs="Arial"/>
                <w:vanish/>
                <w:sz w:val="20"/>
                <w:lang w:eastAsia="en-AU"/>
              </w:rPr>
            </w:pPr>
            <w:r w:rsidRPr="00154C73">
              <w:rPr>
                <w:rFonts w:cs="Arial"/>
                <w:sz w:val="20"/>
                <w:lang w:eastAsia="en-AU"/>
              </w:rPr>
              <w:t>Awnings provide continuous all weather pedestrian shelter and activity in a form compatible with existing awnings.</w:t>
            </w:r>
          </w:p>
        </w:tc>
      </w:tr>
    </w:tbl>
    <w:p w:rsidR="00154C73" w:rsidRPr="00154C73" w:rsidRDefault="00154C73" w:rsidP="00154C73"/>
    <w:p w:rsidR="00154C73" w:rsidRPr="00154C73" w:rsidRDefault="00154C73" w:rsidP="00154C73">
      <w:pPr>
        <w:sectPr w:rsidR="00154C73" w:rsidRPr="00154C73" w:rsidSect="00F26E18">
          <w:headerReference w:type="default" r:id="rId26"/>
          <w:footerReference w:type="default" r:id="rId27"/>
          <w:headerReference w:type="first" r:id="rId28"/>
          <w:footerReference w:type="first" r:id="rId29"/>
          <w:pgSz w:w="11906" w:h="16838"/>
          <w:pgMar w:top="1381" w:right="1274" w:bottom="1440" w:left="1560" w:header="567" w:footer="575" w:gutter="0"/>
          <w:pgNumType w:start="1"/>
          <w:cols w:space="708"/>
          <w:docGrid w:linePitch="360"/>
        </w:sectPr>
      </w:pPr>
    </w:p>
    <w:p w:rsidR="00154C73" w:rsidRPr="00154C73" w:rsidRDefault="00154C73" w:rsidP="00154C73"/>
    <w:p w:rsidR="00154C73" w:rsidRPr="00154C73" w:rsidRDefault="00154C73" w:rsidP="00154C73">
      <w:pPr>
        <w:shd w:val="clear" w:color="auto" w:fill="000000" w:themeFill="text1"/>
        <w:tabs>
          <w:tab w:val="left" w:pos="1134"/>
          <w:tab w:val="left" w:pos="1287"/>
          <w:tab w:val="left" w:pos="1701"/>
        </w:tabs>
        <w:spacing w:before="60" w:after="120" w:line="276" w:lineRule="auto"/>
        <w:rPr>
          <w:rFonts w:cs="Arial"/>
          <w:b/>
          <w:bCs/>
          <w:color w:val="FFFFFF"/>
          <w:sz w:val="32"/>
          <w:lang w:eastAsia="en-AU"/>
        </w:rPr>
      </w:pPr>
      <w:r w:rsidRPr="00154C73">
        <w:rPr>
          <w:rFonts w:cs="Arial"/>
          <w:b/>
          <w:bCs/>
          <w:color w:val="FFFFFF"/>
          <w:sz w:val="32"/>
          <w:lang w:eastAsia="en-AU"/>
        </w:rPr>
        <w:t xml:space="preserve">RC2 – </w:t>
      </w:r>
      <w:proofErr w:type="spellStart"/>
      <w:r w:rsidRPr="00154C73">
        <w:rPr>
          <w:rFonts w:cs="Arial"/>
          <w:b/>
          <w:bCs/>
          <w:color w:val="FFFFFF"/>
          <w:sz w:val="32"/>
          <w:lang w:eastAsia="en-AU"/>
        </w:rPr>
        <w:t>Calwell</w:t>
      </w:r>
      <w:proofErr w:type="spellEnd"/>
      <w:r w:rsidRPr="00154C73">
        <w:rPr>
          <w:rFonts w:cs="Arial"/>
          <w:b/>
          <w:bCs/>
          <w:color w:val="FFFFFF"/>
          <w:sz w:val="32"/>
          <w:lang w:eastAsia="en-AU"/>
        </w:rPr>
        <w:t xml:space="preserve"> Community Facilities</w:t>
      </w:r>
    </w:p>
    <w:p w:rsidR="00154C73" w:rsidRPr="00154C73" w:rsidRDefault="00154C73" w:rsidP="00154C73">
      <w:pPr>
        <w:spacing w:before="120" w:line="288" w:lineRule="auto"/>
        <w:rPr>
          <w:rFonts w:cs="Arial"/>
          <w:sz w:val="20"/>
        </w:rPr>
      </w:pPr>
      <w:r w:rsidRPr="00154C73">
        <w:rPr>
          <w:rFonts w:cs="Arial"/>
          <w:sz w:val="20"/>
        </w:rPr>
        <w:t xml:space="preserve">This part applies to blocks and parcels identified in area RC2 shown on the </w:t>
      </w:r>
      <w:proofErr w:type="spellStart"/>
      <w:r w:rsidRPr="00154C73">
        <w:rPr>
          <w:rFonts w:cs="Arial"/>
          <w:sz w:val="20"/>
        </w:rPr>
        <w:t>Calwell</w:t>
      </w:r>
      <w:proofErr w:type="spellEnd"/>
      <w:r w:rsidRPr="00154C73">
        <w:rPr>
          <w:rFonts w:cs="Arial"/>
          <w:sz w:val="20"/>
        </w:rPr>
        <w:t xml:space="preserve"> Precinct Map.</w:t>
      </w:r>
    </w:p>
    <w:p w:rsidR="00154C73" w:rsidRPr="00154C73" w:rsidRDefault="00154C73" w:rsidP="00154C73"/>
    <w:p w:rsidR="00154C73" w:rsidRPr="00154C73" w:rsidRDefault="00154C73" w:rsidP="00154C73">
      <w:pPr>
        <w:keepNext/>
        <w:numPr>
          <w:ilvl w:val="0"/>
          <w:numId w:val="26"/>
        </w:numPr>
        <w:tabs>
          <w:tab w:val="left" w:pos="1418"/>
        </w:tabs>
        <w:spacing w:before="120" w:line="288" w:lineRule="auto"/>
        <w:rPr>
          <w:rFonts w:cs="Arial"/>
          <w:b/>
          <w:bCs/>
        </w:rPr>
      </w:pPr>
      <w:r w:rsidRPr="00154C73">
        <w:rPr>
          <w:rFonts w:cs="Arial"/>
          <w:b/>
          <w:bCs/>
        </w:rPr>
        <w:t>Built form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54C73" w:rsidRPr="00154C73" w:rsidTr="00154C73">
        <w:trPr>
          <w:tblHeader/>
        </w:trPr>
        <w:tc>
          <w:tcPr>
            <w:tcW w:w="2500" w:type="pct"/>
            <w:tcBorders>
              <w:bottom w:val="single" w:sz="4" w:space="0" w:color="auto"/>
            </w:tcBorders>
            <w:shd w:val="clear" w:color="auto" w:fill="CCCCCC"/>
          </w:tcPr>
          <w:p w:rsidR="00154C73" w:rsidRPr="00154C73" w:rsidRDefault="00154C73" w:rsidP="00154C73">
            <w:pPr>
              <w:keepNext/>
              <w:spacing w:before="60" w:after="60"/>
              <w:rPr>
                <w:rFonts w:cs="Arial"/>
                <w:b/>
                <w:bCs/>
                <w:sz w:val="22"/>
              </w:rPr>
            </w:pPr>
            <w:r w:rsidRPr="00154C73">
              <w:rPr>
                <w:rFonts w:cs="Arial"/>
                <w:b/>
                <w:bCs/>
                <w:sz w:val="22"/>
              </w:rPr>
              <w:t>Rules</w:t>
            </w:r>
          </w:p>
        </w:tc>
        <w:tc>
          <w:tcPr>
            <w:tcW w:w="2500" w:type="pct"/>
            <w:tcBorders>
              <w:bottom w:val="single" w:sz="4" w:space="0" w:color="auto"/>
            </w:tcBorders>
            <w:shd w:val="clear" w:color="auto" w:fill="CCCCCC"/>
          </w:tcPr>
          <w:p w:rsidR="00154C73" w:rsidRPr="00154C73" w:rsidRDefault="00154C73" w:rsidP="00154C73">
            <w:pPr>
              <w:spacing w:before="60" w:after="60"/>
              <w:rPr>
                <w:rFonts w:cs="Arial"/>
                <w:b/>
                <w:bCs/>
                <w:sz w:val="22"/>
              </w:rPr>
            </w:pPr>
            <w:r w:rsidRPr="00154C73">
              <w:rPr>
                <w:rFonts w:cs="Arial"/>
                <w:b/>
                <w:bCs/>
                <w:sz w:val="22"/>
              </w:rPr>
              <w:t>Criteria</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r w:rsidRPr="00154C73">
              <w:rPr>
                <w:rFonts w:cs="Arial"/>
                <w:b/>
                <w:bCs/>
                <w:sz w:val="20"/>
              </w:rPr>
              <w:t>Pedestrian connection – section 788</w:t>
            </w:r>
          </w:p>
        </w:tc>
      </w:tr>
      <w:tr w:rsidR="00154C73" w:rsidRPr="00154C73" w:rsidTr="00154C73">
        <w:tc>
          <w:tcPr>
            <w:tcW w:w="2500" w:type="pct"/>
            <w:tcBorders>
              <w:top w:val="single" w:sz="4" w:space="0" w:color="auto"/>
              <w:left w:val="single" w:sz="4" w:space="0" w:color="auto"/>
              <w:bottom w:val="single" w:sz="4" w:space="0" w:color="auto"/>
              <w:right w:val="single" w:sz="4" w:space="0" w:color="auto"/>
            </w:tcBorders>
            <w:shd w:val="clear" w:color="auto" w:fill="auto"/>
          </w:tcPr>
          <w:p w:rsidR="00154C73" w:rsidRPr="00154C73" w:rsidRDefault="00C36013" w:rsidP="00154C73">
            <w:pPr>
              <w:keepNext/>
              <w:spacing w:before="60" w:after="60" w:line="288" w:lineRule="auto"/>
              <w:rPr>
                <w:rFonts w:cs="Arial"/>
                <w:sz w:val="20"/>
                <w:lang w:eastAsia="en-AU"/>
              </w:rPr>
            </w:pPr>
            <w:r>
              <w:rPr>
                <w:rFonts w:cs="Arial"/>
                <w:sz w:val="20"/>
                <w:lang w:eastAsia="en-AU"/>
              </w:rPr>
              <w:t>R18</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 xml:space="preserve">This rule applies to section 788 shown in Figure 5 where the active travel path is shown. </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 xml:space="preserve">Development retains the existing active travel path connecting the </w:t>
            </w:r>
            <w:proofErr w:type="spellStart"/>
            <w:r w:rsidRPr="00154C73">
              <w:rPr>
                <w:rFonts w:cs="Arial"/>
                <w:sz w:val="20"/>
                <w:lang w:eastAsia="en-AU"/>
              </w:rPr>
              <w:t>Calwell</w:t>
            </w:r>
            <w:proofErr w:type="spellEnd"/>
            <w:r w:rsidRPr="00154C73">
              <w:rPr>
                <w:rFonts w:cs="Arial"/>
                <w:sz w:val="20"/>
                <w:lang w:eastAsia="en-AU"/>
              </w:rPr>
              <w:t xml:space="preserve"> Group Centre to Johnson Drive.</w:t>
            </w:r>
          </w:p>
        </w:tc>
        <w:tc>
          <w:tcPr>
            <w:tcW w:w="2500" w:type="pct"/>
            <w:tcBorders>
              <w:top w:val="single" w:sz="4" w:space="0" w:color="auto"/>
              <w:left w:val="single" w:sz="4" w:space="0" w:color="auto"/>
              <w:bottom w:val="single" w:sz="4" w:space="0" w:color="auto"/>
              <w:right w:val="single" w:sz="4" w:space="0" w:color="auto"/>
            </w:tcBorders>
            <w:shd w:val="clear" w:color="auto" w:fill="auto"/>
          </w:tcPr>
          <w:p w:rsidR="00154C73" w:rsidRPr="00154C73" w:rsidRDefault="00C36013" w:rsidP="00154C73">
            <w:pPr>
              <w:spacing w:before="60" w:after="60" w:line="288" w:lineRule="auto"/>
              <w:rPr>
                <w:rFonts w:cs="Arial"/>
                <w:sz w:val="20"/>
                <w:lang w:eastAsia="en-AU"/>
              </w:rPr>
            </w:pPr>
            <w:r>
              <w:rPr>
                <w:rFonts w:cs="Arial"/>
                <w:sz w:val="20"/>
                <w:lang w:eastAsia="en-AU"/>
              </w:rPr>
              <w:t>C18</w:t>
            </w:r>
          </w:p>
          <w:p w:rsidR="00154C73" w:rsidRPr="00154C73" w:rsidRDefault="00154C73" w:rsidP="00154C73">
            <w:pPr>
              <w:numPr>
                <w:ilvl w:val="1"/>
                <w:numId w:val="25"/>
              </w:numPr>
              <w:spacing w:before="60" w:after="60" w:line="288" w:lineRule="auto"/>
              <w:rPr>
                <w:rFonts w:cs="Arial"/>
                <w:sz w:val="20"/>
                <w:lang w:eastAsia="en-AU"/>
              </w:rPr>
            </w:pPr>
            <w:r w:rsidRPr="00154C73">
              <w:rPr>
                <w:rFonts w:cs="Arial"/>
                <w:sz w:val="20"/>
                <w:lang w:eastAsia="en-AU"/>
              </w:rPr>
              <w:t>Development that alters the existing active travel path complies with all of the following:</w:t>
            </w:r>
          </w:p>
          <w:p w:rsidR="00C36013" w:rsidRDefault="00154C73" w:rsidP="00C36013">
            <w:pPr>
              <w:numPr>
                <w:ilvl w:val="2"/>
                <w:numId w:val="25"/>
              </w:numPr>
              <w:spacing w:before="60" w:after="60" w:line="288" w:lineRule="auto"/>
              <w:rPr>
                <w:rFonts w:cs="Arial"/>
                <w:sz w:val="20"/>
                <w:lang w:eastAsia="en-AU"/>
              </w:rPr>
            </w:pPr>
            <w:r w:rsidRPr="00154C73">
              <w:rPr>
                <w:rFonts w:cs="Arial"/>
                <w:sz w:val="20"/>
                <w:lang w:eastAsia="en-AU"/>
              </w:rPr>
              <w:t xml:space="preserve">retains a publicly accessible path of travel connecting </w:t>
            </w:r>
            <w:proofErr w:type="spellStart"/>
            <w:r w:rsidRPr="00154C73">
              <w:rPr>
                <w:rFonts w:cs="Arial"/>
                <w:sz w:val="20"/>
                <w:lang w:eastAsia="en-AU"/>
              </w:rPr>
              <w:t>Calwell</w:t>
            </w:r>
            <w:proofErr w:type="spellEnd"/>
            <w:r w:rsidRPr="00154C73">
              <w:rPr>
                <w:rFonts w:cs="Arial"/>
                <w:sz w:val="20"/>
                <w:lang w:eastAsia="en-AU"/>
              </w:rPr>
              <w:t xml:space="preserve"> Group Centre and Johnson Dr</w:t>
            </w:r>
            <w:r w:rsidR="00C36013">
              <w:rPr>
                <w:rFonts w:cs="Arial"/>
                <w:sz w:val="20"/>
                <w:lang w:eastAsia="en-AU"/>
              </w:rPr>
              <w:t>ive with a minimum width of 3m</w:t>
            </w:r>
          </w:p>
          <w:p w:rsidR="00154C73" w:rsidRPr="00154C73" w:rsidRDefault="00154C73" w:rsidP="00C36013">
            <w:pPr>
              <w:numPr>
                <w:ilvl w:val="2"/>
                <w:numId w:val="25"/>
              </w:numPr>
              <w:spacing w:before="60" w:after="60" w:line="288" w:lineRule="auto"/>
              <w:rPr>
                <w:rFonts w:cs="Arial"/>
                <w:sz w:val="20"/>
                <w:lang w:eastAsia="en-AU"/>
              </w:rPr>
            </w:pPr>
            <w:r w:rsidRPr="00154C73">
              <w:rPr>
                <w:rFonts w:cs="Arial"/>
                <w:sz w:val="20"/>
                <w:lang w:eastAsia="en-AU"/>
              </w:rPr>
              <w:t>is endorsed by Transport Canberra and City Services.</w:t>
            </w:r>
          </w:p>
        </w:tc>
      </w:tr>
      <w:tr w:rsidR="00154C73" w:rsidRPr="00154C73" w:rsidTr="00154C73">
        <w:tc>
          <w:tcPr>
            <w:tcW w:w="5000" w:type="pct"/>
            <w:gridSpan w:val="2"/>
            <w:tcBorders>
              <w:bottom w:val="single" w:sz="4" w:space="0" w:color="auto"/>
            </w:tcBorders>
            <w:shd w:val="clear" w:color="auto" w:fill="E6E6E6"/>
          </w:tcPr>
          <w:p w:rsidR="00154C73" w:rsidRPr="00154C73" w:rsidDel="00612863" w:rsidRDefault="00154C73" w:rsidP="00154C73">
            <w:pPr>
              <w:keepNext/>
              <w:numPr>
                <w:ilvl w:val="1"/>
                <w:numId w:val="26"/>
              </w:numPr>
              <w:spacing w:before="60" w:after="60"/>
              <w:rPr>
                <w:rFonts w:cs="Arial"/>
                <w:b/>
                <w:bCs/>
                <w:sz w:val="20"/>
              </w:rPr>
            </w:pPr>
            <w:r w:rsidRPr="00154C73">
              <w:rPr>
                <w:rFonts w:cs="Arial"/>
                <w:b/>
                <w:bCs/>
                <w:sz w:val="20"/>
              </w:rPr>
              <w:t>Active frontages</w:t>
            </w:r>
          </w:p>
        </w:tc>
      </w:tr>
      <w:tr w:rsidR="00154C73" w:rsidRPr="00154C73" w:rsidTr="00154C73">
        <w:trPr>
          <w:hidden/>
        </w:trPr>
        <w:tc>
          <w:tcPr>
            <w:tcW w:w="2500" w:type="pct"/>
            <w:tcBorders>
              <w:bottom w:val="single" w:sz="4" w:space="0" w:color="auto"/>
            </w:tcBorders>
            <w:shd w:val="clear" w:color="auto" w:fill="auto"/>
          </w:tcPr>
          <w:p w:rsidR="00154C73" w:rsidRPr="00154C73" w:rsidRDefault="00154C73" w:rsidP="00154C73">
            <w:pPr>
              <w:spacing w:before="60" w:after="60" w:line="288" w:lineRule="auto"/>
              <w:rPr>
                <w:rFonts w:cs="Arial"/>
                <w:vanish/>
                <w:sz w:val="20"/>
                <w:lang w:eastAsia="en-AU"/>
              </w:rPr>
            </w:pP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 xml:space="preserve"> </w:t>
            </w:r>
          </w:p>
          <w:p w:rsidR="00154C73" w:rsidRPr="00154C73" w:rsidRDefault="00154C73" w:rsidP="00154C73">
            <w:pPr>
              <w:numPr>
                <w:ilvl w:val="1"/>
                <w:numId w:val="24"/>
              </w:numPr>
              <w:spacing w:before="60" w:after="60" w:line="288" w:lineRule="auto"/>
              <w:rPr>
                <w:rFonts w:cs="Arial"/>
                <w:sz w:val="20"/>
                <w:lang w:eastAsia="en-AU"/>
              </w:rPr>
            </w:pPr>
            <w:r w:rsidRPr="00154C73">
              <w:rPr>
                <w:rFonts w:cs="Arial"/>
                <w:sz w:val="20"/>
                <w:lang w:eastAsia="en-AU"/>
              </w:rPr>
              <w:t>There is no applicable rule.</w:t>
            </w:r>
          </w:p>
        </w:tc>
        <w:tc>
          <w:tcPr>
            <w:tcW w:w="2500" w:type="pct"/>
            <w:tcBorders>
              <w:bottom w:val="single" w:sz="4" w:space="0" w:color="auto"/>
            </w:tcBorders>
            <w:shd w:val="clear" w:color="auto" w:fill="auto"/>
          </w:tcPr>
          <w:p w:rsidR="00154C73" w:rsidRPr="00154C73" w:rsidRDefault="00C36013" w:rsidP="00154C73">
            <w:pPr>
              <w:keepNext/>
              <w:spacing w:before="60" w:after="60" w:line="288" w:lineRule="auto"/>
              <w:rPr>
                <w:rFonts w:cs="Arial"/>
                <w:sz w:val="20"/>
                <w:lang w:eastAsia="en-AU"/>
              </w:rPr>
            </w:pPr>
            <w:r>
              <w:rPr>
                <w:rFonts w:cs="Arial"/>
                <w:sz w:val="20"/>
                <w:lang w:eastAsia="en-AU"/>
              </w:rPr>
              <w:t>C19</w:t>
            </w:r>
          </w:p>
          <w:p w:rsidR="00154C73" w:rsidRPr="00154C73" w:rsidRDefault="00154C73" w:rsidP="00154C73">
            <w:pPr>
              <w:keepNext/>
              <w:numPr>
                <w:ilvl w:val="1"/>
                <w:numId w:val="24"/>
              </w:numPr>
              <w:spacing w:before="60" w:after="60" w:line="288" w:lineRule="auto"/>
              <w:rPr>
                <w:rFonts w:cs="Arial"/>
                <w:sz w:val="20"/>
                <w:lang w:eastAsia="en-AU"/>
              </w:rPr>
            </w:pPr>
            <w:r w:rsidRPr="00154C73">
              <w:rPr>
                <w:rFonts w:cs="Arial"/>
                <w:sz w:val="20"/>
                <w:lang w:eastAsia="en-AU"/>
              </w:rPr>
              <w:t>For buildings located along secondary active frontages shown in Figure 5, building design achieves all of the following:</w:t>
            </w:r>
          </w:p>
          <w:p w:rsidR="00154C73" w:rsidRPr="00154C73" w:rsidRDefault="00154C73" w:rsidP="00154C73">
            <w:pPr>
              <w:keepNext/>
              <w:numPr>
                <w:ilvl w:val="2"/>
                <w:numId w:val="24"/>
              </w:numPr>
              <w:spacing w:before="60" w:after="60" w:line="288" w:lineRule="auto"/>
              <w:rPr>
                <w:rFonts w:cs="Arial"/>
                <w:sz w:val="20"/>
                <w:lang w:eastAsia="en-AU"/>
              </w:rPr>
            </w:pPr>
            <w:r w:rsidRPr="00154C73">
              <w:rPr>
                <w:rFonts w:cs="Arial"/>
                <w:sz w:val="20"/>
                <w:lang w:eastAsia="en-AU"/>
              </w:rPr>
              <w:t>where public building access is provided, it is direct pedestrian access at street level</w:t>
            </w:r>
          </w:p>
          <w:p w:rsidR="00154C73" w:rsidRPr="00154C73" w:rsidRDefault="00154C73" w:rsidP="00154C73">
            <w:pPr>
              <w:keepNext/>
              <w:numPr>
                <w:ilvl w:val="2"/>
                <w:numId w:val="24"/>
              </w:numPr>
              <w:spacing w:before="60" w:after="60" w:line="288" w:lineRule="auto"/>
              <w:rPr>
                <w:rFonts w:cs="Arial"/>
                <w:sz w:val="20"/>
                <w:lang w:eastAsia="en-AU"/>
              </w:rPr>
            </w:pPr>
            <w:r w:rsidRPr="00154C73">
              <w:rPr>
                <w:rFonts w:cs="Arial"/>
                <w:sz w:val="20"/>
                <w:lang w:eastAsia="en-AU"/>
              </w:rPr>
              <w:t>buildings, and associated areas of open space where provided, provide opportunities for views into and out of the building to adjoining public spaces</w:t>
            </w:r>
          </w:p>
          <w:p w:rsidR="00154C73" w:rsidRPr="00154C73" w:rsidRDefault="00154C73" w:rsidP="00154C73">
            <w:pPr>
              <w:keepNext/>
              <w:numPr>
                <w:ilvl w:val="2"/>
                <w:numId w:val="24"/>
              </w:numPr>
              <w:spacing w:before="60" w:after="60" w:line="288" w:lineRule="auto"/>
              <w:rPr>
                <w:rFonts w:cs="Arial"/>
                <w:sz w:val="20"/>
                <w:lang w:eastAsia="en-AU"/>
              </w:rPr>
            </w:pPr>
            <w:r w:rsidRPr="00154C73">
              <w:rPr>
                <w:rFonts w:cs="Arial"/>
                <w:sz w:val="20"/>
                <w:lang w:eastAsia="en-AU"/>
              </w:rPr>
              <w:t>building facades are not dominated by extensive lengths of blank facades, open structured car parks, loading docks, substations or other service infrastructure.</w:t>
            </w:r>
          </w:p>
        </w:tc>
      </w:tr>
    </w:tbl>
    <w:p w:rsidR="00154C73" w:rsidRPr="00154C73" w:rsidRDefault="00154C73" w:rsidP="00154C73"/>
    <w:p w:rsidR="00154C73" w:rsidRPr="00154C73" w:rsidRDefault="00154C73" w:rsidP="00154C73"/>
    <w:p w:rsidR="00154C73" w:rsidRPr="00154C73" w:rsidRDefault="00154C73" w:rsidP="00154C73">
      <w:r w:rsidRPr="00154C73">
        <w:rPr>
          <w:noProof/>
          <w:lang w:eastAsia="en-AU"/>
        </w:rPr>
        <w:lastRenderedPageBreak/>
        <w:drawing>
          <wp:inline distT="0" distB="0" distL="0" distR="0" wp14:anchorId="002A4BD5" wp14:editId="71ABED10">
            <wp:extent cx="5760720" cy="4160520"/>
            <wp:effectExtent l="0" t="0" r="0" b="0"/>
            <wp:docPr id="5" name="Picture 5" descr="G:\Common\TerrPlan\DV355\Fig 4 - frontages and active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mon\TerrPlan\DV355\Fig 4 - frontages and active trave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160520"/>
                    </a:xfrm>
                    <a:prstGeom prst="rect">
                      <a:avLst/>
                    </a:prstGeom>
                    <a:noFill/>
                    <a:ln>
                      <a:noFill/>
                    </a:ln>
                  </pic:spPr>
                </pic:pic>
              </a:graphicData>
            </a:graphic>
          </wp:inline>
        </w:drawing>
      </w:r>
    </w:p>
    <w:p w:rsidR="00154C73" w:rsidRPr="00154C73" w:rsidRDefault="00154C73" w:rsidP="00154C73">
      <w:pPr>
        <w:rPr>
          <w:rFonts w:cs="Arial"/>
          <w:b/>
          <w:bCs/>
          <w:sz w:val="20"/>
          <w:lang w:eastAsia="en-AU"/>
        </w:rPr>
      </w:pPr>
      <w:r w:rsidRPr="00154C73">
        <w:rPr>
          <w:rFonts w:cs="Arial"/>
          <w:b/>
          <w:bCs/>
          <w:sz w:val="20"/>
          <w:lang w:eastAsia="en-AU"/>
        </w:rPr>
        <w:t>Figure 5   Secondary active frontages and pedestrian connection</w:t>
      </w:r>
    </w:p>
    <w:p w:rsidR="00981216" w:rsidRPr="0070443B" w:rsidRDefault="00981216" w:rsidP="00D93017">
      <w:pPr>
        <w:pStyle w:val="BodyText"/>
      </w:pPr>
    </w:p>
    <w:sectPr w:rsidR="00981216" w:rsidRPr="0070443B" w:rsidSect="007456C5">
      <w:headerReference w:type="default" r:id="rId31"/>
      <w:pgSz w:w="11907" w:h="16840" w:code="9"/>
      <w:pgMar w:top="1418" w:right="1531" w:bottom="1474" w:left="1531" w:header="720" w:footer="5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17F" w:rsidRDefault="00AD717F">
      <w:r>
        <w:separator/>
      </w:r>
    </w:p>
  </w:endnote>
  <w:endnote w:type="continuationSeparator" w:id="0">
    <w:p w:rsidR="00AD717F" w:rsidRDefault="00AD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755657"/>
      <w:docPartObj>
        <w:docPartGallery w:val="Page Numbers (Top of Page)"/>
        <w:docPartUnique/>
      </w:docPartObj>
    </w:sdtPr>
    <w:sdtEndPr/>
    <w:sdtContent>
      <w:p w:rsidR="005F2D17" w:rsidRPr="007456C5" w:rsidRDefault="005F2D17"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2</w:t>
        </w:r>
        <w:r w:rsidRPr="007456C5">
          <w:rPr>
            <w:rFonts w:ascii="Arial" w:hAnsi="Arial" w:cs="Arial"/>
          </w:rPr>
          <w:fldChar w:fldCharType="end"/>
        </w:r>
        <w:r w:rsidRPr="007456C5">
          <w:rPr>
            <w:rFonts w:ascii="Arial" w:hAnsi="Arial" w:cs="Arial"/>
          </w:rPr>
          <w:tab/>
          <w:t>Variation 000 – final variation version</w:t>
        </w:r>
      </w:p>
      <w:p w:rsidR="005F2D17" w:rsidRPr="007456C5" w:rsidRDefault="005F2D17"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755651"/>
      <w:docPartObj>
        <w:docPartGallery w:val="Page Numbers (Bottom of Page)"/>
        <w:docPartUnique/>
      </w:docPartObj>
    </w:sdtPr>
    <w:sdtEndPr/>
    <w:sdtContent>
      <w:sdt>
        <w:sdtPr>
          <w:rPr>
            <w:rFonts w:ascii="Arial" w:hAnsi="Arial" w:cs="Arial"/>
          </w:rPr>
          <w:id w:val="8755652"/>
          <w:docPartObj>
            <w:docPartGallery w:val="Page Numbers (Top of Page)"/>
            <w:docPartUnique/>
          </w:docPartObj>
        </w:sdtPr>
        <w:sdtEndPr/>
        <w:sdtContent>
          <w:p w:rsidR="005F2D17" w:rsidRDefault="005F2D17"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7456C5">
              <w:rPr>
                <w:rFonts w:ascii="Arial" w:hAnsi="Arial" w:cs="Arial"/>
              </w:rPr>
              <w:t xml:space="preserve">Page </w:t>
            </w:r>
            <w:r w:rsidRPr="007456C5">
              <w:rPr>
                <w:rFonts w:ascii="Arial" w:hAnsi="Arial" w:cs="Arial"/>
              </w:rPr>
              <w:fldChar w:fldCharType="begin"/>
            </w:r>
            <w:r w:rsidRPr="007456C5">
              <w:rPr>
                <w:rFonts w:ascii="Arial" w:hAnsi="Arial" w:cs="Arial"/>
              </w:rPr>
              <w:instrText xml:space="preserve"> PAGE </w:instrText>
            </w:r>
            <w:r w:rsidRPr="007456C5">
              <w:rPr>
                <w:rFonts w:ascii="Arial" w:hAnsi="Arial" w:cs="Arial"/>
              </w:rPr>
              <w:fldChar w:fldCharType="separate"/>
            </w:r>
            <w:r>
              <w:rPr>
                <w:rFonts w:ascii="Arial" w:hAnsi="Arial" w:cs="Arial"/>
              </w:rPr>
              <w:t>ii</w:t>
            </w:r>
            <w:r w:rsidRPr="007456C5">
              <w:rPr>
                <w:rFonts w:ascii="Arial" w:hAnsi="Arial" w:cs="Arial"/>
              </w:rPr>
              <w:fldChar w:fldCharType="end"/>
            </w:r>
          </w:p>
          <w:p w:rsidR="005F2D17" w:rsidRDefault="005F2D17" w:rsidP="007456C5">
            <w:pPr>
              <w:pStyle w:val="Footer"/>
              <w:tabs>
                <w:tab w:val="clear" w:pos="4153"/>
                <w:tab w:val="clear" w:pos="8306"/>
                <w:tab w:val="right" w:pos="6096"/>
              </w:tabs>
              <w:rPr>
                <w:rFonts w:ascii="Arial" w:hAnsi="Arial" w:cs="Arial"/>
              </w:rPr>
            </w:pPr>
            <w:r w:rsidRPr="00F904A8">
              <w:rPr>
                <w:rFonts w:ascii="Arial" w:hAnsi="Arial" w:cs="Arial"/>
              </w:rPr>
              <w:t>Variation No 355</w:t>
            </w:r>
          </w:p>
        </w:sdtContent>
      </w:sdt>
    </w:sdtContent>
  </w:sdt>
  <w:p w:rsidR="00EC4D02" w:rsidRPr="00EC4D02" w:rsidRDefault="00EC4D02" w:rsidP="00EC4D02">
    <w:pPr>
      <w:pStyle w:val="Footer"/>
      <w:tabs>
        <w:tab w:val="clear" w:pos="4153"/>
        <w:tab w:val="clear" w:pos="8306"/>
        <w:tab w:val="right" w:pos="6096"/>
      </w:tabs>
      <w:rPr>
        <w:rFonts w:ascii="Arial" w:hAnsi="Arial" w:cs="Arial"/>
        <w:sz w:val="14"/>
      </w:rPr>
    </w:pPr>
    <w:r w:rsidRPr="00EC4D0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D02" w:rsidRPr="00EC4D02" w:rsidRDefault="00EC4D02" w:rsidP="00EC4D02">
    <w:pPr>
      <w:pStyle w:val="Footer"/>
      <w:rPr>
        <w:rFonts w:ascii="Arial" w:hAnsi="Arial" w:cs="Arial"/>
        <w:sz w:val="14"/>
      </w:rPr>
    </w:pPr>
    <w:r w:rsidRPr="00EC4D02">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362563877"/>
      <w:docPartObj>
        <w:docPartGallery w:val="Page Numbers (Bottom of Page)"/>
        <w:docPartUnique/>
      </w:docPartObj>
    </w:sdtPr>
    <w:sdtEndPr/>
    <w:sdtContent>
      <w:sdt>
        <w:sdtPr>
          <w:rPr>
            <w:rFonts w:ascii="Arial" w:hAnsi="Arial" w:cs="Arial"/>
          </w:rPr>
          <w:id w:val="1757241725"/>
          <w:docPartObj>
            <w:docPartGallery w:val="Page Numbers (Top of Page)"/>
            <w:docPartUnique/>
          </w:docPartObj>
        </w:sdtPr>
        <w:sdtEndPr/>
        <w:sdtContent>
          <w:p w:rsidR="005F2D17" w:rsidRDefault="005F2D17"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p>
          <w:tbl>
            <w:tblPr>
              <w:tblW w:w="5000" w:type="pct"/>
              <w:tblBorders>
                <w:top w:val="single" w:sz="4" w:space="0" w:color="auto"/>
              </w:tblBorders>
              <w:tblLook w:val="0000" w:firstRow="0" w:lastRow="0" w:firstColumn="0" w:lastColumn="0" w:noHBand="0" w:noVBand="0"/>
            </w:tblPr>
            <w:tblGrid>
              <w:gridCol w:w="2259"/>
              <w:gridCol w:w="6586"/>
            </w:tblGrid>
            <w:tr w:rsidR="005F2D17" w:rsidRPr="00054D4C" w:rsidTr="00154C73">
              <w:tc>
                <w:tcPr>
                  <w:tcW w:w="1277" w:type="pct"/>
                </w:tcPr>
                <w:p w:rsidR="005F2D17" w:rsidRDefault="005F2D17" w:rsidP="00154C73">
                  <w:pPr>
                    <w:pStyle w:val="Footer"/>
                    <w:spacing w:before="120"/>
                    <w:rPr>
                      <w:rFonts w:cs="Arial"/>
                      <w:sz w:val="18"/>
                    </w:rPr>
                  </w:pPr>
                  <w:r>
                    <w:rPr>
                      <w:rFonts w:cs="Arial"/>
                      <w:sz w:val="18"/>
                    </w:rPr>
                    <w:t>NIxxxxxxx</w:t>
                  </w:r>
                </w:p>
              </w:tc>
              <w:tc>
                <w:tcPr>
                  <w:tcW w:w="3723" w:type="pct"/>
                </w:tcPr>
                <w:p w:rsidR="005F2D17" w:rsidRPr="009F1E3F" w:rsidRDefault="005F2D17" w:rsidP="00154C73">
                  <w:pPr>
                    <w:pStyle w:val="Footer"/>
                    <w:spacing w:before="120" w:after="60" w:line="240" w:lineRule="exact"/>
                    <w:rPr>
                      <w:rFonts w:cs="Arial"/>
                    </w:rPr>
                  </w:pPr>
                  <w:r>
                    <w:rPr>
                      <w:rFonts w:cs="Arial"/>
                    </w:rPr>
                    <w:t>Calwell Precinct Map and Code – RC1 Calwell Group Centre</w:t>
                  </w:r>
                </w:p>
                <w:p w:rsidR="005F2D17" w:rsidRPr="00054D4C" w:rsidRDefault="005F2D17" w:rsidP="00154C73">
                  <w:pPr>
                    <w:pStyle w:val="FooterInfoCentre"/>
                    <w:rPr>
                      <w:sz w:val="20"/>
                    </w:rPr>
                  </w:pPr>
                  <w:r>
                    <w:rPr>
                      <w:sz w:val="20"/>
                    </w:rPr>
                    <w:t>DV355</w:t>
                  </w:r>
                </w:p>
              </w:tc>
            </w:tr>
            <w:tr w:rsidR="005F2D17" w:rsidTr="00154C73">
              <w:tc>
                <w:tcPr>
                  <w:tcW w:w="5000" w:type="pct"/>
                  <w:gridSpan w:val="2"/>
                </w:tcPr>
                <w:p w:rsidR="005F2D17" w:rsidRDefault="005F2D17" w:rsidP="00154C73">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sz w:val="18"/>
                    </w:rPr>
                    <w:t>2</w:t>
                  </w:r>
                  <w:r>
                    <w:rPr>
                      <w:rStyle w:val="PageNumber"/>
                      <w:rFonts w:cs="Arial"/>
                      <w:sz w:val="18"/>
                    </w:rPr>
                    <w:fldChar w:fldCharType="end"/>
                  </w:r>
                </w:p>
              </w:tc>
            </w:tr>
          </w:tbl>
          <w:p w:rsidR="00EC4D02" w:rsidRDefault="000626C5" w:rsidP="00154C73">
            <w:pPr>
              <w:pStyle w:val="Footer"/>
              <w:tabs>
                <w:tab w:val="clear" w:pos="4153"/>
                <w:tab w:val="clear" w:pos="8306"/>
                <w:tab w:val="center" w:pos="4422"/>
                <w:tab w:val="right" w:pos="6096"/>
                <w:tab w:val="right" w:pos="8845"/>
              </w:tabs>
              <w:jc w:val="left"/>
              <w:rPr>
                <w:rFonts w:ascii="Arial" w:hAnsi="Arial" w:cs="Arial"/>
              </w:rPr>
            </w:pPr>
          </w:p>
        </w:sdtContent>
      </w:sdt>
    </w:sdtContent>
  </w:sdt>
  <w:p w:rsidR="005F2D17" w:rsidRPr="00EC4D02" w:rsidRDefault="00EC4D02" w:rsidP="00EC4D02">
    <w:pPr>
      <w:pStyle w:val="Footer"/>
      <w:tabs>
        <w:tab w:val="clear" w:pos="4153"/>
        <w:tab w:val="clear" w:pos="8306"/>
        <w:tab w:val="center" w:pos="4422"/>
        <w:tab w:val="right" w:pos="6096"/>
        <w:tab w:val="right" w:pos="8845"/>
      </w:tabs>
      <w:rPr>
        <w:rFonts w:ascii="Arial" w:hAnsi="Arial" w:cs="Arial"/>
        <w:sz w:val="14"/>
      </w:rPr>
    </w:pPr>
    <w:r w:rsidRPr="00EC4D02">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881590626"/>
      <w:docPartObj>
        <w:docPartGallery w:val="Page Numbers (Bottom of Page)"/>
        <w:docPartUnique/>
      </w:docPartObj>
    </w:sdtPr>
    <w:sdtEndPr>
      <w:rPr>
        <w:sz w:val="14"/>
        <w:szCs w:val="14"/>
      </w:rPr>
    </w:sdtEndPr>
    <w:sdtContent>
      <w:sdt>
        <w:sdtPr>
          <w:rPr>
            <w:rFonts w:ascii="Arial" w:hAnsi="Arial" w:cs="Arial"/>
          </w:rPr>
          <w:id w:val="-453865975"/>
          <w:docPartObj>
            <w:docPartGallery w:val="Page Numbers (Top of Page)"/>
            <w:docPartUnique/>
          </w:docPartObj>
        </w:sdtPr>
        <w:sdtEndPr>
          <w:rPr>
            <w:sz w:val="14"/>
            <w:szCs w:val="14"/>
          </w:rPr>
        </w:sdtEndPr>
        <w:sdtContent>
          <w:p w:rsidR="005F2D17" w:rsidRDefault="005F2D17" w:rsidP="00F12CB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p>
          <w:tbl>
            <w:tblPr>
              <w:tblW w:w="5000" w:type="pct"/>
              <w:tblBorders>
                <w:top w:val="single" w:sz="4" w:space="0" w:color="auto"/>
              </w:tblBorders>
              <w:tblLook w:val="0000" w:firstRow="0" w:lastRow="0" w:firstColumn="0" w:lastColumn="0" w:noHBand="0" w:noVBand="0"/>
            </w:tblPr>
            <w:tblGrid>
              <w:gridCol w:w="2259"/>
              <w:gridCol w:w="6586"/>
            </w:tblGrid>
            <w:tr w:rsidR="005F2D17" w:rsidRPr="00054D4C" w:rsidTr="00154C73">
              <w:tc>
                <w:tcPr>
                  <w:tcW w:w="1277" w:type="pct"/>
                </w:tcPr>
                <w:p w:rsidR="005F2D17" w:rsidRDefault="005F2D17" w:rsidP="00154C73">
                  <w:pPr>
                    <w:pStyle w:val="Footer"/>
                    <w:spacing w:before="120"/>
                    <w:rPr>
                      <w:rFonts w:cs="Arial"/>
                      <w:sz w:val="18"/>
                    </w:rPr>
                  </w:pPr>
                  <w:r>
                    <w:rPr>
                      <w:rFonts w:cs="Arial"/>
                      <w:sz w:val="18"/>
                    </w:rPr>
                    <w:t>NIxxxxxxx</w:t>
                  </w:r>
                </w:p>
              </w:tc>
              <w:tc>
                <w:tcPr>
                  <w:tcW w:w="3723" w:type="pct"/>
                </w:tcPr>
                <w:p w:rsidR="005F2D17" w:rsidRPr="009F1E3F" w:rsidRDefault="005F2D17" w:rsidP="00154C73">
                  <w:pPr>
                    <w:pStyle w:val="Footer"/>
                    <w:spacing w:before="120" w:after="60" w:line="240" w:lineRule="exact"/>
                    <w:rPr>
                      <w:rFonts w:cs="Arial"/>
                    </w:rPr>
                  </w:pPr>
                  <w:r>
                    <w:rPr>
                      <w:rFonts w:cs="Arial"/>
                    </w:rPr>
                    <w:t>Calwell Precinct Map and Code – RC1 Calwell Group Centre</w:t>
                  </w:r>
                </w:p>
                <w:p w:rsidR="005F2D17" w:rsidRPr="00054D4C" w:rsidRDefault="005F2D17" w:rsidP="00154C73">
                  <w:pPr>
                    <w:pStyle w:val="FooterInfoCentre"/>
                    <w:rPr>
                      <w:sz w:val="20"/>
                    </w:rPr>
                  </w:pPr>
                  <w:r>
                    <w:rPr>
                      <w:sz w:val="20"/>
                    </w:rPr>
                    <w:t>DV355</w:t>
                  </w:r>
                </w:p>
              </w:tc>
            </w:tr>
            <w:tr w:rsidR="005F2D17" w:rsidTr="00154C73">
              <w:tc>
                <w:tcPr>
                  <w:tcW w:w="5000" w:type="pct"/>
                  <w:gridSpan w:val="2"/>
                </w:tcPr>
                <w:p w:rsidR="005F2D17" w:rsidRDefault="005F2D17" w:rsidP="00154C73">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sz w:val="18"/>
                    </w:rPr>
                    <w:t>6</w:t>
                  </w:r>
                  <w:r>
                    <w:rPr>
                      <w:rStyle w:val="PageNumber"/>
                      <w:rFonts w:cs="Arial"/>
                      <w:sz w:val="18"/>
                    </w:rPr>
                    <w:fldChar w:fldCharType="end"/>
                  </w:r>
                </w:p>
              </w:tc>
            </w:tr>
          </w:tbl>
          <w:p w:rsidR="00EC4D02" w:rsidRDefault="000626C5" w:rsidP="00154C73">
            <w:pPr>
              <w:pStyle w:val="Footer"/>
              <w:tabs>
                <w:tab w:val="clear" w:pos="4153"/>
                <w:tab w:val="clear" w:pos="8306"/>
                <w:tab w:val="center" w:pos="4422"/>
                <w:tab w:val="right" w:pos="6096"/>
                <w:tab w:val="right" w:pos="8845"/>
              </w:tabs>
              <w:jc w:val="left"/>
              <w:rPr>
                <w:rFonts w:ascii="Arial" w:hAnsi="Arial" w:cs="Arial"/>
                <w:sz w:val="14"/>
                <w:szCs w:val="14"/>
              </w:rPr>
            </w:pPr>
          </w:p>
        </w:sdtContent>
      </w:sdt>
    </w:sdtContent>
  </w:sdt>
  <w:p w:rsidR="005F2D17" w:rsidRPr="00EC4D02" w:rsidRDefault="00EC4D02" w:rsidP="00EC4D02">
    <w:pPr>
      <w:pStyle w:val="Footer"/>
      <w:tabs>
        <w:tab w:val="clear" w:pos="4153"/>
        <w:tab w:val="clear" w:pos="8306"/>
        <w:tab w:val="center" w:pos="4422"/>
        <w:tab w:val="right" w:pos="6096"/>
        <w:tab w:val="right" w:pos="8845"/>
      </w:tabs>
      <w:rPr>
        <w:rFonts w:ascii="Arial" w:hAnsi="Arial" w:cs="Arial"/>
        <w:sz w:val="14"/>
        <w:szCs w:val="14"/>
      </w:rPr>
    </w:pPr>
    <w:r w:rsidRPr="00EC4D02">
      <w:rPr>
        <w:rFonts w:ascii="Arial" w:hAnsi="Arial" w:cs="Arial"/>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D17" w:rsidRDefault="005F2D17" w:rsidP="00154C73">
    <w:pPr>
      <w:rPr>
        <w:sz w:val="16"/>
      </w:rPr>
    </w:pPr>
  </w:p>
  <w:tbl>
    <w:tblPr>
      <w:tblW w:w="5000" w:type="pct"/>
      <w:tblBorders>
        <w:top w:val="single" w:sz="4" w:space="0" w:color="auto"/>
      </w:tblBorders>
      <w:tblLook w:val="0000" w:firstRow="0" w:lastRow="0" w:firstColumn="0" w:lastColumn="0" w:noHBand="0" w:noVBand="0"/>
    </w:tblPr>
    <w:tblGrid>
      <w:gridCol w:w="1925"/>
      <w:gridCol w:w="5610"/>
      <w:gridCol w:w="1537"/>
    </w:tblGrid>
    <w:tr w:rsidR="005F2D17" w:rsidTr="00154C73">
      <w:tc>
        <w:tcPr>
          <w:tcW w:w="1061" w:type="pct"/>
        </w:tcPr>
        <w:p w:rsidR="005F2D17" w:rsidRDefault="005F2D17" w:rsidP="00154C73">
          <w:pPr>
            <w:pStyle w:val="Footer"/>
            <w:spacing w:before="120"/>
            <w:rPr>
              <w:rFonts w:cs="Arial"/>
              <w:sz w:val="18"/>
            </w:rPr>
          </w:pPr>
          <w:r>
            <w:rPr>
              <w:rFonts w:cs="Arial"/>
              <w:sz w:val="18"/>
            </w:rPr>
            <w:t>NIxxxxxxx</w:t>
          </w:r>
        </w:p>
      </w:tc>
      <w:tc>
        <w:tcPr>
          <w:tcW w:w="3092" w:type="pct"/>
        </w:tcPr>
        <w:p w:rsidR="005F2D17" w:rsidRPr="009F1E3F" w:rsidRDefault="005F2D17" w:rsidP="00154C73">
          <w:pPr>
            <w:pStyle w:val="Footer"/>
            <w:spacing w:before="120" w:after="60" w:line="240" w:lineRule="exact"/>
            <w:rPr>
              <w:rFonts w:cs="Arial"/>
            </w:rPr>
          </w:pPr>
          <w:r>
            <w:rPr>
              <w:rFonts w:cs="Arial"/>
            </w:rPr>
            <w:t>Calwell Precinct Code – RC1 Calwell Group Centre</w:t>
          </w:r>
        </w:p>
        <w:p w:rsidR="005F2D17" w:rsidRPr="00054D4C" w:rsidRDefault="005F2D17" w:rsidP="00154C73">
          <w:pPr>
            <w:pStyle w:val="FooterInfoCentre"/>
            <w:rPr>
              <w:sz w:val="20"/>
            </w:rPr>
          </w:pPr>
          <w:r>
            <w:rPr>
              <w:sz w:val="20"/>
            </w:rPr>
            <w:t>DV355</w:t>
          </w:r>
        </w:p>
      </w:tc>
      <w:tc>
        <w:tcPr>
          <w:tcW w:w="847" w:type="pct"/>
        </w:tcPr>
        <w:p w:rsidR="005F2D17" w:rsidRDefault="005F2D17" w:rsidP="00154C73">
          <w:pPr>
            <w:pStyle w:val="Footer"/>
            <w:spacing w:before="120"/>
            <w:jc w:val="right"/>
            <w:rPr>
              <w:rFonts w:cs="Arial"/>
              <w:sz w:val="18"/>
            </w:rPr>
          </w:pPr>
          <w:r>
            <w:rPr>
              <w:rFonts w:cs="Arial"/>
              <w:sz w:val="18"/>
            </w:rPr>
            <w:t>Page 1</w:t>
          </w:r>
        </w:p>
      </w:tc>
    </w:tr>
  </w:tbl>
  <w:p w:rsidR="005F2D17" w:rsidRDefault="005F2D17" w:rsidP="00154C73">
    <w:pPr>
      <w:pStyle w:val="Status"/>
      <w:spacing w:befor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17F" w:rsidRDefault="00AD717F">
      <w:r>
        <w:separator/>
      </w:r>
    </w:p>
  </w:footnote>
  <w:footnote w:type="continuationSeparator" w:id="0">
    <w:p w:rsidR="00AD717F" w:rsidRDefault="00AD7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D02" w:rsidRDefault="00EC4D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4D02" w:rsidRDefault="00EC4D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D17" w:rsidRDefault="005F2D17" w:rsidP="00460DD4">
    <w:pPr>
      <w:pStyle w:val="Header"/>
      <w:spacing w:before="360"/>
      <w:ind w:left="-142"/>
      <w:rPr>
        <w:rFonts w:ascii="Calibri" w:hAnsi="Calibri" w:cs="Calibri"/>
        <w:b/>
        <w:sz w:val="32"/>
        <w:szCs w:val="32"/>
      </w:rPr>
    </w:pPr>
  </w:p>
  <w:p w:rsidR="005F2D17" w:rsidRDefault="005F2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D17" w:rsidRPr="005F2D17" w:rsidRDefault="005F2D17" w:rsidP="00460DD4">
    <w:pPr>
      <w:pStyle w:val="Header"/>
      <w:spacing w:before="360"/>
      <w:ind w:left="-142"/>
      <w:rPr>
        <w:rFonts w:ascii="Calibri" w:hAnsi="Calibri" w:cs="Calibri"/>
        <w:b/>
        <w:sz w:val="22"/>
        <w:szCs w:val="22"/>
      </w:rPr>
    </w:pPr>
    <w:r w:rsidRPr="005F2D17">
      <w:rPr>
        <w:rFonts w:ascii="Calibri" w:hAnsi="Calibri" w:cs="Calibri"/>
        <w:b/>
        <w:sz w:val="22"/>
        <w:szCs w:val="22"/>
      </w:rPr>
      <w:t>Schedule (section 2(2))</w:t>
    </w:r>
  </w:p>
  <w:p w:rsidR="005F2D17" w:rsidRDefault="005F2D17" w:rsidP="00460DD4">
    <w:pPr>
      <w:pStyle w:val="Header"/>
      <w:spacing w:before="360"/>
      <w:ind w:left="-142"/>
      <w:rPr>
        <w:rFonts w:ascii="Calibri" w:hAnsi="Calibri" w:cs="Calibri"/>
        <w:b/>
        <w:sz w:val="32"/>
        <w:szCs w:val="32"/>
      </w:rPr>
    </w:pPr>
    <w:r>
      <w:rPr>
        <w:noProof/>
        <w:lang w:eastAsia="en-AU"/>
      </w:rPr>
      <w:drawing>
        <wp:inline distT="0" distB="0" distL="0" distR="0" wp14:anchorId="6FEDDD6E" wp14:editId="1354A58C">
          <wp:extent cx="2604799" cy="969872"/>
          <wp:effectExtent l="19050" t="0" r="5051" b="0"/>
          <wp:docPr id="7"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p>
  <w:p w:rsidR="005F2D17" w:rsidRDefault="005F2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D17" w:rsidRPr="00981216" w:rsidRDefault="005F2D17" w:rsidP="00981216">
    <w:pPr>
      <w:pStyle w:val="Header"/>
      <w:jc w:val="right"/>
      <w:rPr>
        <w:b/>
      </w:rPr>
    </w:pPr>
    <w:r w:rsidRPr="00981216">
      <w:rPr>
        <w:b/>
      </w:rPr>
      <w:t>Attachment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D17" w:rsidRPr="00981216" w:rsidRDefault="005F2D17" w:rsidP="00F26E18">
    <w:pPr>
      <w:pStyle w:val="Header"/>
      <w:jc w:val="right"/>
      <w:rPr>
        <w:b/>
      </w:rPr>
    </w:pPr>
    <w:r w:rsidRPr="00981216">
      <w:rPr>
        <w:b/>
      </w:rPr>
      <w:t xml:space="preserve">Attachment </w:t>
    </w:r>
    <w:r>
      <w:rPr>
        <w:b/>
      </w:rPr>
      <w:t>B</w:t>
    </w:r>
  </w:p>
  <w:p w:rsidR="005F2D17" w:rsidRPr="00B55666" w:rsidRDefault="005F2D17" w:rsidP="00154C73">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D17" w:rsidRDefault="005F2D17" w:rsidP="00154C73">
    <w:pPr>
      <w:spacing w:before="360"/>
      <w:ind w:right="281"/>
      <w:jc w:val="right"/>
      <w:rPr>
        <w:rFonts w:ascii="Calibri" w:hAnsi="Calibri" w:cs="Calibri"/>
        <w:b/>
        <w:sz w:val="32"/>
        <w:szCs w:val="32"/>
      </w:rPr>
    </w:pPr>
    <w:r>
      <w:rPr>
        <w:rFonts w:ascii="Calibri" w:hAnsi="Calibri" w:cs="Calibri"/>
        <w:b/>
        <w:sz w:val="32"/>
        <w:szCs w:val="32"/>
      </w:rPr>
      <w:t>Attachment B</w:t>
    </w:r>
  </w:p>
  <w:p w:rsidR="005F2D17" w:rsidRPr="00F570A1" w:rsidRDefault="005F2D17" w:rsidP="00154C73">
    <w:pPr>
      <w:ind w:right="284"/>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2D17" w:rsidRPr="00981216" w:rsidRDefault="005F2D17" w:rsidP="00981216">
    <w:pPr>
      <w:pStyle w:val="Header"/>
      <w:jc w:val="right"/>
      <w:rPr>
        <w:b/>
      </w:rPr>
    </w:pPr>
    <w:r w:rsidRPr="00981216">
      <w:rPr>
        <w:b/>
      </w:rPr>
      <w:t xml:space="preserve">Attachment </w:t>
    </w:r>
    <w:r>
      <w:rPr>
        <w:b/>
      </w:rPr>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1" w15:restartNumberingAfterBreak="0">
    <w:nsid w:val="10A3778F"/>
    <w:multiLevelType w:val="multilevel"/>
    <w:tmpl w:val="49525E04"/>
    <w:lvl w:ilvl="0">
      <w:start w:val="1"/>
      <w:numFmt w:val="decimal"/>
      <w:lvlText w:val="Element %1:"/>
      <w:lvlJc w:val="left"/>
      <w:pPr>
        <w:tabs>
          <w:tab w:val="num" w:pos="2880"/>
        </w:tabs>
        <w:ind w:left="0" w:firstLine="0"/>
      </w:pPr>
      <w:rPr>
        <w:rFonts w:ascii="Arial Bold" w:hAnsi="Arial Bold" w:hint="default"/>
        <w:b/>
        <w:i w:val="0"/>
        <w:color w:val="auto"/>
      </w:rPr>
    </w:lvl>
    <w:lvl w:ilvl="1">
      <w:start w:val="1"/>
      <w:numFmt w:val="decimal"/>
      <w:lvlText w:val="%1.%2"/>
      <w:lvlJc w:val="left"/>
      <w:pPr>
        <w:tabs>
          <w:tab w:val="num" w:pos="1080"/>
        </w:tabs>
        <w:ind w:left="448"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19D95644"/>
    <w:multiLevelType w:val="hybridMultilevel"/>
    <w:tmpl w:val="8EE2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7"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65E13AE1"/>
    <w:multiLevelType w:val="multilevel"/>
    <w:tmpl w:val="B12ED43C"/>
    <w:lvl w:ilvl="0">
      <w:start w:val="1"/>
      <w:numFmt w:val="decimal"/>
      <w:pStyle w:val="CritList"/>
      <w:suff w:val="space"/>
      <w:lvlText w:val="C%1"/>
      <w:lvlJc w:val="left"/>
      <w:pPr>
        <w:ind w:left="0"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3" w15:restartNumberingAfterBreak="0">
    <w:nsid w:val="696520DD"/>
    <w:multiLevelType w:val="multilevel"/>
    <w:tmpl w:val="523A08D2"/>
    <w:lvl w:ilvl="0">
      <w:start w:val="1"/>
      <w:numFmt w:val="decimal"/>
      <w:pStyle w:val="RuleList"/>
      <w:suff w:val="space"/>
      <w:lvlText w:val="R%1"/>
      <w:lvlJc w:val="left"/>
      <w:pPr>
        <w:ind w:left="284" w:firstLine="0"/>
      </w:pPr>
      <w:rPr>
        <w:rFonts w:ascii="Arial" w:hAnsi="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rPr>
    </w:lvl>
    <w:lvl w:ilvl="3">
      <w:start w:val="1"/>
      <w:numFmt w:val="lowerRoman"/>
      <w:lvlText w:val="%4)"/>
      <w:lvlJc w:val="left"/>
      <w:pPr>
        <w:tabs>
          <w:tab w:val="num" w:pos="907"/>
        </w:tabs>
        <w:ind w:left="907" w:hanging="453"/>
      </w:pPr>
      <w:rPr>
        <w:rFonts w:hint="default"/>
      </w:rPr>
    </w:lvl>
    <w:lvl w:ilvl="4">
      <w:start w:val="1"/>
      <w:numFmt w:val="bullet"/>
      <w:lvlText w:val=""/>
      <w:lvlJc w:val="left"/>
      <w:pPr>
        <w:tabs>
          <w:tab w:val="num" w:pos="1131"/>
        </w:tabs>
        <w:ind w:left="1131" w:hanging="792"/>
      </w:pPr>
      <w:rPr>
        <w:rFonts w:ascii="Symbol" w:hAnsi="Symbol" w:hint="default"/>
      </w:rPr>
    </w:lvl>
    <w:lvl w:ilvl="5">
      <w:start w:val="1"/>
      <w:numFmt w:val="decimal"/>
      <w:lvlText w:val="%1.%2.%3.%4.%5.%6."/>
      <w:lvlJc w:val="left"/>
      <w:pPr>
        <w:tabs>
          <w:tab w:val="num" w:pos="1635"/>
        </w:tabs>
        <w:ind w:left="1635" w:hanging="936"/>
      </w:pPr>
      <w:rPr>
        <w:rFonts w:hint="default"/>
      </w:rPr>
    </w:lvl>
    <w:lvl w:ilvl="6">
      <w:start w:val="1"/>
      <w:numFmt w:val="decimal"/>
      <w:lvlText w:val="%1.%2.%3.%4.%5.%6.%7."/>
      <w:lvlJc w:val="left"/>
      <w:pPr>
        <w:tabs>
          <w:tab w:val="num" w:pos="2139"/>
        </w:tabs>
        <w:ind w:left="2139" w:hanging="1080"/>
      </w:pPr>
      <w:rPr>
        <w:rFonts w:hint="default"/>
      </w:rPr>
    </w:lvl>
    <w:lvl w:ilvl="7">
      <w:start w:val="1"/>
      <w:numFmt w:val="decimal"/>
      <w:lvlText w:val="%1.%2.%3.%4.%5.%6.%7.%8."/>
      <w:lvlJc w:val="left"/>
      <w:pPr>
        <w:tabs>
          <w:tab w:val="num" w:pos="2643"/>
        </w:tabs>
        <w:ind w:left="2643" w:hanging="1224"/>
      </w:pPr>
      <w:rPr>
        <w:rFonts w:hint="default"/>
      </w:rPr>
    </w:lvl>
    <w:lvl w:ilvl="8">
      <w:start w:val="1"/>
      <w:numFmt w:val="decimal"/>
      <w:lvlText w:val="%1.%2.%3.%4.%5.%6.%7.%8.%9."/>
      <w:lvlJc w:val="left"/>
      <w:pPr>
        <w:tabs>
          <w:tab w:val="num" w:pos="3219"/>
        </w:tabs>
        <w:ind w:left="3219" w:hanging="1440"/>
      </w:pPr>
      <w:rPr>
        <w:rFonts w:hint="default"/>
      </w:rPr>
    </w:lvl>
  </w:abstractNum>
  <w:abstractNum w:abstractNumId="14"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5"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3"/>
  </w:num>
  <w:num w:numId="5">
    <w:abstractNumId w:val="7"/>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1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5"/>
  </w:num>
  <w:num w:numId="22">
    <w:abstractNumId w:val="14"/>
  </w:num>
  <w:num w:numId="23">
    <w:abstractNumId w:val="2"/>
  </w:num>
  <w:num w:numId="24">
    <w:abstractNumId w:val="13"/>
  </w:num>
  <w:num w:numId="25">
    <w:abstractNumId w:val="12"/>
  </w:num>
  <w:num w:numId="26">
    <w:abstractNumId w:val="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FD4"/>
    <w:rsid w:val="00006764"/>
    <w:rsid w:val="000531E6"/>
    <w:rsid w:val="000626C5"/>
    <w:rsid w:val="00084447"/>
    <w:rsid w:val="0009304E"/>
    <w:rsid w:val="00096FC2"/>
    <w:rsid w:val="000C7078"/>
    <w:rsid w:val="0015090C"/>
    <w:rsid w:val="00154C73"/>
    <w:rsid w:val="00161834"/>
    <w:rsid w:val="001A4AA3"/>
    <w:rsid w:val="001B34D2"/>
    <w:rsid w:val="001C7A99"/>
    <w:rsid w:val="001C7FD4"/>
    <w:rsid w:val="001E089E"/>
    <w:rsid w:val="00233E36"/>
    <w:rsid w:val="002429BC"/>
    <w:rsid w:val="002541B6"/>
    <w:rsid w:val="00263C5B"/>
    <w:rsid w:val="002672A4"/>
    <w:rsid w:val="002C0B57"/>
    <w:rsid w:val="002D7E17"/>
    <w:rsid w:val="002E43AD"/>
    <w:rsid w:val="00346D1B"/>
    <w:rsid w:val="003558AD"/>
    <w:rsid w:val="00356231"/>
    <w:rsid w:val="003B648B"/>
    <w:rsid w:val="003D4E3B"/>
    <w:rsid w:val="003F1F37"/>
    <w:rsid w:val="003F30D0"/>
    <w:rsid w:val="00426208"/>
    <w:rsid w:val="0043284E"/>
    <w:rsid w:val="00456E7A"/>
    <w:rsid w:val="00460DD4"/>
    <w:rsid w:val="004843F2"/>
    <w:rsid w:val="004965FA"/>
    <w:rsid w:val="004C2EC5"/>
    <w:rsid w:val="00563F0A"/>
    <w:rsid w:val="00575B48"/>
    <w:rsid w:val="00581EDB"/>
    <w:rsid w:val="00583D60"/>
    <w:rsid w:val="005A252E"/>
    <w:rsid w:val="005E4F54"/>
    <w:rsid w:val="005F2D17"/>
    <w:rsid w:val="005F5AA3"/>
    <w:rsid w:val="00611659"/>
    <w:rsid w:val="006466FF"/>
    <w:rsid w:val="00660F81"/>
    <w:rsid w:val="00667FED"/>
    <w:rsid w:val="006764C0"/>
    <w:rsid w:val="006C39CF"/>
    <w:rsid w:val="006F5159"/>
    <w:rsid w:val="0070443B"/>
    <w:rsid w:val="00712BEE"/>
    <w:rsid w:val="0071362F"/>
    <w:rsid w:val="0071587D"/>
    <w:rsid w:val="0074529E"/>
    <w:rsid w:val="007456C5"/>
    <w:rsid w:val="0078707C"/>
    <w:rsid w:val="007D1FF4"/>
    <w:rsid w:val="007D65CA"/>
    <w:rsid w:val="00813359"/>
    <w:rsid w:val="008266E5"/>
    <w:rsid w:val="00851C0B"/>
    <w:rsid w:val="0085707F"/>
    <w:rsid w:val="00870B41"/>
    <w:rsid w:val="008914A7"/>
    <w:rsid w:val="008A2BAC"/>
    <w:rsid w:val="008B2568"/>
    <w:rsid w:val="008B77D9"/>
    <w:rsid w:val="008D3451"/>
    <w:rsid w:val="008D6E3B"/>
    <w:rsid w:val="008F5692"/>
    <w:rsid w:val="0092522E"/>
    <w:rsid w:val="00981216"/>
    <w:rsid w:val="009B3BED"/>
    <w:rsid w:val="009C3888"/>
    <w:rsid w:val="00A06D67"/>
    <w:rsid w:val="00A73776"/>
    <w:rsid w:val="00A74C38"/>
    <w:rsid w:val="00A84F8E"/>
    <w:rsid w:val="00AA3627"/>
    <w:rsid w:val="00AD717F"/>
    <w:rsid w:val="00AE0C37"/>
    <w:rsid w:val="00B02B3E"/>
    <w:rsid w:val="00B05685"/>
    <w:rsid w:val="00B94D1D"/>
    <w:rsid w:val="00BD33EC"/>
    <w:rsid w:val="00BE4E8D"/>
    <w:rsid w:val="00BE5BBA"/>
    <w:rsid w:val="00C14346"/>
    <w:rsid w:val="00C3544D"/>
    <w:rsid w:val="00C36013"/>
    <w:rsid w:val="00C40CD7"/>
    <w:rsid w:val="00C8148A"/>
    <w:rsid w:val="00C816A2"/>
    <w:rsid w:val="00C83A96"/>
    <w:rsid w:val="00C84118"/>
    <w:rsid w:val="00C92D20"/>
    <w:rsid w:val="00CF2A49"/>
    <w:rsid w:val="00D110BD"/>
    <w:rsid w:val="00D179CD"/>
    <w:rsid w:val="00D37419"/>
    <w:rsid w:val="00D458BB"/>
    <w:rsid w:val="00D5669E"/>
    <w:rsid w:val="00D76428"/>
    <w:rsid w:val="00D93017"/>
    <w:rsid w:val="00D97283"/>
    <w:rsid w:val="00DB6CD9"/>
    <w:rsid w:val="00DC7A6F"/>
    <w:rsid w:val="00DF2B25"/>
    <w:rsid w:val="00E03B8B"/>
    <w:rsid w:val="00E17FE7"/>
    <w:rsid w:val="00E20129"/>
    <w:rsid w:val="00E215A4"/>
    <w:rsid w:val="00E22A27"/>
    <w:rsid w:val="00E8768E"/>
    <w:rsid w:val="00EC4D02"/>
    <w:rsid w:val="00EC6492"/>
    <w:rsid w:val="00F062FF"/>
    <w:rsid w:val="00F12CB9"/>
    <w:rsid w:val="00F15049"/>
    <w:rsid w:val="00F254A3"/>
    <w:rsid w:val="00F26E18"/>
    <w:rsid w:val="00F368C9"/>
    <w:rsid w:val="00F47A94"/>
    <w:rsid w:val="00F676FF"/>
    <w:rsid w:val="00F72482"/>
    <w:rsid w:val="00F821EA"/>
    <w:rsid w:val="00F904A8"/>
    <w:rsid w:val="00FC63EA"/>
    <w:rsid w:val="00FD1BCE"/>
    <w:rsid w:val="00FF0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35D31D7-0EF6-498F-A06B-9D3612D10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qFormat/>
    <w:rsid w:val="002541B6"/>
    <w:pPr>
      <w:numPr>
        <w:ilvl w:val="2"/>
        <w:numId w:val="2"/>
      </w:numPr>
      <w:spacing w:after="240"/>
      <w:outlineLvl w:val="0"/>
    </w:pPr>
    <w:rPr>
      <w:b/>
    </w:rPr>
  </w:style>
  <w:style w:type="paragraph" w:styleId="Heading2">
    <w:name w:val="heading 2"/>
    <w:basedOn w:val="Normal"/>
    <w:next w:val="Normal"/>
    <w:link w:val="Heading2Char"/>
    <w:semiHidden/>
    <w:unhideWhenUsed/>
    <w:qFormat/>
    <w:rsid w:val="006C39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C3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458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BE5BBA"/>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uiPriority w:val="99"/>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uiPriority w:val="99"/>
    <w:rsid w:val="00FF024D"/>
    <w:rPr>
      <w:rFonts w:ascii="Arial Narrow" w:hAnsi="Arial Narrow"/>
      <w:noProof/>
      <w:lang w:eastAsia="en-US"/>
    </w:rPr>
  </w:style>
  <w:style w:type="character" w:customStyle="1" w:styleId="Heading2Char">
    <w:name w:val="Heading 2 Char"/>
    <w:basedOn w:val="DefaultParagraphFont"/>
    <w:link w:val="Heading2"/>
    <w:semiHidden/>
    <w:rsid w:val="006C39C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6C39CF"/>
    <w:rPr>
      <w:rFonts w:asciiTheme="majorHAnsi" w:eastAsiaTheme="majorEastAsia" w:hAnsiTheme="majorHAnsi" w:cstheme="majorBidi"/>
      <w:b/>
      <w:bCs/>
      <w:color w:val="4F81BD" w:themeColor="accent1"/>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semiHidden/>
    <w:rsid w:val="00D458BB"/>
    <w:rPr>
      <w:rFonts w:asciiTheme="majorHAnsi" w:eastAsiaTheme="majorEastAsia" w:hAnsiTheme="majorHAnsi" w:cstheme="majorBidi"/>
      <w:b/>
      <w:bCs/>
      <w:i/>
      <w:iCs/>
      <w:color w:val="4F81BD" w:themeColor="accent1"/>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customStyle="1" w:styleId="bodyText0">
    <w:name w:val="bodyText"/>
    <w:basedOn w:val="Normal"/>
    <w:link w:val="bodyTextChar0"/>
    <w:qFormat/>
    <w:rsid w:val="00981216"/>
    <w:pPr>
      <w:spacing w:before="120" w:line="288" w:lineRule="auto"/>
    </w:pPr>
    <w:rPr>
      <w:rFonts w:cs="Arial"/>
      <w:sz w:val="20"/>
    </w:rPr>
  </w:style>
  <w:style w:type="character" w:customStyle="1" w:styleId="bodyTextChar0">
    <w:name w:val="bodyText Char"/>
    <w:basedOn w:val="DefaultParagraphFont"/>
    <w:link w:val="bodyText0"/>
    <w:rsid w:val="00981216"/>
    <w:rPr>
      <w:rFonts w:ascii="Arial" w:hAnsi="Arial" w:cs="Arial"/>
      <w:lang w:eastAsia="en-US"/>
    </w:rPr>
  </w:style>
  <w:style w:type="character" w:styleId="Strong">
    <w:name w:val="Strong"/>
    <w:basedOn w:val="DefaultParagraphFont"/>
    <w:uiPriority w:val="22"/>
    <w:rsid w:val="00981216"/>
    <w:rPr>
      <w:b/>
      <w:bCs/>
    </w:rPr>
  </w:style>
  <w:style w:type="paragraph" w:customStyle="1" w:styleId="RuleList">
    <w:name w:val="RuleList"/>
    <w:basedOn w:val="Normal"/>
    <w:qFormat/>
    <w:rsid w:val="00154C73"/>
    <w:pPr>
      <w:numPr>
        <w:numId w:val="24"/>
      </w:numPr>
      <w:spacing w:before="60" w:after="60" w:line="288" w:lineRule="auto"/>
    </w:pPr>
    <w:rPr>
      <w:rFonts w:cs="Arial"/>
      <w:sz w:val="20"/>
      <w:lang w:eastAsia="en-AU"/>
    </w:rPr>
  </w:style>
  <w:style w:type="paragraph" w:customStyle="1" w:styleId="CritList">
    <w:name w:val="CritList"/>
    <w:basedOn w:val="Normal"/>
    <w:qFormat/>
    <w:rsid w:val="00154C73"/>
    <w:pPr>
      <w:numPr>
        <w:numId w:val="25"/>
      </w:numPr>
      <w:spacing w:before="60" w:after="60" w:line="288" w:lineRule="auto"/>
    </w:pPr>
    <w:rPr>
      <w:rFonts w:cs="Arial"/>
      <w:sz w:val="20"/>
      <w:lang w:eastAsia="en-AU"/>
    </w:rPr>
  </w:style>
  <w:style w:type="paragraph" w:customStyle="1" w:styleId="Status">
    <w:name w:val="Status"/>
    <w:basedOn w:val="Normal"/>
    <w:rsid w:val="00154C73"/>
    <w:pPr>
      <w:spacing w:before="280"/>
      <w:jc w:val="center"/>
    </w:pPr>
    <w:rPr>
      <w:sz w:val="14"/>
    </w:rPr>
  </w:style>
  <w:style w:type="paragraph" w:customStyle="1" w:styleId="FooterInfoCentre">
    <w:name w:val="FooterInfoCentre"/>
    <w:basedOn w:val="Normal"/>
    <w:rsid w:val="00154C73"/>
    <w:pPr>
      <w:tabs>
        <w:tab w:val="right" w:pos="7707"/>
      </w:tabs>
      <w:jc w:val="center"/>
    </w:pPr>
    <w:rPr>
      <w:sz w:val="18"/>
    </w:rPr>
  </w:style>
  <w:style w:type="character" w:customStyle="1" w:styleId="Heading5Char">
    <w:name w:val="Heading 5 Char"/>
    <w:basedOn w:val="DefaultParagraphFont"/>
    <w:link w:val="Heading5"/>
    <w:semiHidden/>
    <w:rsid w:val="00BE5BBA"/>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BE5BBA"/>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BE5BBA"/>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BE5BBA"/>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BE5BBA"/>
    <w:pPr>
      <w:tabs>
        <w:tab w:val="left" w:pos="2600"/>
      </w:tabs>
      <w:spacing w:before="200" w:after="60" w:line="276" w:lineRule="auto"/>
      <w:jc w:val="both"/>
    </w:pPr>
    <w:rPr>
      <w:rFonts w:ascii="Calibri" w:eastAsia="Calibri" w:hAnsi="Calibri" w:cs="Arial"/>
      <w:b/>
      <w:bCs/>
      <w:sz w:val="22"/>
      <w:szCs w:val="24"/>
    </w:rPr>
  </w:style>
  <w:style w:type="paragraph" w:styleId="ListParagraph">
    <w:name w:val="List Paragraph"/>
    <w:basedOn w:val="Normal"/>
    <w:uiPriority w:val="34"/>
    <w:qFormat/>
    <w:rsid w:val="00813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939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00540-7112-40B8-98D1-F9AF428E5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3384</Words>
  <Characters>18375</Characters>
  <Application>Microsoft Office Word</Application>
  <DocSecurity>0</DocSecurity>
  <Lines>706</Lines>
  <Paragraphs>402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21357</CharactersWithSpaces>
  <SharedDoc>false</SharedDoc>
  <HLinks>
    <vt:vector size="66" baseType="variant">
      <vt:variant>
        <vt:i4>1769526</vt:i4>
      </vt:variant>
      <vt:variant>
        <vt:i4>62</vt:i4>
      </vt:variant>
      <vt:variant>
        <vt:i4>0</vt:i4>
      </vt:variant>
      <vt:variant>
        <vt:i4>5</vt:i4>
      </vt:variant>
      <vt:variant>
        <vt:lpwstr/>
      </vt:variant>
      <vt:variant>
        <vt:lpwstr>_Toc196643503</vt:lpwstr>
      </vt:variant>
      <vt:variant>
        <vt:i4>1769526</vt:i4>
      </vt:variant>
      <vt:variant>
        <vt:i4>56</vt:i4>
      </vt:variant>
      <vt:variant>
        <vt:i4>0</vt:i4>
      </vt:variant>
      <vt:variant>
        <vt:i4>5</vt:i4>
      </vt:variant>
      <vt:variant>
        <vt:lpwstr/>
      </vt:variant>
      <vt:variant>
        <vt:lpwstr>_Toc196643502</vt:lpwstr>
      </vt:variant>
      <vt:variant>
        <vt:i4>1769526</vt:i4>
      </vt:variant>
      <vt:variant>
        <vt:i4>50</vt:i4>
      </vt:variant>
      <vt:variant>
        <vt:i4>0</vt:i4>
      </vt:variant>
      <vt:variant>
        <vt:i4>5</vt:i4>
      </vt:variant>
      <vt:variant>
        <vt:lpwstr/>
      </vt:variant>
      <vt:variant>
        <vt:lpwstr>_Toc196643501</vt:lpwstr>
      </vt:variant>
      <vt:variant>
        <vt:i4>1769526</vt:i4>
      </vt:variant>
      <vt:variant>
        <vt:i4>44</vt:i4>
      </vt:variant>
      <vt:variant>
        <vt:i4>0</vt:i4>
      </vt:variant>
      <vt:variant>
        <vt:i4>5</vt:i4>
      </vt:variant>
      <vt:variant>
        <vt:lpwstr/>
      </vt:variant>
      <vt:variant>
        <vt:lpwstr>_Toc196643500</vt:lpwstr>
      </vt:variant>
      <vt:variant>
        <vt:i4>1179703</vt:i4>
      </vt:variant>
      <vt:variant>
        <vt:i4>38</vt:i4>
      </vt:variant>
      <vt:variant>
        <vt:i4>0</vt:i4>
      </vt:variant>
      <vt:variant>
        <vt:i4>5</vt:i4>
      </vt:variant>
      <vt:variant>
        <vt:lpwstr/>
      </vt:variant>
      <vt:variant>
        <vt:lpwstr>_Toc196643499</vt:lpwstr>
      </vt:variant>
      <vt:variant>
        <vt:i4>1179703</vt:i4>
      </vt:variant>
      <vt:variant>
        <vt:i4>32</vt:i4>
      </vt:variant>
      <vt:variant>
        <vt:i4>0</vt:i4>
      </vt:variant>
      <vt:variant>
        <vt:i4>5</vt:i4>
      </vt:variant>
      <vt:variant>
        <vt:lpwstr/>
      </vt:variant>
      <vt:variant>
        <vt:lpwstr>_Toc196643498</vt:lpwstr>
      </vt:variant>
      <vt:variant>
        <vt:i4>1179703</vt:i4>
      </vt:variant>
      <vt:variant>
        <vt:i4>26</vt:i4>
      </vt:variant>
      <vt:variant>
        <vt:i4>0</vt:i4>
      </vt:variant>
      <vt:variant>
        <vt:i4>5</vt:i4>
      </vt:variant>
      <vt:variant>
        <vt:lpwstr/>
      </vt:variant>
      <vt:variant>
        <vt:lpwstr>_Toc196643497</vt:lpwstr>
      </vt:variant>
      <vt:variant>
        <vt:i4>1179703</vt:i4>
      </vt:variant>
      <vt:variant>
        <vt:i4>20</vt:i4>
      </vt:variant>
      <vt:variant>
        <vt:i4>0</vt:i4>
      </vt:variant>
      <vt:variant>
        <vt:i4>5</vt:i4>
      </vt:variant>
      <vt:variant>
        <vt:lpwstr/>
      </vt:variant>
      <vt:variant>
        <vt:lpwstr>_Toc196643496</vt:lpwstr>
      </vt:variant>
      <vt:variant>
        <vt:i4>1179703</vt:i4>
      </vt:variant>
      <vt:variant>
        <vt:i4>14</vt:i4>
      </vt:variant>
      <vt:variant>
        <vt:i4>0</vt:i4>
      </vt:variant>
      <vt:variant>
        <vt:i4>5</vt:i4>
      </vt:variant>
      <vt:variant>
        <vt:lpwstr/>
      </vt:variant>
      <vt:variant>
        <vt:lpwstr>_Toc196643495</vt:lpwstr>
      </vt:variant>
      <vt:variant>
        <vt:i4>1179703</vt:i4>
      </vt:variant>
      <vt:variant>
        <vt:i4>8</vt:i4>
      </vt:variant>
      <vt:variant>
        <vt:i4>0</vt:i4>
      </vt:variant>
      <vt:variant>
        <vt:i4>5</vt:i4>
      </vt:variant>
      <vt:variant>
        <vt:lpwstr/>
      </vt:variant>
      <vt:variant>
        <vt:lpwstr>_Toc196643494</vt:lpwstr>
      </vt:variant>
      <vt:variant>
        <vt:i4>1179703</vt:i4>
      </vt:variant>
      <vt:variant>
        <vt:i4>2</vt:i4>
      </vt:variant>
      <vt:variant>
        <vt:i4>0</vt:i4>
      </vt:variant>
      <vt:variant>
        <vt:i4>5</vt:i4>
      </vt:variant>
      <vt:variant>
        <vt:lpwstr/>
      </vt:variant>
      <vt:variant>
        <vt:lpwstr>_Toc196643493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Moxon, KarenL</cp:lastModifiedBy>
  <cp:revision>6</cp:revision>
  <cp:lastPrinted>2020-01-17T04:11:00Z</cp:lastPrinted>
  <dcterms:created xsi:type="dcterms:W3CDTF">2020-02-07T00:50:00Z</dcterms:created>
  <dcterms:modified xsi:type="dcterms:W3CDTF">2020-02-10T01:50:00Z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A24496207</vt:lpwstr>
  </property>
  <property fmtid="{D5CDD505-2E9C-101B-9397-08002B2CF9AE}" pid="3" name="Objective-Comment">
    <vt:lpwstr/>
  </property>
  <property fmtid="{D5CDD505-2E9C-101B-9397-08002B2CF9AE}" pid="4" name="Objective-CreationStamp">
    <vt:filetime>2020-01-12T22:10:16Z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2020-02-05T23:19:46Z</vt:filetime>
  </property>
  <property fmtid="{D5CDD505-2E9C-101B-9397-08002B2CF9AE}" pid="8" name="Objective-ModificationStamp">
    <vt:filetime>2020-02-05T23:19:46Z</vt:filetime>
  </property>
  <property fmtid="{D5CDD505-2E9C-101B-9397-08002B2CF9AE}" pid="9" name="Objective-Owner">
    <vt:lpwstr>Caroline Sayers</vt:lpwstr>
  </property>
  <property fmtid="{D5CDD505-2E9C-101B-9397-08002B2CF9AE}" pid="10" name="Objective-Path">
    <vt:lpwstr>Whole of ACT Government:EPSDD - Environment Planning and Sustainable Development Directorate:07. Ministerial, Cabinet and Government Relations:06. Ministerials:2020 - Ministerial and Chief Ministerial Briefs / Correspondence:Planning, Land and Building:01</vt:lpwstr>
  </property>
  <property fmtid="{D5CDD505-2E9C-101B-9397-08002B2CF9AE}" pid="11" name="Objective-Parent">
    <vt:lpwstr>20/01236 - Ministerial Information Brief - DV355 Calwell Group Centre - Ministerial Direction and approval intrument</vt:lpwstr>
  </property>
  <property fmtid="{D5CDD505-2E9C-101B-9397-08002B2CF9AE}" pid="12" name="Objective-State">
    <vt:lpwstr>Published</vt:lpwstr>
  </property>
  <property fmtid="{D5CDD505-2E9C-101B-9397-08002B2CF9AE}" pid="13" name="Objective-Title">
    <vt:lpwstr>Attachment B - NI approval instrument and V355 Calwell Group Centre</vt:lpwstr>
  </property>
  <property fmtid="{D5CDD505-2E9C-101B-9397-08002B2CF9AE}" pid="14" name="Objective-Version">
    <vt:lpwstr>17.0</vt:lpwstr>
  </property>
  <property fmtid="{D5CDD505-2E9C-101B-9397-08002B2CF9AE}" pid="15" name="Objective-VersionComment">
    <vt:lpwstr/>
  </property>
  <property fmtid="{D5CDD505-2E9C-101B-9397-08002B2CF9AE}" pid="16" name="Objective-VersionNumber">
    <vt:r8>18</vt:r8>
  </property>
  <property fmtid="{D5CDD505-2E9C-101B-9397-08002B2CF9AE}" pid="17" name="Objective-FileNumber">
    <vt:lpwstr>1-2020/01236</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