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707B" w14:textId="77777777" w:rsidR="00A213C5" w:rsidRDefault="00A213C5" w:rsidP="00A213C5">
      <w:pPr>
        <w:jc w:val="center"/>
      </w:pPr>
      <w:r>
        <w:rPr>
          <w:noProof/>
        </w:rPr>
        <w:drawing>
          <wp:inline distT="0" distB="0" distL="0" distR="0" wp14:anchorId="6FBA89C6" wp14:editId="62446F8F">
            <wp:extent cx="1339850" cy="117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0B15EA84" w14:textId="77777777" w:rsidR="00A213C5" w:rsidRDefault="00A213C5" w:rsidP="00A213C5">
      <w:pPr>
        <w:jc w:val="center"/>
        <w:rPr>
          <w:rFonts w:ascii="Arial" w:hAnsi="Arial"/>
        </w:rPr>
      </w:pPr>
      <w:r>
        <w:rPr>
          <w:rFonts w:ascii="Arial" w:hAnsi="Arial"/>
        </w:rPr>
        <w:t>Australian Capital Territory</w:t>
      </w:r>
    </w:p>
    <w:p w14:paraId="62D27689" w14:textId="56E33362" w:rsidR="00A213C5" w:rsidRDefault="00A213C5" w:rsidP="00A213C5">
      <w:pPr>
        <w:pStyle w:val="citation"/>
      </w:pPr>
      <w:bookmarkStart w:id="0" w:name="Citation"/>
      <w:r>
        <w:t>Births, Deaths and Marriages Registration Regulations</w:t>
      </w:r>
      <w:bookmarkEnd w:id="0"/>
      <w:r>
        <w:t xml:space="preserve"> </w:t>
      </w:r>
    </w:p>
    <w:p w14:paraId="3F1A4288" w14:textId="5CD723EC" w:rsidR="00A213C5" w:rsidRDefault="00A213C5" w:rsidP="00A213C5">
      <w:pPr>
        <w:pStyle w:val="ActNo"/>
      </w:pPr>
      <w:r>
        <w:t>SL1998-36</w:t>
      </w:r>
    </w:p>
    <w:p w14:paraId="6D77304C" w14:textId="77777777" w:rsidR="00A213C5" w:rsidRDefault="00A213C5" w:rsidP="00A213C5">
      <w:pPr>
        <w:pStyle w:val="CoverInForce"/>
      </w:pPr>
      <w:r>
        <w:t>made under the</w:t>
      </w:r>
    </w:p>
    <w:p w14:paraId="1084CC19" w14:textId="372D37DF" w:rsidR="00A213C5" w:rsidRDefault="0006313B" w:rsidP="00A213C5">
      <w:pPr>
        <w:pStyle w:val="CoverActName"/>
      </w:pPr>
      <w:r>
        <w:rPr>
          <w:rFonts w:ascii="Helvetica" w:hAnsi="Helvetica"/>
          <w:color w:val="000000"/>
          <w:sz w:val="22"/>
        </w:rPr>
        <w:t>Births, Deaths and Marriages Registration Act 1997</w:t>
      </w:r>
    </w:p>
    <w:p w14:paraId="5196918E" w14:textId="77777777" w:rsidR="00A213C5" w:rsidRDefault="00A213C5" w:rsidP="00A213C5">
      <w:pPr>
        <w:pStyle w:val="RepubNo"/>
      </w:pPr>
      <w:r>
        <w:t>Republication No 1 (RI)</w:t>
      </w:r>
    </w:p>
    <w:p w14:paraId="185AD073" w14:textId="53EDA770" w:rsidR="00A213C5" w:rsidRDefault="00A213C5" w:rsidP="00A213C5">
      <w:pPr>
        <w:pStyle w:val="EffectiveDate"/>
      </w:pPr>
      <w:r>
        <w:t xml:space="preserve">Effective:  </w:t>
      </w:r>
      <w:r w:rsidR="0006313B">
        <w:t>1 May 2000</w:t>
      </w:r>
      <w:r>
        <w:t xml:space="preserve"> – </w:t>
      </w:r>
      <w:r w:rsidR="0006313B">
        <w:t>11 September 2001</w:t>
      </w:r>
    </w:p>
    <w:p w14:paraId="6EFB99C6" w14:textId="1BFC9DAF" w:rsidR="00A213C5" w:rsidRDefault="00A213C5" w:rsidP="00A213C5">
      <w:pPr>
        <w:pStyle w:val="CoverInForce"/>
      </w:pPr>
      <w:r>
        <w:t xml:space="preserve">Republication date of printed version: </w:t>
      </w:r>
      <w:r w:rsidR="0006313B">
        <w:t>1 May 2000</w:t>
      </w:r>
      <w:r>
        <w:br/>
        <w:t xml:space="preserve">Reissued electronically: </w:t>
      </w:r>
      <w:r w:rsidR="000F20D3">
        <w:t>23</w:t>
      </w:r>
      <w:r w:rsidR="0051305E">
        <w:t xml:space="preserve"> January </w:t>
      </w:r>
      <w:r w:rsidR="0006313B">
        <w:t>2023</w:t>
      </w:r>
    </w:p>
    <w:p w14:paraId="45474481" w14:textId="60317ECA" w:rsidR="00A213C5" w:rsidRDefault="007C5DEE" w:rsidP="00A213C5">
      <w:pPr>
        <w:pStyle w:val="CoverInForce"/>
      </w:pPr>
      <w:r>
        <w:t>Regulation not amended</w:t>
      </w:r>
    </w:p>
    <w:p w14:paraId="5A1BE134" w14:textId="77777777" w:rsidR="00A213C5" w:rsidRDefault="00A213C5" w:rsidP="00A213C5"/>
    <w:p w14:paraId="7A9B67A5" w14:textId="77777777" w:rsidR="00A213C5" w:rsidRDefault="00A213C5" w:rsidP="00A213C5"/>
    <w:p w14:paraId="36E42A64" w14:textId="77777777" w:rsidR="00A213C5" w:rsidRDefault="00A213C5" w:rsidP="00A213C5"/>
    <w:p w14:paraId="6A3B0522" w14:textId="77777777" w:rsidR="00A213C5" w:rsidRDefault="00A213C5" w:rsidP="00A213C5">
      <w:pPr>
        <w:pStyle w:val="CoverHeading"/>
      </w:pPr>
      <w:r>
        <w:br w:type="page"/>
      </w:r>
      <w:r>
        <w:lastRenderedPageBreak/>
        <w:t>About this republication</w:t>
      </w:r>
    </w:p>
    <w:p w14:paraId="7540DC24" w14:textId="77777777" w:rsidR="00A213C5" w:rsidRDefault="00A213C5" w:rsidP="00A213C5">
      <w:pPr>
        <w:pStyle w:val="CoverSubHdg"/>
      </w:pPr>
      <w:r>
        <w:t>The republished law</w:t>
      </w:r>
    </w:p>
    <w:p w14:paraId="544A3568" w14:textId="232D27D1" w:rsidR="00A213C5" w:rsidRDefault="00A213C5" w:rsidP="00A213C5">
      <w:pPr>
        <w:pStyle w:val="CoverText"/>
      </w:pPr>
      <w:r>
        <w:t xml:space="preserve">This is a republication of the </w:t>
      </w:r>
      <w:r w:rsidR="007C5DEE">
        <w:rPr>
          <w:i/>
          <w:iCs/>
        </w:rPr>
        <w:t>Births, Deaths and Marriages Registration Regulations</w:t>
      </w:r>
      <w:r w:rsidR="005B56BE">
        <w:t xml:space="preserve">, made under the </w:t>
      </w:r>
      <w:r w:rsidR="005B56BE" w:rsidRPr="005B56BE">
        <w:rPr>
          <w:i/>
          <w:iCs/>
        </w:rPr>
        <w:t>Births, Deaths and Marriages Registration Act 1997</w:t>
      </w:r>
      <w:r w:rsidR="005B56BE">
        <w:t xml:space="preserve">, </w:t>
      </w:r>
      <w:r>
        <w:t xml:space="preserve">effective from </w:t>
      </w:r>
      <w:r w:rsidR="00416D38">
        <w:t>1 May 2000</w:t>
      </w:r>
      <w:r>
        <w:t xml:space="preserve"> to </w:t>
      </w:r>
      <w:r w:rsidR="00416D38">
        <w:t>11</w:t>
      </w:r>
      <w:r w:rsidR="005B56BE">
        <w:t> </w:t>
      </w:r>
      <w:r w:rsidR="00416D38">
        <w:t>September 2001</w:t>
      </w:r>
      <w:r>
        <w:t>.</w:t>
      </w:r>
    </w:p>
    <w:p w14:paraId="3DEFB903" w14:textId="77777777" w:rsidR="00A213C5" w:rsidRDefault="00A213C5" w:rsidP="00A213C5">
      <w:pPr>
        <w:pStyle w:val="CoverSubHdg"/>
      </w:pPr>
      <w:r>
        <w:t>Kinds of republications</w:t>
      </w:r>
    </w:p>
    <w:p w14:paraId="309986F3" w14:textId="77777777" w:rsidR="00A213C5" w:rsidRDefault="00A213C5" w:rsidP="00A213C5">
      <w:pPr>
        <w:pStyle w:val="CoverText"/>
      </w:pPr>
      <w:r>
        <w:t>The Parliamentary Counsel’s Office prepares 2 kinds of republications of ACT laws (see the ACT legislation register at www.legislation.act.gov.au):</w:t>
      </w:r>
    </w:p>
    <w:p w14:paraId="0CDAF079" w14:textId="77777777" w:rsidR="00A213C5" w:rsidRDefault="00A213C5" w:rsidP="00A213C5">
      <w:pPr>
        <w:pStyle w:val="CoverText"/>
        <w:numPr>
          <w:ilvl w:val="0"/>
          <w:numId w:val="6"/>
        </w:numPr>
      </w:pPr>
      <w:r>
        <w:t xml:space="preserve">authorised republications to which the </w:t>
      </w:r>
      <w:r>
        <w:rPr>
          <w:i/>
        </w:rPr>
        <w:t>Legislation Act 2001</w:t>
      </w:r>
      <w:r>
        <w:t xml:space="preserve"> applies</w:t>
      </w:r>
    </w:p>
    <w:p w14:paraId="4647FD6A" w14:textId="77777777" w:rsidR="00A213C5" w:rsidRDefault="00A213C5" w:rsidP="00A213C5">
      <w:pPr>
        <w:pStyle w:val="CoverText"/>
        <w:numPr>
          <w:ilvl w:val="0"/>
          <w:numId w:val="6"/>
        </w:numPr>
      </w:pPr>
      <w:r>
        <w:t>unauthorised republications.</w:t>
      </w:r>
    </w:p>
    <w:p w14:paraId="52D1B2D5" w14:textId="77777777" w:rsidR="00A213C5" w:rsidRDefault="00A213C5" w:rsidP="00A213C5">
      <w:pPr>
        <w:pStyle w:val="CoverText"/>
      </w:pPr>
      <w:r>
        <w:t>The status of this republication appears on the bottom of each page.</w:t>
      </w:r>
    </w:p>
    <w:p w14:paraId="299334EF" w14:textId="77777777" w:rsidR="007C5DEE" w:rsidRDefault="007C5DEE" w:rsidP="007C5DEE">
      <w:pPr>
        <w:pStyle w:val="CoverSubHdg"/>
      </w:pPr>
      <w:r>
        <w:t>Editorial changes</w:t>
      </w:r>
    </w:p>
    <w:p w14:paraId="0F626B3A" w14:textId="77777777" w:rsidR="007C5DEE" w:rsidRDefault="007C5DEE" w:rsidP="007C5DEE">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476B8912" w14:textId="77777777" w:rsidR="00A213C5" w:rsidRDefault="00A213C5" w:rsidP="00A213C5">
      <w:pPr>
        <w:pStyle w:val="CoverText"/>
      </w:pPr>
    </w:p>
    <w:p w14:paraId="037662D7" w14:textId="77777777" w:rsidR="00A213C5" w:rsidRDefault="00A213C5" w:rsidP="00A213C5">
      <w:pPr>
        <w:pStyle w:val="00SigningPage"/>
        <w:sectPr w:rsidR="00A213C5" w:rsidSect="009E06F2">
          <w:headerReference w:type="even" r:id="rId8"/>
          <w:headerReference w:type="default" r:id="rId9"/>
          <w:footerReference w:type="even" r:id="rId10"/>
          <w:footerReference w:type="default" r:id="rId11"/>
          <w:headerReference w:type="first" r:id="rId12"/>
          <w:footerReference w:type="first" r:id="rId13"/>
          <w:pgSz w:w="11907" w:h="16839" w:code="9"/>
          <w:pgMar w:top="2999" w:right="1899" w:bottom="2500" w:left="2302" w:header="2478" w:footer="2098" w:gutter="0"/>
          <w:pgNumType w:fmt="lowerRoman" w:start="1"/>
          <w:cols w:space="720"/>
          <w:titlePg/>
          <w:docGrid w:linePitch="254"/>
        </w:sectPr>
      </w:pPr>
    </w:p>
    <w:p w14:paraId="43A749DB" w14:textId="77777777" w:rsidR="008119E1" w:rsidRDefault="008119E1" w:rsidP="008119E1">
      <w:pPr>
        <w:jc w:val="center"/>
      </w:pPr>
      <w:r>
        <w:rPr>
          <w:noProof/>
        </w:rPr>
        <w:lastRenderedPageBreak/>
        <w:drawing>
          <wp:inline distT="0" distB="0" distL="0" distR="0" wp14:anchorId="58106DB3" wp14:editId="094D577A">
            <wp:extent cx="1339850" cy="1178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03C92EAE" w14:textId="77777777" w:rsidR="008119E1" w:rsidRDefault="008119E1" w:rsidP="008119E1">
      <w:pPr>
        <w:jc w:val="center"/>
        <w:rPr>
          <w:rFonts w:ascii="Arial" w:hAnsi="Arial"/>
        </w:rPr>
      </w:pPr>
      <w:r>
        <w:rPr>
          <w:rFonts w:ascii="Arial" w:hAnsi="Arial"/>
        </w:rPr>
        <w:t>Australian Capital Territory</w:t>
      </w:r>
    </w:p>
    <w:p w14:paraId="76BE71E9" w14:textId="77777777" w:rsidR="00A905D9" w:rsidRDefault="000E725A">
      <w:pPr>
        <w:spacing w:before="100" w:after="100"/>
        <w:jc w:val="center"/>
        <w:rPr>
          <w:rFonts w:ascii="Helvetica" w:hAnsi="Helvetica" w:cs="Helvetica"/>
          <w:b/>
          <w:bCs/>
          <w:sz w:val="32"/>
          <w:szCs w:val="32"/>
        </w:rPr>
      </w:pPr>
      <w:r>
        <w:rPr>
          <w:rFonts w:ascii="Helvetica" w:hAnsi="Helvetica" w:cs="Helvetica"/>
          <w:b/>
          <w:bCs/>
          <w:sz w:val="32"/>
          <w:szCs w:val="32"/>
        </w:rPr>
        <w:t>Births, Deaths and Marriages Registration Regulations</w:t>
      </w:r>
    </w:p>
    <w:p w14:paraId="0324E99D" w14:textId="77777777" w:rsidR="00A905D9" w:rsidRDefault="000E725A">
      <w:pPr>
        <w:spacing w:before="100" w:after="40"/>
        <w:jc w:val="center"/>
        <w:rPr>
          <w:rFonts w:ascii="Helvetica" w:hAnsi="Helvetica" w:cs="Helvetica"/>
          <w:sz w:val="22"/>
          <w:szCs w:val="22"/>
        </w:rPr>
      </w:pPr>
      <w:r>
        <w:rPr>
          <w:rFonts w:ascii="Helvetica" w:hAnsi="Helvetica" w:cs="Helvetica"/>
          <w:sz w:val="22"/>
          <w:szCs w:val="22"/>
        </w:rPr>
        <w:t>in force under the</w:t>
      </w:r>
    </w:p>
    <w:p w14:paraId="3A22EA27" w14:textId="77777777" w:rsidR="00A905D9" w:rsidRDefault="000E725A">
      <w:pPr>
        <w:spacing w:before="0" w:after="100"/>
        <w:jc w:val="center"/>
        <w:rPr>
          <w:rFonts w:ascii="Helvetica" w:hAnsi="Helvetica" w:cs="Helvetica"/>
          <w:b/>
          <w:bCs/>
          <w:sz w:val="22"/>
          <w:szCs w:val="22"/>
        </w:rPr>
      </w:pPr>
      <w:r>
        <w:rPr>
          <w:rFonts w:ascii="Helvetica" w:hAnsi="Helvetica" w:cs="Helvetica"/>
          <w:b/>
          <w:bCs/>
          <w:sz w:val="22"/>
          <w:szCs w:val="22"/>
        </w:rPr>
        <w:t>Births, Deaths and Marriages Registration Act 1997</w:t>
      </w:r>
    </w:p>
    <w:p w14:paraId="687DA3E6" w14:textId="77777777" w:rsidR="00A905D9" w:rsidRDefault="000E725A">
      <w:pPr>
        <w:spacing w:before="200"/>
        <w:jc w:val="center"/>
        <w:rPr>
          <w:b/>
          <w:bCs/>
          <w:sz w:val="20"/>
          <w:szCs w:val="20"/>
        </w:rPr>
      </w:pPr>
      <w:r>
        <w:rPr>
          <w:b/>
          <w:bCs/>
          <w:sz w:val="20"/>
          <w:szCs w:val="20"/>
        </w:rPr>
        <w:t>CONTENTS</w:t>
      </w:r>
    </w:p>
    <w:p w14:paraId="37059535" w14:textId="2B70AEDA" w:rsidR="00A905D9" w:rsidRDefault="000E725A">
      <w:pPr>
        <w:pStyle w:val="N-9pt"/>
      </w:pPr>
      <w:r>
        <w:tab/>
      </w:r>
    </w:p>
    <w:p w14:paraId="6B215AD9" w14:textId="77777777" w:rsidR="00416D38" w:rsidRDefault="000E725A">
      <w:pPr>
        <w:pStyle w:val="TOC3"/>
        <w:rPr>
          <w:noProof/>
        </w:rPr>
      </w:pPr>
      <w:r>
        <w:rPr>
          <w:noProof/>
        </w:rPr>
        <w:tab/>
        <w:t xml:space="preserve">1 </w:t>
      </w:r>
      <w:r>
        <w:rPr>
          <w:noProof/>
        </w:rPr>
        <w:tab/>
        <w:t>Citation</w:t>
      </w:r>
    </w:p>
    <w:p w14:paraId="1F05854C" w14:textId="77777777" w:rsidR="00416D38" w:rsidRDefault="000E725A">
      <w:pPr>
        <w:pStyle w:val="TOC3"/>
        <w:rPr>
          <w:noProof/>
        </w:rPr>
      </w:pPr>
      <w:r>
        <w:rPr>
          <w:noProof/>
        </w:rPr>
        <w:tab/>
        <w:t xml:space="preserve">2 </w:t>
      </w:r>
      <w:r>
        <w:rPr>
          <w:noProof/>
        </w:rPr>
        <w:tab/>
        <w:t>Commencement</w:t>
      </w:r>
    </w:p>
    <w:p w14:paraId="325BC7A9" w14:textId="77777777" w:rsidR="00416D38" w:rsidRDefault="000E725A">
      <w:pPr>
        <w:pStyle w:val="TOC3"/>
        <w:rPr>
          <w:noProof/>
        </w:rPr>
      </w:pPr>
      <w:r>
        <w:rPr>
          <w:noProof/>
        </w:rPr>
        <w:tab/>
        <w:t xml:space="preserve">3 </w:t>
      </w:r>
      <w:r>
        <w:rPr>
          <w:noProof/>
        </w:rPr>
        <w:tab/>
        <w:t>Definition</w:t>
      </w:r>
    </w:p>
    <w:p w14:paraId="67FE2312" w14:textId="77777777" w:rsidR="00416D38" w:rsidRDefault="000E725A">
      <w:pPr>
        <w:pStyle w:val="TOC3"/>
        <w:rPr>
          <w:noProof/>
        </w:rPr>
      </w:pPr>
      <w:r>
        <w:rPr>
          <w:noProof/>
        </w:rPr>
        <w:tab/>
        <w:t xml:space="preserve">4 </w:t>
      </w:r>
      <w:r>
        <w:rPr>
          <w:noProof/>
        </w:rPr>
        <w:tab/>
        <w:t>Notification of birth</w:t>
      </w:r>
    </w:p>
    <w:p w14:paraId="23D81BAB" w14:textId="77777777" w:rsidR="00416D38" w:rsidRDefault="000E725A">
      <w:pPr>
        <w:pStyle w:val="TOC3"/>
        <w:rPr>
          <w:noProof/>
        </w:rPr>
      </w:pPr>
      <w:r>
        <w:rPr>
          <w:noProof/>
        </w:rPr>
        <w:tab/>
        <w:t xml:space="preserve">5 </w:t>
      </w:r>
      <w:r>
        <w:rPr>
          <w:noProof/>
        </w:rPr>
        <w:tab/>
        <w:t>Registration of births</w:t>
      </w:r>
    </w:p>
    <w:p w14:paraId="00EF3760" w14:textId="77777777" w:rsidR="00416D38" w:rsidRDefault="000E725A">
      <w:pPr>
        <w:pStyle w:val="TOC3"/>
        <w:rPr>
          <w:noProof/>
        </w:rPr>
      </w:pPr>
      <w:r>
        <w:rPr>
          <w:noProof/>
        </w:rPr>
        <w:tab/>
        <w:t xml:space="preserve">6 </w:t>
      </w:r>
      <w:r>
        <w:rPr>
          <w:noProof/>
        </w:rPr>
        <w:tab/>
        <w:t>Application to alter register to record change of sex</w:t>
      </w:r>
    </w:p>
    <w:p w14:paraId="58BC85B7" w14:textId="77777777" w:rsidR="00416D38" w:rsidRDefault="000E725A">
      <w:pPr>
        <w:pStyle w:val="TOC3"/>
        <w:rPr>
          <w:noProof/>
        </w:rPr>
      </w:pPr>
      <w:r>
        <w:rPr>
          <w:noProof/>
        </w:rPr>
        <w:tab/>
        <w:t xml:space="preserve">7 </w:t>
      </w:r>
      <w:r>
        <w:rPr>
          <w:noProof/>
        </w:rPr>
        <w:tab/>
        <w:t>Issue of birth certificates</w:t>
      </w:r>
    </w:p>
    <w:p w14:paraId="07A77E39" w14:textId="77777777" w:rsidR="00416D38" w:rsidRDefault="000E725A">
      <w:pPr>
        <w:pStyle w:val="TOC3"/>
        <w:rPr>
          <w:noProof/>
        </w:rPr>
      </w:pPr>
      <w:r>
        <w:rPr>
          <w:noProof/>
        </w:rPr>
        <w:tab/>
        <w:t xml:space="preserve">8 </w:t>
      </w:r>
      <w:r>
        <w:rPr>
          <w:noProof/>
        </w:rPr>
        <w:tab/>
        <w:t>Effect of certificates issued in respect of transsexual persons</w:t>
      </w:r>
    </w:p>
    <w:p w14:paraId="48057409" w14:textId="77777777" w:rsidR="00416D38" w:rsidRDefault="000E725A">
      <w:pPr>
        <w:pStyle w:val="TOC3"/>
        <w:rPr>
          <w:noProof/>
        </w:rPr>
      </w:pPr>
      <w:r>
        <w:rPr>
          <w:noProof/>
        </w:rPr>
        <w:tab/>
        <w:t xml:space="preserve">9 </w:t>
      </w:r>
      <w:r>
        <w:rPr>
          <w:noProof/>
        </w:rPr>
        <w:tab/>
        <w:t>Notification of deaths by funeral directors</w:t>
      </w:r>
    </w:p>
    <w:p w14:paraId="2A869589" w14:textId="77777777" w:rsidR="00416D38" w:rsidRDefault="000E725A">
      <w:pPr>
        <w:pStyle w:val="TOC3"/>
        <w:rPr>
          <w:noProof/>
        </w:rPr>
      </w:pPr>
      <w:r>
        <w:rPr>
          <w:noProof/>
        </w:rPr>
        <w:tab/>
        <w:t xml:space="preserve">10 </w:t>
      </w:r>
      <w:r>
        <w:rPr>
          <w:noProof/>
        </w:rPr>
        <w:tab/>
        <w:t>Removal of remains from the Territory</w:t>
      </w:r>
    </w:p>
    <w:p w14:paraId="510C5DBF" w14:textId="77777777" w:rsidR="00416D38" w:rsidRDefault="000E725A">
      <w:pPr>
        <w:pStyle w:val="TOC3"/>
        <w:rPr>
          <w:noProof/>
        </w:rPr>
      </w:pPr>
      <w:r>
        <w:rPr>
          <w:noProof/>
        </w:rPr>
        <w:tab/>
        <w:t xml:space="preserve">11 </w:t>
      </w:r>
      <w:r>
        <w:rPr>
          <w:noProof/>
        </w:rPr>
        <w:tab/>
        <w:t>Nondisposal of remains</w:t>
      </w:r>
    </w:p>
    <w:p w14:paraId="479CFB31" w14:textId="77777777" w:rsidR="00416D38" w:rsidRDefault="000E725A">
      <w:pPr>
        <w:pStyle w:val="TOC3"/>
        <w:rPr>
          <w:noProof/>
        </w:rPr>
      </w:pPr>
      <w:r>
        <w:rPr>
          <w:noProof/>
        </w:rPr>
        <w:tab/>
        <w:t xml:space="preserve">12 </w:t>
      </w:r>
      <w:r>
        <w:rPr>
          <w:noProof/>
        </w:rPr>
        <w:tab/>
        <w:t>Manner of registration</w:t>
      </w:r>
    </w:p>
    <w:p w14:paraId="315F45CF" w14:textId="62754320" w:rsidR="00A905D9" w:rsidRDefault="000E725A">
      <w:pPr>
        <w:pStyle w:val="TOC7"/>
        <w:rPr>
          <w:noProof/>
        </w:rPr>
      </w:pPr>
      <w:r>
        <w:rPr>
          <w:noProof/>
        </w:rPr>
        <w:tab/>
        <w:t>ENDNOTES</w:t>
      </w:r>
    </w:p>
    <w:p w14:paraId="5396992A" w14:textId="77777777" w:rsidR="00416D38" w:rsidRDefault="000E725A">
      <w:pPr>
        <w:pStyle w:val="TOC9"/>
        <w:rPr>
          <w:noProof/>
        </w:rPr>
      </w:pPr>
      <w:r>
        <w:rPr>
          <w:noProof/>
        </w:rPr>
        <w:tab/>
        <w:t>1</w:t>
      </w:r>
      <w:r>
        <w:rPr>
          <w:noProof/>
        </w:rPr>
        <w:tab/>
        <w:t>About this republication</w:t>
      </w:r>
    </w:p>
    <w:p w14:paraId="42C3FF94" w14:textId="77777777" w:rsidR="00416D38" w:rsidRDefault="000E725A">
      <w:pPr>
        <w:pStyle w:val="TOC9"/>
        <w:rPr>
          <w:noProof/>
        </w:rPr>
      </w:pPr>
      <w:r>
        <w:rPr>
          <w:noProof/>
        </w:rPr>
        <w:tab/>
        <w:t>2</w:t>
      </w:r>
      <w:r>
        <w:rPr>
          <w:noProof/>
        </w:rPr>
        <w:tab/>
        <w:t>Abbreviation key</w:t>
      </w:r>
    </w:p>
    <w:p w14:paraId="08BA9D3F" w14:textId="77777777" w:rsidR="00416D38" w:rsidRDefault="000E725A">
      <w:pPr>
        <w:pStyle w:val="TOC9"/>
        <w:rPr>
          <w:noProof/>
        </w:rPr>
      </w:pPr>
      <w:r>
        <w:rPr>
          <w:noProof/>
        </w:rPr>
        <w:tab/>
        <w:t>3</w:t>
      </w:r>
      <w:r>
        <w:rPr>
          <w:noProof/>
        </w:rPr>
        <w:tab/>
        <w:t>Table of legislation</w:t>
      </w:r>
    </w:p>
    <w:p w14:paraId="7CFDB0B3" w14:textId="77777777" w:rsidR="00416D38" w:rsidRDefault="000E725A">
      <w:pPr>
        <w:pStyle w:val="TOC9"/>
        <w:rPr>
          <w:noProof/>
        </w:rPr>
      </w:pPr>
      <w:r>
        <w:rPr>
          <w:noProof/>
        </w:rPr>
        <w:tab/>
        <w:t>4</w:t>
      </w:r>
      <w:r>
        <w:rPr>
          <w:noProof/>
        </w:rPr>
        <w:tab/>
        <w:t>Table of earlier republications</w:t>
      </w:r>
    </w:p>
    <w:p w14:paraId="5F2FBA0C" w14:textId="7A2F2079" w:rsidR="00A905D9" w:rsidRDefault="00A905D9">
      <w:pPr>
        <w:ind w:right="20"/>
        <w:sectPr w:rsidR="00A905D9">
          <w:headerReference w:type="default" r:id="rId14"/>
          <w:footerReference w:type="default" r:id="rId15"/>
          <w:footerReference w:type="first" r:id="rId16"/>
          <w:pgSz w:w="11907" w:h="16839"/>
          <w:pgMar w:top="3000" w:right="2300" w:bottom="2500" w:left="2300" w:header="2480" w:footer="2100" w:gutter="0"/>
          <w:pgNumType w:fmt="lowerRoman"/>
          <w:cols w:space="709"/>
          <w:titlePg/>
        </w:sectPr>
      </w:pPr>
    </w:p>
    <w:p w14:paraId="2B33C772" w14:textId="77777777" w:rsidR="00416D38" w:rsidRDefault="00416D38" w:rsidP="00416D38">
      <w:pPr>
        <w:jc w:val="center"/>
      </w:pPr>
      <w:r>
        <w:rPr>
          <w:noProof/>
        </w:rPr>
        <w:lastRenderedPageBreak/>
        <w:drawing>
          <wp:inline distT="0" distB="0" distL="0" distR="0" wp14:anchorId="015F4B31" wp14:editId="3FD4427C">
            <wp:extent cx="1339850" cy="1178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7C7721F9" w14:textId="77777777" w:rsidR="00416D38" w:rsidRDefault="00416D38" w:rsidP="00416D38">
      <w:pPr>
        <w:jc w:val="center"/>
        <w:rPr>
          <w:rFonts w:ascii="Arial" w:hAnsi="Arial"/>
        </w:rPr>
      </w:pPr>
      <w:r>
        <w:rPr>
          <w:rFonts w:ascii="Arial" w:hAnsi="Arial"/>
        </w:rPr>
        <w:t>Australian Capital Territory</w:t>
      </w:r>
    </w:p>
    <w:p w14:paraId="48C84D1C" w14:textId="77777777" w:rsidR="00A905D9" w:rsidRDefault="000E725A">
      <w:pPr>
        <w:spacing w:before="100" w:after="100"/>
        <w:jc w:val="center"/>
        <w:rPr>
          <w:rFonts w:ascii="Helvetica" w:hAnsi="Helvetica" w:cs="Helvetica"/>
          <w:b/>
          <w:bCs/>
          <w:sz w:val="32"/>
          <w:szCs w:val="32"/>
        </w:rPr>
      </w:pPr>
      <w:r>
        <w:rPr>
          <w:rFonts w:ascii="Helvetica" w:hAnsi="Helvetica" w:cs="Helvetica"/>
          <w:b/>
          <w:bCs/>
          <w:sz w:val="32"/>
          <w:szCs w:val="32"/>
        </w:rPr>
        <w:t>Births, Deaths and Marriages Registration Regulations</w:t>
      </w:r>
    </w:p>
    <w:p w14:paraId="474300F7" w14:textId="77777777" w:rsidR="00A905D9" w:rsidRDefault="000E725A">
      <w:pPr>
        <w:spacing w:before="100" w:after="40"/>
        <w:jc w:val="center"/>
        <w:rPr>
          <w:rFonts w:ascii="Helvetica" w:hAnsi="Helvetica" w:cs="Helvetica"/>
          <w:sz w:val="22"/>
          <w:szCs w:val="22"/>
        </w:rPr>
      </w:pPr>
      <w:r>
        <w:rPr>
          <w:rFonts w:ascii="Helvetica" w:hAnsi="Helvetica" w:cs="Helvetica"/>
          <w:sz w:val="22"/>
          <w:szCs w:val="22"/>
        </w:rPr>
        <w:t>in force under the</w:t>
      </w:r>
    </w:p>
    <w:p w14:paraId="7088DCBE" w14:textId="4E55F4CC" w:rsidR="00A905D9" w:rsidRDefault="000E725A">
      <w:pPr>
        <w:spacing w:before="0" w:after="100"/>
        <w:jc w:val="center"/>
        <w:rPr>
          <w:rFonts w:ascii="Helvetica" w:hAnsi="Helvetica" w:cs="Helvetica"/>
          <w:b/>
          <w:bCs/>
          <w:sz w:val="22"/>
          <w:szCs w:val="22"/>
        </w:rPr>
      </w:pPr>
      <w:r>
        <w:rPr>
          <w:rFonts w:ascii="Helvetica" w:hAnsi="Helvetica" w:cs="Helvetica"/>
          <w:b/>
          <w:bCs/>
          <w:sz w:val="22"/>
          <w:szCs w:val="22"/>
        </w:rPr>
        <w:t>Births, Deaths and Marri</w:t>
      </w:r>
      <w:r w:rsidR="000A0C52">
        <w:rPr>
          <w:rFonts w:ascii="Helvetica" w:hAnsi="Helvetica" w:cs="Helvetica"/>
          <w:b/>
          <w:bCs/>
          <w:sz w:val="22"/>
          <w:szCs w:val="22"/>
        </w:rPr>
        <w:t>a</w:t>
      </w:r>
      <w:r>
        <w:rPr>
          <w:rFonts w:ascii="Helvetica" w:hAnsi="Helvetica" w:cs="Helvetica"/>
          <w:b/>
          <w:bCs/>
          <w:sz w:val="22"/>
          <w:szCs w:val="22"/>
        </w:rPr>
        <w:t>ges Registration Act 1997</w:t>
      </w:r>
    </w:p>
    <w:p w14:paraId="4D895D22" w14:textId="77777777" w:rsidR="00A905D9" w:rsidRDefault="000E725A">
      <w:pPr>
        <w:pStyle w:val="AH3sec"/>
      </w:pPr>
      <w:bookmarkStart w:id="1" w:name="_Toc524323832"/>
      <w:r>
        <w:t xml:space="preserve">1  </w:t>
      </w:r>
      <w:r>
        <w:tab/>
        <w:t>Citation</w:t>
      </w:r>
      <w:bookmarkEnd w:id="1"/>
    </w:p>
    <w:p w14:paraId="29C6C1C9" w14:textId="77777777" w:rsidR="00A905D9" w:rsidRDefault="000E725A">
      <w:pPr>
        <w:pStyle w:val="Amain"/>
      </w:pPr>
      <w:r>
        <w:tab/>
        <w:t xml:space="preserve">These regulations may be cited as the </w:t>
      </w:r>
      <w:r>
        <w:rPr>
          <w:i/>
          <w:iCs/>
        </w:rPr>
        <w:t>Births, Deaths and Marriages Registration</w:t>
      </w:r>
      <w:r>
        <w:t xml:space="preserve"> </w:t>
      </w:r>
      <w:r>
        <w:rPr>
          <w:i/>
          <w:iCs/>
        </w:rPr>
        <w:t>Regulations</w:t>
      </w:r>
      <w:r>
        <w:t>.</w:t>
      </w:r>
    </w:p>
    <w:p w14:paraId="49050D17" w14:textId="77777777" w:rsidR="00A905D9" w:rsidRDefault="000E725A">
      <w:pPr>
        <w:pStyle w:val="AH3sec"/>
      </w:pPr>
      <w:bookmarkStart w:id="2" w:name="_Toc524323833"/>
      <w:r>
        <w:t xml:space="preserve">2  </w:t>
      </w:r>
      <w:r>
        <w:tab/>
        <w:t>Commencement</w:t>
      </w:r>
      <w:bookmarkEnd w:id="2"/>
    </w:p>
    <w:p w14:paraId="61D419B9" w14:textId="77777777" w:rsidR="00A905D9" w:rsidRDefault="000E725A">
      <w:pPr>
        <w:pStyle w:val="Amain"/>
      </w:pPr>
      <w:r>
        <w:tab/>
        <w:t xml:space="preserve">These regulations commence on the day on which the provisions of the </w:t>
      </w:r>
      <w:r>
        <w:rPr>
          <w:i/>
          <w:iCs/>
        </w:rPr>
        <w:t>Births, Deaths and Marriages Registration Act 1997</w:t>
      </w:r>
      <w:r>
        <w:t>, other than sections 1 and 2, commence.</w:t>
      </w:r>
    </w:p>
    <w:p w14:paraId="20EBBD67" w14:textId="77777777" w:rsidR="00A905D9" w:rsidRDefault="000E725A">
      <w:pPr>
        <w:pStyle w:val="AH3sec"/>
      </w:pPr>
      <w:bookmarkStart w:id="3" w:name="_Toc524323834"/>
      <w:r>
        <w:t xml:space="preserve">3  </w:t>
      </w:r>
      <w:r>
        <w:tab/>
        <w:t>Definition</w:t>
      </w:r>
      <w:bookmarkEnd w:id="3"/>
    </w:p>
    <w:p w14:paraId="0ECDE12D" w14:textId="77777777" w:rsidR="00A905D9" w:rsidRDefault="000E725A">
      <w:pPr>
        <w:pStyle w:val="Amain"/>
      </w:pPr>
      <w:r>
        <w:tab/>
        <w:t>In these regulations:</w:t>
      </w:r>
    </w:p>
    <w:p w14:paraId="0B443D23" w14:textId="77777777" w:rsidR="00A905D9" w:rsidRDefault="000E725A">
      <w:pPr>
        <w:pStyle w:val="aDef"/>
      </w:pPr>
      <w:r>
        <w:rPr>
          <w:b/>
          <w:bCs/>
          <w:i/>
          <w:iCs/>
        </w:rPr>
        <w:t>Act</w:t>
      </w:r>
      <w:r>
        <w:t xml:space="preserve"> means the </w:t>
      </w:r>
      <w:r>
        <w:rPr>
          <w:i/>
          <w:iCs/>
        </w:rPr>
        <w:t>Births, Deaths and Marriages Registration Act 1997</w:t>
      </w:r>
      <w:r>
        <w:t>.</w:t>
      </w:r>
    </w:p>
    <w:p w14:paraId="53EA2D9F" w14:textId="77777777" w:rsidR="00A905D9" w:rsidRDefault="000E725A">
      <w:pPr>
        <w:pStyle w:val="AH3sec"/>
      </w:pPr>
      <w:bookmarkStart w:id="4" w:name="_Toc524323835"/>
      <w:r>
        <w:t xml:space="preserve">4  </w:t>
      </w:r>
      <w:r>
        <w:tab/>
        <w:t>Notification of birth</w:t>
      </w:r>
      <w:bookmarkEnd w:id="4"/>
    </w:p>
    <w:p w14:paraId="59E518A8" w14:textId="6135721B" w:rsidR="00A905D9" w:rsidRDefault="000E725A">
      <w:pPr>
        <w:pStyle w:val="Amain"/>
      </w:pPr>
      <w:r>
        <w:rPr>
          <w:b/>
          <w:bCs/>
        </w:rPr>
        <w:t xml:space="preserve">(1) </w:t>
      </w:r>
      <w:r>
        <w:rPr>
          <w:b/>
          <w:bCs/>
        </w:rPr>
        <w:tab/>
      </w:r>
      <w:r>
        <w:t>For the purposes of subsection 5 (3) of the Act, the following particulars are prescribed:</w:t>
      </w:r>
    </w:p>
    <w:p w14:paraId="44EFD473" w14:textId="77777777" w:rsidR="00A905D9" w:rsidRDefault="000E725A">
      <w:pPr>
        <w:pStyle w:val="Apara"/>
      </w:pPr>
      <w:r>
        <w:tab/>
        <w:t>(a)</w:t>
      </w:r>
      <w:r>
        <w:tab/>
        <w:t>if the child was born in a hospital or was brought to a hospital within 24 hours after birth—the name of the hospital;</w:t>
      </w:r>
    </w:p>
    <w:p w14:paraId="3FB61D70" w14:textId="77777777" w:rsidR="00A905D9" w:rsidRDefault="000E725A">
      <w:pPr>
        <w:pStyle w:val="Apara"/>
      </w:pPr>
      <w:r>
        <w:tab/>
        <w:t>(b)</w:t>
      </w:r>
      <w:r>
        <w:tab/>
        <w:t>the sex of the child;</w:t>
      </w:r>
    </w:p>
    <w:p w14:paraId="48942D79" w14:textId="77777777" w:rsidR="00A905D9" w:rsidRDefault="000E725A">
      <w:pPr>
        <w:pStyle w:val="Apara"/>
      </w:pPr>
      <w:r>
        <w:tab/>
        <w:t>(c)</w:t>
      </w:r>
      <w:r>
        <w:tab/>
        <w:t>the date of birth of the child;</w:t>
      </w:r>
    </w:p>
    <w:p w14:paraId="77A16859" w14:textId="77777777" w:rsidR="00A905D9" w:rsidRDefault="000E725A">
      <w:pPr>
        <w:pStyle w:val="Apara"/>
      </w:pPr>
      <w:r>
        <w:tab/>
        <w:t>(d)</w:t>
      </w:r>
      <w:r>
        <w:tab/>
        <w:t>whether the child was born alive or stillborn;</w:t>
      </w:r>
    </w:p>
    <w:p w14:paraId="062D2608" w14:textId="77777777" w:rsidR="00A905D9" w:rsidRDefault="000E725A">
      <w:pPr>
        <w:pStyle w:val="Apara"/>
      </w:pPr>
      <w:r>
        <w:tab/>
        <w:t>(e)</w:t>
      </w:r>
      <w:r>
        <w:tab/>
        <w:t>the weight of the child at birth and, if the child was stillborn, the period of gestation of the child;</w:t>
      </w:r>
    </w:p>
    <w:p w14:paraId="0D18B296" w14:textId="77777777" w:rsidR="00A905D9" w:rsidRDefault="000E725A">
      <w:pPr>
        <w:pStyle w:val="Apara"/>
      </w:pPr>
      <w:r>
        <w:lastRenderedPageBreak/>
        <w:tab/>
        <w:t>(f)</w:t>
      </w:r>
      <w:r>
        <w:tab/>
        <w:t>whether or not the birth was a multiple birth;</w:t>
      </w:r>
    </w:p>
    <w:p w14:paraId="0787E862" w14:textId="77777777" w:rsidR="00A905D9" w:rsidRDefault="000E725A">
      <w:pPr>
        <w:pStyle w:val="Apara"/>
      </w:pPr>
      <w:r>
        <w:tab/>
        <w:t>(g)</w:t>
      </w:r>
      <w:r>
        <w:tab/>
        <w:t>the name and place of residence of the mother of the child;</w:t>
      </w:r>
    </w:p>
    <w:p w14:paraId="03EA9A72" w14:textId="77777777" w:rsidR="00A905D9" w:rsidRDefault="000E725A">
      <w:pPr>
        <w:pStyle w:val="Apara"/>
      </w:pPr>
      <w:r>
        <w:tab/>
        <w:t>(h)</w:t>
      </w:r>
      <w:r>
        <w:tab/>
        <w:t>the name of the doctor or midwife responsible for the professional care of the mother at the birth;</w:t>
      </w:r>
    </w:p>
    <w:p w14:paraId="5A33CCA6" w14:textId="77777777" w:rsidR="00A905D9" w:rsidRDefault="000E725A">
      <w:pPr>
        <w:pStyle w:val="Apara"/>
      </w:pPr>
      <w:r>
        <w:tab/>
        <w:t>(i)</w:t>
      </w:r>
      <w:r>
        <w:tab/>
        <w:t>if it is known that the child is to be adopted—an indication of that fact;</w:t>
      </w:r>
    </w:p>
    <w:p w14:paraId="103ECFDA" w14:textId="77777777" w:rsidR="00A905D9" w:rsidRDefault="000E725A">
      <w:pPr>
        <w:pStyle w:val="Apara"/>
      </w:pPr>
      <w:r>
        <w:tab/>
        <w:t>(j)</w:t>
      </w:r>
      <w:r>
        <w:tab/>
        <w:t>the name and occupation of the person giving the notice.</w:t>
      </w:r>
    </w:p>
    <w:p w14:paraId="54B8A5FA" w14:textId="5A675D95" w:rsidR="00A905D9" w:rsidRDefault="000E725A">
      <w:pPr>
        <w:pStyle w:val="Amain"/>
      </w:pPr>
      <w:r>
        <w:rPr>
          <w:b/>
          <w:bCs/>
        </w:rPr>
        <w:t xml:space="preserve">(2) </w:t>
      </w:r>
      <w:r>
        <w:rPr>
          <w:b/>
          <w:bCs/>
        </w:rPr>
        <w:tab/>
      </w:r>
      <w:r>
        <w:t>For the purposes of paragraph (1) (e)—</w:t>
      </w:r>
    </w:p>
    <w:p w14:paraId="4AC4421C" w14:textId="77777777" w:rsidR="00A905D9" w:rsidRDefault="000E725A">
      <w:pPr>
        <w:pStyle w:val="Apara"/>
      </w:pPr>
      <w:r>
        <w:tab/>
        <w:t>(a)</w:t>
      </w:r>
      <w:r>
        <w:tab/>
        <w:t>a weight shall be expressed in grams; and</w:t>
      </w:r>
    </w:p>
    <w:p w14:paraId="6629014A" w14:textId="77777777" w:rsidR="00A905D9" w:rsidRDefault="000E725A">
      <w:pPr>
        <w:pStyle w:val="Apara"/>
      </w:pPr>
      <w:r>
        <w:tab/>
        <w:t>(b)</w:t>
      </w:r>
      <w:r>
        <w:tab/>
        <w:t>a period shall be expressed in completed weeks.</w:t>
      </w:r>
    </w:p>
    <w:p w14:paraId="4E235AE9" w14:textId="77777777" w:rsidR="00A905D9" w:rsidRDefault="000E725A">
      <w:pPr>
        <w:pStyle w:val="AH3sec"/>
      </w:pPr>
      <w:bookmarkStart w:id="5" w:name="_Toc524323836"/>
      <w:r>
        <w:t xml:space="preserve">5  </w:t>
      </w:r>
      <w:r>
        <w:tab/>
        <w:t>Registration of births</w:t>
      </w:r>
      <w:bookmarkEnd w:id="5"/>
    </w:p>
    <w:p w14:paraId="3D636D1E" w14:textId="77777777" w:rsidR="00A905D9" w:rsidRDefault="000E725A">
      <w:pPr>
        <w:pStyle w:val="Amain"/>
      </w:pPr>
      <w:r>
        <w:tab/>
        <w:t>For the purposes of subsection 11 (1) of the Act, the following particulars are prescribed:</w:t>
      </w:r>
    </w:p>
    <w:p w14:paraId="2A5DF4E3" w14:textId="77777777" w:rsidR="00A905D9" w:rsidRDefault="000E725A">
      <w:pPr>
        <w:pStyle w:val="Apara"/>
      </w:pPr>
      <w:r>
        <w:tab/>
        <w:t>(a)</w:t>
      </w:r>
      <w:r>
        <w:tab/>
        <w:t>the name of the child;</w:t>
      </w:r>
    </w:p>
    <w:p w14:paraId="71886BE6" w14:textId="77777777" w:rsidR="00A905D9" w:rsidRDefault="000E725A">
      <w:pPr>
        <w:pStyle w:val="Apara"/>
      </w:pPr>
      <w:r>
        <w:tab/>
        <w:t>(b)</w:t>
      </w:r>
      <w:r>
        <w:tab/>
        <w:t>the sex of the child;</w:t>
      </w:r>
    </w:p>
    <w:p w14:paraId="19A042AE" w14:textId="77777777" w:rsidR="00A905D9" w:rsidRDefault="000E725A">
      <w:pPr>
        <w:pStyle w:val="Apara"/>
      </w:pPr>
      <w:r>
        <w:tab/>
        <w:t>(c)</w:t>
      </w:r>
      <w:r>
        <w:tab/>
        <w:t>the date and place of birth of the child;</w:t>
      </w:r>
    </w:p>
    <w:p w14:paraId="342AC4E2" w14:textId="77777777" w:rsidR="00A905D9" w:rsidRDefault="000E725A">
      <w:pPr>
        <w:pStyle w:val="Apara"/>
      </w:pPr>
      <w:r>
        <w:tab/>
        <w:t>(d)</w:t>
      </w:r>
      <w:r>
        <w:tab/>
        <w:t>whether the child was born alive or stillborn;</w:t>
      </w:r>
    </w:p>
    <w:p w14:paraId="67CFEA5D" w14:textId="77777777" w:rsidR="00A905D9" w:rsidRDefault="000E725A">
      <w:pPr>
        <w:pStyle w:val="Apara"/>
      </w:pPr>
      <w:r>
        <w:tab/>
        <w:t>(e)</w:t>
      </w:r>
      <w:r>
        <w:tab/>
        <w:t xml:space="preserve">whether or not the birth was a multiple birth and, if it was, the number of children born as a result of the multiple birth and the number of those children born before the child; </w:t>
      </w:r>
    </w:p>
    <w:p w14:paraId="2E5EF0F1" w14:textId="77777777" w:rsidR="00A905D9" w:rsidRDefault="000E725A">
      <w:pPr>
        <w:pStyle w:val="Apara"/>
      </w:pPr>
      <w:r>
        <w:tab/>
        <w:t>(f)</w:t>
      </w:r>
      <w:r>
        <w:tab/>
        <w:t>the name, any former name and the occupation and place of residence of the mother of the child;</w:t>
      </w:r>
    </w:p>
    <w:p w14:paraId="0B4E0A65" w14:textId="77777777" w:rsidR="00A905D9" w:rsidRDefault="000E725A">
      <w:pPr>
        <w:pStyle w:val="Apara"/>
      </w:pPr>
      <w:r>
        <w:tab/>
        <w:t>(g)</w:t>
      </w:r>
      <w:r>
        <w:tab/>
        <w:t>the place of birth of the mother of the child and her date of birth or, if the date of birth is not known, her age;</w:t>
      </w:r>
    </w:p>
    <w:p w14:paraId="4BF18B0C" w14:textId="77777777" w:rsidR="00A905D9" w:rsidRDefault="000E725A">
      <w:pPr>
        <w:pStyle w:val="Apara"/>
      </w:pPr>
      <w:r>
        <w:tab/>
        <w:t>(h)</w:t>
      </w:r>
      <w:r>
        <w:tab/>
        <w:t>the name, any former name, and the occupation and place of residence of the father of the child;</w:t>
      </w:r>
    </w:p>
    <w:p w14:paraId="0C703AB5" w14:textId="77777777" w:rsidR="00A905D9" w:rsidRDefault="000E725A">
      <w:pPr>
        <w:pStyle w:val="Apara"/>
      </w:pPr>
      <w:r>
        <w:tab/>
        <w:t>(i)</w:t>
      </w:r>
      <w:r>
        <w:tab/>
        <w:t>the place of birth of the father of the child and his date of birth or, if the date of birth is not known, his age;</w:t>
      </w:r>
    </w:p>
    <w:p w14:paraId="4888E215" w14:textId="77777777" w:rsidR="00A905D9" w:rsidRDefault="000E725A">
      <w:pPr>
        <w:pStyle w:val="Apara"/>
      </w:pPr>
      <w:r>
        <w:tab/>
        <w:t>(j)</w:t>
      </w:r>
      <w:r>
        <w:tab/>
        <w:t>if the parents of the child are married—the date and place of marriage;</w:t>
      </w:r>
    </w:p>
    <w:p w14:paraId="46561F89" w14:textId="77777777" w:rsidR="00A905D9" w:rsidRDefault="000E725A">
      <w:pPr>
        <w:pStyle w:val="Apara"/>
      </w:pPr>
      <w:r>
        <w:tab/>
        <w:t>(k)</w:t>
      </w:r>
      <w:r>
        <w:tab/>
        <w:t>the name and age of each other child of the relationship of the parents of the child in order of birth (including any adopted or stillborn child but not including any child given up for adoption);</w:t>
      </w:r>
    </w:p>
    <w:p w14:paraId="7104B7CA" w14:textId="77777777" w:rsidR="00A905D9" w:rsidRDefault="000E725A">
      <w:pPr>
        <w:pStyle w:val="Apara"/>
      </w:pPr>
      <w:r>
        <w:tab/>
        <w:t>(l)</w:t>
      </w:r>
      <w:r>
        <w:tab/>
        <w:t>the number of any deceased male and any deceased female children of the relationship of the parents of the child;</w:t>
      </w:r>
    </w:p>
    <w:p w14:paraId="5D0BA53C" w14:textId="77777777" w:rsidR="00A905D9" w:rsidRDefault="000E725A">
      <w:pPr>
        <w:pStyle w:val="Apara"/>
      </w:pPr>
      <w:r>
        <w:lastRenderedPageBreak/>
        <w:tab/>
        <w:t>(m)</w:t>
      </w:r>
      <w:r>
        <w:tab/>
        <w:t>the name of not less than 1 person who witnessed the birth including, where the birth was witnessed by a doctor, midwife or nurse, the name of not less than 1 of them;</w:t>
      </w:r>
    </w:p>
    <w:p w14:paraId="22CEDB85" w14:textId="77777777" w:rsidR="00A905D9" w:rsidRDefault="000E725A">
      <w:pPr>
        <w:pStyle w:val="Apara"/>
      </w:pPr>
      <w:r>
        <w:tab/>
        <w:t>(n)</w:t>
      </w:r>
      <w:r>
        <w:tab/>
        <w:t>the name, occupation, place of residence and relationship to the child, if any, of the person providing the information.</w:t>
      </w:r>
    </w:p>
    <w:p w14:paraId="74C8464B" w14:textId="77777777" w:rsidR="00A905D9" w:rsidRDefault="000E725A">
      <w:pPr>
        <w:pStyle w:val="AH3sec"/>
      </w:pPr>
      <w:bookmarkStart w:id="6" w:name="_Toc524323837"/>
      <w:r>
        <w:t xml:space="preserve">6  </w:t>
      </w:r>
      <w:r>
        <w:tab/>
        <w:t>Application to alter register to record change of sex</w:t>
      </w:r>
      <w:bookmarkEnd w:id="6"/>
    </w:p>
    <w:p w14:paraId="423DA84D" w14:textId="4A7E0CEC" w:rsidR="00A905D9" w:rsidRDefault="000E725A">
      <w:pPr>
        <w:pStyle w:val="Amain"/>
      </w:pPr>
      <w:r>
        <w:rPr>
          <w:b/>
          <w:bCs/>
        </w:rPr>
        <w:t xml:space="preserve">(1) </w:t>
      </w:r>
      <w:r>
        <w:rPr>
          <w:b/>
          <w:bCs/>
        </w:rPr>
        <w:tab/>
      </w:r>
      <w:r>
        <w:t>For the purposes of subsection 24 (4) of the Act, the following particulars are prescribed:</w:t>
      </w:r>
    </w:p>
    <w:p w14:paraId="526E71F4" w14:textId="77777777" w:rsidR="00A905D9" w:rsidRDefault="000E725A">
      <w:pPr>
        <w:pStyle w:val="Apara"/>
      </w:pPr>
      <w:r>
        <w:tab/>
        <w:t>(a)</w:t>
      </w:r>
      <w:r>
        <w:tab/>
        <w:t>the name, any former name, the place of residence and the date and place of birth of the relevant person;</w:t>
      </w:r>
    </w:p>
    <w:p w14:paraId="721691A0" w14:textId="77777777" w:rsidR="00A905D9" w:rsidRDefault="000E725A">
      <w:pPr>
        <w:pStyle w:val="Apara"/>
      </w:pPr>
      <w:r>
        <w:tab/>
        <w:t>(b)</w:t>
      </w:r>
      <w:r>
        <w:tab/>
        <w:t>if known, the name and any former name of the relevant person’s mother;</w:t>
      </w:r>
    </w:p>
    <w:p w14:paraId="66DDAE38" w14:textId="77777777" w:rsidR="00A905D9" w:rsidRDefault="000E725A">
      <w:pPr>
        <w:pStyle w:val="Apara"/>
      </w:pPr>
      <w:r>
        <w:tab/>
        <w:t>(c)</w:t>
      </w:r>
      <w:r>
        <w:tab/>
        <w:t>if known, the name and any former name of the relevant person’s father;</w:t>
      </w:r>
    </w:p>
    <w:p w14:paraId="6171875D" w14:textId="77777777" w:rsidR="00A905D9" w:rsidRDefault="000E725A">
      <w:pPr>
        <w:pStyle w:val="Apara"/>
      </w:pPr>
      <w:r>
        <w:tab/>
        <w:t>(d)</w:t>
      </w:r>
      <w:r>
        <w:tab/>
        <w:t>the sex shown on the relevant person’s original birth certificate;</w:t>
      </w:r>
    </w:p>
    <w:p w14:paraId="5B62DFA3" w14:textId="77777777" w:rsidR="00A905D9" w:rsidRDefault="000E725A">
      <w:pPr>
        <w:pStyle w:val="Apara"/>
      </w:pPr>
      <w:r>
        <w:tab/>
        <w:t>(e)</w:t>
      </w:r>
      <w:r>
        <w:tab/>
        <w:t>whether the relevant person has ever been married and, if so, the manner in which the marriage was terminated.</w:t>
      </w:r>
    </w:p>
    <w:p w14:paraId="7B2A5CC8" w14:textId="60C293DF" w:rsidR="00A905D9" w:rsidRDefault="000E725A">
      <w:pPr>
        <w:pStyle w:val="Amain"/>
      </w:pPr>
      <w:r>
        <w:rPr>
          <w:b/>
          <w:bCs/>
        </w:rPr>
        <w:t xml:space="preserve">(2) </w:t>
      </w:r>
      <w:r>
        <w:rPr>
          <w:b/>
          <w:bCs/>
        </w:rPr>
        <w:tab/>
      </w:r>
      <w:r>
        <w:t xml:space="preserve">In this regulation, a reference to a </w:t>
      </w:r>
      <w:r>
        <w:rPr>
          <w:b/>
          <w:bCs/>
          <w:i/>
          <w:iCs/>
        </w:rPr>
        <w:t>relevant person</w:t>
      </w:r>
      <w:r>
        <w:t xml:space="preserve"> shall be read as a reference to—</w:t>
      </w:r>
    </w:p>
    <w:p w14:paraId="23366C6E" w14:textId="77777777" w:rsidR="00A905D9" w:rsidRDefault="000E725A">
      <w:pPr>
        <w:pStyle w:val="Apara"/>
      </w:pPr>
      <w:r>
        <w:tab/>
        <w:t>(a)</w:t>
      </w:r>
      <w:r>
        <w:tab/>
        <w:t>a person who lodges an application under subsection 24 (1) of the Act; or</w:t>
      </w:r>
    </w:p>
    <w:p w14:paraId="79EA7087" w14:textId="77777777" w:rsidR="00A905D9" w:rsidRDefault="000E725A">
      <w:pPr>
        <w:pStyle w:val="Apara"/>
      </w:pPr>
      <w:r>
        <w:tab/>
        <w:t>(b)</w:t>
      </w:r>
      <w:r>
        <w:tab/>
        <w:t>a child in relation to whom an application is lodged under subsection 24 (2) of the Act.</w:t>
      </w:r>
    </w:p>
    <w:p w14:paraId="31EBF091" w14:textId="77777777" w:rsidR="00A905D9" w:rsidRDefault="000E725A">
      <w:pPr>
        <w:pStyle w:val="AH3sec"/>
      </w:pPr>
      <w:bookmarkStart w:id="7" w:name="_Toc524323838"/>
      <w:r>
        <w:t xml:space="preserve">7  </w:t>
      </w:r>
      <w:r>
        <w:tab/>
        <w:t>Issue of birth certificates</w:t>
      </w:r>
      <w:bookmarkEnd w:id="7"/>
    </w:p>
    <w:p w14:paraId="4378B887" w14:textId="77777777" w:rsidR="00A905D9" w:rsidRDefault="000E725A">
      <w:pPr>
        <w:pStyle w:val="Amain"/>
      </w:pPr>
      <w:r>
        <w:tab/>
        <w:t>For the purposes of paragraph 27 (2) (c) of the Act, the following persons are specified:</w:t>
      </w:r>
    </w:p>
    <w:p w14:paraId="094BE252" w14:textId="77777777" w:rsidR="00A905D9" w:rsidRDefault="000E725A">
      <w:pPr>
        <w:pStyle w:val="Apara"/>
      </w:pPr>
      <w:r>
        <w:tab/>
        <w:t>(a)</w:t>
      </w:r>
      <w:r>
        <w:tab/>
        <w:t>a parent or guardian of the transsexual person;</w:t>
      </w:r>
    </w:p>
    <w:p w14:paraId="3F361E02" w14:textId="77777777" w:rsidR="00A905D9" w:rsidRDefault="000E725A">
      <w:pPr>
        <w:pStyle w:val="Apara"/>
      </w:pPr>
      <w:r>
        <w:tab/>
        <w:t>(b)</w:t>
      </w:r>
      <w:r>
        <w:tab/>
        <w:t>a spouse or former spouse of the transsexual person;</w:t>
      </w:r>
    </w:p>
    <w:p w14:paraId="1A2A11BD" w14:textId="77777777" w:rsidR="00A905D9" w:rsidRDefault="000E725A">
      <w:pPr>
        <w:pStyle w:val="Apara"/>
      </w:pPr>
      <w:r>
        <w:tab/>
        <w:t>(c)</w:t>
      </w:r>
      <w:r>
        <w:tab/>
        <w:t>an executor or administrator of the estate of the transsexual person;</w:t>
      </w:r>
    </w:p>
    <w:p w14:paraId="5AF73F6C" w14:textId="77777777" w:rsidR="00A905D9" w:rsidRDefault="000E725A">
      <w:pPr>
        <w:pStyle w:val="Apara"/>
      </w:pPr>
      <w:r>
        <w:tab/>
        <w:t>(d)</w:t>
      </w:r>
      <w:r>
        <w:tab/>
        <w:t>a legal practitioner authorised by a person referred to in paragraph 27 (2) (a) or (b) of the Act or paragraphs (a), (b) or (c) of this regulation.</w:t>
      </w:r>
    </w:p>
    <w:p w14:paraId="5A49022D" w14:textId="77777777" w:rsidR="00A905D9" w:rsidRDefault="000E725A">
      <w:pPr>
        <w:pStyle w:val="AH3sec"/>
      </w:pPr>
      <w:bookmarkStart w:id="8" w:name="_Toc524323839"/>
      <w:r>
        <w:lastRenderedPageBreak/>
        <w:t xml:space="preserve">8  </w:t>
      </w:r>
      <w:r>
        <w:tab/>
        <w:t>Effect of certificates issued in respect of transsexual persons</w:t>
      </w:r>
      <w:bookmarkEnd w:id="8"/>
    </w:p>
    <w:p w14:paraId="3DE5606C" w14:textId="77777777" w:rsidR="00A905D9" w:rsidRDefault="000E725A">
      <w:pPr>
        <w:pStyle w:val="Amain"/>
      </w:pPr>
      <w:r>
        <w:tab/>
        <w:t xml:space="preserve">For the purposes of the definition of </w:t>
      </w:r>
      <w:r>
        <w:rPr>
          <w:b/>
          <w:bCs/>
          <w:i/>
          <w:iCs/>
        </w:rPr>
        <w:t>interstate recognition certificate</w:t>
      </w:r>
      <w:r>
        <w:t xml:space="preserve"> in subsection 29 (3) of the Act, the following laws are prescribed:</w:t>
      </w:r>
    </w:p>
    <w:p w14:paraId="23B0F48A" w14:textId="77777777" w:rsidR="00A905D9" w:rsidRDefault="000E725A">
      <w:pPr>
        <w:pStyle w:val="Apara"/>
      </w:pPr>
      <w:r>
        <w:tab/>
        <w:t>(a)</w:t>
      </w:r>
      <w:r>
        <w:tab/>
        <w:t xml:space="preserve">the </w:t>
      </w:r>
      <w:r>
        <w:rPr>
          <w:i/>
          <w:iCs/>
        </w:rPr>
        <w:t>Births, Deaths and Marriages Registration Act 1995</w:t>
      </w:r>
      <w:r>
        <w:t xml:space="preserve"> (NSW);</w:t>
      </w:r>
    </w:p>
    <w:p w14:paraId="56A21BC9" w14:textId="77777777" w:rsidR="00A905D9" w:rsidRDefault="000E725A">
      <w:pPr>
        <w:pStyle w:val="Apara"/>
      </w:pPr>
      <w:r>
        <w:tab/>
        <w:t>(b)</w:t>
      </w:r>
      <w:r>
        <w:tab/>
        <w:t xml:space="preserve">the </w:t>
      </w:r>
      <w:r>
        <w:rPr>
          <w:i/>
          <w:iCs/>
        </w:rPr>
        <w:t xml:space="preserve">Sexual Reassignment Act 1988 </w:t>
      </w:r>
      <w:r>
        <w:t>(SA);</w:t>
      </w:r>
    </w:p>
    <w:p w14:paraId="2410DD11" w14:textId="77777777" w:rsidR="00A905D9" w:rsidRDefault="000E725A">
      <w:pPr>
        <w:pStyle w:val="Apara"/>
      </w:pPr>
      <w:r>
        <w:tab/>
        <w:t>(c)</w:t>
      </w:r>
      <w:r>
        <w:tab/>
        <w:t>the</w:t>
      </w:r>
      <w:r>
        <w:rPr>
          <w:i/>
          <w:iCs/>
        </w:rPr>
        <w:t xml:space="preserve"> Births, Deaths and Marriages Registration Act</w:t>
      </w:r>
      <w:r>
        <w:t xml:space="preserve"> (NT).</w:t>
      </w:r>
    </w:p>
    <w:p w14:paraId="35FD8FFF" w14:textId="77777777" w:rsidR="00A905D9" w:rsidRDefault="000E725A">
      <w:pPr>
        <w:pStyle w:val="AH3sec"/>
      </w:pPr>
      <w:bookmarkStart w:id="9" w:name="_Toc524323840"/>
      <w:r>
        <w:t xml:space="preserve">9  </w:t>
      </w:r>
      <w:r>
        <w:tab/>
        <w:t>Notification of deaths by funeral directors</w:t>
      </w:r>
      <w:bookmarkEnd w:id="9"/>
    </w:p>
    <w:p w14:paraId="5B89F3AA" w14:textId="77777777" w:rsidR="00A905D9" w:rsidRDefault="000E725A">
      <w:pPr>
        <w:pStyle w:val="Amain"/>
      </w:pPr>
      <w:r>
        <w:tab/>
        <w:t>For the purposes of paragraph 37 (1) (d) of the Act, the following information is required:</w:t>
      </w:r>
    </w:p>
    <w:p w14:paraId="5655AC47" w14:textId="77777777" w:rsidR="00A905D9" w:rsidRDefault="000E725A">
      <w:pPr>
        <w:pStyle w:val="Apara"/>
      </w:pPr>
      <w:r>
        <w:tab/>
        <w:t>(a)</w:t>
      </w:r>
      <w:r>
        <w:tab/>
        <w:t>the date and place of death of the deceased;</w:t>
      </w:r>
    </w:p>
    <w:p w14:paraId="2FBF12BC" w14:textId="77777777" w:rsidR="00A905D9" w:rsidRDefault="000E725A">
      <w:pPr>
        <w:pStyle w:val="Apara"/>
      </w:pPr>
      <w:r>
        <w:tab/>
        <w:t>(b)</w:t>
      </w:r>
      <w:r>
        <w:tab/>
        <w:t>the sex of the deceased;</w:t>
      </w:r>
    </w:p>
    <w:p w14:paraId="503E8233" w14:textId="77777777" w:rsidR="00A905D9" w:rsidRDefault="000E725A">
      <w:pPr>
        <w:pStyle w:val="Apara"/>
      </w:pPr>
      <w:r>
        <w:tab/>
        <w:t>(c)</w:t>
      </w:r>
      <w:r>
        <w:tab/>
        <w:t>the date and place of birth of the deceased;</w:t>
      </w:r>
    </w:p>
    <w:p w14:paraId="0915B872" w14:textId="77777777" w:rsidR="00A905D9" w:rsidRDefault="000E725A">
      <w:pPr>
        <w:pStyle w:val="Apara"/>
      </w:pPr>
      <w:r>
        <w:tab/>
        <w:t>(d)</w:t>
      </w:r>
      <w:r>
        <w:tab/>
        <w:t>the usual occupation of the deceased;</w:t>
      </w:r>
    </w:p>
    <w:p w14:paraId="21519FB1" w14:textId="77777777" w:rsidR="00A905D9" w:rsidRDefault="000E725A">
      <w:pPr>
        <w:pStyle w:val="Apara"/>
      </w:pPr>
      <w:r>
        <w:tab/>
        <w:t>(e)</w:t>
      </w:r>
      <w:r>
        <w:tab/>
        <w:t>if the deceased was born outside Australia—the length of the period during which he or she has been in Australia;</w:t>
      </w:r>
    </w:p>
    <w:p w14:paraId="53681E91" w14:textId="77777777" w:rsidR="00A905D9" w:rsidRDefault="000E725A">
      <w:pPr>
        <w:pStyle w:val="Apara"/>
      </w:pPr>
      <w:r>
        <w:tab/>
        <w:t>(f)</w:t>
      </w:r>
      <w:r>
        <w:tab/>
        <w:t>the marital status of the deceased immediately before death;</w:t>
      </w:r>
    </w:p>
    <w:p w14:paraId="5C6995A3" w14:textId="77777777" w:rsidR="00A905D9" w:rsidRDefault="000E725A">
      <w:pPr>
        <w:pStyle w:val="Apara"/>
      </w:pPr>
      <w:r>
        <w:tab/>
        <w:t>(g)</w:t>
      </w:r>
      <w:r>
        <w:tab/>
        <w:t>if the deceased had been married at any time—the date and place of each marriage and the name and any former name of each spouse;</w:t>
      </w:r>
    </w:p>
    <w:p w14:paraId="599E7CCF" w14:textId="77777777" w:rsidR="00A905D9" w:rsidRDefault="000E725A">
      <w:pPr>
        <w:pStyle w:val="Apara"/>
      </w:pPr>
      <w:r>
        <w:tab/>
        <w:t>(h)</w:t>
      </w:r>
      <w:r>
        <w:tab/>
        <w:t>the name of each child of the deceased (including any adopted child but not including any child given up for adoption) in order of birth, indicating the age of the child at the date of death of the deceased and whether the child predeceased the deceased;</w:t>
      </w:r>
    </w:p>
    <w:p w14:paraId="3026EEF0" w14:textId="77777777" w:rsidR="00A905D9" w:rsidRDefault="000E725A">
      <w:pPr>
        <w:pStyle w:val="Apara"/>
      </w:pPr>
      <w:r>
        <w:tab/>
        <w:t>(i)</w:t>
      </w:r>
      <w:r>
        <w:tab/>
        <w:t>the name, any former name and the occupation of the mother of the deceased;</w:t>
      </w:r>
    </w:p>
    <w:p w14:paraId="60A92994" w14:textId="77777777" w:rsidR="00A905D9" w:rsidRDefault="000E725A">
      <w:pPr>
        <w:pStyle w:val="Apara"/>
      </w:pPr>
      <w:r>
        <w:tab/>
        <w:t>(j)</w:t>
      </w:r>
      <w:r>
        <w:tab/>
        <w:t>the name, any former name and the occupation of the father of the deceased;</w:t>
      </w:r>
    </w:p>
    <w:p w14:paraId="54ACFC0A" w14:textId="77777777" w:rsidR="00A905D9" w:rsidRDefault="000E725A">
      <w:pPr>
        <w:pStyle w:val="Apara"/>
      </w:pPr>
      <w:r>
        <w:tab/>
        <w:t>(k)</w:t>
      </w:r>
      <w:r>
        <w:tab/>
        <w:t>the date of the disposal of the remains of the deceased;</w:t>
      </w:r>
    </w:p>
    <w:p w14:paraId="0B4DED58" w14:textId="77777777" w:rsidR="00A905D9" w:rsidRDefault="000E725A">
      <w:pPr>
        <w:pStyle w:val="Apara"/>
      </w:pPr>
      <w:r>
        <w:tab/>
        <w:t>(l)</w:t>
      </w:r>
      <w:r>
        <w:tab/>
        <w:t>the name and address of the funeral director or other person who arranged for the disposal of the remains;</w:t>
      </w:r>
    </w:p>
    <w:p w14:paraId="4796F70D" w14:textId="77777777" w:rsidR="00A905D9" w:rsidRDefault="000E725A">
      <w:pPr>
        <w:pStyle w:val="Apara"/>
      </w:pPr>
      <w:r>
        <w:tab/>
        <w:t>(m)</w:t>
      </w:r>
      <w:r>
        <w:tab/>
        <w:t>if a celebrant was present at the burial or cremation—the name of the celebrant and, if the celebrant is a minister of religion, his or her denomination;</w:t>
      </w:r>
    </w:p>
    <w:p w14:paraId="05907C67" w14:textId="77777777" w:rsidR="00A905D9" w:rsidRDefault="000E725A">
      <w:pPr>
        <w:pStyle w:val="Apara"/>
      </w:pPr>
      <w:r>
        <w:tab/>
        <w:t>(n)</w:t>
      </w:r>
      <w:r>
        <w:tab/>
        <w:t>the name of a person who witnessed the disposal of the remains.</w:t>
      </w:r>
    </w:p>
    <w:p w14:paraId="13012442" w14:textId="77777777" w:rsidR="00A905D9" w:rsidRDefault="000E725A">
      <w:pPr>
        <w:pStyle w:val="AH3sec"/>
      </w:pPr>
      <w:bookmarkStart w:id="10" w:name="_Toc524323841"/>
      <w:r>
        <w:lastRenderedPageBreak/>
        <w:t xml:space="preserve">10  </w:t>
      </w:r>
      <w:r>
        <w:tab/>
        <w:t>Removal of remains from the Territory</w:t>
      </w:r>
      <w:bookmarkEnd w:id="10"/>
    </w:p>
    <w:p w14:paraId="2DD8AB3B" w14:textId="77777777" w:rsidR="00A905D9" w:rsidRDefault="000E725A">
      <w:pPr>
        <w:pStyle w:val="Amain"/>
      </w:pPr>
      <w:r>
        <w:rPr>
          <w:b/>
          <w:bCs/>
        </w:rPr>
        <w:tab/>
      </w:r>
      <w:r>
        <w:t>For the purposes of subsection 37 (2) of the Act, the following particulars are required:</w:t>
      </w:r>
    </w:p>
    <w:p w14:paraId="6C2DB333" w14:textId="77777777" w:rsidR="00A905D9" w:rsidRDefault="000E725A">
      <w:pPr>
        <w:pStyle w:val="Apara"/>
      </w:pPr>
      <w:r>
        <w:tab/>
        <w:t>(a)</w:t>
      </w:r>
      <w:r>
        <w:tab/>
        <w:t>the name and last residential address of the deceased;</w:t>
      </w:r>
    </w:p>
    <w:p w14:paraId="30409148" w14:textId="77777777" w:rsidR="00A905D9" w:rsidRDefault="000E725A">
      <w:pPr>
        <w:pStyle w:val="Apara"/>
      </w:pPr>
      <w:r>
        <w:tab/>
        <w:t>(b)</w:t>
      </w:r>
      <w:r>
        <w:tab/>
        <w:t>the name, occupation and address of the funeral director or other person who arranged the removal;</w:t>
      </w:r>
    </w:p>
    <w:p w14:paraId="38124468" w14:textId="77777777" w:rsidR="00A905D9" w:rsidRDefault="000E725A">
      <w:pPr>
        <w:pStyle w:val="Apara"/>
      </w:pPr>
      <w:r>
        <w:tab/>
        <w:t>(c)</w:t>
      </w:r>
      <w:r>
        <w:tab/>
        <w:t>the date of the removal of the remains of the deceased;</w:t>
      </w:r>
    </w:p>
    <w:p w14:paraId="2FD72E09" w14:textId="77777777" w:rsidR="00A905D9" w:rsidRDefault="000E725A">
      <w:pPr>
        <w:pStyle w:val="Apara"/>
      </w:pPr>
      <w:r>
        <w:tab/>
        <w:t>(d)</w:t>
      </w:r>
      <w:r>
        <w:tab/>
        <w:t>the purpose of the removal and, if the removal was for anatomical examination, the name of the institution at which the examination is to take place;</w:t>
      </w:r>
    </w:p>
    <w:p w14:paraId="6D0DEA74" w14:textId="77777777" w:rsidR="00A905D9" w:rsidRDefault="000E725A">
      <w:pPr>
        <w:pStyle w:val="Apara"/>
      </w:pPr>
      <w:r>
        <w:tab/>
        <w:t>(e)</w:t>
      </w:r>
      <w:r>
        <w:tab/>
        <w:t>whether or not the death was reported to a coroner;</w:t>
      </w:r>
    </w:p>
    <w:p w14:paraId="49E86684" w14:textId="77777777" w:rsidR="00A905D9" w:rsidRDefault="000E725A">
      <w:pPr>
        <w:pStyle w:val="Apara"/>
      </w:pPr>
      <w:r>
        <w:tab/>
        <w:t>(f)</w:t>
      </w:r>
      <w:r>
        <w:tab/>
        <w:t>the information specified in paragraphs 9 (a) to (j) and, if the remains were disposed of within 30 days after the date of death, the information specified in paragraphs 9 (k) to (n).</w:t>
      </w:r>
    </w:p>
    <w:p w14:paraId="73B1B1E3" w14:textId="77777777" w:rsidR="00A905D9" w:rsidRDefault="000E725A">
      <w:pPr>
        <w:pStyle w:val="AH3sec"/>
      </w:pPr>
      <w:bookmarkStart w:id="11" w:name="_Toc524323842"/>
      <w:r>
        <w:t xml:space="preserve">11  </w:t>
      </w:r>
      <w:r>
        <w:tab/>
        <w:t>Nondisposal of remains</w:t>
      </w:r>
      <w:bookmarkEnd w:id="11"/>
    </w:p>
    <w:p w14:paraId="03024CCD" w14:textId="77777777" w:rsidR="00A905D9" w:rsidRDefault="000E725A">
      <w:pPr>
        <w:pStyle w:val="Amain"/>
      </w:pPr>
      <w:r>
        <w:tab/>
        <w:t>For the purposes of paragraph 37 (3) (c) of the Act, the following information is required:</w:t>
      </w:r>
    </w:p>
    <w:p w14:paraId="0A49075A" w14:textId="77777777" w:rsidR="00A905D9" w:rsidRDefault="000E725A">
      <w:pPr>
        <w:pStyle w:val="Apara"/>
      </w:pPr>
      <w:r>
        <w:tab/>
        <w:t>(a)</w:t>
      </w:r>
      <w:r>
        <w:tab/>
        <w:t>the information specified in paragraphs 9 (a) to (j);</w:t>
      </w:r>
    </w:p>
    <w:p w14:paraId="2EABC7FD" w14:textId="77777777" w:rsidR="00A905D9" w:rsidRDefault="000E725A">
      <w:pPr>
        <w:pStyle w:val="Apara"/>
      </w:pPr>
      <w:r>
        <w:tab/>
        <w:t>(b)</w:t>
      </w:r>
      <w:r>
        <w:tab/>
        <w:t>the name, occupation and place of residence of the person having custody of the remains.</w:t>
      </w:r>
    </w:p>
    <w:p w14:paraId="0F23F98A" w14:textId="77777777" w:rsidR="00A905D9" w:rsidRDefault="000E725A">
      <w:pPr>
        <w:pStyle w:val="AH3sec"/>
      </w:pPr>
      <w:bookmarkStart w:id="12" w:name="_Toc524323843"/>
      <w:r>
        <w:t xml:space="preserve">12  </w:t>
      </w:r>
      <w:r>
        <w:tab/>
        <w:t>Manner of registration</w:t>
      </w:r>
      <w:bookmarkEnd w:id="12"/>
    </w:p>
    <w:p w14:paraId="7228D60B" w14:textId="77777777" w:rsidR="00A905D9" w:rsidRDefault="000E725A">
      <w:pPr>
        <w:pStyle w:val="Amain"/>
      </w:pPr>
      <w:r>
        <w:rPr>
          <w:b/>
          <w:bCs/>
        </w:rPr>
        <w:tab/>
      </w:r>
      <w:r>
        <w:t>For the purposes of subsection 38 (1) of the Act, the following particulars are prescribed:</w:t>
      </w:r>
    </w:p>
    <w:p w14:paraId="23A86151" w14:textId="77777777" w:rsidR="00A905D9" w:rsidRDefault="000E725A">
      <w:pPr>
        <w:pStyle w:val="Apara"/>
      </w:pPr>
      <w:r>
        <w:tab/>
        <w:t>(a)</w:t>
      </w:r>
      <w:r>
        <w:tab/>
        <w:t>the name and last residential address of the deceased;</w:t>
      </w:r>
    </w:p>
    <w:p w14:paraId="0DAA1F4B" w14:textId="77777777" w:rsidR="00A905D9" w:rsidRDefault="000E725A">
      <w:pPr>
        <w:pStyle w:val="Apara"/>
      </w:pPr>
      <w:r>
        <w:tab/>
        <w:t>(b)</w:t>
      </w:r>
      <w:r>
        <w:tab/>
        <w:t>the matters set out in paragraphs 9 (a) to (n);</w:t>
      </w:r>
    </w:p>
    <w:p w14:paraId="527F42EE" w14:textId="77777777" w:rsidR="00A905D9" w:rsidRDefault="000E725A">
      <w:pPr>
        <w:pStyle w:val="Apara"/>
      </w:pPr>
      <w:r>
        <w:tab/>
        <w:t>(c)</w:t>
      </w:r>
      <w:r>
        <w:tab/>
        <w:t>whether or not the death was reported to a coroner;</w:t>
      </w:r>
    </w:p>
    <w:p w14:paraId="7737979F" w14:textId="77777777" w:rsidR="00A905D9" w:rsidRDefault="000E725A">
      <w:pPr>
        <w:pStyle w:val="Apara"/>
      </w:pPr>
      <w:r>
        <w:tab/>
        <w:t>(d)</w:t>
      </w:r>
      <w:r>
        <w:tab/>
        <w:t>the place and manner of the disposal of the remains of the deceased.</w:t>
      </w:r>
    </w:p>
    <w:p w14:paraId="2AC0B5EF" w14:textId="77777777" w:rsidR="00A905D9" w:rsidRDefault="00A905D9">
      <w:pPr>
        <w:pStyle w:val="Apara"/>
        <w:pBdr>
          <w:bottom w:val="single" w:sz="4" w:space="1" w:color="auto"/>
        </w:pBdr>
        <w:ind w:left="2880" w:right="2987" w:firstLine="0"/>
      </w:pPr>
    </w:p>
    <w:p w14:paraId="3E105F60" w14:textId="77777777" w:rsidR="00A905D9" w:rsidRDefault="00A905D9">
      <w:pPr>
        <w:keepNext/>
        <w:tabs>
          <w:tab w:val="right" w:pos="7220"/>
        </w:tabs>
        <w:spacing w:before="160" w:after="160"/>
        <w:jc w:val="center"/>
        <w:rPr>
          <w:b/>
          <w:bCs/>
        </w:rPr>
        <w:sectPr w:rsidR="00A905D9">
          <w:headerReference w:type="default" r:id="rId17"/>
          <w:footerReference w:type="default" r:id="rId18"/>
          <w:headerReference w:type="first" r:id="rId19"/>
          <w:footerReference w:type="first" r:id="rId20"/>
          <w:pgSz w:w="11907" w:h="16839"/>
          <w:pgMar w:top="3000" w:right="2300" w:bottom="2500" w:left="2300" w:header="2480" w:footer="2100" w:gutter="0"/>
          <w:pgNumType w:start="1"/>
          <w:cols w:space="709"/>
          <w:titlePg/>
        </w:sectPr>
      </w:pPr>
    </w:p>
    <w:p w14:paraId="1527BFA4" w14:textId="77777777" w:rsidR="00A905D9" w:rsidRDefault="000E725A">
      <w:pPr>
        <w:pStyle w:val="Endnote1"/>
      </w:pPr>
      <w:bookmarkStart w:id="13" w:name="_Toc524323844"/>
      <w:r>
        <w:lastRenderedPageBreak/>
        <w:t>ENDNOTES</w:t>
      </w:r>
      <w:bookmarkEnd w:id="13"/>
    </w:p>
    <w:p w14:paraId="30EFC148" w14:textId="77777777" w:rsidR="00A905D9" w:rsidRDefault="000E725A">
      <w:pPr>
        <w:pStyle w:val="Endnote2"/>
      </w:pPr>
      <w:bookmarkStart w:id="14" w:name="_Toc524323845"/>
      <w:r>
        <w:t>1</w:t>
      </w:r>
      <w:r>
        <w:tab/>
        <w:t>About this republication</w:t>
      </w:r>
      <w:bookmarkEnd w:id="14"/>
    </w:p>
    <w:p w14:paraId="78D6C4AA" w14:textId="77777777" w:rsidR="00A905D9" w:rsidRDefault="000E725A">
      <w:pPr>
        <w:ind w:left="300"/>
        <w:rPr>
          <w:rFonts w:ascii="Helvetica" w:hAnsi="Helvetica" w:cs="Helvetica"/>
          <w:sz w:val="18"/>
          <w:szCs w:val="18"/>
        </w:rPr>
      </w:pPr>
      <w:r>
        <w:rPr>
          <w:rFonts w:ascii="Helvetica" w:hAnsi="Helvetica" w:cs="Helvetica"/>
          <w:sz w:val="18"/>
          <w:szCs w:val="18"/>
        </w:rPr>
        <w:t xml:space="preserve">This is a republication of the </w:t>
      </w:r>
      <w:r>
        <w:rPr>
          <w:rFonts w:ascii="Helvetica" w:hAnsi="Helvetica" w:cs="Helvetica"/>
          <w:i/>
          <w:iCs/>
          <w:sz w:val="18"/>
          <w:szCs w:val="18"/>
        </w:rPr>
        <w:t>Births, Deaths and Marriages Registration Regulations</w:t>
      </w:r>
      <w:r>
        <w:rPr>
          <w:rFonts w:ascii="Helvetica" w:hAnsi="Helvetica" w:cs="Helvetica"/>
          <w:sz w:val="18"/>
          <w:szCs w:val="18"/>
        </w:rPr>
        <w:t xml:space="preserve"> as in force under the </w:t>
      </w:r>
      <w:r>
        <w:rPr>
          <w:rFonts w:ascii="Helvetica" w:hAnsi="Helvetica" w:cs="Helvetica"/>
          <w:i/>
          <w:iCs/>
          <w:sz w:val="18"/>
          <w:szCs w:val="18"/>
        </w:rPr>
        <w:t xml:space="preserve">Births, Deaths and Marriages Registration Act 1997 </w:t>
      </w:r>
      <w:r>
        <w:rPr>
          <w:rFonts w:ascii="Helvetica" w:hAnsi="Helvetica" w:cs="Helvetica"/>
          <w:sz w:val="18"/>
          <w:szCs w:val="18"/>
        </w:rPr>
        <w:t>on 1 May 2000</w:t>
      </w:r>
      <w:r>
        <w:rPr>
          <w:rFonts w:ascii="Helvetica" w:hAnsi="Helvetica" w:cs="Helvetica"/>
          <w:i/>
          <w:iCs/>
          <w:sz w:val="18"/>
          <w:szCs w:val="18"/>
        </w:rPr>
        <w:t xml:space="preserve">. </w:t>
      </w:r>
      <w:r>
        <w:rPr>
          <w:rFonts w:ascii="Helvetica" w:hAnsi="Helvetica" w:cs="Helvetica"/>
          <w:sz w:val="18"/>
          <w:szCs w:val="18"/>
        </w:rPr>
        <w:t>The regulations had not been amended up to that date</w:t>
      </w:r>
    </w:p>
    <w:p w14:paraId="6243A1F8" w14:textId="77777777" w:rsidR="00A905D9" w:rsidRDefault="000E725A">
      <w:pPr>
        <w:ind w:left="300"/>
        <w:rPr>
          <w:rFonts w:ascii="Helvetica" w:hAnsi="Helvetica" w:cs="Helvetica"/>
          <w:sz w:val="18"/>
          <w:szCs w:val="18"/>
        </w:rPr>
      </w:pPr>
      <w:r>
        <w:rPr>
          <w:rFonts w:ascii="Helvetica" w:hAnsi="Helvetica" w:cs="Helvetica"/>
          <w:sz w:val="18"/>
          <w:szCs w:val="18"/>
        </w:rPr>
        <w:t>Amending laws are annotated in the table of legislation and table of amendments.</w:t>
      </w:r>
    </w:p>
    <w:p w14:paraId="57A99CCE" w14:textId="77777777" w:rsidR="00A905D9" w:rsidRDefault="000E725A">
      <w:pPr>
        <w:spacing w:before="40" w:after="40"/>
        <w:ind w:left="300"/>
        <w:rPr>
          <w:rFonts w:ascii="Helvetica" w:hAnsi="Helvetica" w:cs="Helvetica"/>
          <w:sz w:val="18"/>
          <w:szCs w:val="18"/>
        </w:rPr>
      </w:pPr>
      <w:r>
        <w:rPr>
          <w:rFonts w:ascii="Helvetica" w:hAnsi="Helvetica" w:cs="Helvetica"/>
          <w:sz w:val="18"/>
          <w:szCs w:val="18"/>
        </w:rPr>
        <w:t xml:space="preserve">The Parliamentary Counsel’s Office currently prepares 2 kinds of republications of ACT laws:  authorised printed republications to which the </w:t>
      </w:r>
      <w:r>
        <w:rPr>
          <w:rFonts w:ascii="Helvetica" w:hAnsi="Helvetica" w:cs="Helvetica"/>
          <w:i/>
          <w:iCs/>
          <w:sz w:val="18"/>
          <w:szCs w:val="18"/>
        </w:rPr>
        <w:t>Legislation (Republication) Act 1996</w:t>
      </w:r>
      <w:r>
        <w:rPr>
          <w:rFonts w:ascii="Helvetica" w:hAnsi="Helvetica" w:cs="Helvetica"/>
          <w:sz w:val="18"/>
          <w:szCs w:val="18"/>
        </w:rPr>
        <w:t xml:space="preserve"> applies and unauthorised electronic republications.  The status of this republication appears on the cover.</w:t>
      </w:r>
    </w:p>
    <w:p w14:paraId="20F17264" w14:textId="77777777" w:rsidR="00A905D9" w:rsidRDefault="000E725A">
      <w:pPr>
        <w:spacing w:before="40" w:after="40"/>
        <w:ind w:left="300"/>
        <w:rPr>
          <w:rFonts w:ascii="Helvetica" w:hAnsi="Helvetica" w:cs="Helvetica"/>
          <w:sz w:val="18"/>
          <w:szCs w:val="18"/>
        </w:rPr>
      </w:pPr>
      <w:r>
        <w:rPr>
          <w:rFonts w:ascii="Helvetica" w:hAnsi="Helvetica" w:cs="Helvetica"/>
          <w:sz w:val="18"/>
          <w:szCs w:val="18"/>
        </w:rPr>
        <w:t xml:space="preserve">Section 13 of the </w:t>
      </w:r>
      <w:r>
        <w:rPr>
          <w:rFonts w:ascii="Helvetica" w:hAnsi="Helvetica" w:cs="Helvetica"/>
          <w:i/>
          <w:iCs/>
          <w:sz w:val="18"/>
          <w:szCs w:val="18"/>
        </w:rPr>
        <w:t>Legislation (Republication) Act 1996</w:t>
      </w:r>
      <w:r>
        <w:rPr>
          <w:rFonts w:ascii="Helvetica" w:hAnsi="Helvetica" w:cs="Helvetica"/>
          <w:sz w:val="18"/>
          <w:szCs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69BE1ADA" w14:textId="6C7EC1C5" w:rsidR="00A905D9" w:rsidRDefault="000E725A">
      <w:pPr>
        <w:spacing w:before="40" w:after="40"/>
        <w:ind w:left="300"/>
        <w:rPr>
          <w:rFonts w:ascii="Helvetica" w:hAnsi="Helvetica" w:cs="Helvetica"/>
          <w:sz w:val="18"/>
          <w:szCs w:val="18"/>
        </w:rPr>
      </w:pPr>
      <w:r>
        <w:rPr>
          <w:rFonts w:ascii="Helvetica" w:hAnsi="Helvetica" w:cs="Helvetica"/>
          <w:sz w:val="18"/>
          <w:szCs w:val="18"/>
        </w:rPr>
        <w:t>In preparing this republication, amendments have been made under section 13.</w:t>
      </w:r>
    </w:p>
    <w:p w14:paraId="3D1903B3" w14:textId="77777777" w:rsidR="00A905D9" w:rsidRDefault="000E725A">
      <w:pPr>
        <w:spacing w:before="40" w:after="40"/>
        <w:ind w:left="300"/>
        <w:rPr>
          <w:rFonts w:ascii="Helvetica" w:hAnsi="Helvetica" w:cs="Helvetica"/>
          <w:sz w:val="18"/>
          <w:szCs w:val="18"/>
        </w:rPr>
      </w:pPr>
      <w:r>
        <w:rPr>
          <w:rFonts w:ascii="Helvetica" w:hAnsi="Helvetica" w:cs="Helvetica"/>
          <w:sz w:val="18"/>
          <w:szCs w:val="18"/>
        </w:rPr>
        <w:t>Not all amendments made under section 13 are annotated in the table of amendments.  Full details of any amendments can be obtained from the Parliamentary Counsel’s Office.</w:t>
      </w:r>
    </w:p>
    <w:p w14:paraId="03AFB017" w14:textId="77777777" w:rsidR="00A905D9" w:rsidRDefault="000E725A">
      <w:pPr>
        <w:pStyle w:val="Endnote2"/>
      </w:pPr>
      <w:bookmarkStart w:id="15" w:name="_Toc524323846"/>
      <w:r>
        <w:t>2</w:t>
      </w:r>
      <w:r>
        <w:tab/>
        <w:t>Abbreviation key</w:t>
      </w:r>
      <w:bookmarkEnd w:id="15"/>
    </w:p>
    <w:p w14:paraId="06030F77" w14:textId="77777777" w:rsidR="00A905D9" w:rsidRDefault="000E725A">
      <w:pPr>
        <w:ind w:left="260" w:hanging="260"/>
        <w:jc w:val="center"/>
        <w:rPr>
          <w:rFonts w:ascii="Helvetica" w:hAnsi="Helvetica" w:cs="Helvetica"/>
          <w:sz w:val="18"/>
          <w:szCs w:val="18"/>
        </w:rPr>
      </w:pPr>
      <w:r>
        <w:rPr>
          <w:rFonts w:ascii="Helvetica" w:hAnsi="Helvetica" w:cs="Helvetica"/>
          <w:sz w:val="18"/>
          <w:szCs w:val="18"/>
        </w:rPr>
        <w:t>Key to abbreviations in tables</w:t>
      </w:r>
    </w:p>
    <w:p w14:paraId="3E75090B" w14:textId="77777777" w:rsidR="00A905D9" w:rsidRDefault="00A905D9">
      <w:pPr>
        <w:jc w:val="center"/>
        <w:rPr>
          <w:rFonts w:ascii="Helvetica" w:hAnsi="Helvetica" w:cs="Helvetica"/>
          <w:sz w:val="18"/>
          <w:szCs w:val="18"/>
        </w:rPr>
        <w:sectPr w:rsidR="00A905D9">
          <w:headerReference w:type="default" r:id="rId21"/>
          <w:footerReference w:type="default" r:id="rId22"/>
          <w:pgSz w:w="11907" w:h="16839"/>
          <w:pgMar w:top="3000" w:right="2300" w:bottom="2500" w:left="2300" w:header="2480" w:footer="2100" w:gutter="0"/>
          <w:cols w:space="709"/>
        </w:sectPr>
      </w:pPr>
    </w:p>
    <w:p w14:paraId="2AE8C968"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am = amended</w:t>
      </w:r>
    </w:p>
    <w:p w14:paraId="3F836F87"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amdt = amendment</w:t>
      </w:r>
    </w:p>
    <w:p w14:paraId="305A523B"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ch = chapter</w:t>
      </w:r>
    </w:p>
    <w:p w14:paraId="14116027"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cl = clause</w:t>
      </w:r>
    </w:p>
    <w:p w14:paraId="79A26CEA"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def = definition</w:t>
      </w:r>
    </w:p>
    <w:p w14:paraId="6739486A"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dict = dictionary</w:t>
      </w:r>
    </w:p>
    <w:p w14:paraId="1B9BEAA5"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div = division</w:t>
      </w:r>
    </w:p>
    <w:p w14:paraId="4785712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exp = expires/expired</w:t>
      </w:r>
    </w:p>
    <w:p w14:paraId="65524A91"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Gaz = Gazette</w:t>
      </w:r>
    </w:p>
    <w:p w14:paraId="21038A5F"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hdg = heading</w:t>
      </w:r>
    </w:p>
    <w:p w14:paraId="1FE0355B"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ins = inserted/added</w:t>
      </w:r>
    </w:p>
    <w:p w14:paraId="776BAB8A" w14:textId="77777777" w:rsidR="00A905D9" w:rsidRDefault="000E725A">
      <w:pPr>
        <w:spacing w:before="20" w:after="20"/>
        <w:ind w:left="700" w:hanging="400"/>
        <w:jc w:val="left"/>
        <w:rPr>
          <w:rFonts w:ascii="Helvetica" w:hAnsi="Helvetica" w:cs="Helvetica"/>
          <w:sz w:val="16"/>
          <w:szCs w:val="16"/>
        </w:rPr>
      </w:pPr>
      <w:r>
        <w:rPr>
          <w:rFonts w:ascii="Helvetica" w:hAnsi="Helvetica" w:cs="Helvetica"/>
          <w:sz w:val="16"/>
          <w:szCs w:val="16"/>
        </w:rPr>
        <w:t>LR = Legislation (Republication) Act 1996</w:t>
      </w:r>
    </w:p>
    <w:p w14:paraId="78A0B1E9"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mod = modified</w:t>
      </w:r>
    </w:p>
    <w:p w14:paraId="47D61D52"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No = number</w:t>
      </w:r>
    </w:p>
    <w:p w14:paraId="7C2FBF5B"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notfd = notified</w:t>
      </w:r>
    </w:p>
    <w:p w14:paraId="4ECD0DD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o = order</w:t>
      </w:r>
    </w:p>
    <w:p w14:paraId="2B985CF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om = omitted/repealed</w:t>
      </w:r>
    </w:p>
    <w:p w14:paraId="0F32B571"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orig = original</w:t>
      </w:r>
    </w:p>
    <w:p w14:paraId="2767576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p = page</w:t>
      </w:r>
    </w:p>
    <w:p w14:paraId="429058AA"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par = paragraph</w:t>
      </w:r>
    </w:p>
    <w:p w14:paraId="36A65A95"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pres = present</w:t>
      </w:r>
    </w:p>
    <w:p w14:paraId="26EDE46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prev = previous</w:t>
      </w:r>
    </w:p>
    <w:p w14:paraId="0F5F9723"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(prev...) = previously</w:t>
      </w:r>
    </w:p>
    <w:p w14:paraId="6135E62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prov = provision</w:t>
      </w:r>
    </w:p>
    <w:p w14:paraId="6BCAD768"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pt = part</w:t>
      </w:r>
    </w:p>
    <w:p w14:paraId="5FB692F0"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r = rule/subrule</w:t>
      </w:r>
    </w:p>
    <w:p w14:paraId="7A2FD93A"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reg = regulation/subregulation</w:t>
      </w:r>
    </w:p>
    <w:p w14:paraId="18AD7052"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renum = renumbered</w:t>
      </w:r>
    </w:p>
    <w:p w14:paraId="50BAC325"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reloc = relocated</w:t>
      </w:r>
    </w:p>
    <w:p w14:paraId="27DD359D"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R[X] = Republication No</w:t>
      </w:r>
    </w:p>
    <w:p w14:paraId="6C5E9356"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s = section/subsection</w:t>
      </w:r>
    </w:p>
    <w:p w14:paraId="0347392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sch = schedule</w:t>
      </w:r>
    </w:p>
    <w:p w14:paraId="5E67C6F5"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sdiv = subdivision</w:t>
      </w:r>
    </w:p>
    <w:p w14:paraId="4E489DA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sub = substituted</w:t>
      </w:r>
    </w:p>
    <w:p w14:paraId="52D477FD"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SL  = Subordinate Law</w:t>
      </w:r>
    </w:p>
    <w:p w14:paraId="3C0C15D4"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sp = spent</w:t>
      </w:r>
    </w:p>
    <w:p w14:paraId="36AE3597" w14:textId="77777777" w:rsidR="00A905D9" w:rsidRDefault="000E725A">
      <w:pPr>
        <w:spacing w:before="20" w:after="20"/>
        <w:ind w:left="300"/>
        <w:jc w:val="left"/>
        <w:rPr>
          <w:rFonts w:ascii="Helvetica" w:hAnsi="Helvetica" w:cs="Helvetica"/>
          <w:sz w:val="16"/>
          <w:szCs w:val="16"/>
        </w:rPr>
      </w:pPr>
      <w:r>
        <w:rPr>
          <w:rFonts w:ascii="Helvetica" w:hAnsi="Helvetica" w:cs="Helvetica"/>
          <w:sz w:val="16"/>
          <w:szCs w:val="16"/>
        </w:rPr>
        <w:t>*    SL unless otherwise stated</w:t>
      </w:r>
    </w:p>
    <w:p w14:paraId="544AB7F2" w14:textId="77777777" w:rsidR="00A905D9" w:rsidRDefault="000E725A">
      <w:pPr>
        <w:spacing w:before="20" w:after="20"/>
        <w:ind w:left="500" w:hanging="200"/>
        <w:jc w:val="left"/>
        <w:rPr>
          <w:rFonts w:ascii="Helvetica" w:hAnsi="Helvetica" w:cs="Helvetica"/>
          <w:sz w:val="16"/>
          <w:szCs w:val="16"/>
        </w:rPr>
      </w:pPr>
      <w:r>
        <w:rPr>
          <w:rFonts w:ascii="Helvetica" w:hAnsi="Helvetica" w:cs="Helvetica"/>
          <w:sz w:val="16"/>
          <w:szCs w:val="16"/>
        </w:rPr>
        <w:t>†   Act or Ordinance unless otherwise stated</w:t>
      </w:r>
    </w:p>
    <w:p w14:paraId="517FB3CD" w14:textId="77777777" w:rsidR="00A905D9" w:rsidRDefault="00A905D9">
      <w:pPr>
        <w:ind w:left="260" w:hanging="260"/>
        <w:jc w:val="center"/>
        <w:rPr>
          <w:rFonts w:ascii="Helvetica" w:hAnsi="Helvetica" w:cs="Helvetica"/>
          <w:sz w:val="18"/>
          <w:szCs w:val="18"/>
        </w:rPr>
        <w:sectPr w:rsidR="00A905D9">
          <w:headerReference w:type="default" r:id="rId23"/>
          <w:footerReference w:type="default" r:id="rId24"/>
          <w:type w:val="continuous"/>
          <w:pgSz w:w="11907" w:h="16839"/>
          <w:pgMar w:top="3000" w:right="2300" w:bottom="2500" w:left="2300" w:header="2480" w:footer="2100" w:gutter="0"/>
          <w:cols w:num="2" w:space="709"/>
        </w:sectPr>
      </w:pPr>
    </w:p>
    <w:p w14:paraId="2B21A71A" w14:textId="77777777" w:rsidR="00A905D9" w:rsidRDefault="000E725A">
      <w:pPr>
        <w:pStyle w:val="Endnote2"/>
      </w:pPr>
      <w:r>
        <w:br w:type="page"/>
      </w:r>
      <w:bookmarkStart w:id="16" w:name="_Toc524323847"/>
      <w:r>
        <w:lastRenderedPageBreak/>
        <w:t>3</w:t>
      </w:r>
      <w:r>
        <w:tab/>
        <w:t>Table of legislation</w:t>
      </w:r>
      <w:bookmarkEnd w:id="16"/>
    </w:p>
    <w:tbl>
      <w:tblPr>
        <w:tblW w:w="0" w:type="auto"/>
        <w:tblInd w:w="260" w:type="dxa"/>
        <w:tblLayout w:type="fixed"/>
        <w:tblCellMar>
          <w:left w:w="80" w:type="dxa"/>
          <w:right w:w="80" w:type="dxa"/>
        </w:tblCellMar>
        <w:tblLook w:val="0000" w:firstRow="0" w:lastRow="0" w:firstColumn="0" w:lastColumn="0" w:noHBand="0" w:noVBand="0"/>
      </w:tblPr>
      <w:tblGrid>
        <w:gridCol w:w="2020"/>
        <w:gridCol w:w="1300"/>
        <w:gridCol w:w="1421"/>
        <w:gridCol w:w="1624"/>
        <w:gridCol w:w="1015"/>
      </w:tblGrid>
      <w:tr w:rsidR="00A905D9" w14:paraId="2D4B7A90" w14:textId="77777777">
        <w:trPr>
          <w:cantSplit/>
        </w:trPr>
        <w:tc>
          <w:tcPr>
            <w:tcW w:w="2020" w:type="dxa"/>
            <w:tcBorders>
              <w:top w:val="single" w:sz="6" w:space="0" w:color="auto"/>
              <w:left w:val="nil"/>
              <w:bottom w:val="single" w:sz="2" w:space="0" w:color="auto"/>
              <w:right w:val="nil"/>
            </w:tcBorders>
          </w:tcPr>
          <w:p w14:paraId="45144BF0" w14:textId="77777777" w:rsidR="00A905D9" w:rsidRDefault="000E725A">
            <w:pPr>
              <w:spacing w:before="200" w:after="100"/>
              <w:ind w:left="-40"/>
              <w:rPr>
                <w:rFonts w:ascii="Helvetica" w:hAnsi="Helvetica" w:cs="Helvetica"/>
                <w:sz w:val="16"/>
                <w:szCs w:val="16"/>
              </w:rPr>
            </w:pPr>
            <w:r>
              <w:rPr>
                <w:rFonts w:ascii="Helvetica" w:hAnsi="Helvetica" w:cs="Helvetica"/>
                <w:sz w:val="16"/>
                <w:szCs w:val="16"/>
              </w:rPr>
              <w:t>Subordinate law*</w:t>
            </w:r>
          </w:p>
        </w:tc>
        <w:tc>
          <w:tcPr>
            <w:tcW w:w="1300" w:type="dxa"/>
            <w:tcBorders>
              <w:top w:val="single" w:sz="6" w:space="0" w:color="auto"/>
              <w:left w:val="nil"/>
              <w:bottom w:val="single" w:sz="2" w:space="0" w:color="auto"/>
              <w:right w:val="nil"/>
            </w:tcBorders>
          </w:tcPr>
          <w:p w14:paraId="36B21892" w14:textId="77777777" w:rsidR="00A905D9" w:rsidRDefault="000E725A">
            <w:pPr>
              <w:spacing w:before="100" w:after="100"/>
              <w:jc w:val="left"/>
              <w:rPr>
                <w:rFonts w:ascii="Helvetica" w:hAnsi="Helvetica" w:cs="Helvetica"/>
                <w:sz w:val="16"/>
                <w:szCs w:val="16"/>
              </w:rPr>
            </w:pPr>
            <w:r>
              <w:rPr>
                <w:rFonts w:ascii="Helvetica" w:hAnsi="Helvetica" w:cs="Helvetica"/>
                <w:sz w:val="16"/>
                <w:szCs w:val="16"/>
              </w:rPr>
              <w:t>Year and number*</w:t>
            </w:r>
          </w:p>
        </w:tc>
        <w:tc>
          <w:tcPr>
            <w:tcW w:w="1421" w:type="dxa"/>
            <w:tcBorders>
              <w:top w:val="single" w:sz="6" w:space="0" w:color="auto"/>
              <w:left w:val="nil"/>
              <w:bottom w:val="single" w:sz="2" w:space="0" w:color="auto"/>
              <w:right w:val="nil"/>
            </w:tcBorders>
          </w:tcPr>
          <w:p w14:paraId="69655F78" w14:textId="77777777" w:rsidR="00A905D9" w:rsidRDefault="000E725A">
            <w:pPr>
              <w:spacing w:before="100" w:after="0"/>
              <w:rPr>
                <w:rFonts w:ascii="Helvetica" w:hAnsi="Helvetica" w:cs="Helvetica"/>
                <w:sz w:val="16"/>
                <w:szCs w:val="16"/>
              </w:rPr>
            </w:pPr>
            <w:r>
              <w:rPr>
                <w:rFonts w:ascii="Helvetica" w:hAnsi="Helvetica" w:cs="Helvetica"/>
                <w:sz w:val="16"/>
                <w:szCs w:val="16"/>
              </w:rPr>
              <w:t>Gazette</w:t>
            </w:r>
          </w:p>
          <w:p w14:paraId="710C74E7" w14:textId="77777777" w:rsidR="00A905D9" w:rsidRDefault="000E725A">
            <w:pPr>
              <w:spacing w:before="0" w:after="0"/>
              <w:rPr>
                <w:rFonts w:ascii="Helvetica" w:hAnsi="Helvetica" w:cs="Helvetica"/>
                <w:sz w:val="16"/>
                <w:szCs w:val="16"/>
              </w:rPr>
            </w:pPr>
            <w:r>
              <w:rPr>
                <w:rFonts w:ascii="Helvetica" w:hAnsi="Helvetica" w:cs="Helvetica"/>
                <w:sz w:val="16"/>
                <w:szCs w:val="16"/>
              </w:rPr>
              <w:t>notification</w:t>
            </w:r>
          </w:p>
        </w:tc>
        <w:tc>
          <w:tcPr>
            <w:tcW w:w="1624" w:type="dxa"/>
            <w:tcBorders>
              <w:top w:val="single" w:sz="6" w:space="0" w:color="auto"/>
              <w:left w:val="nil"/>
              <w:bottom w:val="single" w:sz="2" w:space="0" w:color="auto"/>
              <w:right w:val="nil"/>
            </w:tcBorders>
          </w:tcPr>
          <w:p w14:paraId="05EDBADB" w14:textId="77777777" w:rsidR="00A905D9" w:rsidRDefault="000E725A">
            <w:pPr>
              <w:spacing w:before="200" w:after="0"/>
              <w:rPr>
                <w:rFonts w:ascii="Helvetica" w:hAnsi="Helvetica" w:cs="Helvetica"/>
                <w:sz w:val="16"/>
                <w:szCs w:val="16"/>
              </w:rPr>
            </w:pPr>
            <w:r>
              <w:rPr>
                <w:rFonts w:ascii="Helvetica" w:hAnsi="Helvetica" w:cs="Helvetica"/>
                <w:sz w:val="16"/>
                <w:szCs w:val="16"/>
              </w:rPr>
              <w:t>Commencement</w:t>
            </w:r>
          </w:p>
        </w:tc>
        <w:tc>
          <w:tcPr>
            <w:tcW w:w="1015" w:type="dxa"/>
            <w:tcBorders>
              <w:top w:val="single" w:sz="6" w:space="0" w:color="auto"/>
              <w:left w:val="nil"/>
              <w:bottom w:val="single" w:sz="2" w:space="0" w:color="auto"/>
              <w:right w:val="nil"/>
            </w:tcBorders>
          </w:tcPr>
          <w:p w14:paraId="0C261DA2" w14:textId="77777777" w:rsidR="00A905D9" w:rsidRDefault="000E725A">
            <w:pPr>
              <w:spacing w:before="100" w:after="100"/>
              <w:jc w:val="right"/>
              <w:rPr>
                <w:rFonts w:ascii="Helvetica" w:hAnsi="Helvetica" w:cs="Helvetica"/>
                <w:sz w:val="16"/>
                <w:szCs w:val="16"/>
              </w:rPr>
            </w:pPr>
            <w:r>
              <w:rPr>
                <w:rFonts w:ascii="Helvetica" w:hAnsi="Helvetica" w:cs="Helvetica"/>
                <w:sz w:val="16"/>
                <w:szCs w:val="16"/>
              </w:rPr>
              <w:t>Transitional provisions</w:t>
            </w:r>
          </w:p>
        </w:tc>
      </w:tr>
    </w:tbl>
    <w:p w14:paraId="43A9AE52" w14:textId="77777777" w:rsidR="00A905D9" w:rsidRDefault="00A905D9">
      <w:pPr>
        <w:spacing w:before="0" w:after="0"/>
        <w:ind w:left="140" w:right="20"/>
        <w:rPr>
          <w:rFonts w:ascii="Helvetica" w:hAnsi="Helvetica" w:cs="Helvetica"/>
          <w:sz w:val="8"/>
          <w:szCs w:val="8"/>
        </w:rPr>
        <w:sectPr w:rsidR="00A905D9">
          <w:headerReference w:type="default" r:id="rId25"/>
          <w:footerReference w:type="default" r:id="rId26"/>
          <w:headerReference w:type="first" r:id="rId27"/>
          <w:footerReference w:type="first" r:id="rId28"/>
          <w:type w:val="continuous"/>
          <w:pgSz w:w="11907" w:h="16839"/>
          <w:pgMar w:top="3000" w:right="2300" w:bottom="2500" w:left="2300" w:header="2480" w:footer="2100" w:gutter="0"/>
          <w:cols w:space="709"/>
          <w:titlePg/>
        </w:sectPr>
      </w:pPr>
    </w:p>
    <w:p w14:paraId="5F91489E" w14:textId="77777777" w:rsidR="00A905D9" w:rsidRDefault="00A905D9">
      <w:pPr>
        <w:spacing w:before="0" w:after="0"/>
        <w:ind w:left="140" w:right="20"/>
        <w:rPr>
          <w:rFonts w:ascii="Helvetica" w:hAnsi="Helvetica" w:cs="Helvetica"/>
          <w:sz w:val="8"/>
          <w:szCs w:val="8"/>
        </w:rPr>
      </w:pPr>
    </w:p>
    <w:tbl>
      <w:tblPr>
        <w:tblW w:w="0" w:type="auto"/>
        <w:tblInd w:w="280" w:type="dxa"/>
        <w:tblBorders>
          <w:bottom w:val="single" w:sz="6" w:space="0" w:color="auto"/>
        </w:tblBorders>
        <w:tblLayout w:type="fixed"/>
        <w:tblCellMar>
          <w:left w:w="80" w:type="dxa"/>
          <w:right w:w="80" w:type="dxa"/>
        </w:tblCellMar>
        <w:tblLook w:val="0000" w:firstRow="0" w:lastRow="0" w:firstColumn="0" w:lastColumn="0" w:noHBand="0" w:noVBand="0"/>
      </w:tblPr>
      <w:tblGrid>
        <w:gridCol w:w="1960"/>
        <w:gridCol w:w="1320"/>
        <w:gridCol w:w="1470"/>
        <w:gridCol w:w="1631"/>
        <w:gridCol w:w="1019"/>
      </w:tblGrid>
      <w:tr w:rsidR="00A905D9" w14:paraId="39AD3692" w14:textId="77777777">
        <w:trPr>
          <w:cantSplit/>
        </w:trPr>
        <w:tc>
          <w:tcPr>
            <w:tcW w:w="1960" w:type="dxa"/>
            <w:tcBorders>
              <w:top w:val="nil"/>
              <w:left w:val="nil"/>
              <w:bottom w:val="single" w:sz="6" w:space="0" w:color="auto"/>
              <w:right w:val="nil"/>
            </w:tcBorders>
          </w:tcPr>
          <w:p w14:paraId="639BC484" w14:textId="77777777" w:rsidR="00A905D9" w:rsidRDefault="000E725A">
            <w:pPr>
              <w:spacing w:before="20" w:after="20"/>
              <w:ind w:left="120" w:hanging="200"/>
              <w:jc w:val="left"/>
              <w:rPr>
                <w:rFonts w:ascii="Helvetica" w:hAnsi="Helvetica" w:cs="Helvetica"/>
                <w:i/>
                <w:iCs/>
                <w:sz w:val="16"/>
                <w:szCs w:val="16"/>
              </w:rPr>
            </w:pPr>
            <w:r>
              <w:rPr>
                <w:rFonts w:ascii="Helvetica" w:hAnsi="Helvetica" w:cs="Helvetica"/>
                <w:i/>
                <w:iCs/>
                <w:sz w:val="16"/>
                <w:szCs w:val="16"/>
              </w:rPr>
              <w:t>Births, Deaths and Marriages Registration Regulations</w:t>
            </w:r>
          </w:p>
        </w:tc>
        <w:tc>
          <w:tcPr>
            <w:tcW w:w="1320" w:type="dxa"/>
            <w:tcBorders>
              <w:top w:val="nil"/>
              <w:left w:val="nil"/>
              <w:bottom w:val="single" w:sz="6" w:space="0" w:color="auto"/>
              <w:right w:val="nil"/>
            </w:tcBorders>
          </w:tcPr>
          <w:p w14:paraId="69CEE41A" w14:textId="77777777" w:rsidR="00A905D9" w:rsidRDefault="000E725A">
            <w:pPr>
              <w:spacing w:before="20" w:after="20"/>
              <w:jc w:val="left"/>
              <w:rPr>
                <w:rFonts w:ascii="Helvetica" w:hAnsi="Helvetica" w:cs="Helvetica"/>
                <w:sz w:val="16"/>
                <w:szCs w:val="16"/>
              </w:rPr>
            </w:pPr>
            <w:r>
              <w:rPr>
                <w:rFonts w:ascii="Helvetica" w:hAnsi="Helvetica" w:cs="Helvetica"/>
                <w:sz w:val="16"/>
                <w:szCs w:val="16"/>
              </w:rPr>
              <w:t>1998 No 36</w:t>
            </w:r>
          </w:p>
        </w:tc>
        <w:tc>
          <w:tcPr>
            <w:tcW w:w="1470" w:type="dxa"/>
            <w:tcBorders>
              <w:top w:val="nil"/>
              <w:left w:val="nil"/>
              <w:bottom w:val="single" w:sz="6" w:space="0" w:color="auto"/>
              <w:right w:val="nil"/>
            </w:tcBorders>
          </w:tcPr>
          <w:p w14:paraId="4111A5B8" w14:textId="77777777" w:rsidR="00A905D9" w:rsidRDefault="000E725A">
            <w:pPr>
              <w:spacing w:before="20" w:after="20"/>
              <w:jc w:val="left"/>
              <w:rPr>
                <w:rFonts w:ascii="Helvetica" w:hAnsi="Helvetica" w:cs="Helvetica"/>
                <w:sz w:val="16"/>
                <w:szCs w:val="16"/>
              </w:rPr>
            </w:pPr>
            <w:r>
              <w:rPr>
                <w:rFonts w:ascii="Helvetica" w:hAnsi="Helvetica" w:cs="Helvetica"/>
                <w:sz w:val="16"/>
                <w:szCs w:val="16"/>
              </w:rPr>
              <w:t>9 Dec 1998</w:t>
            </w:r>
          </w:p>
        </w:tc>
        <w:tc>
          <w:tcPr>
            <w:tcW w:w="1631" w:type="dxa"/>
            <w:tcBorders>
              <w:top w:val="nil"/>
              <w:left w:val="nil"/>
              <w:bottom w:val="single" w:sz="6" w:space="0" w:color="auto"/>
              <w:right w:val="nil"/>
            </w:tcBorders>
          </w:tcPr>
          <w:p w14:paraId="2E7ED74B" w14:textId="39EA84EF" w:rsidR="00A905D9" w:rsidRDefault="000E725A">
            <w:pPr>
              <w:spacing w:before="20" w:after="20"/>
              <w:jc w:val="left"/>
              <w:rPr>
                <w:rFonts w:ascii="Helvetica" w:hAnsi="Helvetica" w:cs="Helvetica"/>
                <w:sz w:val="16"/>
                <w:szCs w:val="16"/>
              </w:rPr>
            </w:pPr>
            <w:r>
              <w:rPr>
                <w:rFonts w:ascii="Helvetica" w:hAnsi="Helvetica" w:cs="Helvetica"/>
                <w:sz w:val="16"/>
                <w:szCs w:val="16"/>
              </w:rPr>
              <w:t>24 June 1998 (see reg 2)</w:t>
            </w:r>
          </w:p>
          <w:p w14:paraId="531635E8" w14:textId="77777777" w:rsidR="00A905D9" w:rsidRDefault="00A905D9">
            <w:pPr>
              <w:spacing w:before="20" w:after="20"/>
              <w:jc w:val="left"/>
              <w:rPr>
                <w:rFonts w:ascii="Helvetica" w:hAnsi="Helvetica" w:cs="Helvetica"/>
                <w:sz w:val="16"/>
                <w:szCs w:val="16"/>
              </w:rPr>
            </w:pPr>
          </w:p>
        </w:tc>
        <w:tc>
          <w:tcPr>
            <w:tcW w:w="1019" w:type="dxa"/>
            <w:tcBorders>
              <w:top w:val="nil"/>
              <w:left w:val="nil"/>
              <w:bottom w:val="single" w:sz="6" w:space="0" w:color="auto"/>
              <w:right w:val="nil"/>
            </w:tcBorders>
          </w:tcPr>
          <w:p w14:paraId="161EE112" w14:textId="77777777" w:rsidR="00A905D9" w:rsidRDefault="00A905D9">
            <w:pPr>
              <w:spacing w:before="20" w:after="20"/>
              <w:jc w:val="right"/>
              <w:rPr>
                <w:rFonts w:ascii="Helvetica" w:hAnsi="Helvetica" w:cs="Helvetica"/>
                <w:sz w:val="16"/>
                <w:szCs w:val="16"/>
              </w:rPr>
            </w:pPr>
          </w:p>
        </w:tc>
      </w:tr>
    </w:tbl>
    <w:p w14:paraId="4513605F" w14:textId="77777777" w:rsidR="00A905D9" w:rsidRDefault="00A905D9">
      <w:pPr>
        <w:spacing w:before="20" w:after="20"/>
        <w:rPr>
          <w:rFonts w:ascii="Helvetica" w:hAnsi="Helvetica" w:cs="Helvetica"/>
        </w:rPr>
      </w:pPr>
    </w:p>
    <w:p w14:paraId="7B9716BC" w14:textId="77777777" w:rsidR="00A905D9" w:rsidRDefault="00A905D9">
      <w:pPr>
        <w:spacing w:before="20" w:after="20"/>
        <w:rPr>
          <w:rFonts w:ascii="Helvetica" w:hAnsi="Helvetica" w:cs="Helvetica"/>
        </w:rPr>
        <w:sectPr w:rsidR="00A905D9">
          <w:headerReference w:type="default" r:id="rId29"/>
          <w:footerReference w:type="default" r:id="rId30"/>
          <w:headerReference w:type="first" r:id="rId31"/>
          <w:type w:val="continuous"/>
          <w:pgSz w:w="11907" w:h="16839"/>
          <w:pgMar w:top="3000" w:right="2300" w:bottom="2500" w:left="2300" w:header="2480" w:footer="2100" w:gutter="0"/>
          <w:pgNumType w:start="1"/>
          <w:cols w:space="709"/>
          <w:titlePg/>
        </w:sectPr>
      </w:pPr>
    </w:p>
    <w:p w14:paraId="6E5012AB" w14:textId="77777777" w:rsidR="00A905D9" w:rsidRDefault="00A905D9"/>
    <w:p w14:paraId="10E92B60" w14:textId="29B8F1E6" w:rsidR="00A905D9" w:rsidRDefault="00A905D9"/>
    <w:p w14:paraId="3724D840" w14:textId="1B88E4F8" w:rsidR="009E2262" w:rsidRDefault="009E2262"/>
    <w:p w14:paraId="6DC4D023" w14:textId="3271CAF2" w:rsidR="009E2262" w:rsidRDefault="009E2262"/>
    <w:p w14:paraId="5283860C" w14:textId="1ABA55ED" w:rsidR="009E2262" w:rsidRDefault="009E2262"/>
    <w:p w14:paraId="797F1739" w14:textId="1BAAD368" w:rsidR="009E2262" w:rsidRDefault="009E2262"/>
    <w:p w14:paraId="037CED44" w14:textId="6AA6EAD2" w:rsidR="009E2262" w:rsidRDefault="009E2262"/>
    <w:p w14:paraId="208B5F12" w14:textId="1DCAF4C8" w:rsidR="009E2262" w:rsidRDefault="009E2262"/>
    <w:p w14:paraId="0E1D5BD3" w14:textId="175865DA" w:rsidR="009E2262" w:rsidRDefault="009E2262"/>
    <w:p w14:paraId="35481883" w14:textId="29E13BE6" w:rsidR="009E2262" w:rsidRDefault="009E2262"/>
    <w:p w14:paraId="40C3A605" w14:textId="2CC4E1E3" w:rsidR="009E2262" w:rsidRDefault="009E2262"/>
    <w:p w14:paraId="181A93AA" w14:textId="4E9F9E33" w:rsidR="009E2262" w:rsidRDefault="009E2262"/>
    <w:p w14:paraId="5C84E244" w14:textId="70E93F70" w:rsidR="009E2262" w:rsidRDefault="009E2262"/>
    <w:p w14:paraId="3F33ABBE" w14:textId="3C505BD6" w:rsidR="009E2262" w:rsidRDefault="009E2262"/>
    <w:p w14:paraId="71DFE2FA" w14:textId="3513808A" w:rsidR="009E2262" w:rsidRDefault="009E2262"/>
    <w:p w14:paraId="48370161" w14:textId="77777777" w:rsidR="009E2262" w:rsidRDefault="009E2262"/>
    <w:p w14:paraId="5C31C216" w14:textId="77777777" w:rsidR="00A905D9" w:rsidRDefault="00A905D9"/>
    <w:p w14:paraId="3B22AD96" w14:textId="77777777" w:rsidR="009E2262" w:rsidRDefault="009E2262" w:rsidP="009E2262">
      <w:r>
        <w:rPr>
          <w:color w:val="000000"/>
          <w:sz w:val="22"/>
        </w:rPr>
        <w:t>©  Australian Capital Territory 2023</w:t>
      </w:r>
    </w:p>
    <w:p w14:paraId="23F8AF09" w14:textId="4F68FD20" w:rsidR="00A905D9" w:rsidRDefault="00A905D9">
      <w:pPr>
        <w:rPr>
          <w:sz w:val="22"/>
          <w:szCs w:val="22"/>
        </w:rPr>
      </w:pPr>
    </w:p>
    <w:sectPr w:rsidR="00A905D9" w:rsidSect="003D3D64">
      <w:headerReference w:type="default" r:id="rId32"/>
      <w:footerReference w:type="default" r:id="rId33"/>
      <w:headerReference w:type="first" r:id="rId34"/>
      <w:footerReference w:type="first" r:id="rId35"/>
      <w:type w:val="continuous"/>
      <w:pgSz w:w="11907" w:h="16839" w:code="9"/>
      <w:pgMar w:top="2999" w:right="2302" w:bottom="2500" w:left="2302" w:header="2478" w:footer="2098"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4B7F" w14:textId="77777777" w:rsidR="00A905D9" w:rsidRDefault="000E725A">
      <w:pPr>
        <w:spacing w:before="0" w:after="0"/>
      </w:pPr>
      <w:r>
        <w:separator/>
      </w:r>
    </w:p>
  </w:endnote>
  <w:endnote w:type="continuationSeparator" w:id="0">
    <w:p w14:paraId="23053846" w14:textId="77777777" w:rsidR="00A905D9" w:rsidRDefault="000E72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99E3" w14:textId="77777777" w:rsidR="00A213C5" w:rsidRDefault="00A213C5">
    <w:pPr>
      <w:pStyle w:val="Status"/>
    </w:pPr>
    <w:r>
      <w:fldChar w:fldCharType="begin"/>
    </w:r>
    <w:r>
      <w:instrText xml:space="preserve"> DOCPROPERTY "Status" *\charformat </w:instrText>
    </w:r>
    <w:r>
      <w:fldChar w:fldCharType="separate"/>
    </w:r>
    <w:r>
      <w:rPr>
        <w:b/>
        <w:bC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4116" w14:textId="77777777" w:rsidR="00A905D9" w:rsidRDefault="000E725A">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8</w:t>
    </w:r>
    <w:r>
      <w:rPr>
        <w:rStyle w:val="PageNumber"/>
        <w:sz w:val="20"/>
        <w:szCs w:val="20"/>
      </w:rPr>
      <w:fldChar w:fldCharType="end"/>
    </w:r>
  </w:p>
  <w:p w14:paraId="3F3CE84F" w14:textId="10A2298C" w:rsidR="00A905D9" w:rsidRPr="00256D43" w:rsidRDefault="00256D43" w:rsidP="00256D43">
    <w:pPr>
      <w:pStyle w:val="Status"/>
    </w:pPr>
    <w:r w:rsidRPr="00256D43">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8B89" w14:textId="4E50E65C" w:rsidR="00A905D9" w:rsidRPr="00256D43" w:rsidRDefault="00256D43" w:rsidP="00256D43">
    <w:pPr>
      <w:pStyle w:val="Footer"/>
      <w:jc w:val="center"/>
      <w:rPr>
        <w:rFonts w:ascii="Arial" w:hAnsi="Arial" w:cs="Arial"/>
        <w:sz w:val="14"/>
        <w:szCs w:val="20"/>
      </w:rPr>
    </w:pPr>
    <w:r w:rsidRPr="00256D43">
      <w:rPr>
        <w:rFonts w:ascii="Arial" w:hAnsi="Arial" w:cs="Arial"/>
        <w:sz w:val="14"/>
        <w:szCs w:val="20"/>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BCB2" w14:textId="38209655" w:rsidR="00A905D9" w:rsidRDefault="000E725A">
    <w:pPr>
      <w:pStyle w:val="Footer"/>
      <w:jc w:val="center"/>
      <w:rPr>
        <w:sz w:val="20"/>
        <w:szCs w:val="20"/>
      </w:rPr>
    </w:pPr>
    <w:r>
      <w:rPr>
        <w:sz w:val="20"/>
        <w:szCs w:val="20"/>
      </w:rPr>
      <w:pgNum/>
    </w:r>
  </w:p>
  <w:p w14:paraId="553416BD" w14:textId="4A594506" w:rsidR="00256D43" w:rsidRPr="00256D43" w:rsidRDefault="00256D43" w:rsidP="00256D43">
    <w:pPr>
      <w:jc w:val="center"/>
      <w:rPr>
        <w:rFonts w:ascii="Arial" w:hAnsi="Arial" w:cs="Arial"/>
        <w:sz w:val="14"/>
      </w:rPr>
    </w:pPr>
    <w:r w:rsidRPr="00256D43">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8A95" w14:textId="77777777" w:rsidR="00A905D9" w:rsidRDefault="000E725A">
    <w:pPr>
      <w:pStyle w:val="Footer"/>
      <w:jc w:val="center"/>
      <w:rPr>
        <w:sz w:val="20"/>
        <w:szCs w:val="20"/>
      </w:rPr>
    </w:pPr>
    <w:r>
      <w:rPr>
        <w:sz w:val="20"/>
        <w:szCs w:val="20"/>
      </w:rPr>
      <w:pgNum/>
    </w:r>
  </w:p>
  <w:p w14:paraId="382D7369" w14:textId="5DB9D464" w:rsidR="00A905D9" w:rsidRPr="00256D43" w:rsidRDefault="000E725A" w:rsidP="00256D43">
    <w:pPr>
      <w:pStyle w:val="Status"/>
    </w:pPr>
    <w:r w:rsidRPr="00256D43">
      <w:fldChar w:fldCharType="begin"/>
    </w:r>
    <w:r w:rsidRPr="00256D43">
      <w:instrText xml:space="preserve"> DOCPROPERTY "Status" </w:instrText>
    </w:r>
    <w:r w:rsidRPr="00256D43">
      <w:fldChar w:fldCharType="separate"/>
    </w:r>
    <w:r w:rsidR="007877B7" w:rsidRPr="00256D43">
      <w:t xml:space="preserve"> </w:t>
    </w:r>
    <w:r w:rsidRPr="00256D43">
      <w:fldChar w:fldCharType="end"/>
    </w:r>
    <w:r w:rsidR="00256D43" w:rsidRPr="00256D43">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4DB4" w14:textId="794D509E" w:rsidR="00A905D9" w:rsidRDefault="000E725A">
    <w:pPr>
      <w:pStyle w:val="Status"/>
    </w:pPr>
    <w:r>
      <w:fldChar w:fldCharType="begin"/>
    </w:r>
    <w:r>
      <w:instrText xml:space="preserve"> DOCPROPERTY "Status" </w:instrText>
    </w:r>
    <w:r>
      <w:fldChar w:fldCharType="separate"/>
    </w:r>
    <w:r w:rsidR="007877B7">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40F0" w14:textId="14681A2A" w:rsidR="00A213C5" w:rsidRPr="00256D43" w:rsidRDefault="00A213C5" w:rsidP="00256D43">
    <w:pPr>
      <w:pStyle w:val="Footer"/>
      <w:jc w:val="center"/>
      <w:rPr>
        <w:rFonts w:ascii="Arial" w:hAnsi="Arial" w:cs="Arial"/>
        <w:sz w:val="14"/>
      </w:rPr>
    </w:pPr>
    <w:r w:rsidRPr="00256D43">
      <w:rPr>
        <w:rFonts w:ascii="Arial" w:hAnsi="Arial" w:cs="Arial"/>
        <w:sz w:val="14"/>
      </w:rPr>
      <w:fldChar w:fldCharType="begin"/>
    </w:r>
    <w:r w:rsidRPr="00256D43">
      <w:rPr>
        <w:rFonts w:ascii="Arial" w:hAnsi="Arial" w:cs="Arial"/>
        <w:sz w:val="14"/>
      </w:rPr>
      <w:instrText xml:space="preserve"> COMMENTS  \* MERGEFORMAT </w:instrText>
    </w:r>
    <w:r w:rsidRPr="00256D43">
      <w:rPr>
        <w:rFonts w:ascii="Arial" w:hAnsi="Arial" w:cs="Arial"/>
        <w:sz w:val="14"/>
      </w:rPr>
      <w:fldChar w:fldCharType="end"/>
    </w:r>
    <w:r w:rsidR="00256D43" w:rsidRPr="00256D4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B426" w14:textId="4DCEDFAF" w:rsidR="00256D43" w:rsidRPr="00256D43" w:rsidRDefault="00256D43" w:rsidP="00256D43">
    <w:pPr>
      <w:pStyle w:val="Footer"/>
      <w:jc w:val="center"/>
      <w:rPr>
        <w:rFonts w:ascii="Arial" w:hAnsi="Arial" w:cs="Arial"/>
        <w:sz w:val="14"/>
      </w:rPr>
    </w:pPr>
    <w:r w:rsidRPr="00256D4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90FB" w14:textId="08F116A3" w:rsidR="00A905D9" w:rsidRDefault="000E725A">
    <w:pPr>
      <w:pStyle w:val="Footer"/>
      <w:jc w:val="center"/>
      <w:rPr>
        <w:sz w:val="20"/>
        <w:szCs w:val="20"/>
      </w:rPr>
    </w:pPr>
    <w:r>
      <w:rPr>
        <w:sz w:val="20"/>
        <w:szCs w:val="20"/>
      </w:rPr>
      <w:pgNum/>
    </w:r>
  </w:p>
  <w:p w14:paraId="23FE25E3" w14:textId="6800318E" w:rsidR="00256D43" w:rsidRPr="00256D43" w:rsidRDefault="00256D43" w:rsidP="00256D43">
    <w:pPr>
      <w:jc w:val="center"/>
      <w:rPr>
        <w:rFonts w:ascii="Arial" w:hAnsi="Arial" w:cs="Arial"/>
        <w:sz w:val="14"/>
      </w:rPr>
    </w:pPr>
    <w:r w:rsidRPr="00256D4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156E" w14:textId="78C06BB6" w:rsidR="00A905D9" w:rsidRPr="00256D43" w:rsidRDefault="00256D43" w:rsidP="00256D43">
    <w:pPr>
      <w:pStyle w:val="Status"/>
    </w:pPr>
    <w:r w:rsidRPr="00256D43">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7E6B" w14:textId="77777777" w:rsidR="00A905D9" w:rsidRDefault="000E725A">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6</w:t>
    </w:r>
    <w:r>
      <w:rPr>
        <w:rStyle w:val="PageNumber"/>
        <w:sz w:val="20"/>
        <w:szCs w:val="20"/>
      </w:rPr>
      <w:fldChar w:fldCharType="end"/>
    </w:r>
  </w:p>
  <w:p w14:paraId="0B1E9B06" w14:textId="669F3085" w:rsidR="00A905D9" w:rsidRPr="00256D43" w:rsidRDefault="00256D43" w:rsidP="00256D43">
    <w:pPr>
      <w:pStyle w:val="Status"/>
    </w:pPr>
    <w:r w:rsidRPr="00256D43">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A6D" w14:textId="6A7A0859" w:rsidR="00A905D9" w:rsidRPr="00256D43" w:rsidRDefault="00256D43" w:rsidP="00256D43">
    <w:pPr>
      <w:pStyle w:val="Status"/>
    </w:pPr>
    <w:r w:rsidRPr="00256D43">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CB2C" w14:textId="77777777" w:rsidR="00A905D9" w:rsidRDefault="000E725A">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7</w:t>
    </w:r>
    <w:r>
      <w:rPr>
        <w:rStyle w:val="PageNumber"/>
        <w:sz w:val="20"/>
        <w:szCs w:val="20"/>
      </w:rPr>
      <w:fldChar w:fldCharType="end"/>
    </w:r>
  </w:p>
  <w:p w14:paraId="49661C80" w14:textId="041557A1" w:rsidR="00A905D9" w:rsidRPr="00256D43" w:rsidRDefault="00256D43" w:rsidP="00256D43">
    <w:pPr>
      <w:pStyle w:val="Status"/>
    </w:pPr>
    <w:r w:rsidRPr="00256D43">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9188" w14:textId="77777777" w:rsidR="00A905D9" w:rsidRDefault="000E725A">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1AD3B79F" w14:textId="41CF71E3" w:rsidR="00A905D9" w:rsidRPr="00256D43" w:rsidRDefault="00256D43" w:rsidP="00256D43">
    <w:pPr>
      <w:pStyle w:val="Footer"/>
      <w:jc w:val="center"/>
      <w:rPr>
        <w:rFonts w:ascii="Arial" w:hAnsi="Arial" w:cs="Arial"/>
        <w:sz w:val="14"/>
      </w:rPr>
    </w:pPr>
    <w:r w:rsidRPr="00256D4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D789" w14:textId="77777777" w:rsidR="00A905D9" w:rsidRDefault="000E725A">
      <w:pPr>
        <w:spacing w:before="0" w:after="0"/>
      </w:pPr>
      <w:r>
        <w:separator/>
      </w:r>
    </w:p>
  </w:footnote>
  <w:footnote w:type="continuationSeparator" w:id="0">
    <w:p w14:paraId="0D6FE965" w14:textId="77777777" w:rsidR="00A905D9" w:rsidRDefault="000E72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0830" w14:textId="77777777" w:rsidR="00256D43" w:rsidRDefault="00256D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28E0" w14:textId="77777777" w:rsidR="00A905D9" w:rsidRDefault="00A905D9">
    <w:pPr>
      <w:widowControl w:val="0"/>
      <w:tabs>
        <w:tab w:val="left" w:pos="1600"/>
        <w:tab w:val="right" w:pos="7180"/>
      </w:tabs>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E51C" w14:textId="77777777" w:rsidR="00A905D9" w:rsidRDefault="000E725A">
    <w:pPr>
      <w:widowControl w:val="0"/>
      <w:tabs>
        <w:tab w:val="center" w:pos="3600"/>
        <w:tab w:val="right" w:pos="7180"/>
      </w:tabs>
      <w:jc w:val="center"/>
      <w:rPr>
        <w:sz w:val="20"/>
        <w:szCs w:val="20"/>
      </w:rPr>
    </w:pPr>
    <w:r>
      <w:rPr>
        <w:i/>
        <w:iCs/>
        <w:sz w:val="20"/>
        <w:szCs w:val="20"/>
      </w:rPr>
      <w:t>Act 199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3B9A" w14:textId="77777777" w:rsidR="00A905D9" w:rsidRDefault="00A905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C99" w14:textId="77777777" w:rsidR="00A905D9" w:rsidRDefault="000E725A">
    <w:pPr>
      <w:widowControl w:val="0"/>
      <w:tabs>
        <w:tab w:val="center" w:pos="3600"/>
        <w:tab w:val="right" w:pos="7200"/>
      </w:tabs>
      <w:jc w:val="center"/>
      <w:rPr>
        <w:sz w:val="20"/>
        <w:szCs w:val="20"/>
      </w:rPr>
    </w:pPr>
    <w:r>
      <w:rPr>
        <w:i/>
        <w:iCs/>
        <w:sz w:val="20"/>
        <w:szCs w:val="20"/>
      </w:rPr>
      <w:t>header      No.    , 1996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14E1" w14:textId="77777777" w:rsidR="00A905D9" w:rsidRDefault="00A9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9F92" w14:textId="77777777" w:rsidR="00256D43" w:rsidRDefault="00256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B4C" w14:textId="77777777" w:rsidR="00256D43" w:rsidRDefault="00256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4E98" w14:textId="0765619E" w:rsidR="00A905D9" w:rsidRPr="008119E1" w:rsidRDefault="00A905D9" w:rsidP="008119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DFC1" w14:textId="77777777" w:rsidR="00A905D9" w:rsidRDefault="000E725A">
    <w:pPr>
      <w:pStyle w:val="Header"/>
      <w:jc w:val="center"/>
      <w:rPr>
        <w:i/>
        <w:iCs/>
        <w:sz w:val="20"/>
        <w:szCs w:val="20"/>
      </w:rPr>
    </w:pPr>
    <w:r>
      <w:rPr>
        <w:i/>
        <w:iCs/>
        <w:sz w:val="20"/>
        <w:szCs w:val="20"/>
      </w:rPr>
      <w:t>Births, Deaths and Marriages Registration Regulations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49" w14:textId="77777777" w:rsidR="00A905D9" w:rsidRDefault="00A905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3973" w14:textId="77777777" w:rsidR="00A905D9" w:rsidRDefault="000E725A">
    <w:pPr>
      <w:pStyle w:val="Header"/>
      <w:jc w:val="center"/>
      <w:rPr>
        <w:i/>
        <w:iCs/>
        <w:sz w:val="20"/>
        <w:szCs w:val="20"/>
      </w:rPr>
    </w:pPr>
    <w:r>
      <w:rPr>
        <w:i/>
        <w:iCs/>
        <w:sz w:val="20"/>
        <w:szCs w:val="20"/>
      </w:rPr>
      <w:t>Births, Deaths and Marriages Registration Regulations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CFE4" w14:textId="77777777" w:rsidR="00A905D9" w:rsidRDefault="00A905D9">
    <w:pPr>
      <w:widowControl w:val="0"/>
      <w:tabs>
        <w:tab w:val="left" w:pos="1660"/>
        <w:tab w:val="right" w:pos="7180"/>
      </w:tabs>
      <w:jc w:val="center"/>
      <w:rPr>
        <w:sz w:val="20"/>
        <w:szCs w:val="20"/>
      </w:rPr>
    </w:pPr>
  </w:p>
  <w:p w14:paraId="3FA6193F" w14:textId="77777777" w:rsidR="00A905D9" w:rsidRDefault="000E725A">
    <w:pPr>
      <w:widowControl w:val="0"/>
      <w:tabs>
        <w:tab w:val="left" w:pos="1660"/>
        <w:tab w:val="right" w:pos="7180"/>
      </w:tabs>
      <w:rPr>
        <w:sz w:val="20"/>
        <w:szCs w:val="20"/>
      </w:rPr>
    </w:pPr>
    <w:r>
      <w:rPr>
        <w:rFonts w:ascii="Helvetica" w:hAnsi="Helvetica" w:cs="Helvetica"/>
        <w:b/>
        <w:bCs/>
        <w:sz w:val="18"/>
        <w:szCs w:val="18"/>
      </w:rPr>
      <w:t>2   Abbreviation key</w:t>
    </w:r>
    <w:r>
      <w:rPr>
        <w:rFonts w:ascii="Helvetica" w:hAnsi="Helvetica" w:cs="Helvetica"/>
        <w:sz w:val="18"/>
        <w:szCs w:val="18"/>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0D4D" w14:textId="77777777" w:rsidR="00A905D9" w:rsidRDefault="000E725A">
    <w:pPr>
      <w:pStyle w:val="Header"/>
      <w:jc w:val="center"/>
      <w:rPr>
        <w:i/>
        <w:iCs/>
        <w:sz w:val="20"/>
        <w:szCs w:val="20"/>
      </w:rPr>
    </w:pPr>
    <w:r>
      <w:rPr>
        <w:i/>
        <w:iCs/>
        <w:sz w:val="20"/>
        <w:szCs w:val="20"/>
      </w:rPr>
      <w:t>Births, Deaths and Marriages Registration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FFFFFFFF"/>
    <w:name w:val="Lower"/>
    <w:lvl w:ilvl="0">
      <w:start w:val="1"/>
      <w:numFmt w:val="decimal"/>
      <w:suff w:val="nothing"/>
      <w:lvlText w:val="%1"/>
      <w:lvlJc w:val="left"/>
      <w:rPr>
        <w:rFonts w:ascii="Symbol" w:hAnsi="Symbol" w:cs="Symbol" w:hint="default"/>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2475A"/>
    <w:multiLevelType w:val="multilevel"/>
    <w:tmpl w:val="FFFFFFFF"/>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2"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CF0E12"/>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198348">
    <w:abstractNumId w:val="0"/>
  </w:num>
  <w:num w:numId="2" w16cid:durableId="1095631161">
    <w:abstractNumId w:val="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16cid:durableId="133378542">
    <w:abstractNumId w:val="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16cid:durableId="795366886">
    <w:abstractNumId w:val="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16cid:durableId="548302007">
    <w:abstractNumId w:val="1"/>
  </w:num>
  <w:num w:numId="6" w16cid:durableId="159974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A6"/>
    <w:rsid w:val="0006313B"/>
    <w:rsid w:val="000A0C52"/>
    <w:rsid w:val="000E725A"/>
    <w:rsid w:val="000F20D3"/>
    <w:rsid w:val="00164478"/>
    <w:rsid w:val="00165E38"/>
    <w:rsid w:val="001B5543"/>
    <w:rsid w:val="00256D43"/>
    <w:rsid w:val="003D3D64"/>
    <w:rsid w:val="00416D38"/>
    <w:rsid w:val="0051305E"/>
    <w:rsid w:val="005B56BE"/>
    <w:rsid w:val="007877B7"/>
    <w:rsid w:val="007C5DEE"/>
    <w:rsid w:val="008119E1"/>
    <w:rsid w:val="009E06F2"/>
    <w:rsid w:val="009E2262"/>
    <w:rsid w:val="00A213C5"/>
    <w:rsid w:val="00A905D9"/>
    <w:rsid w:val="00BC57A6"/>
    <w:rsid w:val="00FF6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FE5C4"/>
  <w14:defaultImageDpi w14:val="96"/>
  <w15:docId w15:val="{5633A92A-B0D8-457C-8585-E9C2820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80" w:after="60" w:line="240" w:lineRule="auto"/>
      <w:jc w:val="both"/>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uiPriority w:val="99"/>
    <w:pPr>
      <w:autoSpaceDE w:val="0"/>
      <w:autoSpaceDN w:val="0"/>
      <w:spacing w:before="80" w:after="60" w:line="240" w:lineRule="auto"/>
      <w:jc w:val="both"/>
    </w:pPr>
    <w:rPr>
      <w:rFonts w:ascii="Times" w:hAnsi="Times" w:cs="Times"/>
      <w:sz w:val="24"/>
      <w:szCs w:val="24"/>
    </w:rPr>
  </w:style>
  <w:style w:type="paragraph" w:customStyle="1" w:styleId="AH1Part">
    <w:name w:val="A H1 Part"/>
    <w:basedOn w:val="BillBasic"/>
    <w:next w:val="AH2Div"/>
    <w:uiPriority w:val="99"/>
    <w:pPr>
      <w:keepNext/>
      <w:spacing w:before="320"/>
      <w:jc w:val="center"/>
      <w:outlineLvl w:val="1"/>
    </w:pPr>
    <w:rPr>
      <w:b/>
      <w:bCs/>
      <w:caps/>
    </w:rPr>
  </w:style>
  <w:style w:type="paragraph" w:customStyle="1" w:styleId="AH2Div">
    <w:name w:val="A H2 Div"/>
    <w:basedOn w:val="BillBasic"/>
    <w:next w:val="AH3sec"/>
    <w:uiPriority w:val="99"/>
    <w:pPr>
      <w:keepNext/>
      <w:spacing w:before="180"/>
      <w:jc w:val="center"/>
      <w:outlineLvl w:val="2"/>
    </w:pPr>
    <w:rPr>
      <w:b/>
      <w:bCs/>
      <w:i/>
      <w:iCs/>
    </w:rPr>
  </w:style>
  <w:style w:type="paragraph" w:customStyle="1" w:styleId="AH3sec">
    <w:name w:val="A H3 sec"/>
    <w:basedOn w:val="BillBasic"/>
    <w:next w:val="Amain"/>
    <w:uiPriority w:val="99"/>
    <w:pPr>
      <w:keepNext/>
      <w:spacing w:before="180" w:after="0"/>
      <w:ind w:left="700" w:hanging="700"/>
      <w:jc w:val="left"/>
      <w:outlineLvl w:val="4"/>
    </w:pPr>
    <w:rPr>
      <w:b/>
      <w:bCs/>
    </w:rPr>
  </w:style>
  <w:style w:type="paragraph" w:customStyle="1" w:styleId="Amain">
    <w:name w:val="A main"/>
    <w:aliases w:val="all sections"/>
    <w:basedOn w:val="BillBasic"/>
    <w:uiPriority w:val="99"/>
    <w:pPr>
      <w:tabs>
        <w:tab w:val="left" w:pos="700"/>
      </w:tabs>
    </w:pPr>
  </w:style>
  <w:style w:type="paragraph" w:customStyle="1" w:styleId="Amainreturn">
    <w:name w:val="A main return"/>
    <w:basedOn w:val="BillBasic"/>
    <w:next w:val="Amain"/>
    <w:uiPriority w:val="99"/>
    <w:pPr>
      <w:spacing w:before="0"/>
    </w:pPr>
  </w:style>
  <w:style w:type="paragraph" w:customStyle="1" w:styleId="Apara">
    <w:name w:val="A para"/>
    <w:aliases w:val="a ind,ai,a indent"/>
    <w:basedOn w:val="BillBasic"/>
    <w:uiPriority w:val="99"/>
    <w:pPr>
      <w:tabs>
        <w:tab w:val="right" w:pos="700"/>
      </w:tabs>
      <w:spacing w:before="0"/>
      <w:ind w:left="900" w:hanging="900"/>
    </w:pPr>
  </w:style>
  <w:style w:type="paragraph" w:customStyle="1" w:styleId="Asubpara">
    <w:name w:val="A subpara"/>
    <w:basedOn w:val="BillBasic"/>
    <w:uiPriority w:val="99"/>
    <w:pPr>
      <w:tabs>
        <w:tab w:val="right" w:pos="1340"/>
      </w:tabs>
      <w:spacing w:before="0"/>
      <w:ind w:left="1540" w:hanging="1540"/>
    </w:pPr>
  </w:style>
  <w:style w:type="paragraph" w:customStyle="1" w:styleId="Asubsubpara">
    <w:name w:val="A subsubpara"/>
    <w:basedOn w:val="BillBasic"/>
    <w:uiPriority w:val="99"/>
    <w:pPr>
      <w:tabs>
        <w:tab w:val="right" w:pos="1980"/>
      </w:tabs>
      <w:spacing w:before="0"/>
      <w:ind w:left="2180" w:hanging="2180"/>
    </w:pPr>
  </w:style>
  <w:style w:type="paragraph" w:customStyle="1" w:styleId="aDef">
    <w:name w:val="aDef"/>
    <w:aliases w:val="def"/>
    <w:basedOn w:val="BillBasic"/>
    <w:uiPriority w:val="99"/>
    <w:pPr>
      <w:ind w:left="900" w:hanging="500"/>
    </w:pPr>
  </w:style>
  <w:style w:type="paragraph" w:customStyle="1" w:styleId="aExamhead">
    <w:name w:val="aExam head"/>
    <w:basedOn w:val="BillBasic"/>
    <w:next w:val="Normal"/>
    <w:uiPriority w:val="99"/>
    <w:pPr>
      <w:keepNext/>
      <w:spacing w:after="0"/>
      <w:jc w:val="left"/>
    </w:pPr>
    <w:rPr>
      <w:i/>
      <w:iCs/>
      <w:sz w:val="20"/>
      <w:szCs w:val="20"/>
    </w:rPr>
  </w:style>
  <w:style w:type="paragraph" w:customStyle="1" w:styleId="aNote">
    <w:name w:val="aNote"/>
    <w:basedOn w:val="BillBasic"/>
    <w:uiPriority w:val="99"/>
    <w:pPr>
      <w:tabs>
        <w:tab w:val="left" w:pos="700"/>
      </w:tabs>
    </w:pPr>
    <w:rPr>
      <w:sz w:val="20"/>
      <w:szCs w:val="20"/>
    </w:rPr>
  </w:style>
  <w:style w:type="paragraph" w:customStyle="1" w:styleId="BillField">
    <w:name w:val="BillField"/>
    <w:basedOn w:val="Amain"/>
    <w:uiPriority w:val="99"/>
  </w:style>
  <w:style w:type="paragraph" w:customStyle="1" w:styleId="Billfooter">
    <w:name w:val="Billfooter"/>
    <w:basedOn w:val="BillBasic"/>
    <w:uiPriority w:val="99"/>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
    <w:uiPriority w:val="99"/>
    <w:pPr>
      <w:widowControl w:val="0"/>
      <w:tabs>
        <w:tab w:val="center" w:pos="3600"/>
        <w:tab w:val="right" w:pos="7200"/>
      </w:tabs>
      <w:jc w:val="center"/>
    </w:pPr>
    <w:rPr>
      <w:i/>
      <w:iCs/>
      <w:sz w:val="20"/>
      <w:szCs w:val="20"/>
    </w:rPr>
  </w:style>
  <w:style w:type="paragraph" w:customStyle="1" w:styleId="Billname">
    <w:name w:val="Billname"/>
    <w:basedOn w:val="BillBasic"/>
    <w:uiPriority w:val="99"/>
    <w:pPr>
      <w:spacing w:before="1220" w:after="100"/>
      <w:jc w:val="center"/>
    </w:pPr>
    <w:rPr>
      <w:b/>
      <w:bCs/>
      <w:sz w:val="36"/>
      <w:szCs w:val="36"/>
    </w:rPr>
  </w:style>
  <w:style w:type="paragraph" w:customStyle="1" w:styleId="Comment">
    <w:name w:val="Comment"/>
    <w:basedOn w:val="BillBasic"/>
    <w:uiPriority w:val="99"/>
    <w:pPr>
      <w:ind w:left="900"/>
      <w:jc w:val="left"/>
    </w:pPr>
    <w:rPr>
      <w:b/>
      <w:bCs/>
      <w:sz w:val="18"/>
      <w:szCs w:val="18"/>
    </w:rPr>
  </w:style>
  <w:style w:type="paragraph" w:customStyle="1" w:styleId="Endnote1">
    <w:name w:val="Endnote1"/>
    <w:basedOn w:val="BillBasic"/>
    <w:uiPriority w:val="99"/>
    <w:pPr>
      <w:keepNext/>
      <w:tabs>
        <w:tab w:val="left" w:pos="400"/>
      </w:tabs>
      <w:spacing w:before="0" w:after="160"/>
      <w:jc w:val="left"/>
    </w:pPr>
    <w:rPr>
      <w:rFonts w:ascii="Helvetica" w:hAnsi="Helvetica" w:cs="Helvetica"/>
      <w:b/>
      <w:bCs/>
      <w:caps/>
      <w:sz w:val="18"/>
      <w:szCs w:val="18"/>
    </w:rPr>
  </w:style>
  <w:style w:type="paragraph" w:customStyle="1" w:styleId="Endnote2">
    <w:name w:val="Endnote2"/>
    <w:basedOn w:val="BillBasic"/>
    <w:uiPriority w:val="99"/>
    <w:pPr>
      <w:keepNext/>
      <w:tabs>
        <w:tab w:val="left" w:pos="240"/>
      </w:tabs>
      <w:spacing w:before="160" w:after="80"/>
      <w:jc w:val="left"/>
    </w:pPr>
    <w:rPr>
      <w:rFonts w:ascii="Helvetica" w:hAnsi="Helvetica" w:cs="Helvetica"/>
      <w:b/>
      <w:bCs/>
      <w:sz w:val="18"/>
      <w:szCs w:val="18"/>
    </w:rPr>
  </w:style>
  <w:style w:type="character" w:styleId="EndnoteReference">
    <w:name w:val="endnote reference"/>
    <w:basedOn w:val="DefaultParagraphFont"/>
    <w:uiPriority w:val="99"/>
    <w:rPr>
      <w:vertAlign w:val="superscript"/>
    </w:rPr>
  </w:style>
  <w:style w:type="paragraph" w:customStyle="1" w:styleId="IH4Part">
    <w:name w:val="I H4 Part"/>
    <w:basedOn w:val="AH1Part"/>
    <w:uiPriority w:val="99"/>
  </w:style>
  <w:style w:type="paragraph" w:customStyle="1" w:styleId="IH5Div">
    <w:name w:val="I H5 Div"/>
    <w:basedOn w:val="AH2Div"/>
    <w:uiPriority w:val="99"/>
  </w:style>
  <w:style w:type="paragraph" w:customStyle="1" w:styleId="IH6sec">
    <w:name w:val="I H6 sec"/>
    <w:basedOn w:val="AH3sec"/>
    <w:next w:val="Amain"/>
    <w:uiPriority w:val="99"/>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
    <w:uiPriority w:val="99"/>
    <w:pPr>
      <w:spacing w:before="800"/>
      <w:jc w:val="center"/>
    </w:pPr>
    <w:rPr>
      <w:b/>
      <w:bCs/>
      <w:sz w:val="28"/>
      <w:szCs w:val="28"/>
    </w:rPr>
  </w:style>
  <w:style w:type="paragraph" w:customStyle="1" w:styleId="N-9pt">
    <w:name w:val="N-9pt"/>
    <w:basedOn w:val="BillBasic"/>
    <w:uiPriority w:val="99"/>
    <w:pPr>
      <w:tabs>
        <w:tab w:val="right" w:pos="7200"/>
      </w:tabs>
      <w:spacing w:before="20" w:after="20"/>
    </w:pPr>
    <w:rPr>
      <w:sz w:val="18"/>
      <w:szCs w:val="18"/>
    </w:rPr>
  </w:style>
  <w:style w:type="paragraph" w:customStyle="1" w:styleId="N-afterBillname">
    <w:name w:val="N-afterBillname"/>
    <w:basedOn w:val="BillBasic"/>
    <w:uiPriority w:val="99"/>
    <w:pPr>
      <w:pBdr>
        <w:bottom w:val="single" w:sz="2" w:space="0" w:color="auto"/>
      </w:pBdr>
      <w:spacing w:before="100" w:after="200"/>
      <w:ind w:left="2980" w:right="3020"/>
      <w:jc w:val="center"/>
    </w:p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Helvetica" w:hAnsi="Helvetica" w:cs="Helvetica"/>
      <w:sz w:val="10"/>
      <w:szCs w:val="10"/>
    </w:rPr>
  </w:style>
  <w:style w:type="paragraph" w:customStyle="1" w:styleId="N-TOCheading">
    <w:name w:val="N-TOCheading"/>
    <w:basedOn w:val="BillBasic"/>
    <w:uiPriority w:val="99"/>
    <w:pPr>
      <w:tabs>
        <w:tab w:val="right" w:pos="540"/>
        <w:tab w:val="left" w:pos="1140"/>
      </w:tabs>
      <w:spacing w:before="1000" w:after="20"/>
      <w:jc w:val="center"/>
    </w:pPr>
    <w:rPr>
      <w:b/>
      <w:bCs/>
      <w:sz w:val="20"/>
      <w:szCs w:val="20"/>
    </w:rPr>
  </w:style>
  <w:style w:type="paragraph" w:customStyle="1" w:styleId="Schclauseheading">
    <w:name w:val="Sch clause heading"/>
    <w:basedOn w:val="BillBasic"/>
    <w:next w:val="Amain"/>
    <w:uiPriority w:val="99"/>
    <w:pPr>
      <w:keepNext/>
      <w:spacing w:before="160" w:after="0"/>
      <w:ind w:left="700" w:hanging="700"/>
      <w:jc w:val="left"/>
      <w:outlineLvl w:val="4"/>
    </w:pPr>
    <w:rPr>
      <w:b/>
      <w:bCs/>
    </w:rPr>
  </w:style>
  <w:style w:type="paragraph" w:customStyle="1" w:styleId="Sched-heading">
    <w:name w:val="Sched-heading"/>
    <w:basedOn w:val="BillBasic"/>
    <w:next w:val="Sched-name"/>
    <w:uiPriority w:val="99"/>
    <w:pPr>
      <w:keepNext/>
      <w:tabs>
        <w:tab w:val="center" w:pos="3600"/>
        <w:tab w:val="right" w:pos="7200"/>
      </w:tabs>
      <w:outlineLvl w:val="0"/>
    </w:pPr>
    <w:rPr>
      <w:b/>
      <w:bCs/>
    </w:rPr>
  </w:style>
  <w:style w:type="paragraph" w:customStyle="1" w:styleId="Sched-name">
    <w:name w:val="Sched-name"/>
    <w:basedOn w:val="BillBasic"/>
    <w:uiPriority w:val="99"/>
    <w:pPr>
      <w:keepNext/>
      <w:tabs>
        <w:tab w:val="center" w:pos="3600"/>
        <w:tab w:val="right" w:pos="7200"/>
      </w:tabs>
      <w:spacing w:before="160"/>
      <w:jc w:val="left"/>
      <w:outlineLvl w:val="1"/>
    </w:pPr>
    <w:rPr>
      <w:caps/>
    </w:rPr>
  </w:style>
  <w:style w:type="paragraph" w:styleId="TOC1">
    <w:name w:val="toc 1"/>
    <w:basedOn w:val="BillBasic"/>
    <w:next w:val="TOC2"/>
    <w:autoRedefine/>
    <w:uiPriority w:val="99"/>
    <w:pPr>
      <w:keepNext/>
      <w:jc w:val="center"/>
    </w:pPr>
    <w:rPr>
      <w:caps/>
      <w:sz w:val="20"/>
      <w:szCs w:val="20"/>
    </w:rPr>
  </w:style>
  <w:style w:type="paragraph" w:styleId="TOC2">
    <w:name w:val="toc 2"/>
    <w:basedOn w:val="BillBasic"/>
    <w:next w:val="TOC3"/>
    <w:autoRedefine/>
    <w:uiPriority w:val="99"/>
    <w:pPr>
      <w:keepNext/>
      <w:spacing w:before="20"/>
      <w:jc w:val="center"/>
    </w:pPr>
    <w:rPr>
      <w:i/>
      <w:iCs/>
      <w:sz w:val="20"/>
      <w:szCs w:val="20"/>
    </w:rPr>
  </w:style>
  <w:style w:type="paragraph" w:styleId="TOC3">
    <w:name w:val="toc 3"/>
    <w:basedOn w:val="BillBasic"/>
    <w:autoRedefine/>
    <w:uiPriority w:val="99"/>
    <w:pPr>
      <w:tabs>
        <w:tab w:val="right" w:pos="540"/>
        <w:tab w:val="right" w:leader="dot" w:pos="7200"/>
      </w:tabs>
      <w:spacing w:before="20" w:after="20"/>
      <w:ind w:left="1120" w:hanging="1120"/>
      <w:jc w:val="left"/>
    </w:pPr>
    <w:rPr>
      <w:sz w:val="20"/>
      <w:szCs w:val="20"/>
    </w:rPr>
  </w:style>
  <w:style w:type="paragraph" w:styleId="TOC4">
    <w:name w:val="toc 4"/>
    <w:basedOn w:val="BillBasic"/>
    <w:next w:val="TOC5"/>
    <w:autoRedefine/>
    <w:uiPriority w:val="99"/>
    <w:pPr>
      <w:spacing w:before="20" w:after="20"/>
      <w:ind w:left="1120" w:right="20"/>
      <w:jc w:val="center"/>
    </w:pPr>
    <w:rPr>
      <w:caps/>
      <w:sz w:val="20"/>
      <w:szCs w:val="20"/>
    </w:rPr>
  </w:style>
  <w:style w:type="paragraph" w:styleId="TOC5">
    <w:name w:val="toc 5"/>
    <w:basedOn w:val="BillBasic"/>
    <w:next w:val="TOC6"/>
    <w:autoRedefine/>
    <w:uiPriority w:val="99"/>
    <w:pPr>
      <w:spacing w:before="20" w:after="20"/>
      <w:ind w:left="1120" w:right="20"/>
      <w:jc w:val="center"/>
    </w:pPr>
    <w:rPr>
      <w:i/>
      <w:iCs/>
      <w:sz w:val="20"/>
      <w:szCs w:val="20"/>
    </w:rPr>
  </w:style>
  <w:style w:type="paragraph" w:styleId="TOC6">
    <w:name w:val="toc 6"/>
    <w:basedOn w:val="BillBasic"/>
    <w:autoRedefine/>
    <w:uiPriority w:val="99"/>
    <w:pPr>
      <w:tabs>
        <w:tab w:val="right" w:pos="1900"/>
        <w:tab w:val="right" w:leader="dot" w:pos="7200"/>
      </w:tabs>
      <w:spacing w:before="20" w:after="20"/>
      <w:ind w:left="2300" w:hanging="2300"/>
      <w:jc w:val="left"/>
    </w:pPr>
    <w:rPr>
      <w:sz w:val="20"/>
      <w:szCs w:val="20"/>
    </w:rPr>
  </w:style>
  <w:style w:type="paragraph" w:styleId="TOC7">
    <w:name w:val="toc 7"/>
    <w:basedOn w:val="BillBasic"/>
    <w:next w:val="TOC8"/>
    <w:autoRedefine/>
    <w:uiPriority w:val="99"/>
    <w:pPr>
      <w:tabs>
        <w:tab w:val="center" w:pos="3600"/>
        <w:tab w:val="right" w:leader="dot" w:pos="7200"/>
      </w:tabs>
      <w:spacing w:before="160" w:after="20"/>
      <w:jc w:val="left"/>
    </w:pPr>
    <w:rPr>
      <w:caps/>
      <w:sz w:val="20"/>
      <w:szCs w:val="20"/>
    </w:rPr>
  </w:style>
  <w:style w:type="paragraph" w:styleId="TOC8">
    <w:name w:val="toc 8"/>
    <w:basedOn w:val="BillBasic"/>
    <w:autoRedefine/>
    <w:uiPriority w:val="99"/>
    <w:pPr>
      <w:tabs>
        <w:tab w:val="center" w:pos="3600"/>
        <w:tab w:val="right" w:leader="dot" w:pos="7200"/>
      </w:tabs>
      <w:spacing w:before="20" w:after="20"/>
      <w:jc w:val="left"/>
    </w:pPr>
    <w:rPr>
      <w:caps/>
      <w:sz w:val="20"/>
      <w:szCs w:val="20"/>
    </w:rPr>
  </w:style>
  <w:style w:type="paragraph" w:styleId="TOC9">
    <w:name w:val="toc 9"/>
    <w:basedOn w:val="TOC6"/>
    <w:next w:val="TOC6"/>
    <w:autoRedefine/>
    <w:uiPriority w:val="99"/>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LineNumber">
    <w:name w:val="line number"/>
    <w:basedOn w:val="DefaultParagraphFont"/>
    <w:uiPriority w:val="99"/>
    <w:rPr>
      <w:rFonts w:ascii="Helvetica" w:hAnsi="Helvetica" w:cs="Helvetica"/>
      <w:color w:val="auto"/>
      <w:sz w:val="16"/>
      <w:szCs w:val="16"/>
      <w:vertAlign w:val="baseline"/>
    </w:rPr>
  </w:style>
  <w:style w:type="paragraph" w:styleId="Footer">
    <w:name w:val="footer"/>
    <w:basedOn w:val="Normal"/>
    <w:next w:val="Normal"/>
    <w:link w:val="FooterChar"/>
    <w:pPr>
      <w:tabs>
        <w:tab w:val="center" w:pos="4252"/>
        <w:tab w:val="right" w:pos="8504"/>
      </w:tabs>
    </w:pPr>
  </w:style>
  <w:style w:type="character" w:customStyle="1" w:styleId="FooterChar">
    <w:name w:val="Footer Char"/>
    <w:basedOn w:val="DefaultParagraphFont"/>
    <w:link w:val="Footer"/>
    <w:semiHidden/>
    <w:rPr>
      <w:rFonts w:ascii="Times" w:hAnsi="Times" w:cs="Times"/>
      <w:sz w:val="24"/>
      <w:szCs w:val="24"/>
    </w:rPr>
  </w:style>
  <w:style w:type="paragraph" w:styleId="Header">
    <w:name w:val="header"/>
    <w:basedOn w:val="Normal"/>
    <w:next w:val="Normal"/>
    <w:link w:val="HeaderChar"/>
    <w:uiPriority w:val="99"/>
    <w:pPr>
      <w:tabs>
        <w:tab w:val="center" w:pos="4252"/>
        <w:tab w:val="right" w:pos="8504"/>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customStyle="1" w:styleId="parainpara">
    <w:name w:val="para in para"/>
    <w:uiPriority w:val="99"/>
    <w:pPr>
      <w:tabs>
        <w:tab w:val="right" w:pos="1500"/>
      </w:tabs>
      <w:autoSpaceDE w:val="0"/>
      <w:autoSpaceDN w:val="0"/>
      <w:spacing w:before="80" w:after="80" w:line="240" w:lineRule="auto"/>
      <w:ind w:left="1800" w:hanging="1800"/>
      <w:jc w:val="both"/>
    </w:pPr>
    <w:rPr>
      <w:rFonts w:ascii="Times" w:hAnsi="Times" w:cs="Times"/>
      <w:sz w:val="24"/>
      <w:szCs w:val="24"/>
    </w:rPr>
  </w:style>
  <w:style w:type="character" w:styleId="PageNumber">
    <w:name w:val="page number"/>
    <w:basedOn w:val="DefaultParagraphFont"/>
    <w:uiPriority w:val="99"/>
  </w:style>
  <w:style w:type="paragraph" w:customStyle="1" w:styleId="BillCrest">
    <w:name w:val="Bill Crest"/>
    <w:basedOn w:val="Normal"/>
    <w:next w:val="Normal"/>
    <w:uiPriority w:val="99"/>
    <w:pPr>
      <w:tabs>
        <w:tab w:val="center" w:pos="3160"/>
      </w:tabs>
      <w:spacing w:before="0"/>
      <w:jc w:val="left"/>
    </w:pPr>
    <w:rPr>
      <w:sz w:val="216"/>
      <w:szCs w:val="216"/>
    </w:rPr>
  </w:style>
  <w:style w:type="paragraph" w:customStyle="1" w:styleId="Status">
    <w:name w:val="Status"/>
    <w:basedOn w:val="Normal"/>
    <w:pPr>
      <w:tabs>
        <w:tab w:val="left" w:pos="2880"/>
      </w:tabs>
      <w:spacing w:before="280" w:after="0"/>
      <w:jc w:val="center"/>
    </w:pPr>
    <w:rPr>
      <w:rFonts w:ascii="Arial" w:hAnsi="Arial" w:cs="Arial"/>
      <w:sz w:val="14"/>
      <w:szCs w:val="14"/>
      <w:lang w:val="en-US"/>
    </w:rPr>
  </w:style>
  <w:style w:type="paragraph" w:customStyle="1" w:styleId="00SigningPage">
    <w:name w:val="00SigningPage"/>
    <w:basedOn w:val="Normal"/>
    <w:rsid w:val="00A213C5"/>
    <w:pPr>
      <w:autoSpaceDE/>
      <w:autoSpaceDN/>
      <w:spacing w:before="0" w:after="0"/>
      <w:jc w:val="left"/>
    </w:pPr>
    <w:rPr>
      <w:rFonts w:ascii="Times New Roman" w:eastAsia="Times New Roman" w:hAnsi="Times New Roman" w:cs="Times New Roman"/>
      <w:szCs w:val="20"/>
      <w:lang w:eastAsia="en-US"/>
    </w:rPr>
  </w:style>
  <w:style w:type="paragraph" w:customStyle="1" w:styleId="citation">
    <w:name w:val="citation"/>
    <w:basedOn w:val="Normal"/>
    <w:rsid w:val="00A213C5"/>
    <w:pPr>
      <w:autoSpaceDE/>
      <w:autoSpaceDN/>
      <w:spacing w:before="1220" w:after="100"/>
      <w:jc w:val="left"/>
    </w:pPr>
    <w:rPr>
      <w:rFonts w:ascii="Arial" w:eastAsia="Times New Roman" w:hAnsi="Arial" w:cs="Times New Roman"/>
      <w:b/>
      <w:sz w:val="40"/>
      <w:szCs w:val="20"/>
      <w:lang w:eastAsia="en-US"/>
    </w:rPr>
  </w:style>
  <w:style w:type="paragraph" w:customStyle="1" w:styleId="RepubNo">
    <w:name w:val="RepubNo"/>
    <w:basedOn w:val="Normal"/>
    <w:rsid w:val="00A213C5"/>
    <w:pPr>
      <w:tabs>
        <w:tab w:val="left" w:pos="2600"/>
      </w:tabs>
      <w:autoSpaceDE/>
      <w:autoSpaceDN/>
      <w:spacing w:before="600"/>
    </w:pPr>
    <w:rPr>
      <w:rFonts w:ascii="Arial" w:eastAsia="Times New Roman" w:hAnsi="Arial" w:cs="Times New Roman"/>
      <w:b/>
      <w:sz w:val="26"/>
      <w:szCs w:val="20"/>
      <w:lang w:eastAsia="en-US"/>
    </w:rPr>
  </w:style>
  <w:style w:type="paragraph" w:customStyle="1" w:styleId="EffectiveDate">
    <w:name w:val="EffectiveDate"/>
    <w:basedOn w:val="Normal"/>
    <w:rsid w:val="00A213C5"/>
    <w:pPr>
      <w:autoSpaceDE/>
      <w:autoSpaceDN/>
      <w:spacing w:before="40" w:after="200"/>
      <w:jc w:val="left"/>
    </w:pPr>
    <w:rPr>
      <w:rFonts w:ascii="Arial" w:eastAsia="Times New Roman" w:hAnsi="Arial" w:cs="Times New Roman"/>
      <w:b/>
      <w:sz w:val="26"/>
      <w:szCs w:val="20"/>
      <w:lang w:eastAsia="en-US"/>
    </w:rPr>
  </w:style>
  <w:style w:type="paragraph" w:customStyle="1" w:styleId="CoverInForce">
    <w:name w:val="CoverInForce"/>
    <w:basedOn w:val="Normal"/>
    <w:rsid w:val="00A213C5"/>
    <w:pPr>
      <w:tabs>
        <w:tab w:val="left" w:pos="2600"/>
      </w:tabs>
      <w:autoSpaceDE/>
      <w:autoSpaceDN/>
      <w:spacing w:before="200"/>
      <w:jc w:val="left"/>
    </w:pPr>
    <w:rPr>
      <w:rFonts w:ascii="Arial" w:eastAsia="Times New Roman" w:hAnsi="Arial" w:cs="Times New Roman"/>
      <w:szCs w:val="20"/>
      <w:lang w:eastAsia="en-US"/>
    </w:rPr>
  </w:style>
  <w:style w:type="paragraph" w:customStyle="1" w:styleId="CoverHeading">
    <w:name w:val="CoverHeading"/>
    <w:basedOn w:val="Normal"/>
    <w:rsid w:val="00A213C5"/>
    <w:pPr>
      <w:autoSpaceDE/>
      <w:autoSpaceDN/>
      <w:spacing w:before="0"/>
      <w:jc w:val="left"/>
    </w:pPr>
    <w:rPr>
      <w:rFonts w:ascii="Arial" w:eastAsia="Times New Roman" w:hAnsi="Arial" w:cs="Times New Roman"/>
      <w:b/>
      <w:szCs w:val="20"/>
      <w:lang w:eastAsia="en-US"/>
    </w:rPr>
  </w:style>
  <w:style w:type="paragraph" w:customStyle="1" w:styleId="CoverSubHdg">
    <w:name w:val="CoverSubHdg"/>
    <w:basedOn w:val="CoverHeading"/>
    <w:rsid w:val="00A213C5"/>
    <w:pPr>
      <w:spacing w:before="60"/>
    </w:pPr>
    <w:rPr>
      <w:sz w:val="20"/>
    </w:rPr>
  </w:style>
  <w:style w:type="paragraph" w:customStyle="1" w:styleId="CoverText">
    <w:name w:val="CoverText"/>
    <w:basedOn w:val="Normal"/>
    <w:rsid w:val="00A213C5"/>
    <w:pPr>
      <w:autoSpaceDE/>
      <w:autoSpaceDN/>
      <w:spacing w:before="40" w:after="40"/>
    </w:pPr>
    <w:rPr>
      <w:rFonts w:ascii="Times New Roman" w:eastAsia="Times New Roman" w:hAnsi="Times New Roman" w:cs="Times New Roman"/>
      <w:sz w:val="20"/>
      <w:szCs w:val="20"/>
      <w:lang w:eastAsia="en-US"/>
    </w:rPr>
  </w:style>
  <w:style w:type="paragraph" w:customStyle="1" w:styleId="ActNo">
    <w:name w:val="ActNo"/>
    <w:basedOn w:val="Normal"/>
    <w:rsid w:val="00A213C5"/>
    <w:pPr>
      <w:autoSpaceDE/>
      <w:autoSpaceDN/>
      <w:spacing w:before="120"/>
      <w:jc w:val="left"/>
    </w:pPr>
    <w:rPr>
      <w:rFonts w:ascii="Arial" w:eastAsia="Times New Roman" w:hAnsi="Arial" w:cs="Arial"/>
      <w:b/>
      <w:bCs/>
      <w:lang w:eastAsia="en-US"/>
    </w:rPr>
  </w:style>
  <w:style w:type="paragraph" w:customStyle="1" w:styleId="CoverActName">
    <w:name w:val="CoverActName"/>
    <w:basedOn w:val="Normal"/>
    <w:rsid w:val="00A213C5"/>
    <w:pPr>
      <w:tabs>
        <w:tab w:val="left" w:pos="2600"/>
      </w:tabs>
      <w:autoSpaceDE/>
      <w:autoSpaceDN/>
      <w:spacing w:before="200"/>
      <w:jc w:val="left"/>
    </w:pPr>
    <w:rPr>
      <w:rFonts w:ascii="Arial" w:eastAsia="Times New Roman" w:hAnsi="Arial"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2049</Words>
  <Characters>9957</Characters>
  <Application>Microsoft Office Word</Application>
  <DocSecurity>0</DocSecurity>
  <Lines>321</Lines>
  <Paragraphs>198</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Rebecca Billingham</dc:creator>
  <cp:keywords/>
  <dc:description/>
  <cp:lastModifiedBy>PCODCS</cp:lastModifiedBy>
  <cp:revision>4</cp:revision>
  <cp:lastPrinted>2000-05-15T06:52:00Z</cp:lastPrinted>
  <dcterms:created xsi:type="dcterms:W3CDTF">2023-01-23T01:00:00Z</dcterms:created>
  <dcterms:modified xsi:type="dcterms:W3CDTF">2023-01-23T01:00:00Z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tus">
    <vt:lpwstr> </vt:lpwstr>
  </property>
</Properties>
</file>