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6B628" w14:textId="77777777" w:rsidR="00702D0E" w:rsidRDefault="00702D0E" w:rsidP="00702D0E">
      <w:pPr>
        <w:jc w:val="center"/>
      </w:pPr>
      <w:r>
        <w:rPr>
          <w:noProof/>
        </w:rPr>
        <w:drawing>
          <wp:inline distT="0" distB="0" distL="0" distR="0" wp14:anchorId="05F9663A" wp14:editId="4BD3697B">
            <wp:extent cx="1331595" cy="1170305"/>
            <wp:effectExtent l="0" t="0" r="1905" b="0"/>
            <wp:docPr id="20200879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71D42" w14:textId="77777777" w:rsidR="00702D0E" w:rsidRDefault="00702D0E" w:rsidP="00702D0E">
      <w:pPr>
        <w:jc w:val="center"/>
        <w:rPr>
          <w:rFonts w:ascii="Arial" w:hAnsi="Arial"/>
        </w:rPr>
      </w:pPr>
      <w:r>
        <w:rPr>
          <w:rFonts w:ascii="Arial" w:hAnsi="Arial"/>
        </w:rPr>
        <w:t>Australian Capital Territory</w:t>
      </w:r>
    </w:p>
    <w:p w14:paraId="27AA4937" w14:textId="43836771" w:rsidR="00702D0E" w:rsidRPr="00702D0E" w:rsidRDefault="00702D0E" w:rsidP="00702D0E">
      <w:pPr>
        <w:pStyle w:val="citation"/>
      </w:pPr>
      <w:r w:rsidRPr="00850D13">
        <w:t>Australian-American Educational Foundation Act 1966</w:t>
      </w:r>
      <w:r w:rsidRPr="00702D0E">
        <w:t xml:space="preserve"> </w:t>
      </w:r>
    </w:p>
    <w:p w14:paraId="4AC78D75" w14:textId="59069FB0" w:rsidR="00702D0E" w:rsidRDefault="00702D0E" w:rsidP="00702D0E">
      <w:pPr>
        <w:pStyle w:val="ActNo"/>
      </w:pPr>
      <w:r>
        <w:t>A1966-16</w:t>
      </w:r>
    </w:p>
    <w:p w14:paraId="648AB079" w14:textId="382810ED" w:rsidR="00702D0E" w:rsidRDefault="00702D0E" w:rsidP="00702D0E">
      <w:pPr>
        <w:pStyle w:val="RepubNo"/>
      </w:pPr>
      <w:r>
        <w:t>Republication No 1 (RI)</w:t>
      </w:r>
    </w:p>
    <w:p w14:paraId="37A0EC2C" w14:textId="19B0C43D" w:rsidR="00702D0E" w:rsidRDefault="00702D0E" w:rsidP="00702D0E">
      <w:pPr>
        <w:pStyle w:val="EffectiveDate"/>
      </w:pPr>
      <w:r>
        <w:t xml:space="preserve">Effective:  </w:t>
      </w:r>
      <w:r w:rsidR="00C2330E">
        <w:t>11 May 1989</w:t>
      </w:r>
      <w:r>
        <w:t xml:space="preserve"> – </w:t>
      </w:r>
      <w:r w:rsidR="00C2330E">
        <w:t>19 June 1996</w:t>
      </w:r>
    </w:p>
    <w:p w14:paraId="33912223" w14:textId="0653710D" w:rsidR="00702D0E" w:rsidRDefault="00702D0E" w:rsidP="00702D0E">
      <w:pPr>
        <w:pStyle w:val="CoverInForce"/>
      </w:pPr>
      <w:r>
        <w:t xml:space="preserve">Republication date of printed version: </w:t>
      </w:r>
      <w:r w:rsidR="00C2330E">
        <w:t>31 May 1991</w:t>
      </w:r>
      <w:r>
        <w:br/>
        <w:t xml:space="preserve">Reissued electronically:  </w:t>
      </w:r>
      <w:r w:rsidR="00B333B2">
        <w:t xml:space="preserve">5 August </w:t>
      </w:r>
      <w:r>
        <w:t>2026</w:t>
      </w:r>
    </w:p>
    <w:p w14:paraId="61D75D7F" w14:textId="7D0F9C4A" w:rsidR="00702D0E" w:rsidRDefault="00702D0E" w:rsidP="00702D0E">
      <w:pPr>
        <w:pStyle w:val="CoverInForce"/>
      </w:pPr>
      <w:r>
        <w:t xml:space="preserve">Last amendment made by </w:t>
      </w:r>
      <w:r w:rsidR="00B333B2">
        <w:t>A</w:t>
      </w:r>
      <w:r w:rsidR="00C2330E">
        <w:t>1977-18</w:t>
      </w:r>
      <w:r w:rsidR="00C2330E">
        <w:br/>
        <w:t>(r</w:t>
      </w:r>
      <w:r w:rsidR="00C2330E" w:rsidRPr="00C2330E">
        <w:t>epublication for initial republication since self-government</w:t>
      </w:r>
      <w:r w:rsidR="00C2330E">
        <w:t>)</w:t>
      </w:r>
    </w:p>
    <w:p w14:paraId="1E2AC79A" w14:textId="77777777" w:rsidR="00702D0E" w:rsidRDefault="00702D0E" w:rsidP="00702D0E"/>
    <w:p w14:paraId="6A381916" w14:textId="77777777" w:rsidR="00702D0E" w:rsidRDefault="00702D0E" w:rsidP="00702D0E"/>
    <w:p w14:paraId="05275F66" w14:textId="77777777" w:rsidR="00702D0E" w:rsidRDefault="00702D0E" w:rsidP="00702D0E">
      <w:pPr>
        <w:pStyle w:val="CoverHeading"/>
      </w:pPr>
      <w:r>
        <w:br w:type="page"/>
      </w:r>
      <w:r>
        <w:lastRenderedPageBreak/>
        <w:t>About this republication</w:t>
      </w:r>
    </w:p>
    <w:p w14:paraId="52838FF0" w14:textId="77777777" w:rsidR="00702D0E" w:rsidRDefault="00702D0E" w:rsidP="00702D0E">
      <w:pPr>
        <w:pStyle w:val="CoverSubHdg"/>
      </w:pPr>
      <w:r>
        <w:t>The republished law</w:t>
      </w:r>
    </w:p>
    <w:p w14:paraId="1C35D9C2" w14:textId="73D76EE7" w:rsidR="00702D0E" w:rsidRDefault="00702D0E" w:rsidP="00702D0E">
      <w:pPr>
        <w:pStyle w:val="CoverText"/>
      </w:pPr>
      <w:r>
        <w:t xml:space="preserve">This is a republication of the </w:t>
      </w:r>
      <w:r w:rsidR="00C2330E" w:rsidRPr="00C2330E">
        <w:rPr>
          <w:i/>
          <w:iCs/>
        </w:rPr>
        <w:t>Australian-American Educational Foundation Act 1966</w:t>
      </w:r>
      <w:r>
        <w:rPr>
          <w:i/>
          <w:iCs/>
        </w:rPr>
        <w:t xml:space="preserve"> </w:t>
      </w:r>
      <w:r>
        <w:t>effective from 1</w:t>
      </w:r>
      <w:r w:rsidR="00C2330E">
        <w:t>1 May 1989</w:t>
      </w:r>
      <w:r>
        <w:t xml:space="preserve"> to </w:t>
      </w:r>
      <w:r w:rsidR="00C2330E">
        <w:t>19 June 1996</w:t>
      </w:r>
      <w:r>
        <w:t>.</w:t>
      </w:r>
    </w:p>
    <w:p w14:paraId="58EFACB6" w14:textId="77777777" w:rsidR="00702D0E" w:rsidRDefault="00702D0E" w:rsidP="00702D0E">
      <w:pPr>
        <w:pStyle w:val="CoverSubHdg"/>
      </w:pPr>
      <w:r>
        <w:t>Kinds of republications</w:t>
      </w:r>
    </w:p>
    <w:p w14:paraId="7DC195A9" w14:textId="77777777" w:rsidR="00702D0E" w:rsidRDefault="00702D0E" w:rsidP="00702D0E">
      <w:pPr>
        <w:pStyle w:val="CoverText"/>
      </w:pPr>
      <w:r>
        <w:t>The Parliamentary Counsel’s Office prepares 2 kinds of republications of ACT laws (see the ACT legislation register at www.legislation.act.gov.au):</w:t>
      </w:r>
    </w:p>
    <w:p w14:paraId="0697628B" w14:textId="77777777" w:rsidR="00702D0E" w:rsidRDefault="00702D0E" w:rsidP="00702D0E">
      <w:pPr>
        <w:pStyle w:val="CoverText"/>
        <w:numPr>
          <w:ilvl w:val="0"/>
          <w:numId w:val="1"/>
        </w:numPr>
      </w:pPr>
      <w:r>
        <w:t xml:space="preserve">authorised republications to which the </w:t>
      </w:r>
      <w:r>
        <w:rPr>
          <w:i/>
        </w:rPr>
        <w:t>Legislation Act 2001</w:t>
      </w:r>
      <w:r>
        <w:t xml:space="preserve"> applies</w:t>
      </w:r>
    </w:p>
    <w:p w14:paraId="78AC2291" w14:textId="77777777" w:rsidR="00702D0E" w:rsidRDefault="00702D0E" w:rsidP="00702D0E">
      <w:pPr>
        <w:pStyle w:val="CoverText"/>
        <w:numPr>
          <w:ilvl w:val="0"/>
          <w:numId w:val="1"/>
        </w:numPr>
      </w:pPr>
      <w:r>
        <w:t>unauthorised republications.</w:t>
      </w:r>
    </w:p>
    <w:p w14:paraId="7EB71E17" w14:textId="77777777" w:rsidR="00702D0E" w:rsidRDefault="00702D0E" w:rsidP="00702D0E">
      <w:pPr>
        <w:pStyle w:val="CoverText"/>
      </w:pPr>
      <w:r>
        <w:t>The status of this republication appears on the bottom of each page.</w:t>
      </w:r>
    </w:p>
    <w:p w14:paraId="520A5DA7" w14:textId="77777777" w:rsidR="00702D0E" w:rsidRDefault="00702D0E" w:rsidP="00702D0E">
      <w:pPr>
        <w:pStyle w:val="00SigningPage"/>
        <w:sectPr w:rsidR="00702D0E" w:rsidSect="00702D0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pgNumType w:fmt="lowerRoman" w:start="1"/>
          <w:cols w:space="720"/>
          <w:titlePg/>
          <w:docGrid w:linePitch="254"/>
        </w:sectPr>
      </w:pPr>
    </w:p>
    <w:p w14:paraId="72B7AEE6" w14:textId="77777777" w:rsidR="00702D0E" w:rsidRDefault="00702D0E" w:rsidP="00702D0E">
      <w:pPr>
        <w:jc w:val="center"/>
      </w:pPr>
      <w:r>
        <w:rPr>
          <w:noProof/>
        </w:rPr>
        <w:lastRenderedPageBreak/>
        <w:drawing>
          <wp:inline distT="0" distB="0" distL="0" distR="0" wp14:anchorId="0882662F" wp14:editId="0D96CC07">
            <wp:extent cx="1331595" cy="1170305"/>
            <wp:effectExtent l="0" t="0" r="1905" b="0"/>
            <wp:docPr id="1612517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DA897" w14:textId="77777777" w:rsidR="00702D0E" w:rsidRDefault="00702D0E" w:rsidP="00702D0E">
      <w:pPr>
        <w:jc w:val="center"/>
        <w:rPr>
          <w:rFonts w:ascii="Arial" w:hAnsi="Arial"/>
        </w:rPr>
      </w:pPr>
      <w:r>
        <w:rPr>
          <w:rFonts w:ascii="Arial" w:hAnsi="Arial"/>
        </w:rPr>
        <w:t>Australian Capital Territory</w:t>
      </w:r>
    </w:p>
    <w:p w14:paraId="0539C422" w14:textId="77777777" w:rsidR="00067A20" w:rsidRDefault="00AA207E">
      <w:pPr>
        <w:spacing w:after="100"/>
        <w:jc w:val="center"/>
        <w:rPr>
          <w:rFonts w:ascii="Helvetica" w:hAnsi="Helvetica"/>
          <w:b/>
          <w:caps/>
          <w:sz w:val="28"/>
        </w:rPr>
      </w:pPr>
      <w:r>
        <w:rPr>
          <w:rFonts w:ascii="Helvetica" w:hAnsi="Helvetica"/>
          <w:b/>
          <w:caps/>
          <w:sz w:val="28"/>
        </w:rPr>
        <w:t>australian-american educational</w:t>
      </w:r>
      <w:r>
        <w:rPr>
          <w:rFonts w:ascii="Helvetica" w:hAnsi="Helvetica"/>
          <w:b/>
          <w:caps/>
          <w:sz w:val="28"/>
        </w:rPr>
        <w:br/>
        <w:t>foundation act 1966</w:t>
      </w:r>
    </w:p>
    <w:p w14:paraId="142609F2" w14:textId="77777777" w:rsidR="00067A20" w:rsidRDefault="00AA207E">
      <w:pPr>
        <w:spacing w:after="200"/>
        <w:jc w:val="center"/>
        <w:rPr>
          <w:i/>
          <w:sz w:val="20"/>
        </w:rPr>
      </w:pPr>
      <w:r>
        <w:rPr>
          <w:sz w:val="20"/>
        </w:rPr>
        <w:t>This consolidation has been prepared by the ACT Parliamentary Counsel’s Office</w:t>
      </w:r>
    </w:p>
    <w:p w14:paraId="1258483B" w14:textId="77777777" w:rsidR="00067A20" w:rsidRDefault="00AA207E">
      <w:pPr>
        <w:spacing w:before="100" w:after="300"/>
        <w:jc w:val="center"/>
        <w:rPr>
          <w:caps/>
          <w:sz w:val="20"/>
        </w:rPr>
      </w:pPr>
      <w:r>
        <w:rPr>
          <w:sz w:val="20"/>
        </w:rPr>
        <w:t>Reprinted as at 31 May 1991</w:t>
      </w:r>
    </w:p>
    <w:p w14:paraId="5FD7C591" w14:textId="77777777" w:rsidR="00067A20" w:rsidRDefault="00AA207E">
      <w:pPr>
        <w:jc w:val="center"/>
        <w:rPr>
          <w:b/>
          <w:sz w:val="20"/>
        </w:rPr>
      </w:pPr>
      <w:r>
        <w:rPr>
          <w:b/>
          <w:sz w:val="20"/>
        </w:rPr>
        <w:t>TABLE OF PROVISIONS</w:t>
      </w:r>
    </w:p>
    <w:p w14:paraId="73C3261D" w14:textId="77777777" w:rsidR="00067A20" w:rsidRDefault="00AA207E">
      <w:pPr>
        <w:spacing w:before="200"/>
        <w:rPr>
          <w:sz w:val="18"/>
        </w:rPr>
      </w:pPr>
      <w:r>
        <w:rPr>
          <w:sz w:val="18"/>
        </w:rPr>
        <w:t>Section</w:t>
      </w:r>
    </w:p>
    <w:p w14:paraId="209A0998" w14:textId="77777777" w:rsidR="00067A20" w:rsidRDefault="00AA207E">
      <w:pPr>
        <w:pStyle w:val="TOC3"/>
      </w:pPr>
      <w:r>
        <w:tab/>
        <w:t>1.</w:t>
      </w:r>
      <w:r>
        <w:tab/>
        <w:t>Short title</w:t>
      </w:r>
    </w:p>
    <w:p w14:paraId="506EC4CA" w14:textId="77777777" w:rsidR="00067A20" w:rsidRDefault="00AA207E">
      <w:pPr>
        <w:pStyle w:val="TOC3"/>
      </w:pPr>
      <w:r>
        <w:tab/>
        <w:t>2.</w:t>
      </w:r>
      <w:r>
        <w:tab/>
        <w:t>Repeal</w:t>
      </w:r>
    </w:p>
    <w:p w14:paraId="4480588B" w14:textId="77777777" w:rsidR="00067A20" w:rsidRDefault="00AA207E">
      <w:pPr>
        <w:pStyle w:val="TOC3"/>
      </w:pPr>
      <w:r>
        <w:tab/>
        <w:t>4.</w:t>
      </w:r>
      <w:r>
        <w:tab/>
        <w:t>Interpretation</w:t>
      </w:r>
    </w:p>
    <w:p w14:paraId="0AD19A33" w14:textId="77777777" w:rsidR="00067A20" w:rsidRDefault="00AA207E">
      <w:pPr>
        <w:pStyle w:val="TOC3"/>
      </w:pPr>
      <w:r>
        <w:tab/>
        <w:t>5.</w:t>
      </w:r>
      <w:r>
        <w:tab/>
        <w:t>Incorporation of Foundation</w:t>
      </w:r>
    </w:p>
    <w:p w14:paraId="261557DE" w14:textId="77777777" w:rsidR="00067A20" w:rsidRDefault="00AA207E">
      <w:pPr>
        <w:pStyle w:val="TOC3"/>
      </w:pPr>
      <w:r>
        <w:tab/>
        <w:t>6.</w:t>
      </w:r>
      <w:r>
        <w:tab/>
        <w:t>Power to dispose of land in the name of former Foundation</w:t>
      </w:r>
    </w:p>
    <w:p w14:paraId="1BD8A21D" w14:textId="77777777" w:rsidR="00067A20" w:rsidRDefault="00AA207E">
      <w:pPr>
        <w:pStyle w:val="TOC3"/>
      </w:pPr>
      <w:r>
        <w:tab/>
        <w:t>7.</w:t>
      </w:r>
      <w:r>
        <w:tab/>
        <w:t>Service of documents</w:t>
      </w:r>
    </w:p>
    <w:p w14:paraId="60CFEA6E" w14:textId="77777777" w:rsidR="00067A20" w:rsidRDefault="00067A20"/>
    <w:p w14:paraId="23616B22" w14:textId="77777777" w:rsidR="00067A20" w:rsidRDefault="00067A20">
      <w:pPr>
        <w:pBdr>
          <w:top w:val="single" w:sz="2" w:space="0" w:color="auto"/>
        </w:pBdr>
        <w:spacing w:after="200"/>
        <w:ind w:left="3080" w:right="2900"/>
      </w:pPr>
    </w:p>
    <w:p w14:paraId="6B57C3C7" w14:textId="77777777" w:rsidR="00067A20" w:rsidRDefault="00AA207E">
      <w:pPr>
        <w:spacing w:after="300"/>
        <w:jc w:val="center"/>
      </w:pPr>
      <w:r>
        <w:t>An Act relating to the Australian-American Educational Foundation</w:t>
      </w:r>
    </w:p>
    <w:p w14:paraId="20FE8DA0" w14:textId="77777777" w:rsidR="00067A20" w:rsidRDefault="00AA207E">
      <w:pPr>
        <w:pStyle w:val="Heading3"/>
      </w:pPr>
      <w:r>
        <w:t>Short title</w:t>
      </w:r>
    </w:p>
    <w:p w14:paraId="608BEEFE" w14:textId="77777777" w:rsidR="00067A20" w:rsidRDefault="00AA207E">
      <w:pPr>
        <w:pStyle w:val="allsections"/>
        <w:rPr>
          <w:i/>
        </w:rPr>
      </w:pPr>
      <w:r>
        <w:rPr>
          <w:b/>
        </w:rPr>
        <w:t xml:space="preserve">1. </w:t>
      </w:r>
      <w:r>
        <w:t xml:space="preserve"> This Act may be cited as the </w:t>
      </w:r>
      <w:r>
        <w:rPr>
          <w:i/>
        </w:rPr>
        <w:t>Australian-American Educational Foundation Act 1966.</w:t>
      </w:r>
      <w:r>
        <w:rPr>
          <w:position w:val="10"/>
          <w:sz w:val="12"/>
        </w:rPr>
        <w:t>1</w:t>
      </w:r>
    </w:p>
    <w:p w14:paraId="735C6521" w14:textId="77777777" w:rsidR="00067A20" w:rsidRDefault="00AA207E">
      <w:pPr>
        <w:pStyle w:val="Heading3"/>
      </w:pPr>
      <w:r>
        <w:t>Repeal</w:t>
      </w:r>
    </w:p>
    <w:p w14:paraId="3AA0A18B" w14:textId="77777777" w:rsidR="00067A20" w:rsidRDefault="00AA207E">
      <w:pPr>
        <w:pStyle w:val="allsections"/>
      </w:pPr>
      <w:r>
        <w:rPr>
          <w:b/>
        </w:rPr>
        <w:t xml:space="preserve">2. </w:t>
      </w:r>
      <w:r>
        <w:t xml:space="preserve"> The </w:t>
      </w:r>
      <w:r>
        <w:rPr>
          <w:i/>
        </w:rPr>
        <w:t>United States Educational Foundation in Australia Ordinance 1950</w:t>
      </w:r>
      <w:r>
        <w:t xml:space="preserve"> is repealed.</w:t>
      </w:r>
    </w:p>
    <w:p w14:paraId="3F622365" w14:textId="2AC68BA8" w:rsidR="00067A20" w:rsidRDefault="00AA207E" w:rsidP="00A4007E">
      <w:pPr>
        <w:pStyle w:val="Heading3"/>
        <w:keepNext/>
      </w:pPr>
      <w:r>
        <w:lastRenderedPageBreak/>
        <w:t>Interpretation</w:t>
      </w:r>
    </w:p>
    <w:p w14:paraId="32F4A1A0" w14:textId="77777777" w:rsidR="00067A20" w:rsidRDefault="00AA207E">
      <w:pPr>
        <w:pStyle w:val="allsections"/>
      </w:pPr>
      <w:r>
        <w:rPr>
          <w:b/>
        </w:rPr>
        <w:t xml:space="preserve">4. </w:t>
      </w:r>
      <w:r>
        <w:t xml:space="preserve"> In this Act, unless the contrary intention appears—</w:t>
      </w:r>
    </w:p>
    <w:p w14:paraId="6DE938FC" w14:textId="77777777" w:rsidR="00067A20" w:rsidRDefault="00AA207E">
      <w:pPr>
        <w:pStyle w:val="def"/>
      </w:pPr>
      <w:r>
        <w:t>“the Agreement” means the agreement dated the twenty-eighth day of August, One thousand nine hundred and sixty-four, made between the Government of the Commonwealth of Australia and the Government of the United States of America for the financing of certain educational and cultural exchange programmes;</w:t>
      </w:r>
    </w:p>
    <w:p w14:paraId="273C0ECA" w14:textId="77777777" w:rsidR="00067A20" w:rsidRDefault="00AA207E">
      <w:pPr>
        <w:pStyle w:val="def"/>
      </w:pPr>
      <w:r>
        <w:t xml:space="preserve">“the former Foundation” means the Foundation referred to in the </w:t>
      </w:r>
      <w:r>
        <w:rPr>
          <w:i/>
        </w:rPr>
        <w:t>United States Educational Foundation in Australia Ordinance 1950</w:t>
      </w:r>
      <w:r>
        <w:t>;</w:t>
      </w:r>
    </w:p>
    <w:p w14:paraId="46101CF2" w14:textId="77777777" w:rsidR="00067A20" w:rsidRDefault="00AA207E">
      <w:pPr>
        <w:pStyle w:val="def"/>
      </w:pPr>
      <w:r>
        <w:t>“the Foundation” means the Australian-American Educational Foundation established under the Agreement.</w:t>
      </w:r>
    </w:p>
    <w:p w14:paraId="73334747" w14:textId="77777777" w:rsidR="00067A20" w:rsidRDefault="00AA207E">
      <w:pPr>
        <w:pStyle w:val="Heading3"/>
      </w:pPr>
      <w:r>
        <w:t>Incorporation of Foundation</w:t>
      </w:r>
    </w:p>
    <w:p w14:paraId="1142670E" w14:textId="77777777" w:rsidR="00067A20" w:rsidRDefault="00AA207E">
      <w:pPr>
        <w:pStyle w:val="allsections"/>
      </w:pPr>
      <w:r>
        <w:rPr>
          <w:b/>
        </w:rPr>
        <w:t xml:space="preserve">5.  (1) </w:t>
      </w:r>
      <w:r>
        <w:t xml:space="preserve"> For the purpose of facilitating the operations of the Foundation under the Agreement, the Foundation is by this Act established as a body corporate with perpetual succession under the name of “Australian-American Educational Foundation”.</w:t>
      </w:r>
    </w:p>
    <w:p w14:paraId="3B784C18" w14:textId="77777777" w:rsidR="00067A20" w:rsidRDefault="00AA207E">
      <w:pPr>
        <w:pStyle w:val="allsections"/>
      </w:pPr>
      <w:r>
        <w:rPr>
          <w:b/>
        </w:rPr>
        <w:t xml:space="preserve">(2)  </w:t>
      </w:r>
      <w:r>
        <w:t>The Foundation—</w:t>
      </w:r>
    </w:p>
    <w:p w14:paraId="110BFD8D" w14:textId="77777777" w:rsidR="00067A20" w:rsidRDefault="00AA207E">
      <w:pPr>
        <w:pStyle w:val="aindent"/>
      </w:pPr>
      <w:r>
        <w:tab/>
        <w:t>(a)</w:t>
      </w:r>
      <w:r>
        <w:tab/>
        <w:t>shall have a common seal;</w:t>
      </w:r>
    </w:p>
    <w:p w14:paraId="140AD2FB" w14:textId="77777777" w:rsidR="00067A20" w:rsidRDefault="00AA207E">
      <w:pPr>
        <w:pStyle w:val="aindent"/>
      </w:pPr>
      <w:r>
        <w:tab/>
        <w:t>(b)</w:t>
      </w:r>
      <w:r>
        <w:tab/>
        <w:t>is capable of acquiring (whether as grantee or transferee), holding and disposing of or otherwise dealing with real and personal property;</w:t>
      </w:r>
    </w:p>
    <w:p w14:paraId="7E4CA8F8" w14:textId="77777777" w:rsidR="00067A20" w:rsidRDefault="00AA207E">
      <w:pPr>
        <w:pStyle w:val="aindent"/>
      </w:pPr>
      <w:r>
        <w:tab/>
        <w:t>(c)</w:t>
      </w:r>
      <w:r>
        <w:tab/>
        <w:t>may enter into contracts; and</w:t>
      </w:r>
    </w:p>
    <w:p w14:paraId="5DFB1E5D" w14:textId="77777777" w:rsidR="00067A20" w:rsidRDefault="00AA207E">
      <w:pPr>
        <w:pStyle w:val="aindent"/>
      </w:pPr>
      <w:r>
        <w:tab/>
        <w:t>(d)</w:t>
      </w:r>
      <w:r>
        <w:tab/>
        <w:t>may sue and be sued, whether the cause of action arose before or arises after the commencement of this Act.</w:t>
      </w:r>
    </w:p>
    <w:p w14:paraId="05C8C1C3" w14:textId="77777777" w:rsidR="00067A20" w:rsidRDefault="00AA207E">
      <w:pPr>
        <w:pStyle w:val="allsections"/>
      </w:pPr>
      <w:r>
        <w:rPr>
          <w:b/>
        </w:rPr>
        <w:t xml:space="preserve">(3) </w:t>
      </w:r>
      <w:r>
        <w:t xml:space="preserve"> All courts, judges and persons acting judicially shall take judicial notice of the common seal of the Foundation affixed to a document and shall presume that it was duly affixed.</w:t>
      </w:r>
    </w:p>
    <w:p w14:paraId="01BDFF81" w14:textId="77777777" w:rsidR="00067A20" w:rsidRDefault="00AA207E">
      <w:pPr>
        <w:pStyle w:val="Heading3"/>
      </w:pPr>
      <w:r>
        <w:t>Power to dispose of land in the name of former Foundation</w:t>
      </w:r>
    </w:p>
    <w:p w14:paraId="70FFAB09" w14:textId="77777777" w:rsidR="00067A20" w:rsidRDefault="00AA207E">
      <w:pPr>
        <w:pStyle w:val="allsections"/>
      </w:pPr>
      <w:r>
        <w:rPr>
          <w:b/>
        </w:rPr>
        <w:t xml:space="preserve">6. </w:t>
      </w:r>
      <w:r>
        <w:t xml:space="preserve"> The power to dispose of real and personal property conferred on the Foundation by the last preceding section shall be deemed to include a power to dispose of land registered under the </w:t>
      </w:r>
      <w:r>
        <w:rPr>
          <w:i/>
        </w:rPr>
        <w:t>Real Property Act 1925</w:t>
      </w:r>
      <w:r>
        <w:t xml:space="preserve"> in the name of the former Foundation as if the Foundation were the registered proprietor of the land.</w:t>
      </w:r>
    </w:p>
    <w:p w14:paraId="1B517ACD" w14:textId="77777777" w:rsidR="00067A20" w:rsidRDefault="00AA207E" w:rsidP="00A4007E">
      <w:pPr>
        <w:pStyle w:val="Heading3"/>
        <w:keepNext/>
      </w:pPr>
      <w:r>
        <w:lastRenderedPageBreak/>
        <w:t>Service of documents</w:t>
      </w:r>
    </w:p>
    <w:p w14:paraId="1FE0BEB3" w14:textId="77777777" w:rsidR="00067A20" w:rsidRDefault="00AA207E">
      <w:pPr>
        <w:pStyle w:val="allsections"/>
      </w:pPr>
      <w:r>
        <w:rPr>
          <w:b/>
        </w:rPr>
        <w:t>7.</w:t>
      </w:r>
      <w:r>
        <w:t xml:space="preserve">  A notice, process or other document may, for the purposes of any law of the Territory, be served upon or given to the Foundation—</w:t>
      </w:r>
    </w:p>
    <w:p w14:paraId="0C00A3A9" w14:textId="77777777" w:rsidR="00067A20" w:rsidRDefault="00AA207E">
      <w:pPr>
        <w:pStyle w:val="aindent"/>
      </w:pPr>
      <w:r>
        <w:tab/>
        <w:t>(a)</w:t>
      </w:r>
      <w:r>
        <w:tab/>
        <w:t>by leaving it at the office of the Foundation at Canberra with some person apparently in the service of the Foundation; or</w:t>
      </w:r>
    </w:p>
    <w:p w14:paraId="0F933A94" w14:textId="77777777" w:rsidR="00067A20" w:rsidRDefault="00AA207E">
      <w:pPr>
        <w:pStyle w:val="aindent"/>
      </w:pPr>
      <w:r>
        <w:tab/>
        <w:t>(b)</w:t>
      </w:r>
      <w:r>
        <w:tab/>
        <w:t>by sending it by registered post to the Foundation at that office.</w:t>
      </w:r>
    </w:p>
    <w:p w14:paraId="1E3AEB60" w14:textId="77777777" w:rsidR="00067A20" w:rsidRDefault="00067A20">
      <w:pPr>
        <w:pBdr>
          <w:bottom w:val="single" w:sz="6" w:space="0" w:color="auto"/>
        </w:pBdr>
      </w:pPr>
    </w:p>
    <w:p w14:paraId="3BE4AFD8" w14:textId="77777777" w:rsidR="00A4007E" w:rsidRDefault="00A4007E">
      <w:pPr>
        <w:overflowPunct/>
        <w:autoSpaceDE/>
        <w:autoSpaceDN/>
        <w:adjustRightInd/>
        <w:spacing w:before="0" w:after="0"/>
        <w:jc w:val="left"/>
        <w:textAlignment w:val="auto"/>
        <w:rPr>
          <w:rFonts w:ascii="Helvetica" w:hAnsi="Helvetica"/>
          <w:b/>
          <w:sz w:val="20"/>
        </w:rPr>
      </w:pPr>
      <w:r>
        <w:rPr>
          <w:rFonts w:ascii="Helvetica" w:hAnsi="Helvetica"/>
          <w:b/>
          <w:sz w:val="20"/>
        </w:rPr>
        <w:br w:type="page"/>
      </w:r>
    </w:p>
    <w:p w14:paraId="556490C6" w14:textId="38D76FB1" w:rsidR="00067A20" w:rsidRDefault="00AA207E">
      <w:pPr>
        <w:spacing w:before="200" w:after="160"/>
        <w:jc w:val="center"/>
        <w:rPr>
          <w:rFonts w:ascii="Helvetica" w:hAnsi="Helvetica"/>
          <w:b/>
          <w:sz w:val="20"/>
        </w:rPr>
      </w:pPr>
      <w:r>
        <w:rPr>
          <w:rFonts w:ascii="Helvetica" w:hAnsi="Helvetica"/>
          <w:b/>
          <w:sz w:val="20"/>
        </w:rPr>
        <w:lastRenderedPageBreak/>
        <w:t>NOTE</w:t>
      </w:r>
    </w:p>
    <w:p w14:paraId="0E12E00A" w14:textId="77777777" w:rsidR="00067A20" w:rsidRDefault="00AA207E">
      <w:pPr>
        <w:ind w:left="26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1.</w:t>
      </w:r>
      <w:r>
        <w:rPr>
          <w:rFonts w:ascii="Helvetica" w:hAnsi="Helvetica"/>
          <w:sz w:val="18"/>
        </w:rPr>
        <w:tab/>
        <w:t xml:space="preserve">The </w:t>
      </w:r>
      <w:r>
        <w:rPr>
          <w:rFonts w:ascii="Helvetica" w:hAnsi="Helvetica"/>
          <w:i/>
          <w:sz w:val="18"/>
        </w:rPr>
        <w:t>Australian-American Educational Foundation Act 1966</w:t>
      </w:r>
      <w:r>
        <w:rPr>
          <w:rFonts w:ascii="Helvetica" w:hAnsi="Helvetica"/>
          <w:sz w:val="18"/>
        </w:rPr>
        <w:t xml:space="preserve"> as shown in this reprint comprises Act No. 16, 1966 amended as indicated in the Tables below.</w:t>
      </w:r>
    </w:p>
    <w:p w14:paraId="05298686" w14:textId="77777777" w:rsidR="00067A20" w:rsidRDefault="00AA207E">
      <w:pPr>
        <w:ind w:left="26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  <w:u w:val="single"/>
        </w:rPr>
        <w:t>Citation of Laws</w:t>
      </w:r>
      <w:r>
        <w:rPr>
          <w:rFonts w:ascii="Helvetica" w:hAnsi="Helvetica"/>
          <w:sz w:val="18"/>
        </w:rPr>
        <w:t xml:space="preserve">—The </w:t>
      </w:r>
      <w:r>
        <w:rPr>
          <w:rFonts w:ascii="Helvetica" w:hAnsi="Helvetica"/>
          <w:i/>
          <w:sz w:val="18"/>
        </w:rPr>
        <w:t>Self-Government (Citation of Laws) Act 1989</w:t>
      </w:r>
      <w:r>
        <w:rPr>
          <w:rFonts w:ascii="Helvetica" w:hAnsi="Helvetica"/>
          <w:sz w:val="18"/>
        </w:rPr>
        <w:t xml:space="preserve"> (No. 21, 1989) altered the citation of most Ordinances so that after Self-Government day they are to cited as Acts.  That Act also affects references in ACT laws to Commonwealth Acts.</w:t>
      </w:r>
    </w:p>
    <w:p w14:paraId="251A8093" w14:textId="77777777" w:rsidR="00067A20" w:rsidRDefault="00AA207E">
      <w:pPr>
        <w:spacing w:before="200" w:after="120"/>
        <w:ind w:left="140" w:right="20"/>
        <w:jc w:val="center"/>
        <w:rPr>
          <w:rFonts w:ascii="Helvetica" w:hAnsi="Helvetica"/>
          <w:b/>
          <w:sz w:val="20"/>
        </w:rPr>
      </w:pPr>
      <w:r>
        <w:rPr>
          <w:rFonts w:ascii="Helvetica" w:hAnsi="Helvetica"/>
          <w:b/>
          <w:sz w:val="20"/>
        </w:rPr>
        <w:t>Table of Ordinances</w:t>
      </w:r>
    </w:p>
    <w:tbl>
      <w:tblPr>
        <w:tblW w:w="0" w:type="auto"/>
        <w:tblInd w:w="26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280"/>
        <w:gridCol w:w="1120"/>
        <w:gridCol w:w="1260"/>
        <w:gridCol w:w="1360"/>
        <w:gridCol w:w="1200"/>
      </w:tblGrid>
      <w:tr w:rsidR="00067A20" w14:paraId="3B470D19" w14:textId="77777777">
        <w:trPr>
          <w:cantSplit/>
        </w:trPr>
        <w:tc>
          <w:tcPr>
            <w:tcW w:w="2280" w:type="dxa"/>
            <w:tcBorders>
              <w:top w:val="single" w:sz="6" w:space="0" w:color="auto"/>
              <w:bottom w:val="single" w:sz="2" w:space="0" w:color="auto"/>
            </w:tcBorders>
          </w:tcPr>
          <w:p w14:paraId="04C33C3B" w14:textId="77777777" w:rsidR="00067A20" w:rsidRDefault="00AA207E">
            <w:pPr>
              <w:spacing w:before="700" w:after="100"/>
              <w:ind w:left="-40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Ordinance</w:t>
            </w:r>
          </w:p>
        </w:tc>
        <w:tc>
          <w:tcPr>
            <w:tcW w:w="1120" w:type="dxa"/>
            <w:tcBorders>
              <w:top w:val="single" w:sz="6" w:space="0" w:color="auto"/>
              <w:bottom w:val="single" w:sz="2" w:space="0" w:color="auto"/>
            </w:tcBorders>
          </w:tcPr>
          <w:p w14:paraId="50EA5915" w14:textId="77777777" w:rsidR="00067A20" w:rsidRDefault="00AA207E">
            <w:pPr>
              <w:spacing w:before="480" w:after="0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Number  </w:t>
            </w:r>
          </w:p>
          <w:p w14:paraId="49685691" w14:textId="77777777" w:rsidR="00067A20" w:rsidRDefault="00AA207E">
            <w:pPr>
              <w:spacing w:before="0" w:after="0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and year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2" w:space="0" w:color="auto"/>
            </w:tcBorders>
          </w:tcPr>
          <w:p w14:paraId="42CDCDA5" w14:textId="77777777" w:rsidR="00067A20" w:rsidRDefault="00AA207E">
            <w:pPr>
              <w:spacing w:before="320" w:after="0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Date of </w:t>
            </w:r>
          </w:p>
          <w:p w14:paraId="6C570C07" w14:textId="77777777" w:rsidR="00067A20" w:rsidRDefault="00AA207E">
            <w:pPr>
              <w:spacing w:before="0" w:after="0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notification </w:t>
            </w:r>
          </w:p>
          <w:p w14:paraId="6275679F" w14:textId="77777777" w:rsidR="00067A20" w:rsidRDefault="00AA207E">
            <w:pPr>
              <w:spacing w:before="0" w:after="0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in </w:t>
            </w:r>
            <w:r>
              <w:rPr>
                <w:rFonts w:ascii="Helvetica" w:hAnsi="Helvetica"/>
                <w:i/>
                <w:sz w:val="16"/>
              </w:rPr>
              <w:t>Gazette</w:t>
            </w:r>
          </w:p>
        </w:tc>
        <w:tc>
          <w:tcPr>
            <w:tcW w:w="1360" w:type="dxa"/>
            <w:tcBorders>
              <w:top w:val="single" w:sz="6" w:space="0" w:color="auto"/>
              <w:bottom w:val="single" w:sz="2" w:space="0" w:color="auto"/>
            </w:tcBorders>
          </w:tcPr>
          <w:p w14:paraId="4D151AFF" w14:textId="77777777" w:rsidR="00067A20" w:rsidRDefault="00AA207E">
            <w:pPr>
              <w:spacing w:before="480" w:after="0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Date of </w:t>
            </w:r>
          </w:p>
          <w:p w14:paraId="3DB9997B" w14:textId="77777777" w:rsidR="00067A20" w:rsidRDefault="00AA207E">
            <w:pPr>
              <w:spacing w:before="0" w:after="0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commencement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2" w:space="0" w:color="auto"/>
            </w:tcBorders>
          </w:tcPr>
          <w:p w14:paraId="1441CC4B" w14:textId="77777777" w:rsidR="00067A20" w:rsidRDefault="00AA207E">
            <w:pPr>
              <w:spacing w:after="100"/>
              <w:jc w:val="right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Application, saving or transitional provisions</w:t>
            </w:r>
          </w:p>
        </w:tc>
      </w:tr>
    </w:tbl>
    <w:p w14:paraId="2FCE463C" w14:textId="77777777" w:rsidR="00067A20" w:rsidRDefault="00067A20">
      <w:pPr>
        <w:spacing w:before="0" w:after="0"/>
        <w:ind w:left="140" w:right="20"/>
        <w:rPr>
          <w:rFonts w:ascii="Helvetica" w:hAnsi="Helvetica"/>
          <w:sz w:val="8"/>
        </w:rPr>
      </w:pPr>
    </w:p>
    <w:p w14:paraId="17693095" w14:textId="77777777" w:rsidR="00067A20" w:rsidRDefault="00067A20">
      <w:pPr>
        <w:spacing w:before="20" w:after="20"/>
        <w:rPr>
          <w:rFonts w:ascii="Helvetica" w:hAnsi="Helvetica"/>
        </w:rPr>
        <w:sectPr w:rsidR="00067A20" w:rsidSect="00702D0E">
          <w:headerReference w:type="even" r:id="rId14"/>
          <w:headerReference w:type="default" r:id="rId15"/>
          <w:pgSz w:w="11906" w:h="16838"/>
          <w:pgMar w:top="2999" w:right="1899" w:bottom="2500" w:left="2302" w:header="2477" w:footer="2098" w:gutter="0"/>
          <w:pgNumType w:start="1"/>
          <w:cols w:space="720"/>
          <w:titlePg/>
          <w:docGrid w:linePitch="326"/>
        </w:sectPr>
      </w:pPr>
    </w:p>
    <w:tbl>
      <w:tblPr>
        <w:tblW w:w="0" w:type="auto"/>
        <w:tblInd w:w="26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240"/>
        <w:gridCol w:w="1160"/>
        <w:gridCol w:w="1280"/>
        <w:gridCol w:w="1360"/>
        <w:gridCol w:w="1180"/>
      </w:tblGrid>
      <w:tr w:rsidR="00067A20" w14:paraId="759D1980" w14:textId="77777777">
        <w:trPr>
          <w:cantSplit/>
        </w:trPr>
        <w:tc>
          <w:tcPr>
            <w:tcW w:w="2240" w:type="dxa"/>
          </w:tcPr>
          <w:p w14:paraId="3979943A" w14:textId="77777777" w:rsidR="00067A20" w:rsidRDefault="00AA207E">
            <w:pPr>
              <w:spacing w:before="0" w:after="0"/>
              <w:ind w:left="200" w:hanging="200"/>
              <w:jc w:val="left"/>
              <w:rPr>
                <w:rFonts w:ascii="Helvetica" w:hAnsi="Helvetica"/>
                <w:i/>
                <w:sz w:val="16"/>
              </w:rPr>
            </w:pPr>
            <w:r>
              <w:rPr>
                <w:rFonts w:ascii="Helvetica" w:hAnsi="Helvetica"/>
                <w:i/>
                <w:sz w:val="16"/>
              </w:rPr>
              <w:t>Australian-American Educational Foundation Ordinance 1966</w:t>
            </w:r>
          </w:p>
        </w:tc>
        <w:tc>
          <w:tcPr>
            <w:tcW w:w="1160" w:type="dxa"/>
          </w:tcPr>
          <w:p w14:paraId="08385595" w14:textId="77777777" w:rsidR="00067A20" w:rsidRDefault="00AA207E">
            <w:pPr>
              <w:spacing w:before="0" w:after="0"/>
              <w:jc w:val="left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16, 1966</w:t>
            </w:r>
          </w:p>
        </w:tc>
        <w:tc>
          <w:tcPr>
            <w:tcW w:w="1280" w:type="dxa"/>
          </w:tcPr>
          <w:p w14:paraId="7437E6CE" w14:textId="77777777" w:rsidR="00067A20" w:rsidRDefault="00AA207E">
            <w:pPr>
              <w:spacing w:before="0" w:after="0"/>
              <w:jc w:val="left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20 Oct 1966</w:t>
            </w:r>
          </w:p>
        </w:tc>
        <w:tc>
          <w:tcPr>
            <w:tcW w:w="1360" w:type="dxa"/>
          </w:tcPr>
          <w:p w14:paraId="1F9E5716" w14:textId="77777777" w:rsidR="00067A20" w:rsidRDefault="00AA207E">
            <w:pPr>
              <w:spacing w:before="0" w:after="0"/>
              <w:jc w:val="left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20 Oct 1966</w:t>
            </w:r>
          </w:p>
        </w:tc>
        <w:tc>
          <w:tcPr>
            <w:tcW w:w="1180" w:type="dxa"/>
          </w:tcPr>
          <w:p w14:paraId="187FB05A" w14:textId="77777777" w:rsidR="00067A20" w:rsidRDefault="00067A20">
            <w:pPr>
              <w:spacing w:before="0" w:after="0"/>
              <w:jc w:val="right"/>
              <w:rPr>
                <w:rFonts w:ascii="Helvetica" w:hAnsi="Helvetica"/>
                <w:sz w:val="16"/>
              </w:rPr>
            </w:pPr>
          </w:p>
        </w:tc>
      </w:tr>
      <w:tr w:rsidR="00067A20" w14:paraId="4EB489C4" w14:textId="77777777">
        <w:trPr>
          <w:cantSplit/>
        </w:trPr>
        <w:tc>
          <w:tcPr>
            <w:tcW w:w="2240" w:type="dxa"/>
            <w:tcBorders>
              <w:bottom w:val="single" w:sz="6" w:space="0" w:color="auto"/>
            </w:tcBorders>
          </w:tcPr>
          <w:p w14:paraId="26E8352B" w14:textId="77777777" w:rsidR="00067A20" w:rsidRDefault="00AA207E">
            <w:pPr>
              <w:spacing w:before="0" w:after="0"/>
              <w:ind w:left="200" w:hanging="200"/>
              <w:jc w:val="left"/>
              <w:rPr>
                <w:rFonts w:ascii="Helvetica" w:hAnsi="Helvetica"/>
                <w:i/>
                <w:sz w:val="16"/>
              </w:rPr>
            </w:pPr>
            <w:r>
              <w:rPr>
                <w:rFonts w:ascii="Helvetica" w:hAnsi="Helvetica"/>
                <w:i/>
                <w:sz w:val="16"/>
              </w:rPr>
              <w:t>Ordinances Revision (Administrative Arrangements) Ordinance 1977</w:t>
            </w:r>
          </w:p>
          <w:p w14:paraId="354C7B3A" w14:textId="77777777" w:rsidR="00067A20" w:rsidRDefault="00067A20">
            <w:pPr>
              <w:spacing w:before="0" w:after="0"/>
              <w:ind w:left="200" w:hanging="200"/>
              <w:jc w:val="left"/>
              <w:rPr>
                <w:rFonts w:ascii="Helvetica" w:hAnsi="Helvetica"/>
                <w:i/>
                <w:sz w:val="16"/>
              </w:rPr>
            </w:pPr>
          </w:p>
        </w:tc>
        <w:tc>
          <w:tcPr>
            <w:tcW w:w="1160" w:type="dxa"/>
            <w:tcBorders>
              <w:bottom w:val="single" w:sz="6" w:space="0" w:color="auto"/>
            </w:tcBorders>
          </w:tcPr>
          <w:p w14:paraId="52203A48" w14:textId="77777777" w:rsidR="00067A20" w:rsidRDefault="00AA207E">
            <w:pPr>
              <w:spacing w:before="0" w:after="0"/>
              <w:jc w:val="left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18, 1977</w:t>
            </w:r>
          </w:p>
        </w:tc>
        <w:tc>
          <w:tcPr>
            <w:tcW w:w="1280" w:type="dxa"/>
            <w:tcBorders>
              <w:bottom w:val="single" w:sz="6" w:space="0" w:color="auto"/>
            </w:tcBorders>
          </w:tcPr>
          <w:p w14:paraId="3968D0AC" w14:textId="77777777" w:rsidR="00067A20" w:rsidRDefault="00AA207E">
            <w:pPr>
              <w:spacing w:before="0" w:after="0"/>
              <w:jc w:val="left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21 June 1977</w:t>
            </w:r>
          </w:p>
        </w:tc>
        <w:tc>
          <w:tcPr>
            <w:tcW w:w="1360" w:type="dxa"/>
            <w:tcBorders>
              <w:bottom w:val="single" w:sz="6" w:space="0" w:color="auto"/>
            </w:tcBorders>
          </w:tcPr>
          <w:p w14:paraId="051A1B46" w14:textId="77777777" w:rsidR="00067A20" w:rsidRDefault="00AA207E">
            <w:pPr>
              <w:spacing w:before="0" w:after="0"/>
              <w:jc w:val="left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21 June 1977</w:t>
            </w:r>
          </w:p>
        </w:tc>
        <w:tc>
          <w:tcPr>
            <w:tcW w:w="1180" w:type="dxa"/>
            <w:tcBorders>
              <w:bottom w:val="single" w:sz="6" w:space="0" w:color="auto"/>
            </w:tcBorders>
          </w:tcPr>
          <w:p w14:paraId="5594F62A" w14:textId="77777777" w:rsidR="00067A20" w:rsidRDefault="00AA207E">
            <w:pPr>
              <w:spacing w:before="0" w:after="0"/>
              <w:jc w:val="right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—</w:t>
            </w:r>
          </w:p>
        </w:tc>
      </w:tr>
    </w:tbl>
    <w:p w14:paraId="7F15FC3E" w14:textId="77777777" w:rsidR="00067A20" w:rsidRDefault="00067A20">
      <w:pPr>
        <w:spacing w:before="20"/>
        <w:ind w:left="140" w:right="20"/>
        <w:jc w:val="center"/>
        <w:rPr>
          <w:rFonts w:ascii="Helvetica" w:hAnsi="Helvetica"/>
          <w:b/>
          <w:sz w:val="20"/>
        </w:rPr>
      </w:pPr>
    </w:p>
    <w:p w14:paraId="097AC0C7" w14:textId="77777777" w:rsidR="00067A20" w:rsidRDefault="00067A20">
      <w:pPr>
        <w:spacing w:before="20"/>
        <w:ind w:left="140" w:right="20"/>
        <w:jc w:val="center"/>
        <w:rPr>
          <w:rFonts w:ascii="Helvetica" w:hAnsi="Helvetica"/>
          <w:b/>
          <w:sz w:val="20"/>
        </w:rPr>
      </w:pPr>
    </w:p>
    <w:p w14:paraId="45423549" w14:textId="77777777" w:rsidR="00067A20" w:rsidRDefault="00AA207E">
      <w:pPr>
        <w:spacing w:before="20"/>
        <w:ind w:right="20"/>
        <w:jc w:val="center"/>
        <w:rPr>
          <w:rFonts w:ascii="Helvetica" w:hAnsi="Helvetica"/>
          <w:b/>
          <w:sz w:val="20"/>
        </w:rPr>
      </w:pPr>
      <w:r>
        <w:rPr>
          <w:rFonts w:ascii="Helvetica" w:hAnsi="Helvetica"/>
          <w:b/>
          <w:sz w:val="20"/>
        </w:rPr>
        <w:t>Table of Amendments</w:t>
      </w:r>
    </w:p>
    <w:p w14:paraId="180304B1" w14:textId="77777777" w:rsidR="00067A20" w:rsidRDefault="00AA207E">
      <w:pPr>
        <w:spacing w:before="20"/>
        <w:ind w:left="520" w:right="20"/>
        <w:jc w:val="left"/>
        <w:rPr>
          <w:rFonts w:ascii="Helvetica" w:hAnsi="Helvetica"/>
          <w:b/>
          <w:sz w:val="16"/>
        </w:rPr>
      </w:pPr>
      <w:r>
        <w:rPr>
          <w:rFonts w:ascii="Helvetica" w:hAnsi="Helvetica"/>
          <w:sz w:val="16"/>
        </w:rPr>
        <w:t xml:space="preserve">ad. = added or inserted      am. = amended     rep. = repealed      </w:t>
      </w:r>
      <w:proofErr w:type="spellStart"/>
      <w:r>
        <w:rPr>
          <w:rFonts w:ascii="Helvetica" w:hAnsi="Helvetica"/>
          <w:sz w:val="16"/>
        </w:rPr>
        <w:t>rs</w:t>
      </w:r>
      <w:proofErr w:type="spellEnd"/>
      <w:r>
        <w:rPr>
          <w:rFonts w:ascii="Helvetica" w:hAnsi="Helvetica"/>
          <w:sz w:val="16"/>
        </w:rPr>
        <w:t>. = repealed and substituted</w:t>
      </w:r>
    </w:p>
    <w:p w14:paraId="46D7C59B" w14:textId="77777777" w:rsidR="00067A20" w:rsidRDefault="00067A20">
      <w:pPr>
        <w:pBdr>
          <w:top w:val="single" w:sz="6" w:space="0" w:color="auto"/>
        </w:pBdr>
        <w:tabs>
          <w:tab w:val="left" w:pos="2200"/>
        </w:tabs>
        <w:spacing w:before="20" w:after="20"/>
        <w:ind w:left="260" w:right="20"/>
        <w:rPr>
          <w:rFonts w:ascii="Helvetica" w:hAnsi="Helvetica"/>
          <w:sz w:val="8"/>
        </w:rPr>
      </w:pPr>
    </w:p>
    <w:p w14:paraId="5EC493D6" w14:textId="77777777" w:rsidR="00067A20" w:rsidRDefault="00AA207E">
      <w:pPr>
        <w:pBdr>
          <w:top w:val="single" w:sz="6" w:space="0" w:color="auto"/>
        </w:pBdr>
        <w:tabs>
          <w:tab w:val="left" w:pos="2200"/>
        </w:tabs>
        <w:spacing w:before="20" w:after="20"/>
        <w:ind w:left="260" w:right="20"/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t>Provision</w:t>
      </w:r>
      <w:r>
        <w:rPr>
          <w:rFonts w:ascii="Helvetica" w:hAnsi="Helvetica"/>
          <w:sz w:val="16"/>
        </w:rPr>
        <w:tab/>
        <w:t>How affected</w:t>
      </w:r>
    </w:p>
    <w:p w14:paraId="3668725A" w14:textId="77777777" w:rsidR="00067A20" w:rsidRDefault="00067A20">
      <w:pPr>
        <w:pBdr>
          <w:bottom w:val="single" w:sz="2" w:space="0" w:color="auto"/>
        </w:pBdr>
        <w:tabs>
          <w:tab w:val="left" w:pos="2200"/>
        </w:tabs>
        <w:spacing w:before="20" w:after="20"/>
        <w:ind w:left="260" w:right="20"/>
        <w:rPr>
          <w:rFonts w:ascii="Helvetica" w:hAnsi="Helvetica"/>
          <w:sz w:val="16"/>
        </w:rPr>
      </w:pPr>
    </w:p>
    <w:p w14:paraId="5FF7B8F7" w14:textId="77777777" w:rsidR="00067A20" w:rsidRDefault="00067A20">
      <w:pPr>
        <w:tabs>
          <w:tab w:val="left" w:leader="dot" w:pos="2200"/>
        </w:tabs>
        <w:spacing w:before="20" w:after="20"/>
        <w:ind w:left="260" w:right="20"/>
        <w:rPr>
          <w:rFonts w:ascii="Helvetica" w:hAnsi="Helvetica"/>
          <w:sz w:val="8"/>
        </w:rPr>
      </w:pPr>
    </w:p>
    <w:p w14:paraId="3D7FC681" w14:textId="77777777" w:rsidR="00067A20" w:rsidRDefault="00067A20">
      <w:pPr>
        <w:spacing w:before="20" w:after="20"/>
        <w:rPr>
          <w:rFonts w:ascii="Helvetica" w:hAnsi="Helvetica"/>
        </w:rPr>
        <w:sectPr w:rsidR="00067A20" w:rsidSect="00702D0E">
          <w:headerReference w:type="even" r:id="rId16"/>
          <w:headerReference w:type="default" r:id="rId17"/>
          <w:type w:val="continuous"/>
          <w:pgSz w:w="11906" w:h="16838"/>
          <w:pgMar w:top="2999" w:right="1899" w:bottom="2500" w:left="2302" w:header="2477" w:footer="2098" w:gutter="0"/>
          <w:cols w:space="720"/>
          <w:titlePg/>
          <w:docGrid w:linePitch="326"/>
        </w:sectPr>
      </w:pPr>
    </w:p>
    <w:p w14:paraId="69EF167B" w14:textId="77777777" w:rsidR="00067A20" w:rsidRDefault="00AA207E">
      <w:pPr>
        <w:tabs>
          <w:tab w:val="left" w:leader="dot" w:pos="2200"/>
        </w:tabs>
        <w:spacing w:before="20" w:after="20"/>
        <w:ind w:left="2420" w:hanging="2160"/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t>S. 3</w:t>
      </w:r>
      <w:r>
        <w:rPr>
          <w:rFonts w:ascii="Helvetica" w:hAnsi="Helvetica"/>
          <w:sz w:val="16"/>
        </w:rPr>
        <w:tab/>
        <w:t>rep. No. 18, 1977</w:t>
      </w:r>
    </w:p>
    <w:p w14:paraId="3A6F5A4F" w14:textId="77777777" w:rsidR="00C2330E" w:rsidRDefault="00C2330E" w:rsidP="00C2330E">
      <w:pPr>
        <w:pBdr>
          <w:bottom w:val="single" w:sz="6" w:space="0" w:color="auto"/>
        </w:pBdr>
        <w:tabs>
          <w:tab w:val="left" w:leader="dot" w:pos="2200"/>
        </w:tabs>
        <w:spacing w:before="20" w:after="20"/>
        <w:ind w:left="2420" w:hanging="2420"/>
        <w:rPr>
          <w:rFonts w:ascii="Helvetica" w:hAnsi="Helvetica"/>
          <w:sz w:val="16"/>
        </w:rPr>
      </w:pPr>
    </w:p>
    <w:p w14:paraId="5CE859A4" w14:textId="77777777" w:rsidR="00C2330E" w:rsidRDefault="00C2330E" w:rsidP="00C2330E"/>
    <w:p w14:paraId="58C3C124" w14:textId="77777777" w:rsidR="00C2330E" w:rsidRDefault="00C2330E" w:rsidP="00C2330E"/>
    <w:p w14:paraId="461F09C0" w14:textId="77777777" w:rsidR="00FC6A12" w:rsidRDefault="00FC6A12" w:rsidP="00C2330E"/>
    <w:p w14:paraId="565DC0D6" w14:textId="77777777" w:rsidR="00FC6A12" w:rsidRDefault="00FC6A12" w:rsidP="00C2330E"/>
    <w:p w14:paraId="68D576BD" w14:textId="77777777" w:rsidR="00C2330E" w:rsidRDefault="00C2330E" w:rsidP="00C2330E">
      <w:pPr>
        <w:rPr>
          <w:color w:val="000000"/>
          <w:sz w:val="22"/>
        </w:rPr>
      </w:pPr>
      <w:r>
        <w:rPr>
          <w:color w:val="000000"/>
          <w:sz w:val="22"/>
        </w:rPr>
        <w:t>©  Australian Capital Territory 2026</w:t>
      </w:r>
    </w:p>
    <w:sectPr w:rsidR="00C2330E" w:rsidSect="00702D0E">
      <w:headerReference w:type="even" r:id="rId18"/>
      <w:headerReference w:type="default" r:id="rId19"/>
      <w:type w:val="continuous"/>
      <w:pgSz w:w="11906" w:h="16838"/>
      <w:pgMar w:top="2999" w:right="1899" w:bottom="2500" w:left="2302" w:header="2477" w:footer="209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1E833" w14:textId="77777777" w:rsidR="00487BCD" w:rsidRDefault="00487BCD">
      <w:pPr>
        <w:spacing w:before="0" w:after="0"/>
      </w:pPr>
      <w:r>
        <w:separator/>
      </w:r>
    </w:p>
  </w:endnote>
  <w:endnote w:type="continuationSeparator" w:id="0">
    <w:p w14:paraId="2F0C62A4" w14:textId="77777777" w:rsidR="00487BCD" w:rsidRDefault="00487BC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CF88B" w14:textId="724F5A9F" w:rsidR="00E10AFD" w:rsidRPr="00E10AFD" w:rsidRDefault="00E10AFD" w:rsidP="00E10AFD">
    <w:pPr>
      <w:pStyle w:val="Footer"/>
      <w:jc w:val="center"/>
      <w:rPr>
        <w:rFonts w:ascii="Arial" w:hAnsi="Arial" w:cs="Arial"/>
        <w:sz w:val="14"/>
      </w:rPr>
    </w:pPr>
    <w:r w:rsidRPr="00E10AFD">
      <w:rPr>
        <w:rFonts w:ascii="Arial" w:hAnsi="Arial" w:cs="Arial"/>
        <w:sz w:val="14"/>
      </w:rPr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DEFCC" w14:textId="2CD13E4A" w:rsidR="00702D0E" w:rsidRPr="00E10AFD" w:rsidRDefault="00702D0E" w:rsidP="00E10AFD">
    <w:pPr>
      <w:pStyle w:val="Footer"/>
      <w:jc w:val="center"/>
      <w:rPr>
        <w:rFonts w:ascii="Arial" w:hAnsi="Arial" w:cs="Arial"/>
        <w:sz w:val="14"/>
      </w:rPr>
    </w:pPr>
    <w:r w:rsidRPr="00E10AFD">
      <w:rPr>
        <w:rFonts w:ascii="Arial" w:hAnsi="Arial" w:cs="Arial"/>
        <w:sz w:val="14"/>
      </w:rPr>
      <w:fldChar w:fldCharType="begin"/>
    </w:r>
    <w:r w:rsidRPr="00E10AFD">
      <w:rPr>
        <w:rFonts w:ascii="Arial" w:hAnsi="Arial" w:cs="Arial"/>
        <w:sz w:val="14"/>
      </w:rPr>
      <w:instrText xml:space="preserve"> COMMENTS  \* MERGEFORMAT </w:instrText>
    </w:r>
    <w:r w:rsidRPr="00E10AFD">
      <w:rPr>
        <w:rFonts w:ascii="Arial" w:hAnsi="Arial" w:cs="Arial"/>
        <w:sz w:val="14"/>
      </w:rPr>
      <w:fldChar w:fldCharType="end"/>
    </w:r>
    <w:r w:rsidR="00E10AFD" w:rsidRPr="00E10AFD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4017F" w14:textId="142A10BF" w:rsidR="00E10AFD" w:rsidRPr="00E10AFD" w:rsidRDefault="00E10AFD" w:rsidP="00E10AFD">
    <w:pPr>
      <w:pStyle w:val="Footer"/>
      <w:jc w:val="center"/>
      <w:rPr>
        <w:rFonts w:ascii="Arial" w:hAnsi="Arial" w:cs="Arial"/>
        <w:sz w:val="14"/>
      </w:rPr>
    </w:pPr>
    <w:r w:rsidRPr="00E10AFD">
      <w:rPr>
        <w:rFonts w:ascii="Arial" w:hAnsi="Arial"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5A038" w14:textId="77777777" w:rsidR="00487BCD" w:rsidRDefault="00487BCD">
      <w:pPr>
        <w:spacing w:before="0" w:after="0"/>
      </w:pPr>
      <w:r>
        <w:separator/>
      </w:r>
    </w:p>
  </w:footnote>
  <w:footnote w:type="continuationSeparator" w:id="0">
    <w:p w14:paraId="1107187A" w14:textId="77777777" w:rsidR="00487BCD" w:rsidRDefault="00487BC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B347D" w14:textId="77777777" w:rsidR="00E10AFD" w:rsidRDefault="00E10A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CB1C8" w14:textId="77777777" w:rsidR="00E10AFD" w:rsidRDefault="00E10A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D67C6" w14:textId="77777777" w:rsidR="00E10AFD" w:rsidRDefault="00E10AF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9F65C" w14:textId="77777777" w:rsidR="00067A20" w:rsidRDefault="00AA207E">
    <w:pPr>
      <w:widowControl w:val="0"/>
      <w:tabs>
        <w:tab w:val="left" w:pos="1400"/>
      </w:tabs>
      <w:rPr>
        <w:i/>
        <w:sz w:val="20"/>
      </w:rPr>
    </w:pPr>
    <w:r>
      <w:rPr>
        <w:sz w:val="20"/>
      </w:rPr>
      <w:pgNum/>
    </w:r>
    <w:r>
      <w:rPr>
        <w:sz w:val="20"/>
      </w:rPr>
      <w:tab/>
    </w:r>
    <w:r>
      <w:rPr>
        <w:i/>
        <w:sz w:val="20"/>
      </w:rPr>
      <w:t>Australian-American Educational Foundation Act 1966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69007" w14:textId="77777777" w:rsidR="00067A20" w:rsidRDefault="00AA207E">
    <w:pPr>
      <w:widowControl w:val="0"/>
      <w:tabs>
        <w:tab w:val="left" w:pos="1340"/>
        <w:tab w:val="right" w:pos="7180"/>
      </w:tabs>
      <w:rPr>
        <w:sz w:val="20"/>
      </w:rPr>
    </w:pPr>
    <w:r>
      <w:tab/>
    </w:r>
    <w:r>
      <w:rPr>
        <w:i/>
        <w:sz w:val="20"/>
      </w:rPr>
      <w:t>Australian-American Educational Foundation Act 1966</w:t>
    </w:r>
    <w:r>
      <w:rPr>
        <w:sz w:val="20"/>
      </w:rPr>
      <w:tab/>
    </w:r>
    <w:r>
      <w:rPr>
        <w:sz w:val="20"/>
      </w:rPr>
      <w:pgNum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3D5E5" w14:textId="77777777" w:rsidR="00067A20" w:rsidRDefault="00AA207E">
    <w:pPr>
      <w:widowControl w:val="0"/>
      <w:tabs>
        <w:tab w:val="left" w:pos="3180"/>
      </w:tabs>
      <w:rPr>
        <w:i/>
        <w:sz w:val="20"/>
      </w:rPr>
    </w:pPr>
    <w:r>
      <w:rPr>
        <w:sz w:val="20"/>
      </w:rPr>
      <w:pgNum/>
    </w:r>
    <w:r>
      <w:rPr>
        <w:sz w:val="20"/>
      </w:rPr>
      <w:tab/>
    </w:r>
    <w:r>
      <w:rPr>
        <w:i/>
        <w:sz w:val="20"/>
      </w:rPr>
      <w:t>Even Header</w:t>
    </w:r>
  </w:p>
  <w:p w14:paraId="14016B97" w14:textId="77777777" w:rsidR="00067A20" w:rsidRDefault="00AA207E">
    <w:pPr>
      <w:widowControl w:val="0"/>
      <w:spacing w:before="100" w:after="100"/>
      <w:ind w:left="140" w:right="-820"/>
      <w:jc w:val="center"/>
      <w:rPr>
        <w:rFonts w:ascii="Helvetica" w:hAnsi="Helvetica"/>
        <w:b/>
        <w:sz w:val="20"/>
      </w:rPr>
    </w:pPr>
    <w:r>
      <w:rPr>
        <w:rFonts w:ascii="Helvetica" w:hAnsi="Helvetica"/>
        <w:b/>
        <w:sz w:val="20"/>
      </w:rPr>
      <w:t>NOTE</w:t>
    </w:r>
    <w:r>
      <w:rPr>
        <w:rFonts w:ascii="Helvetica" w:hAnsi="Helvetica"/>
        <w:sz w:val="20"/>
      </w:rPr>
      <w:t>—continued</w:t>
    </w:r>
  </w:p>
  <w:p w14:paraId="15893895" w14:textId="77777777" w:rsidR="00067A20" w:rsidRDefault="00AA207E">
    <w:pPr>
      <w:widowControl w:val="0"/>
      <w:spacing w:before="60" w:after="100"/>
      <w:ind w:left="140" w:right="-820"/>
      <w:jc w:val="center"/>
      <w:rPr>
        <w:rFonts w:ascii="Helvetica" w:hAnsi="Helvetica"/>
      </w:rPr>
    </w:pPr>
    <w:r>
      <w:rPr>
        <w:rFonts w:ascii="Helvetica" w:hAnsi="Helvetica"/>
        <w:b/>
        <w:sz w:val="20"/>
      </w:rPr>
      <w:t>Table of Ordinances</w:t>
    </w:r>
    <w:r>
      <w:rPr>
        <w:rFonts w:ascii="Helvetica" w:hAnsi="Helvetica"/>
        <w:sz w:val="20"/>
      </w:rPr>
      <w:t>—continued</w:t>
    </w:r>
  </w:p>
  <w:tbl>
    <w:tblPr>
      <w:tblW w:w="0" w:type="auto"/>
      <w:tblInd w:w="260" w:type="dxa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2280"/>
      <w:gridCol w:w="1160"/>
      <w:gridCol w:w="1120"/>
      <w:gridCol w:w="1480"/>
      <w:gridCol w:w="1200"/>
    </w:tblGrid>
    <w:tr w:rsidR="00067A20" w14:paraId="34289853" w14:textId="77777777">
      <w:trPr>
        <w:cantSplit/>
      </w:trPr>
      <w:tc>
        <w:tcPr>
          <w:tcW w:w="2280" w:type="dxa"/>
          <w:tcBorders>
            <w:top w:val="single" w:sz="6" w:space="0" w:color="auto"/>
            <w:bottom w:val="single" w:sz="2" w:space="0" w:color="auto"/>
          </w:tcBorders>
        </w:tcPr>
        <w:p w14:paraId="4C4C5A27" w14:textId="77777777" w:rsidR="00067A20" w:rsidRDefault="00AA207E">
          <w:pPr>
            <w:widowControl w:val="0"/>
            <w:spacing w:before="700" w:after="100"/>
            <w:ind w:left="-4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>Ordinance</w:t>
          </w:r>
        </w:p>
      </w:tc>
      <w:tc>
        <w:tcPr>
          <w:tcW w:w="1160" w:type="dxa"/>
          <w:tcBorders>
            <w:top w:val="single" w:sz="6" w:space="0" w:color="auto"/>
            <w:bottom w:val="single" w:sz="2" w:space="0" w:color="auto"/>
          </w:tcBorders>
        </w:tcPr>
        <w:p w14:paraId="282B7064" w14:textId="77777777" w:rsidR="00067A20" w:rsidRDefault="00AA207E">
          <w:pPr>
            <w:widowControl w:val="0"/>
            <w:spacing w:before="480" w:after="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 xml:space="preserve">Number  </w:t>
          </w:r>
        </w:p>
        <w:p w14:paraId="25837503" w14:textId="77777777" w:rsidR="00067A20" w:rsidRDefault="00AA207E">
          <w:pPr>
            <w:widowControl w:val="0"/>
            <w:spacing w:before="0" w:after="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>and year</w:t>
          </w:r>
        </w:p>
      </w:tc>
      <w:tc>
        <w:tcPr>
          <w:tcW w:w="1120" w:type="dxa"/>
          <w:tcBorders>
            <w:top w:val="single" w:sz="6" w:space="0" w:color="auto"/>
            <w:bottom w:val="single" w:sz="2" w:space="0" w:color="auto"/>
          </w:tcBorders>
        </w:tcPr>
        <w:p w14:paraId="3F2CAEE9" w14:textId="77777777" w:rsidR="00067A20" w:rsidRDefault="00AA207E">
          <w:pPr>
            <w:widowControl w:val="0"/>
            <w:spacing w:before="320" w:after="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 xml:space="preserve">Date of </w:t>
          </w:r>
        </w:p>
        <w:p w14:paraId="303EEAAD" w14:textId="77777777" w:rsidR="00067A20" w:rsidRDefault="00AA207E">
          <w:pPr>
            <w:widowControl w:val="0"/>
            <w:spacing w:before="0" w:after="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 xml:space="preserve">notification </w:t>
          </w:r>
        </w:p>
        <w:p w14:paraId="78BDB401" w14:textId="77777777" w:rsidR="00067A20" w:rsidRDefault="00AA207E">
          <w:pPr>
            <w:widowControl w:val="0"/>
            <w:spacing w:before="0" w:after="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 xml:space="preserve">in </w:t>
          </w:r>
          <w:r>
            <w:rPr>
              <w:rFonts w:ascii="Helvetica" w:hAnsi="Helvetica"/>
              <w:i/>
              <w:sz w:val="16"/>
            </w:rPr>
            <w:t>Gazette</w:t>
          </w:r>
        </w:p>
      </w:tc>
      <w:tc>
        <w:tcPr>
          <w:tcW w:w="1480" w:type="dxa"/>
          <w:tcBorders>
            <w:top w:val="single" w:sz="6" w:space="0" w:color="auto"/>
            <w:bottom w:val="single" w:sz="2" w:space="0" w:color="auto"/>
          </w:tcBorders>
        </w:tcPr>
        <w:p w14:paraId="20AF7D4E" w14:textId="77777777" w:rsidR="00067A20" w:rsidRDefault="00AA207E">
          <w:pPr>
            <w:widowControl w:val="0"/>
            <w:spacing w:before="480" w:after="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 xml:space="preserve">Date of </w:t>
          </w:r>
        </w:p>
        <w:p w14:paraId="0766E564" w14:textId="77777777" w:rsidR="00067A20" w:rsidRDefault="00AA207E">
          <w:pPr>
            <w:widowControl w:val="0"/>
            <w:spacing w:before="0" w:after="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>commencement</w:t>
          </w:r>
        </w:p>
      </w:tc>
      <w:tc>
        <w:tcPr>
          <w:tcW w:w="1200" w:type="dxa"/>
          <w:tcBorders>
            <w:top w:val="single" w:sz="6" w:space="0" w:color="auto"/>
            <w:bottom w:val="single" w:sz="2" w:space="0" w:color="auto"/>
          </w:tcBorders>
        </w:tcPr>
        <w:p w14:paraId="117AEED2" w14:textId="77777777" w:rsidR="00067A20" w:rsidRDefault="00AA207E">
          <w:pPr>
            <w:widowControl w:val="0"/>
            <w:spacing w:after="100"/>
            <w:jc w:val="right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>Application, saving or transitional provisions</w:t>
          </w:r>
        </w:p>
      </w:tc>
    </w:tr>
  </w:tbl>
  <w:p w14:paraId="14687E2C" w14:textId="77777777" w:rsidR="00067A20" w:rsidRDefault="00067A20">
    <w:pPr>
      <w:widowControl w:val="0"/>
      <w:spacing w:before="0" w:after="0"/>
      <w:ind w:left="200" w:right="-820"/>
      <w:rPr>
        <w:rFonts w:ascii="Helvetica" w:hAnsi="Helvetica"/>
        <w:sz w:val="8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60AE0" w14:textId="77777777" w:rsidR="00067A20" w:rsidRDefault="00AA207E">
    <w:pPr>
      <w:widowControl w:val="0"/>
      <w:tabs>
        <w:tab w:val="left" w:pos="3120"/>
        <w:tab w:val="right" w:pos="7180"/>
      </w:tabs>
      <w:rPr>
        <w:sz w:val="20"/>
      </w:rPr>
    </w:pPr>
    <w:r>
      <w:tab/>
    </w:r>
    <w:r>
      <w:rPr>
        <w:i/>
        <w:sz w:val="20"/>
      </w:rPr>
      <w:t>Odd Header</w:t>
    </w:r>
    <w:r>
      <w:rPr>
        <w:sz w:val="20"/>
      </w:rPr>
      <w:tab/>
    </w:r>
    <w:r>
      <w:rPr>
        <w:sz w:val="20"/>
      </w:rPr>
      <w:pgNum/>
    </w:r>
  </w:p>
  <w:p w14:paraId="45EC3B38" w14:textId="77777777" w:rsidR="00067A20" w:rsidRDefault="00AA207E">
    <w:pPr>
      <w:widowControl w:val="0"/>
      <w:spacing w:before="100" w:after="100"/>
      <w:ind w:left="140"/>
      <w:jc w:val="center"/>
      <w:rPr>
        <w:rFonts w:ascii="Helvetica" w:hAnsi="Helvetica"/>
        <w:b/>
        <w:sz w:val="20"/>
      </w:rPr>
    </w:pPr>
    <w:r>
      <w:rPr>
        <w:rFonts w:ascii="Helvetica" w:hAnsi="Helvetica"/>
        <w:b/>
        <w:sz w:val="20"/>
      </w:rPr>
      <w:t>NOTE</w:t>
    </w:r>
    <w:r>
      <w:rPr>
        <w:rFonts w:ascii="Helvetica" w:hAnsi="Helvetica"/>
        <w:sz w:val="20"/>
      </w:rPr>
      <w:t>—continued</w:t>
    </w:r>
  </w:p>
  <w:p w14:paraId="12A8B953" w14:textId="77777777" w:rsidR="00067A20" w:rsidRDefault="00AA207E">
    <w:pPr>
      <w:widowControl w:val="0"/>
      <w:spacing w:before="60" w:after="100"/>
      <w:ind w:left="140"/>
      <w:jc w:val="center"/>
      <w:rPr>
        <w:rFonts w:ascii="Helvetica" w:hAnsi="Helvetica"/>
      </w:rPr>
    </w:pPr>
    <w:r>
      <w:rPr>
        <w:rFonts w:ascii="Helvetica" w:hAnsi="Helvetica"/>
        <w:b/>
        <w:sz w:val="20"/>
      </w:rPr>
      <w:t>Table of Ordinances</w:t>
    </w:r>
    <w:r>
      <w:rPr>
        <w:rFonts w:ascii="Helvetica" w:hAnsi="Helvetica"/>
        <w:sz w:val="20"/>
      </w:rPr>
      <w:t>—continued</w:t>
    </w:r>
  </w:p>
  <w:tbl>
    <w:tblPr>
      <w:tblW w:w="0" w:type="auto"/>
      <w:tblInd w:w="260" w:type="dxa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2280"/>
      <w:gridCol w:w="1160"/>
      <w:gridCol w:w="1120"/>
      <w:gridCol w:w="1480"/>
      <w:gridCol w:w="1180"/>
    </w:tblGrid>
    <w:tr w:rsidR="00067A20" w14:paraId="14A2F679" w14:textId="77777777">
      <w:trPr>
        <w:cantSplit/>
      </w:trPr>
      <w:tc>
        <w:tcPr>
          <w:tcW w:w="2280" w:type="dxa"/>
          <w:tcBorders>
            <w:top w:val="single" w:sz="6" w:space="0" w:color="auto"/>
            <w:bottom w:val="single" w:sz="2" w:space="0" w:color="auto"/>
          </w:tcBorders>
        </w:tcPr>
        <w:p w14:paraId="6DDA60CB" w14:textId="77777777" w:rsidR="00067A20" w:rsidRDefault="00AA207E">
          <w:pPr>
            <w:widowControl w:val="0"/>
            <w:spacing w:before="700" w:after="100"/>
            <w:ind w:left="-4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>Ordinance</w:t>
          </w:r>
        </w:p>
      </w:tc>
      <w:tc>
        <w:tcPr>
          <w:tcW w:w="1160" w:type="dxa"/>
          <w:tcBorders>
            <w:top w:val="single" w:sz="6" w:space="0" w:color="auto"/>
            <w:bottom w:val="single" w:sz="2" w:space="0" w:color="auto"/>
          </w:tcBorders>
        </w:tcPr>
        <w:p w14:paraId="6DC03C10" w14:textId="77777777" w:rsidR="00067A20" w:rsidRDefault="00AA207E">
          <w:pPr>
            <w:widowControl w:val="0"/>
            <w:spacing w:before="480" w:after="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 xml:space="preserve">Number   </w:t>
          </w:r>
        </w:p>
        <w:p w14:paraId="02CD1672" w14:textId="77777777" w:rsidR="00067A20" w:rsidRDefault="00AA207E">
          <w:pPr>
            <w:widowControl w:val="0"/>
            <w:spacing w:before="0" w:after="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>and year</w:t>
          </w:r>
        </w:p>
      </w:tc>
      <w:tc>
        <w:tcPr>
          <w:tcW w:w="1120" w:type="dxa"/>
          <w:tcBorders>
            <w:top w:val="single" w:sz="6" w:space="0" w:color="auto"/>
            <w:bottom w:val="single" w:sz="2" w:space="0" w:color="auto"/>
          </w:tcBorders>
        </w:tcPr>
        <w:p w14:paraId="10E2C4CC" w14:textId="77777777" w:rsidR="00067A20" w:rsidRDefault="00AA207E">
          <w:pPr>
            <w:widowControl w:val="0"/>
            <w:spacing w:before="320" w:after="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 xml:space="preserve">Date of </w:t>
          </w:r>
        </w:p>
        <w:p w14:paraId="66A46E1F" w14:textId="77777777" w:rsidR="00067A20" w:rsidRDefault="00AA207E">
          <w:pPr>
            <w:widowControl w:val="0"/>
            <w:spacing w:before="0" w:after="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>notification</w:t>
          </w:r>
        </w:p>
        <w:p w14:paraId="4D218BF4" w14:textId="77777777" w:rsidR="00067A20" w:rsidRDefault="00AA207E">
          <w:pPr>
            <w:widowControl w:val="0"/>
            <w:spacing w:before="0" w:after="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 xml:space="preserve">in </w:t>
          </w:r>
          <w:r>
            <w:rPr>
              <w:rFonts w:ascii="Helvetica" w:hAnsi="Helvetica"/>
              <w:i/>
              <w:sz w:val="16"/>
            </w:rPr>
            <w:t>Gazette</w:t>
          </w:r>
        </w:p>
      </w:tc>
      <w:tc>
        <w:tcPr>
          <w:tcW w:w="1480" w:type="dxa"/>
          <w:tcBorders>
            <w:top w:val="single" w:sz="6" w:space="0" w:color="auto"/>
            <w:bottom w:val="single" w:sz="2" w:space="0" w:color="auto"/>
          </w:tcBorders>
        </w:tcPr>
        <w:p w14:paraId="1B02F0AD" w14:textId="77777777" w:rsidR="00067A20" w:rsidRDefault="00AA207E">
          <w:pPr>
            <w:widowControl w:val="0"/>
            <w:spacing w:before="480" w:after="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 xml:space="preserve">Date of </w:t>
          </w:r>
        </w:p>
        <w:p w14:paraId="5AD7D8F0" w14:textId="77777777" w:rsidR="00067A20" w:rsidRDefault="00AA207E">
          <w:pPr>
            <w:widowControl w:val="0"/>
            <w:spacing w:before="0" w:after="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>commencement</w:t>
          </w:r>
        </w:p>
      </w:tc>
      <w:tc>
        <w:tcPr>
          <w:tcW w:w="1180" w:type="dxa"/>
          <w:tcBorders>
            <w:top w:val="single" w:sz="6" w:space="0" w:color="auto"/>
            <w:bottom w:val="single" w:sz="2" w:space="0" w:color="auto"/>
          </w:tcBorders>
        </w:tcPr>
        <w:p w14:paraId="25AA62F4" w14:textId="77777777" w:rsidR="00067A20" w:rsidRDefault="00AA207E">
          <w:pPr>
            <w:widowControl w:val="0"/>
            <w:spacing w:after="100"/>
            <w:ind w:right="-20"/>
            <w:jc w:val="right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>Application, saving or transitional provisions</w:t>
          </w:r>
        </w:p>
      </w:tc>
    </w:tr>
  </w:tbl>
  <w:p w14:paraId="4AD62C8A" w14:textId="77777777" w:rsidR="00067A20" w:rsidRDefault="00067A20">
    <w:pPr>
      <w:widowControl w:val="0"/>
      <w:spacing w:before="0" w:after="0"/>
      <w:ind w:left="200" w:right="-800"/>
      <w:rPr>
        <w:sz w:val="8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ED416" w14:textId="77777777" w:rsidR="00067A20" w:rsidRDefault="00AA207E">
    <w:pPr>
      <w:widowControl w:val="0"/>
      <w:tabs>
        <w:tab w:val="left" w:pos="3180"/>
      </w:tabs>
      <w:rPr>
        <w:i/>
        <w:sz w:val="20"/>
      </w:rPr>
    </w:pPr>
    <w:r>
      <w:rPr>
        <w:sz w:val="20"/>
      </w:rPr>
      <w:pgNum/>
    </w:r>
    <w:r>
      <w:rPr>
        <w:sz w:val="20"/>
      </w:rPr>
      <w:tab/>
    </w:r>
    <w:r>
      <w:rPr>
        <w:i/>
        <w:sz w:val="20"/>
      </w:rPr>
      <w:t>Even Header</w:t>
    </w:r>
  </w:p>
  <w:p w14:paraId="0D9B221E" w14:textId="77777777" w:rsidR="00067A20" w:rsidRDefault="00AA207E">
    <w:pPr>
      <w:widowControl w:val="0"/>
      <w:spacing w:before="100" w:after="100"/>
      <w:ind w:left="140" w:right="20"/>
      <w:jc w:val="center"/>
      <w:rPr>
        <w:rFonts w:ascii="Helvetica" w:hAnsi="Helvetica"/>
        <w:b/>
        <w:sz w:val="20"/>
      </w:rPr>
    </w:pPr>
    <w:r>
      <w:rPr>
        <w:rFonts w:ascii="Helvetica" w:hAnsi="Helvetica"/>
        <w:b/>
        <w:sz w:val="20"/>
      </w:rPr>
      <w:t>NOTE</w:t>
    </w:r>
    <w:r>
      <w:rPr>
        <w:rFonts w:ascii="Helvetica" w:hAnsi="Helvetica"/>
        <w:sz w:val="20"/>
      </w:rPr>
      <w:t>—continued</w:t>
    </w:r>
  </w:p>
  <w:p w14:paraId="13788F60" w14:textId="77777777" w:rsidR="00067A20" w:rsidRDefault="00AA207E">
    <w:pPr>
      <w:widowControl w:val="0"/>
      <w:spacing w:before="100" w:after="100"/>
      <w:ind w:right="20"/>
      <w:jc w:val="center"/>
      <w:rPr>
        <w:rFonts w:ascii="Helvetica" w:hAnsi="Helvetica"/>
        <w:sz w:val="20"/>
      </w:rPr>
    </w:pPr>
    <w:r>
      <w:rPr>
        <w:rFonts w:ascii="Helvetica" w:hAnsi="Helvetica"/>
        <w:b/>
        <w:sz w:val="20"/>
      </w:rPr>
      <w:t>Table of Amendments</w:t>
    </w:r>
    <w:r>
      <w:rPr>
        <w:rFonts w:ascii="Helvetica" w:hAnsi="Helvetica"/>
        <w:sz w:val="20"/>
      </w:rPr>
      <w:t>—continued</w:t>
    </w:r>
  </w:p>
  <w:p w14:paraId="13210B60" w14:textId="77777777" w:rsidR="00067A20" w:rsidRDefault="00AA207E">
    <w:pPr>
      <w:widowControl w:val="0"/>
      <w:spacing w:before="20"/>
      <w:ind w:left="520" w:right="20"/>
      <w:jc w:val="left"/>
      <w:rPr>
        <w:rFonts w:ascii="Helvetica" w:hAnsi="Helvetica"/>
        <w:b/>
        <w:sz w:val="16"/>
      </w:rPr>
    </w:pPr>
    <w:r>
      <w:rPr>
        <w:rFonts w:ascii="Helvetica" w:hAnsi="Helvetica"/>
        <w:sz w:val="16"/>
      </w:rPr>
      <w:t>ad. = added or inserted      am. = amended     rep. = repealed      rs. = repealed and substituted</w:t>
    </w:r>
  </w:p>
  <w:p w14:paraId="75BE2FDF" w14:textId="77777777" w:rsidR="00067A20" w:rsidRDefault="00067A20">
    <w:pPr>
      <w:widowControl w:val="0"/>
      <w:pBdr>
        <w:top w:val="single" w:sz="6" w:space="0" w:color="auto"/>
      </w:pBdr>
      <w:tabs>
        <w:tab w:val="left" w:pos="2200"/>
      </w:tabs>
      <w:spacing w:before="20" w:after="20"/>
      <w:ind w:left="260"/>
      <w:rPr>
        <w:rFonts w:ascii="Helvetica" w:hAnsi="Helvetica"/>
        <w:sz w:val="8"/>
      </w:rPr>
    </w:pPr>
  </w:p>
  <w:p w14:paraId="1C3F8197" w14:textId="77777777" w:rsidR="00067A20" w:rsidRDefault="00AA207E">
    <w:pPr>
      <w:widowControl w:val="0"/>
      <w:tabs>
        <w:tab w:val="left" w:pos="2200"/>
      </w:tabs>
      <w:spacing w:before="20" w:after="20"/>
      <w:ind w:left="260" w:right="-820"/>
      <w:rPr>
        <w:rFonts w:ascii="Helvetica" w:hAnsi="Helvetica"/>
        <w:sz w:val="16"/>
      </w:rPr>
    </w:pPr>
    <w:r>
      <w:rPr>
        <w:rFonts w:ascii="Helvetica" w:hAnsi="Helvetica"/>
        <w:sz w:val="16"/>
      </w:rPr>
      <w:t>Provision</w:t>
    </w:r>
    <w:r>
      <w:rPr>
        <w:rFonts w:ascii="Helvetica" w:hAnsi="Helvetica"/>
        <w:sz w:val="16"/>
      </w:rPr>
      <w:tab/>
      <w:t>How affected</w:t>
    </w:r>
  </w:p>
  <w:p w14:paraId="4B5B2FD5" w14:textId="77777777" w:rsidR="00067A20" w:rsidRDefault="00067A20">
    <w:pPr>
      <w:widowControl w:val="0"/>
      <w:pBdr>
        <w:bottom w:val="single" w:sz="2" w:space="0" w:color="auto"/>
      </w:pBdr>
      <w:tabs>
        <w:tab w:val="left" w:pos="2200"/>
      </w:tabs>
      <w:spacing w:before="20" w:after="20"/>
      <w:ind w:left="260" w:right="20"/>
      <w:rPr>
        <w:rFonts w:ascii="Helvetica" w:hAnsi="Helvetica"/>
        <w:sz w:val="16"/>
      </w:rPr>
    </w:pPr>
  </w:p>
  <w:p w14:paraId="0446DE24" w14:textId="77777777" w:rsidR="00067A20" w:rsidRDefault="00067A20">
    <w:pPr>
      <w:widowControl w:val="0"/>
      <w:tabs>
        <w:tab w:val="left" w:leader="dot" w:pos="2200"/>
      </w:tabs>
      <w:spacing w:before="20" w:after="20"/>
      <w:ind w:left="260" w:right="-820"/>
      <w:rPr>
        <w:rFonts w:ascii="Helvetica" w:hAnsi="Helvetica"/>
        <w:sz w:val="8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85634" w14:textId="77777777" w:rsidR="00067A20" w:rsidRDefault="00AA207E">
    <w:pPr>
      <w:widowControl w:val="0"/>
      <w:tabs>
        <w:tab w:val="left" w:pos="3120"/>
        <w:tab w:val="right" w:pos="7180"/>
      </w:tabs>
      <w:rPr>
        <w:sz w:val="20"/>
      </w:rPr>
    </w:pPr>
    <w:r>
      <w:tab/>
    </w:r>
    <w:r>
      <w:rPr>
        <w:i/>
        <w:sz w:val="20"/>
      </w:rPr>
      <w:t>Odd Header</w:t>
    </w:r>
    <w:r>
      <w:rPr>
        <w:sz w:val="20"/>
      </w:rPr>
      <w:tab/>
    </w:r>
    <w:r>
      <w:rPr>
        <w:sz w:val="20"/>
      </w:rPr>
      <w:pgNum/>
    </w:r>
  </w:p>
  <w:p w14:paraId="1F2FF4B7" w14:textId="77777777" w:rsidR="00067A20" w:rsidRDefault="00AA207E">
    <w:pPr>
      <w:widowControl w:val="0"/>
      <w:tabs>
        <w:tab w:val="left" w:pos="3580"/>
      </w:tabs>
      <w:spacing w:before="100" w:after="100"/>
      <w:ind w:left="140"/>
      <w:jc w:val="center"/>
      <w:rPr>
        <w:rFonts w:ascii="Helvetica" w:hAnsi="Helvetica"/>
        <w:b/>
        <w:sz w:val="20"/>
      </w:rPr>
    </w:pPr>
    <w:r>
      <w:rPr>
        <w:rFonts w:ascii="Helvetica" w:hAnsi="Helvetica"/>
        <w:b/>
        <w:sz w:val="20"/>
      </w:rPr>
      <w:t>NOTE</w:t>
    </w:r>
    <w:r>
      <w:rPr>
        <w:rFonts w:ascii="Helvetica" w:hAnsi="Helvetica"/>
        <w:sz w:val="20"/>
      </w:rPr>
      <w:t>—continued</w:t>
    </w:r>
  </w:p>
  <w:p w14:paraId="0DCBD2A5" w14:textId="77777777" w:rsidR="00067A20" w:rsidRDefault="00AA207E">
    <w:pPr>
      <w:widowControl w:val="0"/>
      <w:tabs>
        <w:tab w:val="left" w:pos="3580"/>
      </w:tabs>
      <w:spacing w:before="100" w:after="100"/>
      <w:ind w:right="20"/>
      <w:jc w:val="center"/>
      <w:rPr>
        <w:rFonts w:ascii="Helvetica" w:hAnsi="Helvetica"/>
        <w:sz w:val="20"/>
      </w:rPr>
    </w:pPr>
    <w:r>
      <w:rPr>
        <w:rFonts w:ascii="Helvetica" w:hAnsi="Helvetica"/>
        <w:b/>
        <w:sz w:val="20"/>
      </w:rPr>
      <w:t>Table of Amendments</w:t>
    </w:r>
    <w:r>
      <w:rPr>
        <w:rFonts w:ascii="Helvetica" w:hAnsi="Helvetica"/>
        <w:sz w:val="20"/>
      </w:rPr>
      <w:t>—continued</w:t>
    </w:r>
  </w:p>
  <w:p w14:paraId="5F5CC654" w14:textId="77777777" w:rsidR="00067A20" w:rsidRDefault="00AA207E">
    <w:pPr>
      <w:widowControl w:val="0"/>
      <w:spacing w:before="20"/>
      <w:ind w:left="520" w:right="20"/>
      <w:jc w:val="left"/>
      <w:rPr>
        <w:rFonts w:ascii="Helvetica" w:hAnsi="Helvetica"/>
        <w:b/>
        <w:sz w:val="16"/>
      </w:rPr>
    </w:pPr>
    <w:r>
      <w:rPr>
        <w:rFonts w:ascii="Helvetica" w:hAnsi="Helvetica"/>
        <w:sz w:val="16"/>
      </w:rPr>
      <w:t>ad. = added or inserted      am. = amended     rep. = repealed      rs. = repealed and substituted</w:t>
    </w:r>
  </w:p>
  <w:p w14:paraId="05315BD0" w14:textId="77777777" w:rsidR="00067A20" w:rsidRDefault="00067A20">
    <w:pPr>
      <w:widowControl w:val="0"/>
      <w:pBdr>
        <w:top w:val="single" w:sz="6" w:space="0" w:color="auto"/>
      </w:pBdr>
      <w:tabs>
        <w:tab w:val="left" w:pos="2200"/>
        <w:tab w:val="left" w:pos="3580"/>
      </w:tabs>
      <w:spacing w:before="20" w:after="20"/>
      <w:ind w:left="260" w:right="20"/>
      <w:rPr>
        <w:rFonts w:ascii="Helvetica" w:hAnsi="Helvetica"/>
        <w:sz w:val="8"/>
      </w:rPr>
    </w:pPr>
  </w:p>
  <w:p w14:paraId="519BDF20" w14:textId="77777777" w:rsidR="00067A20" w:rsidRDefault="00AA207E">
    <w:pPr>
      <w:widowControl w:val="0"/>
      <w:pBdr>
        <w:top w:val="single" w:sz="6" w:space="0" w:color="auto"/>
      </w:pBdr>
      <w:tabs>
        <w:tab w:val="left" w:pos="2200"/>
        <w:tab w:val="left" w:pos="3580"/>
      </w:tabs>
      <w:spacing w:before="20" w:after="20"/>
      <w:ind w:left="260" w:right="20"/>
      <w:rPr>
        <w:rFonts w:ascii="Helvetica" w:hAnsi="Helvetica"/>
        <w:sz w:val="16"/>
      </w:rPr>
    </w:pPr>
    <w:r>
      <w:rPr>
        <w:rFonts w:ascii="Helvetica" w:hAnsi="Helvetica"/>
        <w:sz w:val="16"/>
      </w:rPr>
      <w:t>Provision</w:t>
    </w:r>
    <w:r>
      <w:rPr>
        <w:rFonts w:ascii="Helvetica" w:hAnsi="Helvetica"/>
        <w:sz w:val="16"/>
      </w:rPr>
      <w:tab/>
      <w:t>How affected</w:t>
    </w:r>
  </w:p>
  <w:p w14:paraId="63CBC10A" w14:textId="77777777" w:rsidR="00067A20" w:rsidRDefault="00067A20">
    <w:pPr>
      <w:widowControl w:val="0"/>
      <w:pBdr>
        <w:bottom w:val="single" w:sz="2" w:space="0" w:color="auto"/>
      </w:pBdr>
      <w:tabs>
        <w:tab w:val="left" w:pos="2200"/>
        <w:tab w:val="left" w:pos="3580"/>
      </w:tabs>
      <w:spacing w:before="20" w:after="20"/>
      <w:ind w:left="260"/>
      <w:rPr>
        <w:rFonts w:ascii="Helvetica" w:hAnsi="Helvetica"/>
        <w:sz w:val="16"/>
      </w:rPr>
    </w:pPr>
  </w:p>
  <w:p w14:paraId="1AB9847C" w14:textId="77777777" w:rsidR="00067A20" w:rsidRDefault="00067A20">
    <w:pPr>
      <w:widowControl w:val="0"/>
      <w:tabs>
        <w:tab w:val="left" w:leader="dot" w:pos="2200"/>
        <w:tab w:val="left" w:pos="3580"/>
      </w:tabs>
      <w:spacing w:before="20" w:after="20"/>
      <w:ind w:left="260" w:right="-800"/>
      <w:rPr>
        <w:rFonts w:ascii="Helvetica" w:hAnsi="Helvetica"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525E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5384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mirrorMargins/>
  <w:proofState w:spelling="clean"/>
  <w:defaultTabStop w:val="720"/>
  <w:hyphenationZone w:val="0"/>
  <w:doNotHyphenateCaps/>
  <w:evenAndOddHeader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07E"/>
    <w:rsid w:val="00067A20"/>
    <w:rsid w:val="00080A3C"/>
    <w:rsid w:val="00166D50"/>
    <w:rsid w:val="002A58FE"/>
    <w:rsid w:val="00487BCD"/>
    <w:rsid w:val="004957AD"/>
    <w:rsid w:val="00702D0E"/>
    <w:rsid w:val="007C1C4D"/>
    <w:rsid w:val="0085139E"/>
    <w:rsid w:val="008F0A82"/>
    <w:rsid w:val="00A4007E"/>
    <w:rsid w:val="00A54D94"/>
    <w:rsid w:val="00A61FAD"/>
    <w:rsid w:val="00AA207E"/>
    <w:rsid w:val="00B333B2"/>
    <w:rsid w:val="00B67609"/>
    <w:rsid w:val="00C2330E"/>
    <w:rsid w:val="00E10AFD"/>
    <w:rsid w:val="00FC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86087C"/>
  <w15:chartTrackingRefBased/>
  <w15:docId w15:val="{2CBCD3DE-607E-434A-954E-C5024FB6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before="80" w:after="60"/>
      <w:jc w:val="both"/>
      <w:textAlignment w:val="baseline"/>
    </w:pPr>
    <w:rPr>
      <w:rFonts w:ascii="Times" w:hAnsi="Times"/>
      <w:sz w:val="24"/>
    </w:rPr>
  </w:style>
  <w:style w:type="paragraph" w:styleId="Heading1">
    <w:name w:val="heading 1"/>
    <w:next w:val="Normal"/>
    <w:qFormat/>
    <w:pPr>
      <w:overflowPunct w:val="0"/>
      <w:autoSpaceDE w:val="0"/>
      <w:autoSpaceDN w:val="0"/>
      <w:adjustRightInd w:val="0"/>
      <w:spacing w:before="300"/>
      <w:jc w:val="center"/>
      <w:textAlignment w:val="baseline"/>
      <w:outlineLvl w:val="0"/>
    </w:pPr>
    <w:rPr>
      <w:rFonts w:ascii="Times" w:hAnsi="Times"/>
      <w:b/>
      <w:caps/>
      <w:sz w:val="24"/>
    </w:rPr>
  </w:style>
  <w:style w:type="paragraph" w:styleId="Heading2">
    <w:name w:val="heading 2"/>
    <w:next w:val="Normal"/>
    <w:qFormat/>
    <w:pPr>
      <w:overflowPunct w:val="0"/>
      <w:autoSpaceDE w:val="0"/>
      <w:autoSpaceDN w:val="0"/>
      <w:adjustRightInd w:val="0"/>
      <w:spacing w:before="140"/>
      <w:jc w:val="center"/>
      <w:textAlignment w:val="baseline"/>
      <w:outlineLvl w:val="1"/>
    </w:pPr>
    <w:rPr>
      <w:rFonts w:ascii="Times" w:hAnsi="Times"/>
      <w:b/>
      <w:i/>
      <w:sz w:val="24"/>
    </w:rPr>
  </w:style>
  <w:style w:type="paragraph" w:styleId="Heading3">
    <w:name w:val="heading 3"/>
    <w:next w:val="allsections"/>
    <w:qFormat/>
    <w:pPr>
      <w:overflowPunct w:val="0"/>
      <w:autoSpaceDE w:val="0"/>
      <w:autoSpaceDN w:val="0"/>
      <w:adjustRightInd w:val="0"/>
      <w:spacing w:before="140"/>
      <w:textAlignment w:val="baseline"/>
      <w:outlineLvl w:val="2"/>
    </w:pPr>
    <w:rPr>
      <w:rFonts w:ascii="Times" w:hAnsi="Times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lsections">
    <w:name w:val="all sections"/>
    <w:pPr>
      <w:overflowPunct w:val="0"/>
      <w:autoSpaceDE w:val="0"/>
      <w:autoSpaceDN w:val="0"/>
      <w:adjustRightInd w:val="0"/>
      <w:spacing w:before="80" w:after="80"/>
      <w:ind w:firstLine="400"/>
      <w:jc w:val="both"/>
      <w:textAlignment w:val="baseline"/>
    </w:pPr>
    <w:rPr>
      <w:rFonts w:ascii="Times" w:hAnsi="Times"/>
      <w:sz w:val="24"/>
    </w:rPr>
  </w:style>
  <w:style w:type="paragraph" w:styleId="TOC3">
    <w:name w:val="toc 3"/>
    <w:next w:val="Normal"/>
    <w:semiHidden/>
    <w:pPr>
      <w:tabs>
        <w:tab w:val="right" w:pos="540"/>
      </w:tabs>
      <w:overflowPunct w:val="0"/>
      <w:autoSpaceDE w:val="0"/>
      <w:autoSpaceDN w:val="0"/>
      <w:adjustRightInd w:val="0"/>
      <w:spacing w:before="20" w:after="20"/>
      <w:ind w:left="1120" w:hanging="1120"/>
      <w:textAlignment w:val="baseline"/>
    </w:pPr>
    <w:rPr>
      <w:rFonts w:ascii="Times" w:hAnsi="Times"/>
    </w:rPr>
  </w:style>
  <w:style w:type="paragraph" w:styleId="TOC2">
    <w:name w:val="toc 2"/>
    <w:next w:val="Normal"/>
    <w:semiHidden/>
    <w:pPr>
      <w:overflowPunct w:val="0"/>
      <w:autoSpaceDE w:val="0"/>
      <w:autoSpaceDN w:val="0"/>
      <w:adjustRightInd w:val="0"/>
      <w:spacing w:before="20" w:after="80"/>
      <w:jc w:val="center"/>
      <w:textAlignment w:val="baseline"/>
    </w:pPr>
    <w:rPr>
      <w:rFonts w:ascii="Times" w:hAnsi="Times"/>
      <w:i/>
    </w:rPr>
  </w:style>
  <w:style w:type="paragraph" w:styleId="TOC1">
    <w:name w:val="toc 1"/>
    <w:next w:val="Normal"/>
    <w:semiHidden/>
    <w:pPr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ascii="Times" w:hAnsi="Times"/>
      <w:caps/>
    </w:rPr>
  </w:style>
  <w:style w:type="paragraph" w:styleId="Header">
    <w:name w:val="header"/>
    <w:basedOn w:val="Normal"/>
    <w:next w:val="Normal"/>
    <w:semiHidden/>
    <w:pPr>
      <w:tabs>
        <w:tab w:val="center" w:pos="4252"/>
        <w:tab w:val="right" w:pos="8504"/>
      </w:tabs>
    </w:pPr>
  </w:style>
  <w:style w:type="paragraph" w:customStyle="1" w:styleId="amendschedule">
    <w:name w:val="amend schedule"/>
    <w:next w:val="allsections"/>
    <w:pPr>
      <w:overflowPunct w:val="0"/>
      <w:autoSpaceDE w:val="0"/>
      <w:autoSpaceDN w:val="0"/>
      <w:adjustRightInd w:val="0"/>
      <w:spacing w:before="140"/>
      <w:textAlignment w:val="baseline"/>
    </w:pPr>
    <w:rPr>
      <w:rFonts w:ascii="Times" w:hAnsi="Times"/>
      <w:b/>
      <w:sz w:val="24"/>
    </w:rPr>
  </w:style>
  <w:style w:type="paragraph" w:customStyle="1" w:styleId="def">
    <w:name w:val="def"/>
    <w:pPr>
      <w:overflowPunct w:val="0"/>
      <w:autoSpaceDE w:val="0"/>
      <w:autoSpaceDN w:val="0"/>
      <w:adjustRightInd w:val="0"/>
      <w:spacing w:before="80" w:after="80"/>
      <w:ind w:left="900" w:hanging="500"/>
      <w:jc w:val="both"/>
      <w:textAlignment w:val="baseline"/>
    </w:pPr>
    <w:rPr>
      <w:rFonts w:ascii="Times" w:hAnsi="Times"/>
      <w:sz w:val="24"/>
    </w:rPr>
  </w:style>
  <w:style w:type="paragraph" w:customStyle="1" w:styleId="definpara">
    <w:name w:val="def in para"/>
    <w:pPr>
      <w:overflowPunct w:val="0"/>
      <w:autoSpaceDE w:val="0"/>
      <w:autoSpaceDN w:val="0"/>
      <w:adjustRightInd w:val="0"/>
      <w:spacing w:before="80" w:after="80"/>
      <w:ind w:left="1720" w:hanging="380"/>
      <w:jc w:val="both"/>
      <w:textAlignment w:val="baseline"/>
    </w:pPr>
    <w:rPr>
      <w:rFonts w:ascii="Times" w:hAnsi="Times"/>
      <w:sz w:val="24"/>
    </w:rPr>
  </w:style>
  <w:style w:type="paragraph" w:customStyle="1" w:styleId="aindent">
    <w:name w:val="a indent"/>
    <w:basedOn w:val="Normal"/>
    <w:pPr>
      <w:tabs>
        <w:tab w:val="right" w:pos="700"/>
      </w:tabs>
      <w:ind w:left="900" w:hanging="900"/>
    </w:pPr>
  </w:style>
  <w:style w:type="paragraph" w:customStyle="1" w:styleId="iindent">
    <w:name w:val="i indent"/>
    <w:pPr>
      <w:tabs>
        <w:tab w:val="right" w:pos="1340"/>
      </w:tabs>
      <w:overflowPunct w:val="0"/>
      <w:autoSpaceDE w:val="0"/>
      <w:autoSpaceDN w:val="0"/>
      <w:adjustRightInd w:val="0"/>
      <w:spacing w:before="80" w:after="80"/>
      <w:ind w:left="1600" w:hanging="1600"/>
      <w:jc w:val="both"/>
      <w:textAlignment w:val="baseline"/>
    </w:pPr>
    <w:rPr>
      <w:rFonts w:ascii="Times" w:hAnsi="Times"/>
      <w:sz w:val="24"/>
    </w:rPr>
  </w:style>
  <w:style w:type="paragraph" w:customStyle="1" w:styleId="Bindent">
    <w:name w:val="B indent"/>
    <w:pPr>
      <w:overflowPunct w:val="0"/>
      <w:autoSpaceDE w:val="0"/>
      <w:autoSpaceDN w:val="0"/>
      <w:adjustRightInd w:val="0"/>
      <w:spacing w:before="80" w:after="80"/>
      <w:ind w:left="2260" w:hanging="500"/>
      <w:jc w:val="both"/>
      <w:textAlignment w:val="baseline"/>
    </w:pPr>
    <w:rPr>
      <w:rFonts w:ascii="Times" w:hAnsi="Times"/>
      <w:sz w:val="24"/>
    </w:rPr>
  </w:style>
  <w:style w:type="paragraph" w:customStyle="1" w:styleId="defaindent">
    <w:name w:val="def a indent"/>
    <w:pPr>
      <w:tabs>
        <w:tab w:val="right" w:pos="1360"/>
      </w:tabs>
      <w:overflowPunct w:val="0"/>
      <w:autoSpaceDE w:val="0"/>
      <w:autoSpaceDN w:val="0"/>
      <w:adjustRightInd w:val="0"/>
      <w:spacing w:before="80" w:after="80"/>
      <w:ind w:left="1620" w:hanging="1620"/>
      <w:jc w:val="both"/>
      <w:textAlignment w:val="baseline"/>
    </w:pPr>
    <w:rPr>
      <w:rFonts w:ascii="Times" w:hAnsi="Times"/>
      <w:sz w:val="24"/>
    </w:rPr>
  </w:style>
  <w:style w:type="paragraph" w:customStyle="1" w:styleId="defiindent">
    <w:name w:val="def i indent"/>
    <w:pPr>
      <w:tabs>
        <w:tab w:val="right" w:pos="2080"/>
      </w:tabs>
      <w:overflowPunct w:val="0"/>
      <w:autoSpaceDE w:val="0"/>
      <w:autoSpaceDN w:val="0"/>
      <w:adjustRightInd w:val="0"/>
      <w:spacing w:before="80" w:after="80"/>
      <w:ind w:left="2260" w:hanging="2300"/>
      <w:jc w:val="both"/>
      <w:textAlignment w:val="baseline"/>
    </w:pPr>
    <w:rPr>
      <w:rFonts w:ascii="Times" w:hAnsi="Times"/>
      <w:sz w:val="24"/>
    </w:rPr>
  </w:style>
  <w:style w:type="paragraph" w:customStyle="1" w:styleId="defBindent">
    <w:name w:val="def B indent"/>
    <w:pPr>
      <w:overflowPunct w:val="0"/>
      <w:autoSpaceDE w:val="0"/>
      <w:autoSpaceDN w:val="0"/>
      <w:adjustRightInd w:val="0"/>
      <w:spacing w:before="80" w:after="80"/>
      <w:ind w:left="3060" w:hanging="500"/>
      <w:jc w:val="both"/>
      <w:textAlignment w:val="baseline"/>
    </w:pPr>
    <w:rPr>
      <w:rFonts w:ascii="Times" w:hAnsi="Times"/>
      <w:sz w:val="24"/>
    </w:rPr>
  </w:style>
  <w:style w:type="paragraph" w:customStyle="1" w:styleId="fullout">
    <w:name w:val="full out"/>
    <w:pPr>
      <w:overflowPunct w:val="0"/>
      <w:autoSpaceDE w:val="0"/>
      <w:autoSpaceDN w:val="0"/>
      <w:adjustRightInd w:val="0"/>
      <w:spacing w:before="80" w:after="80"/>
      <w:jc w:val="both"/>
      <w:textAlignment w:val="baseline"/>
    </w:pPr>
    <w:rPr>
      <w:rFonts w:ascii="Times" w:hAnsi="Times"/>
      <w:sz w:val="24"/>
    </w:rPr>
  </w:style>
  <w:style w:type="paragraph" w:customStyle="1" w:styleId="defainpara">
    <w:name w:val="def a in para"/>
    <w:pPr>
      <w:tabs>
        <w:tab w:val="right" w:pos="2140"/>
      </w:tabs>
      <w:overflowPunct w:val="0"/>
      <w:autoSpaceDE w:val="0"/>
      <w:autoSpaceDN w:val="0"/>
      <w:adjustRightInd w:val="0"/>
      <w:spacing w:before="80" w:after="80"/>
      <w:ind w:left="2400" w:hanging="2400"/>
      <w:jc w:val="both"/>
      <w:textAlignment w:val="baseline"/>
    </w:pPr>
    <w:rPr>
      <w:rFonts w:ascii="Times" w:hAnsi="Times"/>
      <w:sz w:val="24"/>
    </w:rPr>
  </w:style>
  <w:style w:type="paragraph" w:customStyle="1" w:styleId="halfout">
    <w:name w:val="half out"/>
    <w:pPr>
      <w:overflowPunct w:val="0"/>
      <w:autoSpaceDE w:val="0"/>
      <w:autoSpaceDN w:val="0"/>
      <w:adjustRightInd w:val="0"/>
      <w:spacing w:before="80" w:after="80"/>
      <w:ind w:left="900"/>
      <w:jc w:val="both"/>
      <w:textAlignment w:val="baseline"/>
    </w:pPr>
    <w:rPr>
      <w:rFonts w:ascii="Times" w:hAnsi="Times"/>
      <w:sz w:val="24"/>
    </w:rPr>
  </w:style>
  <w:style w:type="paragraph" w:customStyle="1" w:styleId="defBinpara">
    <w:name w:val="def B in para"/>
    <w:pPr>
      <w:overflowPunct w:val="0"/>
      <w:autoSpaceDE w:val="0"/>
      <w:autoSpaceDN w:val="0"/>
      <w:adjustRightInd w:val="0"/>
      <w:spacing w:before="80" w:after="80"/>
      <w:ind w:left="3880" w:hanging="480"/>
      <w:jc w:val="both"/>
      <w:textAlignment w:val="baseline"/>
    </w:pPr>
    <w:rPr>
      <w:rFonts w:ascii="Times" w:hAnsi="Times"/>
      <w:sz w:val="24"/>
    </w:rPr>
  </w:style>
  <w:style w:type="paragraph" w:customStyle="1" w:styleId="defiinpara">
    <w:name w:val="def i in para"/>
    <w:pPr>
      <w:tabs>
        <w:tab w:val="right" w:pos="2940"/>
      </w:tabs>
      <w:overflowPunct w:val="0"/>
      <w:autoSpaceDE w:val="0"/>
      <w:autoSpaceDN w:val="0"/>
      <w:adjustRightInd w:val="0"/>
      <w:spacing w:before="80" w:after="80"/>
      <w:ind w:left="3100" w:hanging="3100"/>
      <w:jc w:val="both"/>
      <w:textAlignment w:val="baseline"/>
    </w:pPr>
    <w:rPr>
      <w:rFonts w:ascii="Times" w:hAnsi="Times"/>
      <w:sz w:val="24"/>
    </w:rPr>
  </w:style>
  <w:style w:type="paragraph" w:customStyle="1" w:styleId="tocamendsection">
    <w:name w:val="toc amend section"/>
    <w:pPr>
      <w:tabs>
        <w:tab w:val="right" w:pos="1900"/>
      </w:tabs>
      <w:overflowPunct w:val="0"/>
      <w:autoSpaceDE w:val="0"/>
      <w:autoSpaceDN w:val="0"/>
      <w:adjustRightInd w:val="0"/>
      <w:spacing w:before="20" w:after="20"/>
      <w:ind w:left="2300" w:hanging="2300"/>
      <w:textAlignment w:val="baseline"/>
    </w:pPr>
    <w:rPr>
      <w:rFonts w:ascii="Times" w:hAnsi="Times"/>
    </w:rPr>
  </w:style>
  <w:style w:type="paragraph" w:customStyle="1" w:styleId="tocamenddiv">
    <w:name w:val="toc amend div"/>
    <w:pPr>
      <w:overflowPunct w:val="0"/>
      <w:autoSpaceDE w:val="0"/>
      <w:autoSpaceDN w:val="0"/>
      <w:adjustRightInd w:val="0"/>
      <w:spacing w:before="20" w:after="20"/>
      <w:ind w:left="1120" w:right="20"/>
      <w:jc w:val="center"/>
      <w:textAlignment w:val="baseline"/>
    </w:pPr>
    <w:rPr>
      <w:rFonts w:ascii="Times" w:hAnsi="Times"/>
      <w:i/>
    </w:rPr>
  </w:style>
  <w:style w:type="paragraph" w:customStyle="1" w:styleId="tocamendpart">
    <w:name w:val="toc amend part"/>
    <w:pPr>
      <w:overflowPunct w:val="0"/>
      <w:autoSpaceDE w:val="0"/>
      <w:autoSpaceDN w:val="0"/>
      <w:adjustRightInd w:val="0"/>
      <w:spacing w:before="20" w:after="20"/>
      <w:ind w:left="1120" w:right="20"/>
      <w:jc w:val="center"/>
      <w:textAlignment w:val="baseline"/>
    </w:pPr>
    <w:rPr>
      <w:rFonts w:ascii="Times" w:hAnsi="Times"/>
      <w:caps/>
    </w:rPr>
  </w:style>
  <w:style w:type="paragraph" w:customStyle="1" w:styleId="secinpara">
    <w:name w:val="sec in para"/>
    <w:pPr>
      <w:overflowPunct w:val="0"/>
      <w:autoSpaceDE w:val="0"/>
      <w:autoSpaceDN w:val="0"/>
      <w:adjustRightInd w:val="0"/>
      <w:spacing w:before="80" w:after="80"/>
      <w:ind w:left="900" w:firstLine="400"/>
      <w:jc w:val="both"/>
      <w:textAlignment w:val="baseline"/>
    </w:pPr>
    <w:rPr>
      <w:rFonts w:ascii="Times" w:hAnsi="Times"/>
      <w:sz w:val="24"/>
    </w:rPr>
  </w:style>
  <w:style w:type="paragraph" w:customStyle="1" w:styleId="parainpara">
    <w:name w:val="para in para"/>
    <w:pPr>
      <w:tabs>
        <w:tab w:val="right" w:pos="1500"/>
      </w:tabs>
      <w:overflowPunct w:val="0"/>
      <w:autoSpaceDE w:val="0"/>
      <w:autoSpaceDN w:val="0"/>
      <w:adjustRightInd w:val="0"/>
      <w:spacing w:before="80" w:after="80"/>
      <w:ind w:left="1800" w:hanging="1800"/>
      <w:jc w:val="both"/>
      <w:textAlignment w:val="baseline"/>
    </w:pPr>
    <w:rPr>
      <w:rFonts w:ascii="Times" w:hAnsi="Times"/>
      <w:sz w:val="24"/>
    </w:rPr>
  </w:style>
  <w:style w:type="paragraph" w:customStyle="1" w:styleId="subparainpara">
    <w:name w:val="subpara in para"/>
    <w:pPr>
      <w:tabs>
        <w:tab w:val="right" w:pos="2280"/>
      </w:tabs>
      <w:overflowPunct w:val="0"/>
      <w:autoSpaceDE w:val="0"/>
      <w:autoSpaceDN w:val="0"/>
      <w:adjustRightInd w:val="0"/>
      <w:spacing w:before="80" w:after="80"/>
      <w:ind w:left="2480" w:hanging="2480"/>
      <w:jc w:val="both"/>
      <w:textAlignment w:val="baseline"/>
    </w:pPr>
    <w:rPr>
      <w:rFonts w:ascii="Times" w:hAnsi="Times"/>
      <w:sz w:val="24"/>
    </w:rPr>
  </w:style>
  <w:style w:type="paragraph" w:customStyle="1" w:styleId="sub-subparainpara">
    <w:name w:val="sub-subpara in para"/>
    <w:pPr>
      <w:overflowPunct w:val="0"/>
      <w:autoSpaceDE w:val="0"/>
      <w:autoSpaceDN w:val="0"/>
      <w:adjustRightInd w:val="0"/>
      <w:spacing w:before="80" w:after="80"/>
      <w:ind w:left="3160" w:hanging="460"/>
      <w:jc w:val="both"/>
      <w:textAlignment w:val="baseline"/>
    </w:pPr>
    <w:rPr>
      <w:rFonts w:ascii="Times" w:hAnsi="Times"/>
      <w:sz w:val="24"/>
    </w:rPr>
  </w:style>
  <w:style w:type="paragraph" w:customStyle="1" w:styleId="subparainpara2">
    <w:name w:val="subpara in para /2"/>
    <w:pPr>
      <w:tabs>
        <w:tab w:val="right" w:pos="1400"/>
      </w:tabs>
      <w:overflowPunct w:val="0"/>
      <w:autoSpaceDE w:val="0"/>
      <w:autoSpaceDN w:val="0"/>
      <w:adjustRightInd w:val="0"/>
      <w:spacing w:before="80" w:after="80"/>
      <w:ind w:left="1580" w:hanging="1580"/>
      <w:jc w:val="both"/>
      <w:textAlignment w:val="baseline"/>
    </w:pPr>
    <w:rPr>
      <w:rFonts w:ascii="Times" w:hAnsi="Times"/>
      <w:sz w:val="24"/>
    </w:rPr>
  </w:style>
  <w:style w:type="paragraph" w:customStyle="1" w:styleId="orparainpara">
    <w:name w:val=". or para in para"/>
    <w:pPr>
      <w:tabs>
        <w:tab w:val="left" w:pos="1680"/>
      </w:tabs>
      <w:overflowPunct w:val="0"/>
      <w:autoSpaceDE w:val="0"/>
      <w:autoSpaceDN w:val="0"/>
      <w:adjustRightInd w:val="0"/>
      <w:spacing w:before="80" w:after="80"/>
      <w:ind w:left="2100" w:hanging="1000"/>
      <w:jc w:val="both"/>
      <w:textAlignment w:val="baseline"/>
    </w:pPr>
    <w:rPr>
      <w:rFonts w:ascii="Times" w:hAnsi="Times"/>
      <w:sz w:val="24"/>
    </w:rPr>
  </w:style>
  <w:style w:type="paragraph" w:customStyle="1" w:styleId="orpara">
    <w:name w:val=". or para"/>
    <w:pPr>
      <w:tabs>
        <w:tab w:val="left" w:pos="920"/>
      </w:tabs>
      <w:overflowPunct w:val="0"/>
      <w:autoSpaceDE w:val="0"/>
      <w:autoSpaceDN w:val="0"/>
      <w:adjustRightInd w:val="0"/>
      <w:spacing w:before="80" w:after="80"/>
      <w:ind w:left="1380" w:hanging="980"/>
      <w:jc w:val="both"/>
      <w:textAlignment w:val="baseline"/>
    </w:pPr>
    <w:rPr>
      <w:rFonts w:ascii="Times" w:hAnsi="Times"/>
      <w:sz w:val="24"/>
    </w:rPr>
  </w:style>
  <w:style w:type="paragraph" w:customStyle="1" w:styleId="orsubpara">
    <w:name w:val=". or subpara"/>
    <w:pPr>
      <w:tabs>
        <w:tab w:val="right" w:pos="1200"/>
      </w:tabs>
      <w:overflowPunct w:val="0"/>
      <w:autoSpaceDE w:val="0"/>
      <w:autoSpaceDN w:val="0"/>
      <w:adjustRightInd w:val="0"/>
      <w:spacing w:before="80" w:after="80"/>
      <w:ind w:left="1380" w:hanging="980"/>
      <w:jc w:val="both"/>
      <w:textAlignment w:val="baseline"/>
    </w:pPr>
    <w:rPr>
      <w:rFonts w:ascii="Times" w:hAnsi="Times"/>
      <w:sz w:val="24"/>
    </w:rPr>
  </w:style>
  <w:style w:type="paragraph" w:customStyle="1" w:styleId="orsubparainpara">
    <w:name w:val=". or subpara in para"/>
    <w:pPr>
      <w:tabs>
        <w:tab w:val="right" w:pos="1900"/>
      </w:tabs>
      <w:overflowPunct w:val="0"/>
      <w:autoSpaceDE w:val="0"/>
      <w:autoSpaceDN w:val="0"/>
      <w:adjustRightInd w:val="0"/>
      <w:spacing w:before="80" w:after="80"/>
      <w:ind w:left="2100" w:hanging="1000"/>
      <w:jc w:val="both"/>
      <w:textAlignment w:val="baseline"/>
    </w:pPr>
    <w:rPr>
      <w:rFonts w:ascii="Times" w:hAnsi="Times"/>
      <w:sz w:val="24"/>
    </w:rPr>
  </w:style>
  <w:style w:type="paragraph" w:customStyle="1" w:styleId="quarterout">
    <w:name w:val="quarter out"/>
    <w:pPr>
      <w:overflowPunct w:val="0"/>
      <w:autoSpaceDE w:val="0"/>
      <w:autoSpaceDN w:val="0"/>
      <w:adjustRightInd w:val="0"/>
      <w:spacing w:before="80" w:after="80"/>
      <w:ind w:left="1600"/>
      <w:jc w:val="both"/>
      <w:textAlignment w:val="baseline"/>
    </w:pPr>
    <w:rPr>
      <w:rFonts w:ascii="Times" w:hAnsi="Times"/>
      <w:sz w:val="24"/>
    </w:rPr>
  </w:style>
  <w:style w:type="paragraph" w:styleId="Footer">
    <w:name w:val="footer"/>
    <w:basedOn w:val="Normal"/>
    <w:next w:val="Normal"/>
    <w:link w:val="FooterChar"/>
    <w:rsid w:val="00702D0E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702D0E"/>
    <w:rPr>
      <w:rFonts w:ascii="Times" w:hAnsi="Times"/>
      <w:sz w:val="24"/>
    </w:rPr>
  </w:style>
  <w:style w:type="paragraph" w:customStyle="1" w:styleId="00SigningPage">
    <w:name w:val="00SigningPage"/>
    <w:basedOn w:val="Normal"/>
    <w:rsid w:val="00702D0E"/>
    <w:pPr>
      <w:overflowPunct/>
      <w:autoSpaceDE/>
      <w:autoSpaceDN/>
      <w:adjustRightInd/>
      <w:spacing w:before="0" w:after="0"/>
      <w:jc w:val="left"/>
      <w:textAlignment w:val="auto"/>
    </w:pPr>
    <w:rPr>
      <w:rFonts w:ascii="Times New Roman" w:hAnsi="Times New Roman"/>
      <w:lang w:eastAsia="en-US"/>
    </w:rPr>
  </w:style>
  <w:style w:type="paragraph" w:customStyle="1" w:styleId="citation">
    <w:name w:val="citation"/>
    <w:basedOn w:val="Normal"/>
    <w:rsid w:val="00702D0E"/>
    <w:pPr>
      <w:overflowPunct/>
      <w:autoSpaceDE/>
      <w:autoSpaceDN/>
      <w:adjustRightInd/>
      <w:spacing w:before="1220" w:after="100"/>
      <w:jc w:val="left"/>
      <w:textAlignment w:val="auto"/>
    </w:pPr>
    <w:rPr>
      <w:rFonts w:ascii="Arial" w:hAnsi="Arial"/>
      <w:b/>
      <w:sz w:val="40"/>
      <w:lang w:eastAsia="en-US"/>
    </w:rPr>
  </w:style>
  <w:style w:type="paragraph" w:customStyle="1" w:styleId="RepubNo">
    <w:name w:val="RepubNo"/>
    <w:basedOn w:val="Normal"/>
    <w:rsid w:val="00702D0E"/>
    <w:pPr>
      <w:tabs>
        <w:tab w:val="left" w:pos="2600"/>
      </w:tabs>
      <w:overflowPunct/>
      <w:autoSpaceDE/>
      <w:autoSpaceDN/>
      <w:adjustRightInd/>
      <w:spacing w:before="600"/>
      <w:textAlignment w:val="auto"/>
    </w:pPr>
    <w:rPr>
      <w:rFonts w:ascii="Arial" w:hAnsi="Arial"/>
      <w:b/>
      <w:sz w:val="26"/>
      <w:lang w:eastAsia="en-US"/>
    </w:rPr>
  </w:style>
  <w:style w:type="paragraph" w:customStyle="1" w:styleId="EffectiveDate">
    <w:name w:val="EffectiveDate"/>
    <w:basedOn w:val="Normal"/>
    <w:rsid w:val="00702D0E"/>
    <w:pPr>
      <w:overflowPunct/>
      <w:autoSpaceDE/>
      <w:autoSpaceDN/>
      <w:adjustRightInd/>
      <w:spacing w:before="40" w:after="200"/>
      <w:jc w:val="left"/>
      <w:textAlignment w:val="auto"/>
    </w:pPr>
    <w:rPr>
      <w:rFonts w:ascii="Arial" w:hAnsi="Arial"/>
      <w:b/>
      <w:sz w:val="26"/>
      <w:lang w:eastAsia="en-US"/>
    </w:rPr>
  </w:style>
  <w:style w:type="paragraph" w:customStyle="1" w:styleId="CoverInForce">
    <w:name w:val="CoverInForce"/>
    <w:basedOn w:val="Normal"/>
    <w:rsid w:val="00702D0E"/>
    <w:pPr>
      <w:tabs>
        <w:tab w:val="left" w:pos="2600"/>
      </w:tabs>
      <w:overflowPunct/>
      <w:autoSpaceDE/>
      <w:autoSpaceDN/>
      <w:adjustRightInd/>
      <w:spacing w:before="200"/>
      <w:jc w:val="left"/>
      <w:textAlignment w:val="auto"/>
    </w:pPr>
    <w:rPr>
      <w:rFonts w:ascii="Arial" w:hAnsi="Arial"/>
      <w:lang w:eastAsia="en-US"/>
    </w:rPr>
  </w:style>
  <w:style w:type="paragraph" w:customStyle="1" w:styleId="CoverHeading">
    <w:name w:val="CoverHeading"/>
    <w:basedOn w:val="Normal"/>
    <w:rsid w:val="00702D0E"/>
    <w:pPr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b/>
      <w:lang w:eastAsia="en-US"/>
    </w:rPr>
  </w:style>
  <w:style w:type="paragraph" w:customStyle="1" w:styleId="CoverSubHdg">
    <w:name w:val="CoverSubHdg"/>
    <w:basedOn w:val="CoverHeading"/>
    <w:rsid w:val="00702D0E"/>
    <w:pPr>
      <w:spacing w:before="60"/>
    </w:pPr>
    <w:rPr>
      <w:sz w:val="20"/>
    </w:rPr>
  </w:style>
  <w:style w:type="paragraph" w:customStyle="1" w:styleId="CoverText">
    <w:name w:val="CoverText"/>
    <w:basedOn w:val="Normal"/>
    <w:rsid w:val="00702D0E"/>
    <w:pPr>
      <w:overflowPunct/>
      <w:autoSpaceDE/>
      <w:autoSpaceDN/>
      <w:adjustRightInd/>
      <w:spacing w:before="40" w:after="40"/>
      <w:textAlignment w:val="auto"/>
    </w:pPr>
    <w:rPr>
      <w:rFonts w:ascii="Times New Roman" w:hAnsi="Times New Roman"/>
      <w:sz w:val="20"/>
      <w:lang w:eastAsia="en-US"/>
    </w:rPr>
  </w:style>
  <w:style w:type="paragraph" w:customStyle="1" w:styleId="ActNo">
    <w:name w:val="ActNo"/>
    <w:basedOn w:val="Normal"/>
    <w:rsid w:val="00702D0E"/>
    <w:pPr>
      <w:overflowPunct/>
      <w:autoSpaceDE/>
      <w:autoSpaceDN/>
      <w:adjustRightInd/>
      <w:spacing w:before="120"/>
      <w:jc w:val="left"/>
      <w:textAlignment w:val="auto"/>
    </w:pPr>
    <w:rPr>
      <w:rFonts w:ascii="Arial" w:hAnsi="Arial" w:cs="Arial"/>
      <w:b/>
      <w:b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695</Words>
  <Characters>3841</Characters>
  <Application>Microsoft Office Word</Application>
  <DocSecurity>0</DocSecurity>
  <Lines>140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ACTGS Office Suite</dc:creator>
  <cp:keywords/>
  <cp:lastModifiedBy>PCODCS</cp:lastModifiedBy>
  <cp:revision>4</cp:revision>
  <dcterms:created xsi:type="dcterms:W3CDTF">2026-08-05T04:53:00Z</dcterms:created>
  <dcterms:modified xsi:type="dcterms:W3CDTF">2026-08-05T04:53:00Z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2026-05-05T06:39:41Z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db085233-0b82-4188-b928-21c2b87cc1bf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