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060FC" w14:textId="77777777" w:rsidR="00B75F05" w:rsidRDefault="00B75F05" w:rsidP="00B75F05">
      <w:pPr>
        <w:jc w:val="center"/>
      </w:pPr>
      <w:bookmarkStart w:id="0" w:name="_Hlk175130575"/>
      <w:r>
        <w:rPr>
          <w:noProof/>
        </w:rPr>
        <w:drawing>
          <wp:inline distT="0" distB="0" distL="0" distR="0" wp14:anchorId="3ED04A32" wp14:editId="57BB441E">
            <wp:extent cx="1336040" cy="117729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6040" cy="1177290"/>
                    </a:xfrm>
                    <a:prstGeom prst="rect">
                      <a:avLst/>
                    </a:prstGeom>
                    <a:noFill/>
                    <a:ln>
                      <a:noFill/>
                    </a:ln>
                  </pic:spPr>
                </pic:pic>
              </a:graphicData>
            </a:graphic>
          </wp:inline>
        </w:drawing>
      </w:r>
    </w:p>
    <w:p w14:paraId="4C0571FF" w14:textId="77777777" w:rsidR="00B75F05" w:rsidRDefault="00B75F05" w:rsidP="00B75F05">
      <w:pPr>
        <w:jc w:val="center"/>
        <w:rPr>
          <w:rFonts w:ascii="Arial" w:hAnsi="Arial"/>
        </w:rPr>
      </w:pPr>
      <w:r>
        <w:rPr>
          <w:rFonts w:ascii="Arial" w:hAnsi="Arial"/>
        </w:rPr>
        <w:t>Australian Capital Territory</w:t>
      </w:r>
    </w:p>
    <w:p w14:paraId="07F3244C" w14:textId="336F92D0" w:rsidR="00B75F05" w:rsidRDefault="00B75F05" w:rsidP="00B75F05">
      <w:pPr>
        <w:pStyle w:val="citation"/>
      </w:pPr>
      <w:r>
        <w:t xml:space="preserve">Married Persons’ Property Act 1986 </w:t>
      </w:r>
    </w:p>
    <w:p w14:paraId="15C4373A" w14:textId="27038134" w:rsidR="00B75F05" w:rsidRDefault="00B75F05" w:rsidP="00B75F05">
      <w:pPr>
        <w:pStyle w:val="ActNo"/>
      </w:pPr>
      <w:r>
        <w:t>A1986-18</w:t>
      </w:r>
    </w:p>
    <w:p w14:paraId="238767B7" w14:textId="77777777" w:rsidR="00B75F05" w:rsidRDefault="00B75F05" w:rsidP="00B75F05">
      <w:pPr>
        <w:pStyle w:val="RepubNo"/>
      </w:pPr>
      <w:r>
        <w:t>Republication No 1 (RI)</w:t>
      </w:r>
    </w:p>
    <w:p w14:paraId="1CA2A170" w14:textId="6075672E" w:rsidR="00B75F05" w:rsidRDefault="00B75F05" w:rsidP="00B75F05">
      <w:pPr>
        <w:pStyle w:val="EffectiveDate"/>
      </w:pPr>
      <w:r>
        <w:t>Effective:  3 January 1989 – 17 December 1995</w:t>
      </w:r>
    </w:p>
    <w:p w14:paraId="261803E1" w14:textId="75A6012B" w:rsidR="00B75F05" w:rsidRDefault="00B75F05" w:rsidP="00B75F05">
      <w:pPr>
        <w:pStyle w:val="CoverInForce"/>
      </w:pPr>
      <w:r>
        <w:t>Republication date of printed version: 31 July 1991</w:t>
      </w:r>
      <w:r>
        <w:br/>
        <w:t xml:space="preserve">Reissued electronically: </w:t>
      </w:r>
      <w:r w:rsidR="003D5BFE">
        <w:t xml:space="preserve">1 November </w:t>
      </w:r>
      <w:r>
        <w:t>2024</w:t>
      </w:r>
    </w:p>
    <w:p w14:paraId="43465737" w14:textId="0FAAF845" w:rsidR="00B75F05" w:rsidRDefault="00B75F05" w:rsidP="003D5BFE">
      <w:pPr>
        <w:pStyle w:val="CoverInForce"/>
      </w:pPr>
      <w:r>
        <w:t xml:space="preserve">Last amendment made by </w:t>
      </w:r>
      <w:r w:rsidR="00C80AD0">
        <w:t>Ord</w:t>
      </w:r>
      <w:r>
        <w:t>1988-81</w:t>
      </w:r>
      <w:r>
        <w:br/>
      </w:r>
    </w:p>
    <w:p w14:paraId="3D3F04C2" w14:textId="77777777" w:rsidR="00B75F05" w:rsidRDefault="00B75F05" w:rsidP="00B75F05"/>
    <w:p w14:paraId="35A650E2" w14:textId="77777777" w:rsidR="00B75F05" w:rsidRDefault="00B75F05" w:rsidP="00B75F05"/>
    <w:p w14:paraId="4879AFBD" w14:textId="77777777" w:rsidR="00B75F05" w:rsidRDefault="00B75F05" w:rsidP="00B75F05">
      <w:pPr>
        <w:pStyle w:val="CoverHeading"/>
      </w:pPr>
      <w:r>
        <w:br w:type="page"/>
      </w:r>
      <w:r>
        <w:lastRenderedPageBreak/>
        <w:t>About this republication</w:t>
      </w:r>
    </w:p>
    <w:p w14:paraId="7F57C3FE" w14:textId="77777777" w:rsidR="00B75F05" w:rsidRDefault="00B75F05" w:rsidP="00B75F05">
      <w:pPr>
        <w:pStyle w:val="CoverSubHdg"/>
      </w:pPr>
      <w:r>
        <w:t>The republished law</w:t>
      </w:r>
    </w:p>
    <w:p w14:paraId="6506DB69" w14:textId="462FE6FE" w:rsidR="00B75F05" w:rsidRDefault="00B75F05" w:rsidP="00B75F05">
      <w:pPr>
        <w:pStyle w:val="CoverText"/>
      </w:pPr>
      <w:r>
        <w:t xml:space="preserve">This is a republication of the </w:t>
      </w:r>
      <w:r w:rsidR="00044458">
        <w:rPr>
          <w:i/>
          <w:iCs/>
        </w:rPr>
        <w:t>Married Persons’ Property Act 1986</w:t>
      </w:r>
      <w:r>
        <w:t xml:space="preserve"> effective from </w:t>
      </w:r>
      <w:r w:rsidR="00044458">
        <w:t>3</w:t>
      </w:r>
      <w:r w:rsidR="00683E56">
        <w:t> </w:t>
      </w:r>
      <w:r w:rsidR="00044458">
        <w:t>January</w:t>
      </w:r>
      <w:r w:rsidR="00683E56">
        <w:t> </w:t>
      </w:r>
      <w:r w:rsidR="00044458">
        <w:t>1989</w:t>
      </w:r>
      <w:r>
        <w:t xml:space="preserve"> to </w:t>
      </w:r>
      <w:r w:rsidR="00044458">
        <w:t>17 December 1995</w:t>
      </w:r>
      <w:r>
        <w:t>.</w:t>
      </w:r>
    </w:p>
    <w:p w14:paraId="531C39F6" w14:textId="77777777" w:rsidR="00B75F05" w:rsidRDefault="00B75F05" w:rsidP="00B75F05">
      <w:pPr>
        <w:pStyle w:val="CoverSubHdg"/>
      </w:pPr>
      <w:r>
        <w:t>Kinds of republications</w:t>
      </w:r>
    </w:p>
    <w:p w14:paraId="7CE88501" w14:textId="77777777" w:rsidR="00B75F05" w:rsidRDefault="00B75F05" w:rsidP="00B75F05">
      <w:pPr>
        <w:pStyle w:val="CoverText"/>
      </w:pPr>
      <w:r>
        <w:t>The Parliamentary Counsel’s Office prepares 2 kinds of republications of ACT laws (see the ACT legislation register at www.legislation.act.gov.au):</w:t>
      </w:r>
    </w:p>
    <w:p w14:paraId="7F43741E" w14:textId="77777777" w:rsidR="00B75F05" w:rsidRDefault="00B75F05" w:rsidP="00B75F05">
      <w:pPr>
        <w:pStyle w:val="CoverText"/>
        <w:numPr>
          <w:ilvl w:val="0"/>
          <w:numId w:val="1"/>
        </w:numPr>
      </w:pPr>
      <w:r>
        <w:t xml:space="preserve">authorised republications to which the </w:t>
      </w:r>
      <w:r>
        <w:rPr>
          <w:i/>
        </w:rPr>
        <w:t>Legislation Act 2001</w:t>
      </w:r>
      <w:r>
        <w:t xml:space="preserve"> applies</w:t>
      </w:r>
    </w:p>
    <w:p w14:paraId="59CA8D5F" w14:textId="77777777" w:rsidR="00B75F05" w:rsidRDefault="00B75F05" w:rsidP="00B75F05">
      <w:pPr>
        <w:pStyle w:val="CoverText"/>
        <w:numPr>
          <w:ilvl w:val="0"/>
          <w:numId w:val="1"/>
        </w:numPr>
      </w:pPr>
      <w:r>
        <w:t>unauthorised republications.</w:t>
      </w:r>
    </w:p>
    <w:p w14:paraId="4A9E53B2" w14:textId="77777777" w:rsidR="00B75F05" w:rsidRDefault="00B75F05" w:rsidP="00B75F05">
      <w:pPr>
        <w:pStyle w:val="CoverText"/>
      </w:pPr>
      <w:r>
        <w:t>The status of this republication appears on the bottom of each page.</w:t>
      </w:r>
    </w:p>
    <w:p w14:paraId="36FDB9DE" w14:textId="77777777" w:rsidR="00B75F05" w:rsidRDefault="00B75F05" w:rsidP="00B75F05">
      <w:pPr>
        <w:pStyle w:val="00SigningPage"/>
        <w:sectPr w:rsidR="00B75F05" w:rsidSect="00B75F05">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pgNumType w:fmt="lowerRoman" w:start="1"/>
          <w:cols w:space="720"/>
          <w:titlePg/>
          <w:docGrid w:linePitch="254"/>
        </w:sectPr>
      </w:pPr>
    </w:p>
    <w:bookmarkEnd w:id="0"/>
    <w:p w14:paraId="41429BF9" w14:textId="77777777" w:rsidR="00044458" w:rsidRDefault="00044458" w:rsidP="00044458">
      <w:pPr>
        <w:jc w:val="center"/>
      </w:pPr>
      <w:r>
        <w:rPr>
          <w:noProof/>
        </w:rPr>
        <w:lastRenderedPageBreak/>
        <w:drawing>
          <wp:inline distT="0" distB="0" distL="0" distR="0" wp14:anchorId="7AB3137D" wp14:editId="42FF8EE8">
            <wp:extent cx="1336040" cy="11772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6040" cy="1177290"/>
                    </a:xfrm>
                    <a:prstGeom prst="rect">
                      <a:avLst/>
                    </a:prstGeom>
                    <a:noFill/>
                    <a:ln>
                      <a:noFill/>
                    </a:ln>
                  </pic:spPr>
                </pic:pic>
              </a:graphicData>
            </a:graphic>
          </wp:inline>
        </w:drawing>
      </w:r>
    </w:p>
    <w:p w14:paraId="33666811" w14:textId="77777777" w:rsidR="00044458" w:rsidRDefault="00044458" w:rsidP="00044458">
      <w:pPr>
        <w:jc w:val="center"/>
        <w:rPr>
          <w:rFonts w:ascii="Arial" w:hAnsi="Arial"/>
        </w:rPr>
      </w:pPr>
      <w:r>
        <w:rPr>
          <w:rFonts w:ascii="Arial" w:hAnsi="Arial"/>
        </w:rPr>
        <w:t>Australian Capital Territory</w:t>
      </w:r>
    </w:p>
    <w:p w14:paraId="531F923A" w14:textId="77777777" w:rsidR="00A967BF" w:rsidRDefault="00A967BF">
      <w:pPr>
        <w:spacing w:after="200"/>
        <w:jc w:val="center"/>
        <w:rPr>
          <w:rFonts w:ascii="Helvetica" w:hAnsi="Helvetica"/>
          <w:b/>
          <w:caps/>
          <w:sz w:val="28"/>
        </w:rPr>
      </w:pPr>
      <w:r>
        <w:rPr>
          <w:rFonts w:ascii="Helvetica" w:hAnsi="Helvetica"/>
          <w:b/>
          <w:caps/>
          <w:sz w:val="28"/>
        </w:rPr>
        <w:t>married persons’ property act 1986</w:t>
      </w:r>
    </w:p>
    <w:p w14:paraId="7D39A684" w14:textId="77777777" w:rsidR="00A967BF" w:rsidRDefault="00A967BF">
      <w:pPr>
        <w:spacing w:before="60" w:after="100"/>
        <w:ind w:right="23"/>
        <w:jc w:val="center"/>
        <w:rPr>
          <w:color w:val="000000"/>
          <w:sz w:val="20"/>
        </w:rPr>
      </w:pPr>
      <w:r>
        <w:rPr>
          <w:color w:val="000000"/>
          <w:sz w:val="20"/>
        </w:rPr>
        <w:t>This consolidation has been prepared by the ACT Parliamentary Counsel’s Office</w:t>
      </w:r>
    </w:p>
    <w:p w14:paraId="27B601ED" w14:textId="77777777" w:rsidR="00A967BF" w:rsidRDefault="00A967BF">
      <w:pPr>
        <w:spacing w:before="0" w:after="200"/>
        <w:jc w:val="center"/>
        <w:rPr>
          <w:caps/>
          <w:sz w:val="20"/>
        </w:rPr>
      </w:pPr>
      <w:r>
        <w:rPr>
          <w:sz w:val="20"/>
        </w:rPr>
        <w:t>Reprinted as at 31 July 1991</w:t>
      </w:r>
    </w:p>
    <w:p w14:paraId="0C74B133" w14:textId="77777777" w:rsidR="00A967BF" w:rsidRDefault="00A967BF">
      <w:pPr>
        <w:jc w:val="center"/>
        <w:rPr>
          <w:b/>
          <w:sz w:val="20"/>
        </w:rPr>
      </w:pPr>
      <w:r>
        <w:rPr>
          <w:b/>
          <w:sz w:val="20"/>
        </w:rPr>
        <w:t>TABLE OF PROVISIONS</w:t>
      </w:r>
    </w:p>
    <w:p w14:paraId="73BEABAB" w14:textId="77777777" w:rsidR="00A967BF" w:rsidRDefault="00A967BF">
      <w:pPr>
        <w:spacing w:before="120"/>
        <w:rPr>
          <w:sz w:val="18"/>
        </w:rPr>
      </w:pPr>
      <w:r>
        <w:rPr>
          <w:sz w:val="18"/>
        </w:rPr>
        <w:t>Section</w:t>
      </w:r>
    </w:p>
    <w:p w14:paraId="74CCBD86" w14:textId="77777777" w:rsidR="00A967BF" w:rsidRDefault="00A967BF">
      <w:pPr>
        <w:pStyle w:val="TOC3"/>
      </w:pPr>
      <w:r>
        <w:tab/>
        <w:t>1.</w:t>
      </w:r>
      <w:r>
        <w:tab/>
        <w:t>Short title</w:t>
      </w:r>
    </w:p>
    <w:p w14:paraId="6D8FA800" w14:textId="77777777" w:rsidR="00A967BF" w:rsidRDefault="00A967BF">
      <w:pPr>
        <w:pStyle w:val="TOC3"/>
      </w:pPr>
      <w:r>
        <w:tab/>
        <w:t>2.</w:t>
      </w:r>
      <w:r>
        <w:tab/>
        <w:t>Interpretation</w:t>
      </w:r>
    </w:p>
    <w:p w14:paraId="3B2CFE9D" w14:textId="77777777" w:rsidR="00A967BF" w:rsidRDefault="00A967BF">
      <w:pPr>
        <w:pStyle w:val="TOC3"/>
      </w:pPr>
      <w:r>
        <w:tab/>
        <w:t>3.</w:t>
      </w:r>
      <w:r>
        <w:tab/>
        <w:t>Legal capacity of married women</w:t>
      </w:r>
    </w:p>
    <w:p w14:paraId="48309531" w14:textId="77777777" w:rsidR="00A967BF" w:rsidRDefault="00A967BF">
      <w:pPr>
        <w:pStyle w:val="TOC3"/>
      </w:pPr>
      <w:r>
        <w:tab/>
        <w:t>4.</w:t>
      </w:r>
      <w:r>
        <w:tab/>
        <w:t>Authority to pledge spouse’s credit</w:t>
      </w:r>
    </w:p>
    <w:p w14:paraId="0AD84F92" w14:textId="77777777" w:rsidR="00A967BF" w:rsidRDefault="00A967BF">
      <w:pPr>
        <w:pStyle w:val="TOC3"/>
      </w:pPr>
      <w:r>
        <w:tab/>
        <w:t>5.</w:t>
      </w:r>
      <w:r>
        <w:tab/>
        <w:t>Agent of necessity</w:t>
      </w:r>
    </w:p>
    <w:p w14:paraId="2771548E" w14:textId="77777777" w:rsidR="00A967BF" w:rsidRDefault="00A967BF">
      <w:pPr>
        <w:pStyle w:val="TOC3"/>
      </w:pPr>
      <w:r>
        <w:tab/>
        <w:t>6.</w:t>
      </w:r>
      <w:r>
        <w:tab/>
        <w:t>Restriction upon anticipation or alienation</w:t>
      </w:r>
    </w:p>
    <w:p w14:paraId="41C58E1F" w14:textId="77777777" w:rsidR="00A967BF" w:rsidRDefault="00A967BF">
      <w:pPr>
        <w:pStyle w:val="TOC3"/>
      </w:pPr>
      <w:r>
        <w:tab/>
        <w:t>7.</w:t>
      </w:r>
      <w:r>
        <w:tab/>
        <w:t>Debts incurred before marriage</w:t>
      </w:r>
    </w:p>
    <w:p w14:paraId="52EA207D" w14:textId="77777777" w:rsidR="00A967BF" w:rsidRDefault="00A967BF">
      <w:pPr>
        <w:pStyle w:val="TOC3"/>
      </w:pPr>
      <w:r>
        <w:tab/>
        <w:t>8.</w:t>
      </w:r>
      <w:r>
        <w:tab/>
        <w:t>Crimes in respect of spouse’s property</w:t>
      </w:r>
    </w:p>
    <w:p w14:paraId="7AED4475" w14:textId="77777777" w:rsidR="00A967BF" w:rsidRDefault="00A967BF">
      <w:pPr>
        <w:pStyle w:val="TOC3"/>
      </w:pPr>
      <w:r>
        <w:tab/>
        <w:t>9.</w:t>
      </w:r>
      <w:r>
        <w:tab/>
        <w:t>Transfer of property to spouse or child</w:t>
      </w:r>
    </w:p>
    <w:p w14:paraId="7B682FAA" w14:textId="77777777" w:rsidR="00A967BF" w:rsidRDefault="00A967BF">
      <w:pPr>
        <w:pStyle w:val="TOC3"/>
      </w:pPr>
      <w:r>
        <w:tab/>
        <w:t>10.</w:t>
      </w:r>
      <w:r>
        <w:tab/>
        <w:t>Purchase or transfer of property before marriage</w:t>
      </w:r>
    </w:p>
    <w:p w14:paraId="66F99400" w14:textId="77777777" w:rsidR="00A967BF" w:rsidRDefault="00A967BF">
      <w:pPr>
        <w:pStyle w:val="TOC3"/>
      </w:pPr>
      <w:r>
        <w:tab/>
        <w:t>11.</w:t>
      </w:r>
      <w:r>
        <w:tab/>
        <w:t>Housekeeping allowances</w:t>
      </w:r>
    </w:p>
    <w:p w14:paraId="0FAFBEF6" w14:textId="77777777" w:rsidR="00A967BF" w:rsidRDefault="00A967BF">
      <w:pPr>
        <w:pStyle w:val="TOC3"/>
      </w:pPr>
      <w:r>
        <w:tab/>
        <w:t>12.</w:t>
      </w:r>
      <w:r>
        <w:tab/>
        <w:t>Married couple as beneficiaries</w:t>
      </w:r>
    </w:p>
    <w:p w14:paraId="643D999D" w14:textId="77777777" w:rsidR="00A967BF" w:rsidRDefault="00A967BF">
      <w:pPr>
        <w:pStyle w:val="TOC3"/>
      </w:pPr>
      <w:r>
        <w:tab/>
        <w:t>13.</w:t>
      </w:r>
      <w:r>
        <w:tab/>
        <w:t>Applications to determine property disputes</w:t>
      </w:r>
    </w:p>
    <w:p w14:paraId="2A3B095B" w14:textId="77777777" w:rsidR="00A967BF" w:rsidRDefault="00A967BF">
      <w:pPr>
        <w:pStyle w:val="TOC3"/>
      </w:pPr>
      <w:r>
        <w:tab/>
        <w:t>14.</w:t>
      </w:r>
      <w:r>
        <w:tab/>
        <w:t>Jurisdiction of Magistrates Court</w:t>
      </w:r>
    </w:p>
    <w:p w14:paraId="35E2C26C" w14:textId="77777777" w:rsidR="00A967BF" w:rsidRDefault="00A967BF">
      <w:pPr>
        <w:pStyle w:val="TOC3"/>
      </w:pPr>
      <w:r>
        <w:tab/>
        <w:t>15.</w:t>
      </w:r>
      <w:r>
        <w:tab/>
        <w:t>Powers of the court</w:t>
      </w:r>
    </w:p>
    <w:p w14:paraId="08B2F6BB" w14:textId="77777777" w:rsidR="00A967BF" w:rsidRDefault="00A967BF">
      <w:pPr>
        <w:pBdr>
          <w:top w:val="single" w:sz="2" w:space="0" w:color="auto"/>
        </w:pBdr>
        <w:spacing w:before="180" w:after="80"/>
        <w:ind w:left="3080" w:right="2900"/>
        <w:rPr>
          <w:b/>
        </w:rPr>
      </w:pPr>
    </w:p>
    <w:p w14:paraId="3A8C7DB2" w14:textId="77777777" w:rsidR="00A967BF" w:rsidRDefault="00A967BF">
      <w:pPr>
        <w:spacing w:before="0" w:after="200"/>
        <w:jc w:val="center"/>
      </w:pPr>
      <w:r>
        <w:t>An Act relating to the rights and liabilities of married persons in respect of property</w:t>
      </w:r>
    </w:p>
    <w:p w14:paraId="3ABEE683" w14:textId="77777777" w:rsidR="00A967BF" w:rsidRDefault="00A967BF">
      <w:pPr>
        <w:pStyle w:val="Heading3"/>
        <w:spacing w:before="100"/>
      </w:pPr>
      <w:r>
        <w:t>Short title</w:t>
      </w:r>
    </w:p>
    <w:p w14:paraId="489E090E" w14:textId="77777777" w:rsidR="00A967BF" w:rsidRDefault="00A967BF">
      <w:pPr>
        <w:pStyle w:val="allsections"/>
      </w:pPr>
      <w:r>
        <w:rPr>
          <w:b/>
        </w:rPr>
        <w:t>1.</w:t>
      </w:r>
      <w:r>
        <w:t xml:space="preserve">  This Act may be cited as the </w:t>
      </w:r>
      <w:r>
        <w:rPr>
          <w:i/>
        </w:rPr>
        <w:t>Married Persons’ Property Act 1986</w:t>
      </w:r>
      <w:r>
        <w:t>.</w:t>
      </w:r>
      <w:r>
        <w:rPr>
          <w:position w:val="10"/>
          <w:sz w:val="12"/>
        </w:rPr>
        <w:t>1</w:t>
      </w:r>
    </w:p>
    <w:p w14:paraId="71CE3347" w14:textId="7A7572E8" w:rsidR="00A967BF" w:rsidRDefault="00A967BF" w:rsidP="008E4290">
      <w:pPr>
        <w:pStyle w:val="Heading3"/>
        <w:keepNext/>
      </w:pPr>
      <w:r>
        <w:lastRenderedPageBreak/>
        <w:t>Interpretation</w:t>
      </w:r>
    </w:p>
    <w:p w14:paraId="0E9218CB" w14:textId="77777777" w:rsidR="00A967BF" w:rsidRDefault="00A967BF">
      <w:pPr>
        <w:pStyle w:val="allsections"/>
      </w:pPr>
      <w:r>
        <w:rPr>
          <w:b/>
        </w:rPr>
        <w:t>2.</w:t>
      </w:r>
      <w:r>
        <w:t xml:space="preserve">  In this Act, unless the contrary intention appears, “court” means the Supreme Court or the Magistrates Court.</w:t>
      </w:r>
    </w:p>
    <w:p w14:paraId="15CDC9BD" w14:textId="77777777" w:rsidR="00A967BF" w:rsidRDefault="00A967BF">
      <w:pPr>
        <w:pStyle w:val="Heading3"/>
      </w:pPr>
      <w:r>
        <w:t>Legal capacity of married women</w:t>
      </w:r>
    </w:p>
    <w:p w14:paraId="12C10EA9" w14:textId="77777777" w:rsidR="00A967BF" w:rsidRDefault="00A967BF">
      <w:pPr>
        <w:pStyle w:val="allsections"/>
      </w:pPr>
      <w:r>
        <w:rPr>
          <w:b/>
        </w:rPr>
        <w:t xml:space="preserve">3.  (1)  </w:t>
      </w:r>
      <w:r>
        <w:t>Except as otherwise provided by another law of the Territory, a married woman has, for all purposes, the same rights, privileges, powers, capacities, duties and liabilities as a married man, whether she is acting in a personal, official, representative or fiduciary capacity.</w:t>
      </w:r>
    </w:p>
    <w:p w14:paraId="135C2950" w14:textId="77777777" w:rsidR="00A967BF" w:rsidRDefault="00A967BF">
      <w:pPr>
        <w:pStyle w:val="allsections"/>
      </w:pPr>
      <w:r>
        <w:rPr>
          <w:b/>
        </w:rPr>
        <w:t xml:space="preserve">(2) </w:t>
      </w:r>
      <w:r>
        <w:t xml:space="preserve"> Subsection (1) applies in relation to any married woman, whether she was married before or after the commencement of this Act, and whether or not her marriage took place in the Territory.</w:t>
      </w:r>
    </w:p>
    <w:p w14:paraId="51A99337" w14:textId="77777777" w:rsidR="00A967BF" w:rsidRDefault="00A967BF">
      <w:pPr>
        <w:pStyle w:val="Heading3"/>
      </w:pPr>
      <w:r>
        <w:t>Authority to pledge spouse’s credit</w:t>
      </w:r>
    </w:p>
    <w:p w14:paraId="718184D0" w14:textId="77777777" w:rsidR="00A967BF" w:rsidRDefault="00A967BF">
      <w:pPr>
        <w:pStyle w:val="allsections"/>
      </w:pPr>
      <w:r>
        <w:rPr>
          <w:b/>
        </w:rPr>
        <w:t xml:space="preserve">4.  (1) </w:t>
      </w:r>
      <w:r>
        <w:t xml:space="preserve"> A husband living with his wife has the same presumed or implied authority to pledge his wife’s credit as a wife living with her husband has to pledge her husband’s credit.</w:t>
      </w:r>
    </w:p>
    <w:p w14:paraId="10D1059E" w14:textId="77777777" w:rsidR="00A967BF" w:rsidRDefault="00A967BF">
      <w:pPr>
        <w:pStyle w:val="allsections"/>
      </w:pPr>
      <w:r>
        <w:rPr>
          <w:b/>
        </w:rPr>
        <w:t>(2)</w:t>
      </w:r>
      <w:r>
        <w:t xml:space="preserve">  A reference in subsection (1) to the husband or wife of a person shall, where the person is living with another person of the opposite sex as the spouse of that other person on a </w:t>
      </w:r>
      <w:r>
        <w:rPr>
          <w:i/>
        </w:rPr>
        <w:t>bona fide</w:t>
      </w:r>
      <w:r>
        <w:t xml:space="preserve"> domestic basis although not married to that other person, be read as including a reference to that other person.</w:t>
      </w:r>
    </w:p>
    <w:p w14:paraId="3DD14129" w14:textId="77777777" w:rsidR="00A967BF" w:rsidRDefault="00A967BF">
      <w:pPr>
        <w:pStyle w:val="Heading3"/>
      </w:pPr>
      <w:r>
        <w:t>Agent of necessity</w:t>
      </w:r>
    </w:p>
    <w:p w14:paraId="1FBD95AB" w14:textId="77777777" w:rsidR="00A967BF" w:rsidRDefault="00A967BF">
      <w:pPr>
        <w:pStyle w:val="allsections"/>
      </w:pPr>
      <w:r>
        <w:rPr>
          <w:b/>
        </w:rPr>
        <w:t xml:space="preserve">5.  </w:t>
      </w:r>
      <w:r>
        <w:t>Any rule of law or equity conferring on a married woman authority, as agent of necessity of her husband, to pledge his credit or to borrow money on his credit ceases to have any force or effect in the Territory.</w:t>
      </w:r>
    </w:p>
    <w:p w14:paraId="47237772" w14:textId="77777777" w:rsidR="00A967BF" w:rsidRDefault="00A967BF" w:rsidP="0047668C">
      <w:pPr>
        <w:pStyle w:val="Heading3"/>
        <w:keepNext/>
      </w:pPr>
      <w:r>
        <w:t>Restriction upon anticipation or alienation</w:t>
      </w:r>
    </w:p>
    <w:p w14:paraId="36AA1E57" w14:textId="77777777" w:rsidR="00A967BF" w:rsidRDefault="00A967BF" w:rsidP="0047668C">
      <w:pPr>
        <w:pStyle w:val="allsections"/>
        <w:keepLines/>
        <w:ind w:firstLine="403"/>
      </w:pPr>
      <w:r>
        <w:rPr>
          <w:b/>
        </w:rPr>
        <w:t xml:space="preserve">6. </w:t>
      </w:r>
      <w:r>
        <w:t xml:space="preserve"> Any instrument executed after the commencement of this Act is void to the extent that it purports to attach any restriction upon anticipation or alienation to the enjoyment by a woman of any property that could not have been attached to the enjoyment by a man of that property.</w:t>
      </w:r>
    </w:p>
    <w:p w14:paraId="375AC5D9" w14:textId="77777777" w:rsidR="00A967BF" w:rsidRDefault="00A967BF">
      <w:pPr>
        <w:pStyle w:val="Heading3"/>
      </w:pPr>
      <w:r>
        <w:t>Debts incurred before marriage</w:t>
      </w:r>
    </w:p>
    <w:p w14:paraId="3064F24B" w14:textId="77777777" w:rsidR="00A967BF" w:rsidRDefault="00A967BF">
      <w:pPr>
        <w:pStyle w:val="allsections"/>
      </w:pPr>
      <w:r>
        <w:rPr>
          <w:b/>
        </w:rPr>
        <w:t>7.</w:t>
      </w:r>
      <w:r>
        <w:t xml:space="preserve">  A married person is not liable for any debt incurred by his or her spouse before their marriage.</w:t>
      </w:r>
    </w:p>
    <w:p w14:paraId="2BB006A2" w14:textId="77777777" w:rsidR="00A967BF" w:rsidRDefault="00A967BF" w:rsidP="008E4290">
      <w:pPr>
        <w:pStyle w:val="Heading3"/>
        <w:keepNext/>
      </w:pPr>
      <w:r>
        <w:lastRenderedPageBreak/>
        <w:t>Crimes in respect of spouse’s property</w:t>
      </w:r>
    </w:p>
    <w:p w14:paraId="1AFB3119" w14:textId="77777777" w:rsidR="00A967BF" w:rsidRDefault="00A967BF">
      <w:pPr>
        <w:pStyle w:val="allsections"/>
      </w:pPr>
      <w:r>
        <w:rPr>
          <w:b/>
        </w:rPr>
        <w:t>8.</w:t>
      </w:r>
      <w:r>
        <w:t xml:space="preserve">  An act that would, if done by a married man in respect of any property of his wife, make him liable to criminal proceedings shall, if done by a married woman in respect of any property of her husband, make her liable to criminal proceedings.</w:t>
      </w:r>
    </w:p>
    <w:p w14:paraId="3197410F" w14:textId="77777777" w:rsidR="00A967BF" w:rsidRDefault="00A967BF">
      <w:pPr>
        <w:pStyle w:val="Heading3"/>
      </w:pPr>
      <w:r>
        <w:t>Transfer of property to spouse or child</w:t>
      </w:r>
    </w:p>
    <w:p w14:paraId="12A7A00A" w14:textId="77777777" w:rsidR="00A967BF" w:rsidRDefault="00A967BF">
      <w:pPr>
        <w:pStyle w:val="allsections"/>
      </w:pPr>
      <w:r>
        <w:rPr>
          <w:b/>
        </w:rPr>
        <w:t xml:space="preserve">9.  (1)  </w:t>
      </w:r>
      <w:r>
        <w:t>Where property or an interest in property paid for by a woman with her money, or owned by a woman—</w:t>
      </w:r>
    </w:p>
    <w:p w14:paraId="43B34CF7" w14:textId="77777777" w:rsidR="00A967BF" w:rsidRDefault="00A967BF">
      <w:pPr>
        <w:pStyle w:val="aindent"/>
      </w:pPr>
      <w:r>
        <w:tab/>
        <w:t>(a)</w:t>
      </w:r>
      <w:r>
        <w:tab/>
        <w:t>is vested in or transferred to her husband, or her child or another person to whom she stands in loco parentis; or</w:t>
      </w:r>
    </w:p>
    <w:p w14:paraId="509C7573" w14:textId="77777777" w:rsidR="00A967BF" w:rsidRDefault="00A967BF">
      <w:pPr>
        <w:pStyle w:val="aindent"/>
      </w:pPr>
      <w:r>
        <w:tab/>
        <w:t>(b)</w:t>
      </w:r>
      <w:r>
        <w:tab/>
        <w:t>is vested jointly in or transferred jointly to herself and her husband, or herself and her child or herself and another person to whom she stands in loco parentis,</w:t>
      </w:r>
    </w:p>
    <w:p w14:paraId="1D528ED4" w14:textId="77777777" w:rsidR="00A967BF" w:rsidRDefault="00A967BF">
      <w:pPr>
        <w:pStyle w:val="fullout"/>
      </w:pPr>
      <w:r>
        <w:t>then, unless the contrary intention appears, the same presumptions of gift or advancement shall be taken to arise in respect of the property or the interest in property, as the case may be, as would arise if the property or interest had been paid for by a man with his money, or owned by a man, and had respectively—</w:t>
      </w:r>
    </w:p>
    <w:p w14:paraId="033E0A86" w14:textId="77777777" w:rsidR="00A967BF" w:rsidRDefault="00A967BF">
      <w:pPr>
        <w:pStyle w:val="aindent"/>
      </w:pPr>
      <w:r>
        <w:tab/>
        <w:t>(c)</w:t>
      </w:r>
      <w:r>
        <w:tab/>
        <w:t>vested in or been transferred to his wife, or his child or another person to whom he stands in loco parentis; or</w:t>
      </w:r>
    </w:p>
    <w:p w14:paraId="7E26704C" w14:textId="77777777" w:rsidR="00A967BF" w:rsidRDefault="00A967BF">
      <w:pPr>
        <w:pStyle w:val="aindent"/>
      </w:pPr>
      <w:r>
        <w:tab/>
        <w:t>(d)</w:t>
      </w:r>
      <w:r>
        <w:tab/>
        <w:t>vested jointly in, or been transferred jointly to, himself and his wife, or himself and his child or himself and another person to whom he stands in loco parentis.</w:t>
      </w:r>
    </w:p>
    <w:p w14:paraId="23AF079A" w14:textId="77777777" w:rsidR="00A967BF" w:rsidRDefault="00A967BF">
      <w:pPr>
        <w:pStyle w:val="allsections"/>
      </w:pPr>
      <w:r>
        <w:rPr>
          <w:b/>
        </w:rPr>
        <w:t>(2)</w:t>
      </w:r>
      <w:r>
        <w:t xml:space="preserve">  Where—</w:t>
      </w:r>
    </w:p>
    <w:p w14:paraId="0CC37065" w14:textId="77777777" w:rsidR="00A967BF" w:rsidRDefault="00A967BF">
      <w:pPr>
        <w:pStyle w:val="aindent"/>
      </w:pPr>
      <w:r>
        <w:tab/>
        <w:t>(a)</w:t>
      </w:r>
      <w:r>
        <w:tab/>
        <w:t>a husband and his wife both contribute to the purchase of property or an interest in property; and</w:t>
      </w:r>
    </w:p>
    <w:p w14:paraId="40BB972D" w14:textId="77777777" w:rsidR="00A967BF" w:rsidRDefault="00A967BF">
      <w:pPr>
        <w:pStyle w:val="aindent"/>
      </w:pPr>
      <w:r>
        <w:tab/>
        <w:t>(b)</w:t>
      </w:r>
      <w:r>
        <w:tab/>
        <w:t>the property or the interest is vested in or transferred to one spouse (in this subsection referred to as the “transferee”),</w:t>
      </w:r>
    </w:p>
    <w:p w14:paraId="77A373EF" w14:textId="77777777" w:rsidR="00A967BF" w:rsidRDefault="00A967BF">
      <w:pPr>
        <w:pStyle w:val="fullout"/>
      </w:pPr>
      <w:r>
        <w:t>then, unless the contrary intention appears, the transferee shall be taken to hold the property or the interest, as the case may be, in trust for himself or herself and the other spouse as joint tenants.</w:t>
      </w:r>
    </w:p>
    <w:p w14:paraId="54A388D1" w14:textId="77777777" w:rsidR="00A967BF" w:rsidRDefault="00A967BF" w:rsidP="008E4290">
      <w:pPr>
        <w:pStyle w:val="Heading3"/>
        <w:keepNext/>
      </w:pPr>
      <w:r>
        <w:lastRenderedPageBreak/>
        <w:t>Purchase or transfer of property before marriage</w:t>
      </w:r>
    </w:p>
    <w:p w14:paraId="20C49078" w14:textId="77777777" w:rsidR="00A967BF" w:rsidRDefault="00A967BF" w:rsidP="008E4290">
      <w:pPr>
        <w:pStyle w:val="allsections"/>
        <w:keepLines/>
        <w:ind w:firstLine="403"/>
      </w:pPr>
      <w:r>
        <w:rPr>
          <w:b/>
        </w:rPr>
        <w:t xml:space="preserve">10.  (1)  </w:t>
      </w:r>
      <w:r>
        <w:t>Where property or an interest in property paid for by a person with his or her money or owned by the person (in this subsection referred to as the “transferor”) is, in the transferor’s contemplation of his or her marriage to another person (in this subsection referred to as the “transferee”) vested in or transferred to the transferee then, unless the contrary intention appears—</w:t>
      </w:r>
    </w:p>
    <w:p w14:paraId="2FE71D91" w14:textId="77777777" w:rsidR="00A967BF" w:rsidRDefault="00A967BF">
      <w:pPr>
        <w:pStyle w:val="aindent"/>
      </w:pPr>
      <w:r>
        <w:tab/>
        <w:t>(a)</w:t>
      </w:r>
      <w:r>
        <w:tab/>
        <w:t>until the marriage takes place, the transferee shall be taken to hold the property, or the interest in property, as the case may be, in trust for the transferor; and</w:t>
      </w:r>
    </w:p>
    <w:p w14:paraId="50661293" w14:textId="77777777" w:rsidR="00A967BF" w:rsidRDefault="00A967BF">
      <w:pPr>
        <w:pStyle w:val="aindent"/>
      </w:pPr>
      <w:r>
        <w:tab/>
        <w:t>(b)</w:t>
      </w:r>
      <w:r>
        <w:tab/>
        <w:t>upon the marriage of the transferor to the transferee, the transferee shall be taken to hold the property or interest absolutely.</w:t>
      </w:r>
    </w:p>
    <w:p w14:paraId="76E37581" w14:textId="77777777" w:rsidR="00A967BF" w:rsidRDefault="00A967BF">
      <w:pPr>
        <w:pStyle w:val="allsections"/>
      </w:pPr>
      <w:r>
        <w:rPr>
          <w:b/>
        </w:rPr>
        <w:t>(2)</w:t>
      </w:r>
      <w:r>
        <w:t xml:space="preserve">  Where property or an interest in property paid for by a person with his or her money or owned by the person (in this subsection referred to as the “transferor”) is, in the transferor’s contemplation of his or her marriage to another person (in this subsection referred to as the “transferee”), vested jointly in or transferred jointly to the transferor and the transferee then, unless the contrary intention appears—</w:t>
      </w:r>
    </w:p>
    <w:p w14:paraId="0F1FC97B" w14:textId="77777777" w:rsidR="00A967BF" w:rsidRDefault="00A967BF">
      <w:pPr>
        <w:pStyle w:val="aindent"/>
      </w:pPr>
      <w:r>
        <w:tab/>
        <w:t>(a)</w:t>
      </w:r>
      <w:r>
        <w:tab/>
        <w:t>until the marriage takes place, the transferor and the transferee shall be taken to hold the property, or the interest in property, as the case may be, in trust for the transferor; and</w:t>
      </w:r>
    </w:p>
    <w:p w14:paraId="518131A6" w14:textId="77777777" w:rsidR="00A967BF" w:rsidRDefault="00A967BF">
      <w:pPr>
        <w:pStyle w:val="aindent"/>
      </w:pPr>
      <w:r>
        <w:tab/>
        <w:t>(b)</w:t>
      </w:r>
      <w:r>
        <w:tab/>
        <w:t>upon the marriage of the transferor to the transferee, the transferor and the transferee shall be taken to hold the property or interest as joint tenants.</w:t>
      </w:r>
    </w:p>
    <w:p w14:paraId="645A8F75" w14:textId="77777777" w:rsidR="00A967BF" w:rsidRDefault="00A967BF">
      <w:pPr>
        <w:pStyle w:val="allsections"/>
      </w:pPr>
      <w:r>
        <w:rPr>
          <w:b/>
        </w:rPr>
        <w:t>(3)</w:t>
      </w:r>
      <w:r>
        <w:t xml:space="preserve">  Where—</w:t>
      </w:r>
    </w:p>
    <w:p w14:paraId="013E79C3" w14:textId="77777777" w:rsidR="00A967BF" w:rsidRDefault="00A967BF">
      <w:pPr>
        <w:pStyle w:val="aindent"/>
      </w:pPr>
      <w:r>
        <w:tab/>
        <w:t>(a)</w:t>
      </w:r>
      <w:r>
        <w:tab/>
        <w:t>2 persons, in contemplation of their marriage to each other, both contribute to the purchase of property or an interest in property; and</w:t>
      </w:r>
    </w:p>
    <w:p w14:paraId="54D1E3CA" w14:textId="77777777" w:rsidR="00A967BF" w:rsidRDefault="00A967BF">
      <w:pPr>
        <w:pStyle w:val="aindent"/>
      </w:pPr>
      <w:r>
        <w:tab/>
        <w:t>(b)</w:t>
      </w:r>
      <w:r>
        <w:tab/>
        <w:t>the property or the interest in property, as the case may be, is vested in or transferred to one of the persons (in this subsection referred to as the “transferee”),</w:t>
      </w:r>
    </w:p>
    <w:p w14:paraId="131C8DD6" w14:textId="77777777" w:rsidR="00A967BF" w:rsidRDefault="00A967BF">
      <w:pPr>
        <w:pStyle w:val="fullout"/>
      </w:pPr>
      <w:r>
        <w:t>then, unless the contrary intention appears—</w:t>
      </w:r>
    </w:p>
    <w:p w14:paraId="4979F454" w14:textId="77777777" w:rsidR="00A967BF" w:rsidRDefault="00A967BF">
      <w:pPr>
        <w:pStyle w:val="aindent"/>
      </w:pPr>
      <w:r>
        <w:tab/>
        <w:t>(c)</w:t>
      </w:r>
      <w:r>
        <w:tab/>
        <w:t>until the marriage takes place, the property or the interest shall be taken to be held by the transferee in trust for himself or herself and the other person as tenants in common in shares proportionate to their respective contributions; and</w:t>
      </w:r>
    </w:p>
    <w:p w14:paraId="669F0D16" w14:textId="77777777" w:rsidR="00A967BF" w:rsidRDefault="00A967BF">
      <w:pPr>
        <w:pStyle w:val="aindent"/>
      </w:pPr>
      <w:r>
        <w:lastRenderedPageBreak/>
        <w:tab/>
        <w:t>(d)</w:t>
      </w:r>
      <w:r>
        <w:tab/>
        <w:t>upon the marriage of those persons, the property or the interest shall be taken to be held by the transferee in trust for himself or herself and the other person as joint tenants.</w:t>
      </w:r>
    </w:p>
    <w:p w14:paraId="7EC5E546" w14:textId="77777777" w:rsidR="00A967BF" w:rsidRDefault="00A967BF">
      <w:pPr>
        <w:pStyle w:val="Heading3"/>
      </w:pPr>
      <w:r>
        <w:t>Housekeeping allowances</w:t>
      </w:r>
    </w:p>
    <w:p w14:paraId="08F997EF" w14:textId="77777777" w:rsidR="00A967BF" w:rsidRDefault="00A967BF">
      <w:pPr>
        <w:pStyle w:val="allsections"/>
      </w:pPr>
      <w:r>
        <w:rPr>
          <w:b/>
        </w:rPr>
        <w:t>11.</w:t>
      </w:r>
      <w:r>
        <w:t xml:space="preserve">  Where a married person makes a payment or allowance to his or her spouse to pay their joint household expenses or for similar purposes, any property bought with the payment or allowance and any money not spent from the payment or allowance shall, in the absence of any agreement to the contrary between the person and his or her spouse, be taken to belong to the person and his or her spouse as joint tenants.</w:t>
      </w:r>
    </w:p>
    <w:p w14:paraId="6A4655B5" w14:textId="77777777" w:rsidR="00A967BF" w:rsidRDefault="00A967BF">
      <w:pPr>
        <w:pStyle w:val="Heading3"/>
      </w:pPr>
      <w:r>
        <w:t>Married couple as beneficiaries</w:t>
      </w:r>
    </w:p>
    <w:p w14:paraId="2752EF33" w14:textId="77777777" w:rsidR="00A967BF" w:rsidRDefault="00A967BF">
      <w:pPr>
        <w:pStyle w:val="allsections"/>
      </w:pPr>
      <w:r>
        <w:rPr>
          <w:b/>
        </w:rPr>
        <w:t xml:space="preserve">12. </w:t>
      </w:r>
      <w:r>
        <w:t xml:space="preserve"> For the purposes of the construction of a will, deed or other instrument in relation to a gift or other disposition of real or personal property to 2 or more persons as joint tenants or as tenants-in-common, any husband and his wife included among those persons shall, unless the contrary intention is shown, be treated as 2 separate persons for the purpose of calculating the share of the property to which each of the persons is entitled.</w:t>
      </w:r>
    </w:p>
    <w:p w14:paraId="33AF4754" w14:textId="77777777" w:rsidR="00A967BF" w:rsidRDefault="00A967BF">
      <w:pPr>
        <w:pStyle w:val="Heading3"/>
      </w:pPr>
      <w:r>
        <w:t>Applications to determine property disputes</w:t>
      </w:r>
    </w:p>
    <w:p w14:paraId="66502626" w14:textId="77777777" w:rsidR="00A967BF" w:rsidRDefault="00A967BF">
      <w:pPr>
        <w:pStyle w:val="allsections"/>
      </w:pPr>
      <w:r>
        <w:rPr>
          <w:b/>
        </w:rPr>
        <w:t>13.</w:t>
      </w:r>
      <w:r>
        <w:t xml:space="preserve"> Where any question arises between a husband and his wife in relation to the title to, or possession or disposition of, any property (including any question in relation to the investment by one spouse of money of the other spouse without the consent of the other) the husband or wife, or a third party on whom conflicting claims are being made by the husband and wife in relation to any property, may apply to the court to hear and determine the question.</w:t>
      </w:r>
    </w:p>
    <w:p w14:paraId="2BD46855" w14:textId="77777777" w:rsidR="00A967BF" w:rsidRDefault="00A967BF">
      <w:pPr>
        <w:pStyle w:val="Heading3"/>
      </w:pPr>
      <w:r>
        <w:t>Jurisdiction of Magistrates Court</w:t>
      </w:r>
    </w:p>
    <w:p w14:paraId="0EB34745" w14:textId="77777777" w:rsidR="00A967BF" w:rsidRDefault="00A967BF">
      <w:pPr>
        <w:pStyle w:val="allsections"/>
      </w:pPr>
      <w:r>
        <w:rPr>
          <w:b/>
        </w:rPr>
        <w:t>14.</w:t>
      </w:r>
      <w:r>
        <w:t xml:space="preserve">  The jurisdiction of the Magistrates Court to hear and determine a question referred to in section 13 is—</w:t>
      </w:r>
    </w:p>
    <w:p w14:paraId="0EC1D2FF" w14:textId="77777777" w:rsidR="00A967BF" w:rsidRDefault="00A967BF">
      <w:pPr>
        <w:pStyle w:val="aindent"/>
      </w:pPr>
      <w:r>
        <w:tab/>
        <w:t>(a)</w:t>
      </w:r>
      <w:r>
        <w:tab/>
        <w:t xml:space="preserve">subject to section 10 of the </w:t>
      </w:r>
      <w:r>
        <w:rPr>
          <w:i/>
        </w:rPr>
        <w:t>Magistrates Court (Civil Jurisdiction) Act 1982</w:t>
      </w:r>
      <w:r>
        <w:t>; and</w:t>
      </w:r>
    </w:p>
    <w:p w14:paraId="3CC84B91" w14:textId="77777777" w:rsidR="00A967BF" w:rsidRDefault="00A967BF">
      <w:pPr>
        <w:pStyle w:val="aindent"/>
      </w:pPr>
      <w:r>
        <w:tab/>
        <w:t>(b)</w:t>
      </w:r>
      <w:r>
        <w:tab/>
        <w:t xml:space="preserve">limited to a case where the question relates to property having a value not exceeding the amount specified in subsection 5 (1) of the </w:t>
      </w:r>
      <w:r>
        <w:rPr>
          <w:i/>
        </w:rPr>
        <w:t>Magistrates Court (Civil Jurisdiction) Act 1982</w:t>
      </w:r>
      <w:r>
        <w:t>.</w:t>
      </w:r>
    </w:p>
    <w:p w14:paraId="6B07C5BA" w14:textId="77777777" w:rsidR="00A967BF" w:rsidRDefault="00A967BF" w:rsidP="008E4290">
      <w:pPr>
        <w:pStyle w:val="Heading3"/>
        <w:keepNext/>
      </w:pPr>
      <w:r>
        <w:lastRenderedPageBreak/>
        <w:t>Powers of the court</w:t>
      </w:r>
    </w:p>
    <w:p w14:paraId="2439586C" w14:textId="77777777" w:rsidR="00A967BF" w:rsidRDefault="00A967BF">
      <w:pPr>
        <w:pStyle w:val="allsections"/>
      </w:pPr>
      <w:r>
        <w:rPr>
          <w:b/>
        </w:rPr>
        <w:t xml:space="preserve">15.  (1) </w:t>
      </w:r>
      <w:r>
        <w:t xml:space="preserve"> In proceedings instituted by an application under section 13 in respect of property the court may, on the application of a party to the proceedings, grant an injunction restraining any person from making any threatened or apprehended transfer, assignment, sale or other disposition of the property until the application under section 13 is heard and determined.</w:t>
      </w:r>
    </w:p>
    <w:p w14:paraId="4701F7C8" w14:textId="77777777" w:rsidR="00A967BF" w:rsidRDefault="00A967BF">
      <w:pPr>
        <w:pStyle w:val="allsections"/>
      </w:pPr>
      <w:r>
        <w:rPr>
          <w:b/>
        </w:rPr>
        <w:t>(2)</w:t>
      </w:r>
      <w:r>
        <w:t xml:space="preserve">  On the hearing of an application under section 13 in respect of property the court may make such orders in relation to the title to, or the possession or disposition of, the property as it thinks fit, and may, in particular, make orders for the sale of the property and the division of the proceeds of sale, or for the partition or division of the property.</w:t>
      </w:r>
    </w:p>
    <w:p w14:paraId="318B979D" w14:textId="77777777" w:rsidR="00A967BF" w:rsidRDefault="00A967BF">
      <w:pPr>
        <w:pStyle w:val="allsections"/>
      </w:pPr>
      <w:r>
        <w:rPr>
          <w:b/>
        </w:rPr>
        <w:t>(3)</w:t>
      </w:r>
      <w:r>
        <w:t xml:space="preserve">  For the purpose of giving effect to any order made in relation to property under subsection (2), the court may set aside any transfer, assignment, sale or other disposition of the property that was made with a view to defeating an existing or apprehended order in respect of the property.</w:t>
      </w:r>
    </w:p>
    <w:p w14:paraId="53442159" w14:textId="77777777" w:rsidR="00A967BF" w:rsidRDefault="00A967BF">
      <w:pPr>
        <w:pStyle w:val="allsections"/>
      </w:pPr>
      <w:r>
        <w:rPr>
          <w:b/>
        </w:rPr>
        <w:t xml:space="preserve">(4)  </w:t>
      </w:r>
      <w:r>
        <w:t>When making an order in relation to property under subsection (2), the court shall have regard to the interests of, and shall make any order proper for the protection of, a person who purchased the property in good faith or any other interested person.</w:t>
      </w:r>
    </w:p>
    <w:p w14:paraId="77C03FD3" w14:textId="77777777" w:rsidR="00A967BF" w:rsidRDefault="00A967BF">
      <w:pPr>
        <w:pStyle w:val="allsections"/>
      </w:pPr>
      <w:r>
        <w:rPr>
          <w:b/>
        </w:rPr>
        <w:t xml:space="preserve">(5) </w:t>
      </w:r>
      <w:r>
        <w:t xml:space="preserve"> Where an application under section 13 relates to money of the spouse of a married person that was invested by the person without the spouse’s consent, the court may order that an amount equal to the amount of the money and any interest, dividend or other profit derived from the money be paid to the spouse.</w:t>
      </w:r>
    </w:p>
    <w:p w14:paraId="255D8275" w14:textId="77777777" w:rsidR="00A967BF" w:rsidRDefault="00A967BF">
      <w:pPr>
        <w:pStyle w:val="allsections"/>
      </w:pPr>
      <w:r>
        <w:rPr>
          <w:b/>
        </w:rPr>
        <w:t xml:space="preserve">(6) </w:t>
      </w:r>
      <w:r>
        <w:t xml:space="preserve"> Where a third party referred to in section 13 makes an application under that section, the third party shall, for the purposes of the proceedings in relation to the application, be treated as a stakeholder only.</w:t>
      </w:r>
    </w:p>
    <w:p w14:paraId="0F627F46" w14:textId="77777777" w:rsidR="00A967BF" w:rsidRDefault="00A967BF">
      <w:pPr>
        <w:pStyle w:val="allsections"/>
      </w:pPr>
      <w:r>
        <w:rPr>
          <w:b/>
        </w:rPr>
        <w:t xml:space="preserve">(7) </w:t>
      </w:r>
      <w:r>
        <w:t xml:space="preserve"> On the hearing of an application under section 13 or subsection (1), the court may direct any inquiry touching the matters in question to be made in any manner the court thinks fit.</w:t>
      </w:r>
    </w:p>
    <w:p w14:paraId="50B95FD1" w14:textId="77777777" w:rsidR="00A967BF" w:rsidRDefault="00A967BF" w:rsidP="0047668C">
      <w:pPr>
        <w:pStyle w:val="allsections"/>
        <w:keepNext/>
        <w:ind w:firstLine="403"/>
      </w:pPr>
      <w:r>
        <w:rPr>
          <w:b/>
        </w:rPr>
        <w:t>(8)</w:t>
      </w:r>
      <w:r>
        <w:t xml:space="preserve">  Nothing in this Act shall be taken to affect any power of the court conferred by any other law of the Territory.</w:t>
      </w:r>
    </w:p>
    <w:p w14:paraId="729DC863" w14:textId="77777777" w:rsidR="00A967BF" w:rsidRDefault="00A967BF">
      <w:pPr>
        <w:pBdr>
          <w:bottom w:val="single" w:sz="6" w:space="0" w:color="auto"/>
        </w:pBdr>
        <w:ind w:right="20"/>
      </w:pPr>
    </w:p>
    <w:p w14:paraId="752C833A" w14:textId="77777777" w:rsidR="0047668C" w:rsidRDefault="0047668C">
      <w:pPr>
        <w:overflowPunct/>
        <w:autoSpaceDE/>
        <w:autoSpaceDN/>
        <w:adjustRightInd/>
        <w:spacing w:before="0" w:after="0"/>
        <w:jc w:val="left"/>
        <w:textAlignment w:val="auto"/>
        <w:rPr>
          <w:rFonts w:ascii="Helvetica" w:hAnsi="Helvetica"/>
          <w:b/>
          <w:sz w:val="20"/>
        </w:rPr>
      </w:pPr>
      <w:r>
        <w:rPr>
          <w:rFonts w:ascii="Helvetica" w:hAnsi="Helvetica"/>
          <w:b/>
          <w:sz w:val="20"/>
        </w:rPr>
        <w:br w:type="page"/>
      </w:r>
    </w:p>
    <w:p w14:paraId="2A1D7AA6" w14:textId="0452BD15" w:rsidR="00A967BF" w:rsidRDefault="00A967BF">
      <w:pPr>
        <w:spacing w:before="240" w:after="160"/>
        <w:jc w:val="center"/>
        <w:rPr>
          <w:rFonts w:ascii="Helvetica" w:hAnsi="Helvetica"/>
          <w:b/>
          <w:sz w:val="20"/>
        </w:rPr>
      </w:pPr>
      <w:r>
        <w:rPr>
          <w:rFonts w:ascii="Helvetica" w:hAnsi="Helvetica"/>
          <w:b/>
          <w:sz w:val="20"/>
        </w:rPr>
        <w:lastRenderedPageBreak/>
        <w:t>NOTE</w:t>
      </w:r>
    </w:p>
    <w:p w14:paraId="47F6EF5F" w14:textId="77777777" w:rsidR="00A967BF" w:rsidRDefault="00A967BF">
      <w:pPr>
        <w:ind w:left="260" w:hanging="260"/>
        <w:rPr>
          <w:rFonts w:ascii="Helvetica" w:hAnsi="Helvetica"/>
          <w:sz w:val="18"/>
        </w:rPr>
      </w:pPr>
      <w:r>
        <w:rPr>
          <w:rFonts w:ascii="Helvetica" w:hAnsi="Helvetica"/>
          <w:sz w:val="18"/>
        </w:rPr>
        <w:t>1.</w:t>
      </w:r>
      <w:r>
        <w:rPr>
          <w:rFonts w:ascii="Helvetica" w:hAnsi="Helvetica"/>
          <w:sz w:val="18"/>
        </w:rPr>
        <w:tab/>
        <w:t xml:space="preserve">The </w:t>
      </w:r>
      <w:r>
        <w:rPr>
          <w:rFonts w:ascii="Helvetica" w:hAnsi="Helvetica"/>
          <w:i/>
          <w:sz w:val="18"/>
        </w:rPr>
        <w:t>Married Persons’ Property Act 1986</w:t>
      </w:r>
      <w:r>
        <w:rPr>
          <w:rFonts w:ascii="Helvetica" w:hAnsi="Helvetica"/>
          <w:sz w:val="18"/>
        </w:rPr>
        <w:t xml:space="preserve"> as shown in this reprint comprises Act No. 18, 1986 amended as indicated in the Tables below.</w:t>
      </w:r>
    </w:p>
    <w:p w14:paraId="6749EAC6" w14:textId="77777777" w:rsidR="00A967BF" w:rsidRDefault="00A967BF">
      <w:pPr>
        <w:ind w:left="260" w:hanging="260"/>
        <w:rPr>
          <w:rFonts w:ascii="Helvetica" w:hAnsi="Helvetica"/>
          <w:sz w:val="18"/>
        </w:rPr>
      </w:pPr>
      <w:r>
        <w:rPr>
          <w:rFonts w:ascii="Helvetica" w:hAnsi="Helvetica"/>
          <w:sz w:val="18"/>
        </w:rPr>
        <w:tab/>
      </w:r>
      <w:r>
        <w:rPr>
          <w:rFonts w:ascii="Helvetica" w:hAnsi="Helvetica"/>
          <w:sz w:val="18"/>
          <w:u w:val="single"/>
        </w:rPr>
        <w:t>Citation of Laws</w:t>
      </w:r>
      <w:r>
        <w:rPr>
          <w:rFonts w:ascii="Helvetica" w:hAnsi="Helvetica"/>
          <w:sz w:val="18"/>
        </w:rPr>
        <w:t xml:space="preserve">—The </w:t>
      </w:r>
      <w:r>
        <w:rPr>
          <w:rFonts w:ascii="Helvetica" w:hAnsi="Helvetica"/>
          <w:i/>
          <w:sz w:val="18"/>
        </w:rPr>
        <w:t>Self-Government (Citation of Laws) Act 1989</w:t>
      </w:r>
      <w:r>
        <w:rPr>
          <w:rFonts w:ascii="Helvetica" w:hAnsi="Helvetica"/>
          <w:sz w:val="18"/>
        </w:rPr>
        <w:t xml:space="preserve">  (No. 21, 1989) altered the citation of most Ordinances so that after Self-Government day they are to be cited as Acts.  That Act also affects references in ACT laws to Commonwealth Acts.</w:t>
      </w:r>
    </w:p>
    <w:p w14:paraId="19C090EA" w14:textId="77777777" w:rsidR="00A967BF" w:rsidRDefault="00A967BF">
      <w:pPr>
        <w:spacing w:before="200" w:after="120"/>
        <w:ind w:left="140" w:right="20"/>
        <w:jc w:val="center"/>
        <w:rPr>
          <w:rFonts w:ascii="Helvetica" w:hAnsi="Helvetica"/>
          <w:b/>
          <w:sz w:val="20"/>
        </w:rPr>
      </w:pPr>
      <w:r>
        <w:rPr>
          <w:rFonts w:ascii="Helvetica" w:hAnsi="Helvetica"/>
          <w:b/>
          <w:sz w:val="20"/>
        </w:rPr>
        <w:t>Table of Ordinances</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AB5640" w14:paraId="1451A74C" w14:textId="77777777">
        <w:trPr>
          <w:cantSplit/>
        </w:trPr>
        <w:tc>
          <w:tcPr>
            <w:tcW w:w="2280" w:type="dxa"/>
            <w:tcBorders>
              <w:top w:val="single" w:sz="6" w:space="0" w:color="auto"/>
              <w:bottom w:val="single" w:sz="2" w:space="0" w:color="auto"/>
            </w:tcBorders>
          </w:tcPr>
          <w:p w14:paraId="0B841277" w14:textId="77777777" w:rsidR="00A967BF" w:rsidRDefault="00A967BF">
            <w:pPr>
              <w:spacing w:before="700" w:after="100"/>
              <w:ind w:left="-40"/>
              <w:rPr>
                <w:rFonts w:ascii="Helvetica" w:hAnsi="Helvetica"/>
                <w:sz w:val="16"/>
              </w:rPr>
            </w:pPr>
            <w:r>
              <w:rPr>
                <w:rFonts w:ascii="Helvetica" w:hAnsi="Helvetica"/>
                <w:sz w:val="16"/>
              </w:rPr>
              <w:t>Ordinance</w:t>
            </w:r>
          </w:p>
        </w:tc>
        <w:tc>
          <w:tcPr>
            <w:tcW w:w="1120" w:type="dxa"/>
            <w:tcBorders>
              <w:top w:val="single" w:sz="6" w:space="0" w:color="auto"/>
              <w:bottom w:val="single" w:sz="2" w:space="0" w:color="auto"/>
            </w:tcBorders>
          </w:tcPr>
          <w:p w14:paraId="64C50E35" w14:textId="77777777" w:rsidR="00A967BF" w:rsidRDefault="00A967BF">
            <w:pPr>
              <w:spacing w:before="480" w:after="0"/>
              <w:rPr>
                <w:rFonts w:ascii="Helvetica" w:hAnsi="Helvetica"/>
                <w:sz w:val="16"/>
              </w:rPr>
            </w:pPr>
            <w:r>
              <w:rPr>
                <w:rFonts w:ascii="Helvetica" w:hAnsi="Helvetica"/>
                <w:sz w:val="16"/>
              </w:rPr>
              <w:t xml:space="preserve">Number  </w:t>
            </w:r>
          </w:p>
          <w:p w14:paraId="76BF032F" w14:textId="77777777" w:rsidR="00A967BF" w:rsidRDefault="00A967BF">
            <w:pPr>
              <w:spacing w:before="0" w:after="0"/>
              <w:rPr>
                <w:rFonts w:ascii="Helvetica" w:hAnsi="Helvetica"/>
                <w:sz w:val="16"/>
              </w:rPr>
            </w:pPr>
            <w:r>
              <w:rPr>
                <w:rFonts w:ascii="Helvetica" w:hAnsi="Helvetica"/>
                <w:sz w:val="16"/>
              </w:rPr>
              <w:t>and year</w:t>
            </w:r>
          </w:p>
        </w:tc>
        <w:tc>
          <w:tcPr>
            <w:tcW w:w="1260" w:type="dxa"/>
            <w:tcBorders>
              <w:top w:val="single" w:sz="6" w:space="0" w:color="auto"/>
              <w:bottom w:val="single" w:sz="2" w:space="0" w:color="auto"/>
            </w:tcBorders>
          </w:tcPr>
          <w:p w14:paraId="18EA0C8D" w14:textId="77777777" w:rsidR="00A967BF" w:rsidRDefault="00A967BF">
            <w:pPr>
              <w:spacing w:before="320" w:after="0"/>
              <w:rPr>
                <w:rFonts w:ascii="Helvetica" w:hAnsi="Helvetica"/>
                <w:sz w:val="16"/>
              </w:rPr>
            </w:pPr>
            <w:r>
              <w:rPr>
                <w:rFonts w:ascii="Helvetica" w:hAnsi="Helvetica"/>
                <w:sz w:val="16"/>
              </w:rPr>
              <w:t xml:space="preserve">Date of </w:t>
            </w:r>
          </w:p>
          <w:p w14:paraId="65F0350B" w14:textId="77777777" w:rsidR="00A967BF" w:rsidRDefault="00A967BF">
            <w:pPr>
              <w:spacing w:before="0" w:after="0"/>
              <w:rPr>
                <w:rFonts w:ascii="Helvetica" w:hAnsi="Helvetica"/>
                <w:sz w:val="16"/>
              </w:rPr>
            </w:pPr>
            <w:r>
              <w:rPr>
                <w:rFonts w:ascii="Helvetica" w:hAnsi="Helvetica"/>
                <w:sz w:val="16"/>
              </w:rPr>
              <w:t xml:space="preserve">notification </w:t>
            </w:r>
          </w:p>
          <w:p w14:paraId="4B2FCD33" w14:textId="77777777" w:rsidR="00A967BF" w:rsidRDefault="00A967BF">
            <w:pPr>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360" w:type="dxa"/>
            <w:tcBorders>
              <w:top w:val="single" w:sz="6" w:space="0" w:color="auto"/>
              <w:bottom w:val="single" w:sz="2" w:space="0" w:color="auto"/>
            </w:tcBorders>
          </w:tcPr>
          <w:p w14:paraId="03DFEE14" w14:textId="77777777" w:rsidR="00A967BF" w:rsidRDefault="00A967BF">
            <w:pPr>
              <w:spacing w:before="480" w:after="0"/>
              <w:rPr>
                <w:rFonts w:ascii="Helvetica" w:hAnsi="Helvetica"/>
                <w:sz w:val="16"/>
              </w:rPr>
            </w:pPr>
            <w:r>
              <w:rPr>
                <w:rFonts w:ascii="Helvetica" w:hAnsi="Helvetica"/>
                <w:sz w:val="16"/>
              </w:rPr>
              <w:t xml:space="preserve">Date of </w:t>
            </w:r>
          </w:p>
          <w:p w14:paraId="40BD32DB" w14:textId="77777777" w:rsidR="00A967BF" w:rsidRDefault="00A967BF">
            <w:pPr>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14:paraId="3554E13D" w14:textId="77777777" w:rsidR="00A967BF" w:rsidRDefault="00A967BF">
            <w:pPr>
              <w:spacing w:after="100"/>
              <w:jc w:val="right"/>
              <w:rPr>
                <w:rFonts w:ascii="Helvetica" w:hAnsi="Helvetica"/>
                <w:sz w:val="16"/>
              </w:rPr>
            </w:pPr>
            <w:r>
              <w:rPr>
                <w:rFonts w:ascii="Helvetica" w:hAnsi="Helvetica"/>
                <w:sz w:val="16"/>
              </w:rPr>
              <w:t>Application, saving or transitional provisions</w:t>
            </w:r>
          </w:p>
        </w:tc>
      </w:tr>
    </w:tbl>
    <w:p w14:paraId="1B8BC2B0" w14:textId="77777777" w:rsidR="00A967BF" w:rsidRDefault="00A967BF">
      <w:pPr>
        <w:spacing w:before="0" w:after="0"/>
        <w:ind w:left="140" w:right="20"/>
        <w:rPr>
          <w:rFonts w:ascii="Helvetica" w:hAnsi="Helvetica"/>
          <w:sz w:val="8"/>
        </w:rPr>
      </w:pPr>
    </w:p>
    <w:p w14:paraId="5BB896A1" w14:textId="77777777" w:rsidR="00A967BF" w:rsidRDefault="00A967BF">
      <w:pPr>
        <w:spacing w:before="20" w:after="20"/>
        <w:rPr>
          <w:rFonts w:ascii="Helvetica" w:hAnsi="Helvetica"/>
        </w:rPr>
        <w:sectPr w:rsidR="00A967BF" w:rsidSect="00114DBA">
          <w:headerReference w:type="even" r:id="rId14"/>
          <w:headerReference w:type="default" r:id="rId15"/>
          <w:pgSz w:w="11906" w:h="16838"/>
          <w:pgMar w:top="2999" w:right="1899" w:bottom="2500" w:left="2302" w:header="2477" w:footer="2098" w:gutter="0"/>
          <w:pgNumType w:start="1"/>
          <w:cols w:space="720"/>
          <w:titlePg/>
          <w:docGrid w:linePitch="326"/>
        </w:sectPr>
      </w:pPr>
    </w:p>
    <w:tbl>
      <w:tblPr>
        <w:tblW w:w="0" w:type="auto"/>
        <w:tblInd w:w="260" w:type="dxa"/>
        <w:tblLayout w:type="fixed"/>
        <w:tblCellMar>
          <w:left w:w="80" w:type="dxa"/>
          <w:right w:w="80" w:type="dxa"/>
        </w:tblCellMar>
        <w:tblLook w:val="0000" w:firstRow="0" w:lastRow="0" w:firstColumn="0" w:lastColumn="0" w:noHBand="0" w:noVBand="0"/>
      </w:tblPr>
      <w:tblGrid>
        <w:gridCol w:w="2240"/>
        <w:gridCol w:w="1160"/>
        <w:gridCol w:w="1280"/>
        <w:gridCol w:w="1360"/>
        <w:gridCol w:w="1180"/>
      </w:tblGrid>
      <w:tr w:rsidR="00AB5640" w14:paraId="26CF0A57" w14:textId="77777777">
        <w:trPr>
          <w:cantSplit/>
        </w:trPr>
        <w:tc>
          <w:tcPr>
            <w:tcW w:w="2240" w:type="dxa"/>
          </w:tcPr>
          <w:p w14:paraId="53777D46" w14:textId="77777777" w:rsidR="00A967BF" w:rsidRDefault="00A967BF">
            <w:pPr>
              <w:spacing w:before="0" w:after="0"/>
              <w:ind w:left="200" w:hanging="200"/>
              <w:jc w:val="left"/>
              <w:rPr>
                <w:rFonts w:ascii="Helvetica" w:hAnsi="Helvetica"/>
                <w:i/>
                <w:sz w:val="16"/>
              </w:rPr>
            </w:pPr>
            <w:r>
              <w:rPr>
                <w:rFonts w:ascii="Helvetica" w:hAnsi="Helvetica"/>
                <w:i/>
                <w:sz w:val="16"/>
              </w:rPr>
              <w:t>Married Persons’ Property Ordinance 1986</w:t>
            </w:r>
          </w:p>
        </w:tc>
        <w:tc>
          <w:tcPr>
            <w:tcW w:w="1160" w:type="dxa"/>
          </w:tcPr>
          <w:p w14:paraId="2A0DB7A7" w14:textId="77777777" w:rsidR="00A967BF" w:rsidRDefault="00A967BF">
            <w:pPr>
              <w:spacing w:before="0" w:after="0"/>
              <w:jc w:val="left"/>
              <w:rPr>
                <w:rFonts w:ascii="Helvetica" w:hAnsi="Helvetica"/>
                <w:sz w:val="16"/>
              </w:rPr>
            </w:pPr>
            <w:r>
              <w:rPr>
                <w:rFonts w:ascii="Helvetica" w:hAnsi="Helvetica"/>
                <w:sz w:val="16"/>
              </w:rPr>
              <w:t>18, 1986</w:t>
            </w:r>
          </w:p>
        </w:tc>
        <w:tc>
          <w:tcPr>
            <w:tcW w:w="1280" w:type="dxa"/>
          </w:tcPr>
          <w:p w14:paraId="6B4B579C" w14:textId="77777777" w:rsidR="00A967BF" w:rsidRDefault="00A967BF">
            <w:pPr>
              <w:spacing w:before="0" w:after="0"/>
              <w:jc w:val="left"/>
              <w:rPr>
                <w:rFonts w:ascii="Helvetica" w:hAnsi="Helvetica"/>
                <w:sz w:val="16"/>
              </w:rPr>
            </w:pPr>
            <w:r>
              <w:rPr>
                <w:rFonts w:ascii="Helvetica" w:hAnsi="Helvetica"/>
                <w:sz w:val="16"/>
              </w:rPr>
              <w:t>26 June 1986</w:t>
            </w:r>
          </w:p>
        </w:tc>
        <w:tc>
          <w:tcPr>
            <w:tcW w:w="1360" w:type="dxa"/>
          </w:tcPr>
          <w:p w14:paraId="446CE2A0" w14:textId="77777777" w:rsidR="00A967BF" w:rsidRDefault="00A967BF">
            <w:pPr>
              <w:spacing w:before="0" w:after="0"/>
              <w:jc w:val="left"/>
              <w:rPr>
                <w:rFonts w:ascii="Helvetica" w:hAnsi="Helvetica"/>
                <w:sz w:val="16"/>
              </w:rPr>
            </w:pPr>
            <w:r>
              <w:rPr>
                <w:rFonts w:ascii="Helvetica" w:hAnsi="Helvetica"/>
                <w:sz w:val="16"/>
              </w:rPr>
              <w:t>26 June 1986</w:t>
            </w:r>
          </w:p>
        </w:tc>
        <w:tc>
          <w:tcPr>
            <w:tcW w:w="1180" w:type="dxa"/>
          </w:tcPr>
          <w:p w14:paraId="203EDDC8" w14:textId="77777777" w:rsidR="00A967BF" w:rsidRDefault="00A967BF">
            <w:pPr>
              <w:spacing w:before="0" w:after="0"/>
              <w:jc w:val="right"/>
              <w:rPr>
                <w:rFonts w:ascii="Helvetica" w:hAnsi="Helvetica"/>
                <w:sz w:val="16"/>
              </w:rPr>
            </w:pPr>
          </w:p>
        </w:tc>
      </w:tr>
      <w:tr w:rsidR="00AB5640" w14:paraId="63E3F06E" w14:textId="77777777">
        <w:trPr>
          <w:cantSplit/>
        </w:trPr>
        <w:tc>
          <w:tcPr>
            <w:tcW w:w="2240" w:type="dxa"/>
            <w:tcBorders>
              <w:bottom w:val="single" w:sz="6" w:space="0" w:color="auto"/>
            </w:tcBorders>
          </w:tcPr>
          <w:p w14:paraId="6FCC666C" w14:textId="77777777" w:rsidR="00A967BF" w:rsidRDefault="00A967BF">
            <w:pPr>
              <w:spacing w:before="0" w:after="0"/>
              <w:ind w:left="200" w:hanging="200"/>
              <w:jc w:val="left"/>
              <w:rPr>
                <w:rFonts w:ascii="Helvetica" w:hAnsi="Helvetica"/>
                <w:i/>
                <w:sz w:val="16"/>
              </w:rPr>
            </w:pPr>
            <w:r>
              <w:rPr>
                <w:rFonts w:ascii="Helvetica" w:hAnsi="Helvetica"/>
                <w:i/>
                <w:sz w:val="16"/>
              </w:rPr>
              <w:t>Magistrates Court (Civil Jurisdiction) (Amendment) Ordinance 1988</w:t>
            </w:r>
          </w:p>
          <w:p w14:paraId="0F822DA1" w14:textId="77777777" w:rsidR="00A967BF" w:rsidRDefault="00A967BF">
            <w:pPr>
              <w:spacing w:before="0" w:after="0"/>
              <w:ind w:left="200" w:hanging="200"/>
              <w:jc w:val="left"/>
              <w:rPr>
                <w:rFonts w:ascii="Helvetica" w:hAnsi="Helvetica"/>
                <w:i/>
                <w:sz w:val="16"/>
              </w:rPr>
            </w:pPr>
          </w:p>
        </w:tc>
        <w:tc>
          <w:tcPr>
            <w:tcW w:w="1160" w:type="dxa"/>
            <w:tcBorders>
              <w:bottom w:val="single" w:sz="6" w:space="0" w:color="auto"/>
            </w:tcBorders>
          </w:tcPr>
          <w:p w14:paraId="101D3EA6" w14:textId="77777777" w:rsidR="00A967BF" w:rsidRDefault="00A967BF">
            <w:pPr>
              <w:spacing w:before="0" w:after="0"/>
              <w:jc w:val="left"/>
              <w:rPr>
                <w:rFonts w:ascii="Helvetica" w:hAnsi="Helvetica"/>
                <w:sz w:val="16"/>
              </w:rPr>
            </w:pPr>
            <w:r>
              <w:rPr>
                <w:rFonts w:ascii="Helvetica" w:hAnsi="Helvetica"/>
                <w:sz w:val="16"/>
              </w:rPr>
              <w:t>81, 1988</w:t>
            </w:r>
          </w:p>
        </w:tc>
        <w:tc>
          <w:tcPr>
            <w:tcW w:w="1280" w:type="dxa"/>
            <w:tcBorders>
              <w:bottom w:val="single" w:sz="6" w:space="0" w:color="auto"/>
            </w:tcBorders>
          </w:tcPr>
          <w:p w14:paraId="4CF932E2" w14:textId="77777777" w:rsidR="00A967BF" w:rsidRDefault="00A967BF">
            <w:pPr>
              <w:spacing w:before="0" w:after="0"/>
              <w:jc w:val="left"/>
              <w:rPr>
                <w:rFonts w:ascii="Helvetica" w:hAnsi="Helvetica"/>
                <w:sz w:val="16"/>
              </w:rPr>
            </w:pPr>
            <w:r>
              <w:rPr>
                <w:rFonts w:ascii="Helvetica" w:hAnsi="Helvetica"/>
                <w:sz w:val="16"/>
              </w:rPr>
              <w:t>14 Dec 1988</w:t>
            </w:r>
          </w:p>
        </w:tc>
        <w:tc>
          <w:tcPr>
            <w:tcW w:w="1360" w:type="dxa"/>
            <w:tcBorders>
              <w:bottom w:val="single" w:sz="6" w:space="0" w:color="auto"/>
            </w:tcBorders>
          </w:tcPr>
          <w:p w14:paraId="0F21D402" w14:textId="77777777" w:rsidR="00A967BF" w:rsidRDefault="00A967BF">
            <w:pPr>
              <w:spacing w:before="0" w:after="0"/>
              <w:jc w:val="left"/>
              <w:rPr>
                <w:rFonts w:ascii="Helvetica" w:hAnsi="Helvetica"/>
                <w:sz w:val="16"/>
              </w:rPr>
            </w:pPr>
            <w:r>
              <w:rPr>
                <w:rFonts w:ascii="Helvetica" w:hAnsi="Helvetica"/>
                <w:sz w:val="16"/>
              </w:rPr>
              <w:t>3 Jan 1989</w:t>
            </w:r>
          </w:p>
        </w:tc>
        <w:tc>
          <w:tcPr>
            <w:tcW w:w="1180" w:type="dxa"/>
            <w:tcBorders>
              <w:bottom w:val="single" w:sz="6" w:space="0" w:color="auto"/>
            </w:tcBorders>
          </w:tcPr>
          <w:p w14:paraId="1FCF0448" w14:textId="77777777" w:rsidR="00A967BF" w:rsidRDefault="00A967BF">
            <w:pPr>
              <w:spacing w:before="0" w:after="0"/>
              <w:jc w:val="right"/>
              <w:rPr>
                <w:rFonts w:ascii="Helvetica" w:hAnsi="Helvetica"/>
                <w:sz w:val="16"/>
              </w:rPr>
            </w:pPr>
            <w:r>
              <w:rPr>
                <w:rFonts w:ascii="Helvetica" w:hAnsi="Helvetica"/>
                <w:sz w:val="16"/>
              </w:rPr>
              <w:t>—</w:t>
            </w:r>
          </w:p>
        </w:tc>
      </w:tr>
    </w:tbl>
    <w:p w14:paraId="3A8BA798" w14:textId="77777777" w:rsidR="00A967BF" w:rsidRDefault="00A967BF">
      <w:pPr>
        <w:spacing w:before="20"/>
        <w:ind w:left="140" w:right="20"/>
        <w:jc w:val="center"/>
        <w:rPr>
          <w:rFonts w:ascii="Helvetica" w:hAnsi="Helvetica"/>
          <w:b/>
          <w:sz w:val="20"/>
        </w:rPr>
      </w:pPr>
    </w:p>
    <w:p w14:paraId="1AA940D2" w14:textId="77777777" w:rsidR="00A967BF" w:rsidRDefault="00A967BF">
      <w:pPr>
        <w:spacing w:before="20"/>
        <w:ind w:left="140" w:right="20"/>
        <w:jc w:val="center"/>
        <w:rPr>
          <w:rFonts w:ascii="Helvetica" w:hAnsi="Helvetica"/>
          <w:b/>
          <w:sz w:val="20"/>
        </w:rPr>
      </w:pPr>
    </w:p>
    <w:p w14:paraId="6A288085" w14:textId="77777777" w:rsidR="00A967BF" w:rsidRDefault="00A967BF">
      <w:pPr>
        <w:spacing w:before="20"/>
        <w:ind w:right="20"/>
        <w:jc w:val="center"/>
        <w:rPr>
          <w:rFonts w:ascii="Helvetica" w:hAnsi="Helvetica"/>
          <w:b/>
          <w:sz w:val="20"/>
        </w:rPr>
      </w:pPr>
      <w:r>
        <w:rPr>
          <w:rFonts w:ascii="Helvetica" w:hAnsi="Helvetica"/>
          <w:b/>
          <w:sz w:val="20"/>
        </w:rPr>
        <w:t>Table of Amendments</w:t>
      </w:r>
    </w:p>
    <w:p w14:paraId="2ED74C0E" w14:textId="77777777" w:rsidR="00A967BF" w:rsidRDefault="00A967BF">
      <w:pPr>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14:paraId="148D717B" w14:textId="77777777" w:rsidR="00A967BF" w:rsidRDefault="00A967BF">
      <w:pPr>
        <w:pBdr>
          <w:top w:val="single" w:sz="6" w:space="0" w:color="auto"/>
        </w:pBdr>
        <w:tabs>
          <w:tab w:val="left" w:pos="2200"/>
        </w:tabs>
        <w:spacing w:before="20" w:after="20"/>
        <w:ind w:left="260" w:right="20"/>
        <w:rPr>
          <w:rFonts w:ascii="Helvetica" w:hAnsi="Helvetica"/>
          <w:sz w:val="8"/>
        </w:rPr>
      </w:pPr>
    </w:p>
    <w:p w14:paraId="11473E99" w14:textId="77777777" w:rsidR="00A967BF" w:rsidRDefault="00A967BF">
      <w:pPr>
        <w:pBdr>
          <w:top w:val="single" w:sz="6" w:space="0" w:color="auto"/>
        </w:pBdr>
        <w:tabs>
          <w:tab w:val="left" w:pos="2200"/>
        </w:tabs>
        <w:spacing w:before="20" w:after="20"/>
        <w:ind w:left="260" w:right="20"/>
        <w:rPr>
          <w:rFonts w:ascii="Helvetica" w:hAnsi="Helvetica"/>
          <w:sz w:val="16"/>
        </w:rPr>
      </w:pPr>
      <w:r>
        <w:rPr>
          <w:rFonts w:ascii="Helvetica" w:hAnsi="Helvetica"/>
          <w:sz w:val="16"/>
        </w:rPr>
        <w:t>Provision</w:t>
      </w:r>
      <w:r>
        <w:rPr>
          <w:rFonts w:ascii="Helvetica" w:hAnsi="Helvetica"/>
          <w:sz w:val="16"/>
        </w:rPr>
        <w:tab/>
        <w:t>How affected</w:t>
      </w:r>
    </w:p>
    <w:p w14:paraId="75392EEC" w14:textId="77777777" w:rsidR="00A967BF" w:rsidRDefault="00A967BF">
      <w:pPr>
        <w:pBdr>
          <w:bottom w:val="single" w:sz="2" w:space="0" w:color="auto"/>
        </w:pBdr>
        <w:tabs>
          <w:tab w:val="left" w:pos="2200"/>
        </w:tabs>
        <w:spacing w:before="20" w:after="20"/>
        <w:ind w:left="260" w:right="20"/>
        <w:rPr>
          <w:rFonts w:ascii="Helvetica" w:hAnsi="Helvetica"/>
          <w:sz w:val="16"/>
        </w:rPr>
      </w:pPr>
    </w:p>
    <w:p w14:paraId="2DCA0E8B" w14:textId="77777777" w:rsidR="00A967BF" w:rsidRDefault="00A967BF">
      <w:pPr>
        <w:tabs>
          <w:tab w:val="left" w:leader="dot" w:pos="2200"/>
        </w:tabs>
        <w:spacing w:before="20" w:after="20"/>
        <w:ind w:left="260" w:right="20"/>
        <w:rPr>
          <w:rFonts w:ascii="Helvetica" w:hAnsi="Helvetica"/>
          <w:sz w:val="8"/>
        </w:rPr>
      </w:pPr>
    </w:p>
    <w:p w14:paraId="3B9CB93F" w14:textId="77777777" w:rsidR="00A967BF" w:rsidRDefault="00A967BF">
      <w:pPr>
        <w:spacing w:before="20" w:after="20"/>
        <w:rPr>
          <w:rFonts w:ascii="Helvetica" w:hAnsi="Helvetica"/>
        </w:rPr>
        <w:sectPr w:rsidR="00A967BF" w:rsidSect="00114DBA">
          <w:headerReference w:type="even" r:id="rId16"/>
          <w:headerReference w:type="default" r:id="rId17"/>
          <w:type w:val="continuous"/>
          <w:pgSz w:w="11906" w:h="16838"/>
          <w:pgMar w:top="2999" w:right="1899" w:bottom="2500" w:left="2302" w:header="2477" w:footer="2098" w:gutter="0"/>
          <w:cols w:space="720"/>
          <w:titlePg/>
          <w:docGrid w:linePitch="326"/>
        </w:sectPr>
      </w:pPr>
    </w:p>
    <w:p w14:paraId="067B7C0F" w14:textId="77777777" w:rsidR="00A967BF" w:rsidRDefault="00A967BF">
      <w:pPr>
        <w:tabs>
          <w:tab w:val="left" w:leader="dot" w:pos="2200"/>
        </w:tabs>
        <w:spacing w:before="20" w:after="20"/>
        <w:ind w:left="2420" w:hanging="2160"/>
        <w:rPr>
          <w:rFonts w:ascii="Helvetica" w:hAnsi="Helvetica"/>
          <w:sz w:val="16"/>
        </w:rPr>
      </w:pPr>
      <w:r>
        <w:rPr>
          <w:rFonts w:ascii="Helvetica" w:hAnsi="Helvetica"/>
          <w:sz w:val="16"/>
        </w:rPr>
        <w:t>S. 14</w:t>
      </w:r>
      <w:r>
        <w:rPr>
          <w:rFonts w:ascii="Helvetica" w:hAnsi="Helvetica"/>
          <w:sz w:val="16"/>
        </w:rPr>
        <w:tab/>
        <w:t>am. No. 81, 1988</w:t>
      </w:r>
    </w:p>
    <w:p w14:paraId="03CAD853" w14:textId="77777777" w:rsidR="00B75F05" w:rsidRDefault="00B75F05" w:rsidP="00B75F05">
      <w:pPr>
        <w:pBdr>
          <w:bottom w:val="single" w:sz="6" w:space="0" w:color="auto"/>
        </w:pBdr>
        <w:tabs>
          <w:tab w:val="left" w:leader="dot" w:pos="2200"/>
        </w:tabs>
        <w:spacing w:before="20" w:after="20"/>
        <w:ind w:left="2420" w:hanging="2160"/>
        <w:rPr>
          <w:rFonts w:ascii="Helvetica" w:hAnsi="Helvetica"/>
          <w:sz w:val="16"/>
        </w:rPr>
      </w:pPr>
    </w:p>
    <w:p w14:paraId="441A7238" w14:textId="77777777" w:rsidR="00B75F05" w:rsidRDefault="00B75F05" w:rsidP="00B75F05"/>
    <w:p w14:paraId="459CB79E" w14:textId="77777777" w:rsidR="00B75F05" w:rsidRDefault="00B75F05" w:rsidP="00B75F05">
      <w:bookmarkStart w:id="1" w:name="_Hlk175130802"/>
    </w:p>
    <w:p w14:paraId="283D0A1B" w14:textId="77777777" w:rsidR="00B75F05" w:rsidRDefault="00B75F05" w:rsidP="00B75F05"/>
    <w:p w14:paraId="48B98241" w14:textId="77777777" w:rsidR="00B75F05" w:rsidRDefault="00B75F05" w:rsidP="00B75F05"/>
    <w:p w14:paraId="0FC6C64B" w14:textId="77777777" w:rsidR="00B75F05" w:rsidRDefault="00B75F05" w:rsidP="00B75F05"/>
    <w:p w14:paraId="57B1D415" w14:textId="77777777" w:rsidR="00B75F05" w:rsidRDefault="00B75F05" w:rsidP="00B75F05">
      <w:pPr>
        <w:rPr>
          <w:color w:val="000000"/>
          <w:sz w:val="22"/>
        </w:rPr>
      </w:pPr>
      <w:r>
        <w:rPr>
          <w:color w:val="000000"/>
          <w:sz w:val="22"/>
        </w:rPr>
        <w:t>©  Australian Capital Territory 2024</w:t>
      </w:r>
    </w:p>
    <w:bookmarkEnd w:id="1"/>
    <w:p w14:paraId="5C22033E" w14:textId="77777777" w:rsidR="00B75F05" w:rsidRDefault="00B75F05" w:rsidP="00B75F05"/>
    <w:sectPr w:rsidR="00B75F05" w:rsidSect="00114DBA">
      <w:headerReference w:type="even" r:id="rId18"/>
      <w:headerReference w:type="default" r:id="rId19"/>
      <w:type w:val="continuous"/>
      <w:pgSz w:w="11906" w:h="16838"/>
      <w:pgMar w:top="2999" w:right="1899" w:bottom="2500" w:left="2302" w:header="2477" w:footer="209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46722" w14:textId="77777777" w:rsidR="007C4628" w:rsidRDefault="007C4628">
      <w:pPr>
        <w:spacing w:before="0" w:after="0"/>
      </w:pPr>
      <w:r>
        <w:separator/>
      </w:r>
    </w:p>
  </w:endnote>
  <w:endnote w:type="continuationSeparator" w:id="0">
    <w:p w14:paraId="7C0B859C" w14:textId="77777777" w:rsidR="007C4628" w:rsidRDefault="007C462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11893" w14:textId="6F9C6FDC" w:rsidR="00B75F05" w:rsidRPr="008D271C" w:rsidRDefault="00B75F05" w:rsidP="008D271C">
    <w:pPr>
      <w:pStyle w:val="Status"/>
    </w:pPr>
    <w:r w:rsidRPr="008D271C">
      <w:fldChar w:fldCharType="begin"/>
    </w:r>
    <w:r w:rsidRPr="008D271C">
      <w:instrText xml:space="preserve"> DOCPROPERTY "Status" *\charformat </w:instrText>
    </w:r>
    <w:r w:rsidRPr="008D271C">
      <w:fldChar w:fldCharType="separate"/>
    </w:r>
    <w:r w:rsidRPr="008D271C">
      <w:t xml:space="preserve"> </w:t>
    </w:r>
    <w:r w:rsidRPr="008D271C">
      <w:fldChar w:fldCharType="end"/>
    </w:r>
    <w:r w:rsidR="008D271C" w:rsidRPr="008D271C">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770FE" w14:textId="5513B1E5" w:rsidR="00B75F05" w:rsidRPr="008D271C" w:rsidRDefault="00B75F05" w:rsidP="008D271C">
    <w:pPr>
      <w:pStyle w:val="Footer"/>
      <w:jc w:val="center"/>
      <w:rPr>
        <w:rFonts w:ascii="Arial" w:hAnsi="Arial" w:cs="Arial"/>
        <w:sz w:val="14"/>
      </w:rPr>
    </w:pPr>
    <w:r w:rsidRPr="008D271C">
      <w:rPr>
        <w:rFonts w:ascii="Arial" w:hAnsi="Arial" w:cs="Arial"/>
        <w:sz w:val="14"/>
      </w:rPr>
      <w:fldChar w:fldCharType="begin"/>
    </w:r>
    <w:r w:rsidRPr="008D271C">
      <w:rPr>
        <w:rFonts w:ascii="Arial" w:hAnsi="Arial" w:cs="Arial"/>
        <w:sz w:val="14"/>
      </w:rPr>
      <w:instrText xml:space="preserve"> COMMENTS  \* MERGEFORMAT </w:instrText>
    </w:r>
    <w:r w:rsidRPr="008D271C">
      <w:rPr>
        <w:rFonts w:ascii="Arial" w:hAnsi="Arial" w:cs="Arial"/>
        <w:sz w:val="14"/>
      </w:rPr>
      <w:fldChar w:fldCharType="end"/>
    </w:r>
    <w:r w:rsidR="008D271C" w:rsidRPr="008D271C">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E869B" w14:textId="5F5EDB66" w:rsidR="008D271C" w:rsidRPr="008D271C" w:rsidRDefault="008D271C" w:rsidP="008D271C">
    <w:pPr>
      <w:pStyle w:val="Footer"/>
      <w:jc w:val="center"/>
      <w:rPr>
        <w:rFonts w:ascii="Arial" w:hAnsi="Arial" w:cs="Arial"/>
        <w:sz w:val="14"/>
      </w:rPr>
    </w:pPr>
    <w:r w:rsidRPr="008D271C">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DE24E" w14:textId="77777777" w:rsidR="007C4628" w:rsidRDefault="007C4628">
      <w:pPr>
        <w:spacing w:before="0" w:after="0"/>
      </w:pPr>
      <w:r>
        <w:separator/>
      </w:r>
    </w:p>
  </w:footnote>
  <w:footnote w:type="continuationSeparator" w:id="0">
    <w:p w14:paraId="64DEE099" w14:textId="77777777" w:rsidR="007C4628" w:rsidRDefault="007C462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5AC6D" w14:textId="77777777" w:rsidR="008D271C" w:rsidRDefault="008D27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57D2F" w14:textId="77777777" w:rsidR="008D271C" w:rsidRDefault="008D27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14C9F" w14:textId="77777777" w:rsidR="008D271C" w:rsidRDefault="008D271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8F322" w14:textId="77777777" w:rsidR="00A967BF" w:rsidRDefault="00A967BF">
    <w:pPr>
      <w:widowControl w:val="0"/>
      <w:tabs>
        <w:tab w:val="left" w:pos="2220"/>
      </w:tabs>
      <w:rPr>
        <w:i/>
        <w:sz w:val="20"/>
      </w:rPr>
    </w:pPr>
    <w:r>
      <w:rPr>
        <w:sz w:val="20"/>
      </w:rPr>
      <w:pgNum/>
    </w:r>
    <w:r>
      <w:rPr>
        <w:sz w:val="20"/>
      </w:rPr>
      <w:tab/>
    </w:r>
    <w:r>
      <w:rPr>
        <w:i/>
        <w:sz w:val="20"/>
      </w:rPr>
      <w:t>Married Persons’ Property Act 1986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73FC8" w14:textId="77777777" w:rsidR="00A967BF" w:rsidRDefault="00A967BF">
    <w:pPr>
      <w:widowControl w:val="0"/>
      <w:tabs>
        <w:tab w:val="left" w:pos="2220"/>
        <w:tab w:val="right" w:pos="7180"/>
      </w:tabs>
      <w:rPr>
        <w:sz w:val="20"/>
      </w:rPr>
    </w:pPr>
    <w:r>
      <w:tab/>
    </w:r>
    <w:r>
      <w:rPr>
        <w:i/>
        <w:sz w:val="20"/>
      </w:rPr>
      <w:t>Married Persons’ Property Act 1986</w:t>
    </w:r>
    <w:r>
      <w:rPr>
        <w:sz w:val="20"/>
      </w:rPr>
      <w:tab/>
    </w:r>
    <w:r>
      <w:rPr>
        <w:sz w:val="20"/>
      </w:rPr>
      <w:pgNum/>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96B29" w14:textId="77777777" w:rsidR="00A967BF" w:rsidRDefault="00A967BF">
    <w:pPr>
      <w:widowControl w:val="0"/>
      <w:tabs>
        <w:tab w:val="left" w:pos="2220"/>
      </w:tabs>
      <w:rPr>
        <w:i/>
        <w:sz w:val="20"/>
      </w:rPr>
    </w:pPr>
    <w:r>
      <w:rPr>
        <w:sz w:val="20"/>
      </w:rPr>
      <w:pgNum/>
    </w:r>
    <w:r>
      <w:rPr>
        <w:sz w:val="20"/>
      </w:rPr>
      <w:tab/>
    </w:r>
    <w:r>
      <w:rPr>
        <w:i/>
        <w:sz w:val="20"/>
      </w:rPr>
      <w:t>Married Persons’ Property Act 1986</w:t>
    </w:r>
  </w:p>
  <w:p w14:paraId="14F0DD5D" w14:textId="77777777" w:rsidR="00A967BF" w:rsidRDefault="00A967BF">
    <w:pPr>
      <w:widowControl w:val="0"/>
      <w:spacing w:before="100" w:after="100"/>
      <w:ind w:left="140"/>
      <w:jc w:val="center"/>
      <w:rPr>
        <w:rFonts w:ascii="Helvetica" w:hAnsi="Helvetica"/>
        <w:b/>
        <w:sz w:val="20"/>
      </w:rPr>
    </w:pPr>
    <w:r>
      <w:rPr>
        <w:rFonts w:ascii="Helvetica" w:hAnsi="Helvetica"/>
        <w:b/>
        <w:sz w:val="20"/>
      </w:rPr>
      <w:t>NOTE</w:t>
    </w:r>
    <w:r>
      <w:rPr>
        <w:rFonts w:ascii="Helvetica" w:hAnsi="Helvetica"/>
        <w:sz w:val="20"/>
      </w:rPr>
      <w:t>—continued</w:t>
    </w:r>
  </w:p>
  <w:p w14:paraId="7768E79D" w14:textId="77777777" w:rsidR="00A967BF" w:rsidRDefault="00A967BF">
    <w:pPr>
      <w:widowControl w:val="0"/>
      <w:spacing w:before="60" w:after="100"/>
      <w:ind w:left="140"/>
      <w:jc w:val="center"/>
      <w:rPr>
        <w:rFonts w:ascii="Helvetica" w:hAnsi="Helvetica"/>
      </w:rPr>
    </w:pPr>
    <w:r>
      <w:rPr>
        <w:rFonts w:ascii="Helvetica" w:hAnsi="Helvetica"/>
        <w:b/>
        <w:sz w:val="20"/>
      </w:rPr>
      <w:t>Table of Ordinances</w:t>
    </w:r>
    <w:r>
      <w:rPr>
        <w:rFonts w:ascii="Helvetica" w:hAnsi="Helvetica"/>
        <w:sz w:val="20"/>
      </w:rPr>
      <w:t>—continued</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60"/>
      <w:gridCol w:w="1120"/>
      <w:gridCol w:w="1480"/>
      <w:gridCol w:w="1200"/>
    </w:tblGrid>
    <w:tr w:rsidR="00AB5640" w14:paraId="1371BD66" w14:textId="77777777">
      <w:trPr>
        <w:cantSplit/>
      </w:trPr>
      <w:tc>
        <w:tcPr>
          <w:tcW w:w="2280" w:type="dxa"/>
          <w:tcBorders>
            <w:top w:val="single" w:sz="6" w:space="0" w:color="auto"/>
            <w:bottom w:val="single" w:sz="2" w:space="0" w:color="auto"/>
          </w:tcBorders>
        </w:tcPr>
        <w:p w14:paraId="0E8A6009" w14:textId="77777777" w:rsidR="00A967BF" w:rsidRDefault="00A967BF">
          <w:pPr>
            <w:widowControl w:val="0"/>
            <w:spacing w:before="700" w:after="100"/>
            <w:ind w:left="-40"/>
            <w:rPr>
              <w:rFonts w:ascii="Helvetica" w:hAnsi="Helvetica"/>
              <w:sz w:val="16"/>
            </w:rPr>
          </w:pPr>
          <w:r>
            <w:rPr>
              <w:rFonts w:ascii="Helvetica" w:hAnsi="Helvetica"/>
              <w:sz w:val="16"/>
            </w:rPr>
            <w:t>Ordinance</w:t>
          </w:r>
        </w:p>
      </w:tc>
      <w:tc>
        <w:tcPr>
          <w:tcW w:w="1160" w:type="dxa"/>
          <w:tcBorders>
            <w:top w:val="single" w:sz="6" w:space="0" w:color="auto"/>
            <w:bottom w:val="single" w:sz="2" w:space="0" w:color="auto"/>
          </w:tcBorders>
        </w:tcPr>
        <w:p w14:paraId="6D92DF41" w14:textId="77777777" w:rsidR="00A967BF" w:rsidRDefault="00A967BF">
          <w:pPr>
            <w:widowControl w:val="0"/>
            <w:spacing w:before="480" w:after="0"/>
            <w:rPr>
              <w:rFonts w:ascii="Helvetica" w:hAnsi="Helvetica"/>
              <w:sz w:val="16"/>
            </w:rPr>
          </w:pPr>
          <w:r>
            <w:rPr>
              <w:rFonts w:ascii="Helvetica" w:hAnsi="Helvetica"/>
              <w:sz w:val="16"/>
            </w:rPr>
            <w:t xml:space="preserve">Number  </w:t>
          </w:r>
        </w:p>
        <w:p w14:paraId="368BC457" w14:textId="77777777" w:rsidR="00A967BF" w:rsidRDefault="00A967BF">
          <w:pPr>
            <w:widowControl w:val="0"/>
            <w:spacing w:before="0" w:after="0"/>
            <w:rPr>
              <w:rFonts w:ascii="Helvetica" w:hAnsi="Helvetica"/>
              <w:sz w:val="16"/>
            </w:rPr>
          </w:pPr>
          <w:r>
            <w:rPr>
              <w:rFonts w:ascii="Helvetica" w:hAnsi="Helvetica"/>
              <w:sz w:val="16"/>
            </w:rPr>
            <w:t>and year</w:t>
          </w:r>
        </w:p>
      </w:tc>
      <w:tc>
        <w:tcPr>
          <w:tcW w:w="1120" w:type="dxa"/>
          <w:tcBorders>
            <w:top w:val="single" w:sz="6" w:space="0" w:color="auto"/>
            <w:bottom w:val="single" w:sz="2" w:space="0" w:color="auto"/>
          </w:tcBorders>
        </w:tcPr>
        <w:p w14:paraId="2AF7FDAC" w14:textId="77777777" w:rsidR="00A967BF" w:rsidRDefault="00A967BF">
          <w:pPr>
            <w:widowControl w:val="0"/>
            <w:spacing w:before="320" w:after="0"/>
            <w:rPr>
              <w:rFonts w:ascii="Helvetica" w:hAnsi="Helvetica"/>
              <w:sz w:val="16"/>
            </w:rPr>
          </w:pPr>
          <w:r>
            <w:rPr>
              <w:rFonts w:ascii="Helvetica" w:hAnsi="Helvetica"/>
              <w:sz w:val="16"/>
            </w:rPr>
            <w:t xml:space="preserve">Date of </w:t>
          </w:r>
        </w:p>
        <w:p w14:paraId="06CB6E94" w14:textId="77777777" w:rsidR="00A967BF" w:rsidRDefault="00A967BF">
          <w:pPr>
            <w:widowControl w:val="0"/>
            <w:spacing w:before="0" w:after="0"/>
            <w:rPr>
              <w:rFonts w:ascii="Helvetica" w:hAnsi="Helvetica"/>
              <w:sz w:val="16"/>
            </w:rPr>
          </w:pPr>
          <w:r>
            <w:rPr>
              <w:rFonts w:ascii="Helvetica" w:hAnsi="Helvetica"/>
              <w:sz w:val="16"/>
            </w:rPr>
            <w:t xml:space="preserve">notification </w:t>
          </w:r>
        </w:p>
        <w:p w14:paraId="455DD4FE" w14:textId="77777777" w:rsidR="00A967BF" w:rsidRDefault="00A967BF">
          <w:pPr>
            <w:widowControl w:val="0"/>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480" w:type="dxa"/>
          <w:tcBorders>
            <w:top w:val="single" w:sz="6" w:space="0" w:color="auto"/>
            <w:bottom w:val="single" w:sz="2" w:space="0" w:color="auto"/>
          </w:tcBorders>
        </w:tcPr>
        <w:p w14:paraId="3BC0FB13" w14:textId="77777777" w:rsidR="00A967BF" w:rsidRDefault="00A967BF">
          <w:pPr>
            <w:widowControl w:val="0"/>
            <w:spacing w:before="480" w:after="0"/>
            <w:rPr>
              <w:rFonts w:ascii="Helvetica" w:hAnsi="Helvetica"/>
              <w:sz w:val="16"/>
            </w:rPr>
          </w:pPr>
          <w:r>
            <w:rPr>
              <w:rFonts w:ascii="Helvetica" w:hAnsi="Helvetica"/>
              <w:sz w:val="16"/>
            </w:rPr>
            <w:t xml:space="preserve">Date of </w:t>
          </w:r>
        </w:p>
        <w:p w14:paraId="756CE9D5" w14:textId="77777777" w:rsidR="00A967BF" w:rsidRDefault="00A967BF">
          <w:pPr>
            <w:widowControl w:val="0"/>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14:paraId="6E5379BA" w14:textId="77777777" w:rsidR="00A967BF" w:rsidRDefault="00A967BF">
          <w:pPr>
            <w:widowControl w:val="0"/>
            <w:spacing w:after="100"/>
            <w:jc w:val="right"/>
            <w:rPr>
              <w:rFonts w:ascii="Helvetica" w:hAnsi="Helvetica"/>
              <w:sz w:val="16"/>
            </w:rPr>
          </w:pPr>
          <w:r>
            <w:rPr>
              <w:rFonts w:ascii="Helvetica" w:hAnsi="Helvetica"/>
              <w:sz w:val="16"/>
            </w:rPr>
            <w:t>Application, saving or transitional provisions</w:t>
          </w:r>
        </w:p>
      </w:tc>
    </w:tr>
  </w:tbl>
  <w:p w14:paraId="0D7BAA08" w14:textId="77777777" w:rsidR="00A967BF" w:rsidRDefault="00A967BF">
    <w:pPr>
      <w:widowControl w:val="0"/>
      <w:spacing w:before="0" w:after="0"/>
      <w:ind w:left="200" w:right="-820"/>
      <w:rPr>
        <w:rFonts w:ascii="Helvetica" w:hAnsi="Helvetica"/>
        <w:sz w:val="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7BE19" w14:textId="77777777" w:rsidR="00A967BF" w:rsidRDefault="00A967BF">
    <w:pPr>
      <w:widowControl w:val="0"/>
      <w:tabs>
        <w:tab w:val="left" w:pos="2240"/>
        <w:tab w:val="right" w:pos="7180"/>
      </w:tabs>
      <w:rPr>
        <w:sz w:val="20"/>
      </w:rPr>
    </w:pPr>
    <w:r>
      <w:tab/>
    </w:r>
    <w:r>
      <w:rPr>
        <w:i/>
        <w:sz w:val="20"/>
      </w:rPr>
      <w:t>Married Persons’ Property Act 1986</w:t>
    </w:r>
    <w:r>
      <w:rPr>
        <w:sz w:val="20"/>
      </w:rPr>
      <w:tab/>
    </w:r>
    <w:r>
      <w:rPr>
        <w:sz w:val="20"/>
      </w:rPr>
      <w:pgNum/>
    </w:r>
  </w:p>
  <w:p w14:paraId="47E4836C" w14:textId="77777777" w:rsidR="00A967BF" w:rsidRDefault="00A967BF">
    <w:pPr>
      <w:widowControl w:val="0"/>
      <w:spacing w:before="100" w:after="100"/>
      <w:ind w:left="140"/>
      <w:jc w:val="center"/>
      <w:rPr>
        <w:rFonts w:ascii="Helvetica" w:hAnsi="Helvetica"/>
        <w:b/>
        <w:sz w:val="20"/>
      </w:rPr>
    </w:pPr>
    <w:r>
      <w:rPr>
        <w:rFonts w:ascii="Helvetica" w:hAnsi="Helvetica"/>
        <w:b/>
        <w:sz w:val="20"/>
      </w:rPr>
      <w:t>NOTE</w:t>
    </w:r>
    <w:r>
      <w:rPr>
        <w:rFonts w:ascii="Helvetica" w:hAnsi="Helvetica"/>
        <w:sz w:val="20"/>
      </w:rPr>
      <w:t>—continued</w:t>
    </w:r>
  </w:p>
  <w:p w14:paraId="2492A4DF" w14:textId="77777777" w:rsidR="00A967BF" w:rsidRDefault="00A967BF">
    <w:pPr>
      <w:widowControl w:val="0"/>
      <w:spacing w:before="60" w:after="100"/>
      <w:ind w:left="140"/>
      <w:jc w:val="center"/>
      <w:rPr>
        <w:rFonts w:ascii="Helvetica" w:hAnsi="Helvetica"/>
      </w:rPr>
    </w:pPr>
    <w:r>
      <w:rPr>
        <w:rFonts w:ascii="Helvetica" w:hAnsi="Helvetica"/>
        <w:b/>
        <w:sz w:val="20"/>
      </w:rPr>
      <w:t>Table of Ordinances</w:t>
    </w:r>
    <w:r>
      <w:rPr>
        <w:rFonts w:ascii="Helvetica" w:hAnsi="Helvetica"/>
        <w:sz w:val="20"/>
      </w:rPr>
      <w:t>—continued</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60"/>
      <w:gridCol w:w="1120"/>
      <w:gridCol w:w="1480"/>
      <w:gridCol w:w="1180"/>
    </w:tblGrid>
    <w:tr w:rsidR="00AB5640" w14:paraId="61A89E69" w14:textId="77777777">
      <w:trPr>
        <w:cantSplit/>
      </w:trPr>
      <w:tc>
        <w:tcPr>
          <w:tcW w:w="2280" w:type="dxa"/>
          <w:tcBorders>
            <w:top w:val="single" w:sz="6" w:space="0" w:color="auto"/>
            <w:bottom w:val="single" w:sz="2" w:space="0" w:color="auto"/>
          </w:tcBorders>
        </w:tcPr>
        <w:p w14:paraId="28CBC24D" w14:textId="77777777" w:rsidR="00A967BF" w:rsidRDefault="00A967BF">
          <w:pPr>
            <w:widowControl w:val="0"/>
            <w:spacing w:before="700" w:after="100"/>
            <w:ind w:left="-40"/>
            <w:rPr>
              <w:rFonts w:ascii="Helvetica" w:hAnsi="Helvetica"/>
              <w:sz w:val="16"/>
            </w:rPr>
          </w:pPr>
          <w:r>
            <w:rPr>
              <w:rFonts w:ascii="Helvetica" w:hAnsi="Helvetica"/>
              <w:sz w:val="16"/>
            </w:rPr>
            <w:t>Ordinance</w:t>
          </w:r>
        </w:p>
      </w:tc>
      <w:tc>
        <w:tcPr>
          <w:tcW w:w="1160" w:type="dxa"/>
          <w:tcBorders>
            <w:top w:val="single" w:sz="6" w:space="0" w:color="auto"/>
            <w:bottom w:val="single" w:sz="2" w:space="0" w:color="auto"/>
          </w:tcBorders>
        </w:tcPr>
        <w:p w14:paraId="2BE9BBCC" w14:textId="77777777" w:rsidR="00A967BF" w:rsidRDefault="00A967BF">
          <w:pPr>
            <w:widowControl w:val="0"/>
            <w:spacing w:before="480" w:after="0"/>
            <w:rPr>
              <w:rFonts w:ascii="Helvetica" w:hAnsi="Helvetica"/>
              <w:sz w:val="16"/>
            </w:rPr>
          </w:pPr>
          <w:r>
            <w:rPr>
              <w:rFonts w:ascii="Helvetica" w:hAnsi="Helvetica"/>
              <w:sz w:val="16"/>
            </w:rPr>
            <w:t xml:space="preserve">Number   </w:t>
          </w:r>
        </w:p>
        <w:p w14:paraId="40D640F3" w14:textId="77777777" w:rsidR="00A967BF" w:rsidRDefault="00A967BF">
          <w:pPr>
            <w:widowControl w:val="0"/>
            <w:spacing w:before="0" w:after="0"/>
            <w:rPr>
              <w:rFonts w:ascii="Helvetica" w:hAnsi="Helvetica"/>
              <w:sz w:val="16"/>
            </w:rPr>
          </w:pPr>
          <w:r>
            <w:rPr>
              <w:rFonts w:ascii="Helvetica" w:hAnsi="Helvetica"/>
              <w:sz w:val="16"/>
            </w:rPr>
            <w:t>and year</w:t>
          </w:r>
        </w:p>
      </w:tc>
      <w:tc>
        <w:tcPr>
          <w:tcW w:w="1120" w:type="dxa"/>
          <w:tcBorders>
            <w:top w:val="single" w:sz="6" w:space="0" w:color="auto"/>
            <w:bottom w:val="single" w:sz="2" w:space="0" w:color="auto"/>
          </w:tcBorders>
        </w:tcPr>
        <w:p w14:paraId="76867AD2" w14:textId="77777777" w:rsidR="00A967BF" w:rsidRDefault="00A967BF">
          <w:pPr>
            <w:widowControl w:val="0"/>
            <w:spacing w:before="320" w:after="0"/>
            <w:rPr>
              <w:rFonts w:ascii="Helvetica" w:hAnsi="Helvetica"/>
              <w:sz w:val="16"/>
            </w:rPr>
          </w:pPr>
          <w:r>
            <w:rPr>
              <w:rFonts w:ascii="Helvetica" w:hAnsi="Helvetica"/>
              <w:sz w:val="16"/>
            </w:rPr>
            <w:t xml:space="preserve">Date of </w:t>
          </w:r>
        </w:p>
        <w:p w14:paraId="2022D49C" w14:textId="77777777" w:rsidR="00A967BF" w:rsidRDefault="00A967BF">
          <w:pPr>
            <w:widowControl w:val="0"/>
            <w:spacing w:before="0" w:after="0"/>
            <w:rPr>
              <w:rFonts w:ascii="Helvetica" w:hAnsi="Helvetica"/>
              <w:sz w:val="16"/>
            </w:rPr>
          </w:pPr>
          <w:r>
            <w:rPr>
              <w:rFonts w:ascii="Helvetica" w:hAnsi="Helvetica"/>
              <w:sz w:val="16"/>
            </w:rPr>
            <w:t>notification</w:t>
          </w:r>
        </w:p>
        <w:p w14:paraId="73432422" w14:textId="77777777" w:rsidR="00A967BF" w:rsidRDefault="00A967BF">
          <w:pPr>
            <w:widowControl w:val="0"/>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480" w:type="dxa"/>
          <w:tcBorders>
            <w:top w:val="single" w:sz="6" w:space="0" w:color="auto"/>
            <w:bottom w:val="single" w:sz="2" w:space="0" w:color="auto"/>
          </w:tcBorders>
        </w:tcPr>
        <w:p w14:paraId="71CE26C8" w14:textId="77777777" w:rsidR="00A967BF" w:rsidRDefault="00A967BF">
          <w:pPr>
            <w:widowControl w:val="0"/>
            <w:spacing w:before="480" w:after="0"/>
            <w:rPr>
              <w:rFonts w:ascii="Helvetica" w:hAnsi="Helvetica"/>
              <w:sz w:val="16"/>
            </w:rPr>
          </w:pPr>
          <w:r>
            <w:rPr>
              <w:rFonts w:ascii="Helvetica" w:hAnsi="Helvetica"/>
              <w:sz w:val="16"/>
            </w:rPr>
            <w:t xml:space="preserve">Date of </w:t>
          </w:r>
        </w:p>
        <w:p w14:paraId="0CB2BF5F" w14:textId="77777777" w:rsidR="00A967BF" w:rsidRDefault="00A967BF">
          <w:pPr>
            <w:widowControl w:val="0"/>
            <w:spacing w:before="0" w:after="0"/>
            <w:rPr>
              <w:rFonts w:ascii="Helvetica" w:hAnsi="Helvetica"/>
              <w:sz w:val="16"/>
            </w:rPr>
          </w:pPr>
          <w:r>
            <w:rPr>
              <w:rFonts w:ascii="Helvetica" w:hAnsi="Helvetica"/>
              <w:sz w:val="16"/>
            </w:rPr>
            <w:t>commencement</w:t>
          </w:r>
        </w:p>
      </w:tc>
      <w:tc>
        <w:tcPr>
          <w:tcW w:w="1180" w:type="dxa"/>
          <w:tcBorders>
            <w:top w:val="single" w:sz="6" w:space="0" w:color="auto"/>
            <w:bottom w:val="single" w:sz="2" w:space="0" w:color="auto"/>
          </w:tcBorders>
        </w:tcPr>
        <w:p w14:paraId="4064449A" w14:textId="77777777" w:rsidR="00A967BF" w:rsidRDefault="00A967BF">
          <w:pPr>
            <w:widowControl w:val="0"/>
            <w:spacing w:after="100"/>
            <w:ind w:right="-20"/>
            <w:jc w:val="right"/>
            <w:rPr>
              <w:rFonts w:ascii="Helvetica" w:hAnsi="Helvetica"/>
              <w:sz w:val="16"/>
            </w:rPr>
          </w:pPr>
          <w:r>
            <w:rPr>
              <w:rFonts w:ascii="Helvetica" w:hAnsi="Helvetica"/>
              <w:sz w:val="16"/>
            </w:rPr>
            <w:t>Application, saving or transitional provisions</w:t>
          </w:r>
        </w:p>
      </w:tc>
    </w:tr>
  </w:tbl>
  <w:p w14:paraId="1CD21383" w14:textId="77777777" w:rsidR="00A967BF" w:rsidRDefault="00A967BF">
    <w:pPr>
      <w:widowControl w:val="0"/>
      <w:spacing w:before="0" w:after="0"/>
      <w:ind w:left="200" w:right="-800"/>
      <w:rPr>
        <w:sz w:val="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E5367" w14:textId="77777777" w:rsidR="00A967BF" w:rsidRDefault="00A967BF">
    <w:pPr>
      <w:widowControl w:val="0"/>
      <w:tabs>
        <w:tab w:val="left" w:pos="2200"/>
      </w:tabs>
      <w:rPr>
        <w:i/>
        <w:sz w:val="20"/>
      </w:rPr>
    </w:pPr>
    <w:r>
      <w:rPr>
        <w:sz w:val="20"/>
      </w:rPr>
      <w:pgNum/>
    </w:r>
    <w:r>
      <w:rPr>
        <w:sz w:val="20"/>
      </w:rPr>
      <w:tab/>
    </w:r>
    <w:r>
      <w:rPr>
        <w:i/>
        <w:sz w:val="20"/>
      </w:rPr>
      <w:t>Married Persons’ Property Act 1986</w:t>
    </w:r>
  </w:p>
  <w:p w14:paraId="7F726730" w14:textId="77777777" w:rsidR="00A967BF" w:rsidRDefault="00A967BF">
    <w:pPr>
      <w:widowControl w:val="0"/>
      <w:spacing w:before="100" w:after="100"/>
      <w:ind w:left="140" w:right="20"/>
      <w:jc w:val="center"/>
      <w:rPr>
        <w:rFonts w:ascii="Helvetica" w:hAnsi="Helvetica"/>
        <w:b/>
        <w:sz w:val="20"/>
      </w:rPr>
    </w:pPr>
    <w:r>
      <w:rPr>
        <w:rFonts w:ascii="Helvetica" w:hAnsi="Helvetica"/>
        <w:b/>
        <w:sz w:val="20"/>
      </w:rPr>
      <w:t>NOTE</w:t>
    </w:r>
    <w:r>
      <w:rPr>
        <w:rFonts w:ascii="Helvetica" w:hAnsi="Helvetica"/>
        <w:sz w:val="20"/>
      </w:rPr>
      <w:t>—continued</w:t>
    </w:r>
  </w:p>
  <w:p w14:paraId="62ED954C" w14:textId="77777777" w:rsidR="00A967BF" w:rsidRDefault="00A967BF">
    <w:pPr>
      <w:widowControl w:val="0"/>
      <w:spacing w:before="100" w:after="100"/>
      <w:ind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4F855E00" w14:textId="77777777" w:rsidR="00A967BF" w:rsidRDefault="00A967BF">
    <w:pPr>
      <w:widowControl w:val="0"/>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14:paraId="4A73F43A" w14:textId="77777777" w:rsidR="00A967BF" w:rsidRDefault="00A967BF">
    <w:pPr>
      <w:widowControl w:val="0"/>
      <w:pBdr>
        <w:top w:val="single" w:sz="6" w:space="0" w:color="auto"/>
      </w:pBdr>
      <w:tabs>
        <w:tab w:val="left" w:pos="2200"/>
      </w:tabs>
      <w:spacing w:before="20" w:after="20"/>
      <w:ind w:left="260"/>
      <w:rPr>
        <w:rFonts w:ascii="Helvetica" w:hAnsi="Helvetica"/>
        <w:sz w:val="8"/>
      </w:rPr>
    </w:pPr>
  </w:p>
  <w:p w14:paraId="5D6D20D2" w14:textId="77777777" w:rsidR="00A967BF" w:rsidRDefault="00A967BF">
    <w:pPr>
      <w:widowControl w:val="0"/>
      <w:tabs>
        <w:tab w:val="left" w:pos="2200"/>
      </w:tabs>
      <w:spacing w:before="20" w:after="20"/>
      <w:ind w:left="260" w:right="-820"/>
      <w:rPr>
        <w:rFonts w:ascii="Helvetica" w:hAnsi="Helvetica"/>
        <w:sz w:val="16"/>
      </w:rPr>
    </w:pPr>
    <w:r>
      <w:rPr>
        <w:rFonts w:ascii="Helvetica" w:hAnsi="Helvetica"/>
        <w:sz w:val="16"/>
      </w:rPr>
      <w:t>Provision</w:t>
    </w:r>
    <w:r>
      <w:rPr>
        <w:rFonts w:ascii="Helvetica" w:hAnsi="Helvetica"/>
        <w:sz w:val="16"/>
      </w:rPr>
      <w:tab/>
      <w:t>How affected</w:t>
    </w:r>
  </w:p>
  <w:p w14:paraId="3E910AA1" w14:textId="77777777" w:rsidR="00A967BF" w:rsidRDefault="00A967BF">
    <w:pPr>
      <w:widowControl w:val="0"/>
      <w:pBdr>
        <w:bottom w:val="single" w:sz="2" w:space="0" w:color="auto"/>
      </w:pBdr>
      <w:tabs>
        <w:tab w:val="left" w:pos="2200"/>
      </w:tabs>
      <w:spacing w:before="20" w:after="20"/>
      <w:ind w:left="260" w:right="20"/>
      <w:rPr>
        <w:rFonts w:ascii="Helvetica" w:hAnsi="Helvetica"/>
        <w:sz w:val="16"/>
      </w:rPr>
    </w:pPr>
  </w:p>
  <w:p w14:paraId="5D51A35E" w14:textId="77777777" w:rsidR="00A967BF" w:rsidRDefault="00A967BF">
    <w:pPr>
      <w:widowControl w:val="0"/>
      <w:tabs>
        <w:tab w:val="left" w:leader="dot" w:pos="2200"/>
      </w:tabs>
      <w:spacing w:before="20" w:after="20"/>
      <w:ind w:left="260" w:right="-820"/>
      <w:rPr>
        <w:rFonts w:ascii="Helvetica" w:hAnsi="Helvetica"/>
        <w:sz w:val="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9308D" w14:textId="77777777" w:rsidR="00A967BF" w:rsidRDefault="00A967BF">
    <w:pPr>
      <w:widowControl w:val="0"/>
      <w:tabs>
        <w:tab w:val="left" w:pos="2120"/>
        <w:tab w:val="right" w:pos="7180"/>
      </w:tabs>
      <w:rPr>
        <w:sz w:val="20"/>
      </w:rPr>
    </w:pPr>
    <w:r>
      <w:tab/>
    </w:r>
    <w:r>
      <w:rPr>
        <w:i/>
        <w:sz w:val="20"/>
      </w:rPr>
      <w:t>Married Persons’ Property Act 1986</w:t>
    </w:r>
    <w:r>
      <w:rPr>
        <w:sz w:val="20"/>
      </w:rPr>
      <w:tab/>
    </w:r>
    <w:r>
      <w:rPr>
        <w:sz w:val="20"/>
      </w:rPr>
      <w:pgNum/>
    </w:r>
  </w:p>
  <w:p w14:paraId="6A285C4C" w14:textId="77777777" w:rsidR="00A967BF" w:rsidRDefault="00A967BF">
    <w:pPr>
      <w:widowControl w:val="0"/>
      <w:tabs>
        <w:tab w:val="left" w:pos="3580"/>
      </w:tabs>
      <w:spacing w:before="100" w:after="100"/>
      <w:ind w:left="140"/>
      <w:jc w:val="center"/>
      <w:rPr>
        <w:rFonts w:ascii="Helvetica" w:hAnsi="Helvetica"/>
        <w:b/>
        <w:sz w:val="20"/>
      </w:rPr>
    </w:pPr>
    <w:r>
      <w:rPr>
        <w:rFonts w:ascii="Helvetica" w:hAnsi="Helvetica"/>
        <w:b/>
        <w:sz w:val="20"/>
      </w:rPr>
      <w:t>NOTE</w:t>
    </w:r>
    <w:r>
      <w:rPr>
        <w:rFonts w:ascii="Helvetica" w:hAnsi="Helvetica"/>
        <w:sz w:val="20"/>
      </w:rPr>
      <w:t>—continued</w:t>
    </w:r>
  </w:p>
  <w:p w14:paraId="2969CFF7" w14:textId="77777777" w:rsidR="00A967BF" w:rsidRDefault="00A967BF">
    <w:pPr>
      <w:widowControl w:val="0"/>
      <w:tabs>
        <w:tab w:val="left" w:pos="3580"/>
      </w:tabs>
      <w:spacing w:before="100" w:after="100"/>
      <w:ind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5B5BEFF9" w14:textId="77777777" w:rsidR="00A967BF" w:rsidRDefault="00A967BF">
    <w:pPr>
      <w:widowControl w:val="0"/>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14:paraId="71121AF7" w14:textId="77777777" w:rsidR="00A967BF" w:rsidRDefault="00A967BF">
    <w:pPr>
      <w:widowControl w:val="0"/>
      <w:pBdr>
        <w:top w:val="single" w:sz="6" w:space="0" w:color="auto"/>
      </w:pBdr>
      <w:tabs>
        <w:tab w:val="left" w:pos="2200"/>
        <w:tab w:val="left" w:pos="3580"/>
      </w:tabs>
      <w:spacing w:before="20" w:after="20"/>
      <w:ind w:left="260" w:right="20"/>
      <w:rPr>
        <w:rFonts w:ascii="Helvetica" w:hAnsi="Helvetica"/>
        <w:sz w:val="8"/>
      </w:rPr>
    </w:pPr>
  </w:p>
  <w:p w14:paraId="5EA16B11" w14:textId="77777777" w:rsidR="00A967BF" w:rsidRDefault="00A967BF">
    <w:pPr>
      <w:widowControl w:val="0"/>
      <w:pBdr>
        <w:top w:val="single" w:sz="6" w:space="0" w:color="auto"/>
      </w:pBdr>
      <w:tabs>
        <w:tab w:val="left" w:pos="2200"/>
        <w:tab w:val="left" w:pos="3580"/>
      </w:tabs>
      <w:spacing w:before="20" w:after="20"/>
      <w:ind w:left="260" w:right="20"/>
      <w:rPr>
        <w:rFonts w:ascii="Helvetica" w:hAnsi="Helvetica"/>
        <w:sz w:val="16"/>
      </w:rPr>
    </w:pPr>
    <w:r>
      <w:rPr>
        <w:rFonts w:ascii="Helvetica" w:hAnsi="Helvetica"/>
        <w:sz w:val="16"/>
      </w:rPr>
      <w:t>Provision</w:t>
    </w:r>
    <w:r>
      <w:rPr>
        <w:rFonts w:ascii="Helvetica" w:hAnsi="Helvetica"/>
        <w:sz w:val="16"/>
      </w:rPr>
      <w:tab/>
      <w:t>How affected</w:t>
    </w:r>
  </w:p>
  <w:p w14:paraId="71955665" w14:textId="77777777" w:rsidR="00A967BF" w:rsidRDefault="00A967BF">
    <w:pPr>
      <w:widowControl w:val="0"/>
      <w:pBdr>
        <w:bottom w:val="single" w:sz="2" w:space="0" w:color="auto"/>
      </w:pBdr>
      <w:tabs>
        <w:tab w:val="left" w:pos="2200"/>
        <w:tab w:val="left" w:pos="3580"/>
      </w:tabs>
      <w:spacing w:before="20" w:after="20"/>
      <w:ind w:left="260"/>
      <w:rPr>
        <w:rFonts w:ascii="Helvetica" w:hAnsi="Helvetica"/>
        <w:sz w:val="16"/>
      </w:rPr>
    </w:pPr>
  </w:p>
  <w:p w14:paraId="09205E20" w14:textId="77777777" w:rsidR="00A967BF" w:rsidRDefault="00A967BF">
    <w:pPr>
      <w:widowControl w:val="0"/>
      <w:tabs>
        <w:tab w:val="left" w:leader="dot" w:pos="2200"/>
        <w:tab w:val="left" w:pos="3580"/>
      </w:tabs>
      <w:spacing w:before="20" w:after="20"/>
      <w:ind w:left="260" w:right="-800"/>
      <w:rPr>
        <w:rFonts w:ascii="Helvetica" w:hAnsi="Helvetica"/>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525EF"/>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1625384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mirrorMargins/>
  <w:defaultTabStop w:val="720"/>
  <w:hyphenationZone w:val="0"/>
  <w:evenAndOddHeaders/>
  <w:characterSpacingControl w:val="doNotCompress"/>
  <w:footnotePr>
    <w:footnote w:id="-1"/>
    <w:footnote w:id="0"/>
  </w:footnotePr>
  <w:endnotePr>
    <w:endnote w:id="-1"/>
    <w:endnote w:id="0"/>
  </w:endnotePr>
  <w:compat>
    <w:doNotUseHTMLParagraphAutoSpacing/>
    <w:compatSetting w:name="compatibilityMode" w:uri="http://schemas.microsoft.com/office/word" w:val="12"/>
    <w:compatSetting w:name="useWord2013TrackBottomHyphenation" w:uri="http://schemas.microsoft.com/office/word" w:val="1"/>
  </w:compat>
  <w:rsids>
    <w:rsidRoot w:val="00025DAE"/>
    <w:rsid w:val="00025DAE"/>
    <w:rsid w:val="00044458"/>
    <w:rsid w:val="00114DBA"/>
    <w:rsid w:val="001C2A39"/>
    <w:rsid w:val="003D5BFE"/>
    <w:rsid w:val="0047668C"/>
    <w:rsid w:val="004C269B"/>
    <w:rsid w:val="00683E56"/>
    <w:rsid w:val="00761B92"/>
    <w:rsid w:val="007C4628"/>
    <w:rsid w:val="00863AB2"/>
    <w:rsid w:val="008D271C"/>
    <w:rsid w:val="008E4290"/>
    <w:rsid w:val="009D5E81"/>
    <w:rsid w:val="00A70AEB"/>
    <w:rsid w:val="00A967BF"/>
    <w:rsid w:val="00AB5640"/>
    <w:rsid w:val="00B03C0A"/>
    <w:rsid w:val="00B75F05"/>
    <w:rsid w:val="00C80AD0"/>
    <w:rsid w:val="00D35D82"/>
    <w:rsid w:val="00DF4B1A"/>
    <w:rsid w:val="00F539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390C69"/>
  <w15:docId w15:val="{343177FC-3D9F-479B-A14D-1CC073664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before="80" w:after="60"/>
      <w:jc w:val="both"/>
      <w:textAlignment w:val="baseline"/>
    </w:pPr>
    <w:rPr>
      <w:rFonts w:ascii="Times" w:hAnsi="Times"/>
      <w:sz w:val="24"/>
      <w:lang w:val="en-US"/>
    </w:rPr>
  </w:style>
  <w:style w:type="paragraph" w:styleId="Heading1">
    <w:name w:val="heading 1"/>
    <w:next w:val="Normal"/>
    <w:qFormat/>
    <w:pPr>
      <w:overflowPunct w:val="0"/>
      <w:autoSpaceDE w:val="0"/>
      <w:autoSpaceDN w:val="0"/>
      <w:adjustRightInd w:val="0"/>
      <w:spacing w:before="300"/>
      <w:jc w:val="center"/>
      <w:textAlignment w:val="baseline"/>
      <w:outlineLvl w:val="0"/>
    </w:pPr>
    <w:rPr>
      <w:rFonts w:ascii="Times" w:hAnsi="Times"/>
      <w:b/>
      <w:caps/>
      <w:sz w:val="24"/>
      <w:lang w:val="en-US"/>
    </w:rPr>
  </w:style>
  <w:style w:type="paragraph" w:styleId="Heading2">
    <w:name w:val="heading 2"/>
    <w:next w:val="Normal"/>
    <w:qFormat/>
    <w:pPr>
      <w:overflowPunct w:val="0"/>
      <w:autoSpaceDE w:val="0"/>
      <w:autoSpaceDN w:val="0"/>
      <w:adjustRightInd w:val="0"/>
      <w:spacing w:before="140"/>
      <w:jc w:val="center"/>
      <w:textAlignment w:val="baseline"/>
      <w:outlineLvl w:val="1"/>
    </w:pPr>
    <w:rPr>
      <w:rFonts w:ascii="Times" w:hAnsi="Times"/>
      <w:b/>
      <w:i/>
      <w:sz w:val="24"/>
      <w:lang w:val="en-US"/>
    </w:rPr>
  </w:style>
  <w:style w:type="paragraph" w:styleId="Heading3">
    <w:name w:val="heading 3"/>
    <w:next w:val="allsections"/>
    <w:qFormat/>
    <w:pPr>
      <w:overflowPunct w:val="0"/>
      <w:autoSpaceDE w:val="0"/>
      <w:autoSpaceDN w:val="0"/>
      <w:adjustRightInd w:val="0"/>
      <w:spacing w:before="140"/>
      <w:textAlignment w:val="baseline"/>
      <w:outlineLvl w:val="2"/>
    </w:pPr>
    <w:rPr>
      <w:rFonts w:ascii="Times" w:hAnsi="Times"/>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pPr>
      <w:overflowPunct w:val="0"/>
      <w:autoSpaceDE w:val="0"/>
      <w:autoSpaceDN w:val="0"/>
      <w:adjustRightInd w:val="0"/>
      <w:spacing w:before="80" w:after="80"/>
      <w:ind w:firstLine="400"/>
      <w:jc w:val="both"/>
      <w:textAlignment w:val="baseline"/>
    </w:pPr>
    <w:rPr>
      <w:rFonts w:ascii="Times" w:hAnsi="Times"/>
      <w:sz w:val="24"/>
      <w:lang w:val="en-US"/>
    </w:rPr>
  </w:style>
  <w:style w:type="paragraph" w:styleId="TOC3">
    <w:name w:val="toc 3"/>
    <w:next w:val="Normal"/>
    <w:semiHidden/>
    <w:pPr>
      <w:tabs>
        <w:tab w:val="right" w:pos="540"/>
      </w:tabs>
      <w:overflowPunct w:val="0"/>
      <w:autoSpaceDE w:val="0"/>
      <w:autoSpaceDN w:val="0"/>
      <w:adjustRightInd w:val="0"/>
      <w:spacing w:before="20" w:after="20"/>
      <w:ind w:left="1120" w:hanging="1120"/>
      <w:textAlignment w:val="baseline"/>
    </w:pPr>
    <w:rPr>
      <w:rFonts w:ascii="Times" w:hAnsi="Times"/>
      <w:lang w:val="en-US"/>
    </w:rPr>
  </w:style>
  <w:style w:type="paragraph" w:styleId="TOC2">
    <w:name w:val="toc 2"/>
    <w:next w:val="Normal"/>
    <w:semiHidden/>
    <w:pPr>
      <w:overflowPunct w:val="0"/>
      <w:autoSpaceDE w:val="0"/>
      <w:autoSpaceDN w:val="0"/>
      <w:adjustRightInd w:val="0"/>
      <w:spacing w:before="20" w:after="80"/>
      <w:jc w:val="center"/>
      <w:textAlignment w:val="baseline"/>
    </w:pPr>
    <w:rPr>
      <w:rFonts w:ascii="Times" w:hAnsi="Times"/>
      <w:i/>
      <w:lang w:val="en-US"/>
    </w:rPr>
  </w:style>
  <w:style w:type="paragraph" w:styleId="TOC1">
    <w:name w:val="toc 1"/>
    <w:next w:val="Normal"/>
    <w:semiHidden/>
    <w:pPr>
      <w:overflowPunct w:val="0"/>
      <w:autoSpaceDE w:val="0"/>
      <w:autoSpaceDN w:val="0"/>
      <w:adjustRightInd w:val="0"/>
      <w:spacing w:before="80" w:after="80"/>
      <w:jc w:val="center"/>
      <w:textAlignment w:val="baseline"/>
    </w:pPr>
    <w:rPr>
      <w:rFonts w:ascii="Times" w:hAnsi="Times"/>
      <w:caps/>
      <w:lang w:val="en-US"/>
    </w:rPr>
  </w:style>
  <w:style w:type="paragraph" w:styleId="Header">
    <w:name w:val="header"/>
    <w:basedOn w:val="Normal"/>
    <w:next w:val="Normal"/>
    <w:semiHidden/>
    <w:pPr>
      <w:tabs>
        <w:tab w:val="center" w:pos="4252"/>
        <w:tab w:val="right" w:pos="8504"/>
      </w:tabs>
    </w:pPr>
  </w:style>
  <w:style w:type="paragraph" w:customStyle="1" w:styleId="amendschedule">
    <w:name w:val="amend schedule"/>
    <w:next w:val="allsections"/>
    <w:pPr>
      <w:overflowPunct w:val="0"/>
      <w:autoSpaceDE w:val="0"/>
      <w:autoSpaceDN w:val="0"/>
      <w:adjustRightInd w:val="0"/>
      <w:spacing w:before="140"/>
      <w:textAlignment w:val="baseline"/>
    </w:pPr>
    <w:rPr>
      <w:rFonts w:ascii="Times" w:hAnsi="Times"/>
      <w:b/>
      <w:sz w:val="24"/>
      <w:lang w:val="en-US"/>
    </w:rPr>
  </w:style>
  <w:style w:type="paragraph" w:customStyle="1" w:styleId="def">
    <w:name w:val="def"/>
    <w:pPr>
      <w:overflowPunct w:val="0"/>
      <w:autoSpaceDE w:val="0"/>
      <w:autoSpaceDN w:val="0"/>
      <w:adjustRightInd w:val="0"/>
      <w:spacing w:before="80" w:after="80"/>
      <w:ind w:left="900" w:hanging="500"/>
      <w:jc w:val="both"/>
      <w:textAlignment w:val="baseline"/>
    </w:pPr>
    <w:rPr>
      <w:rFonts w:ascii="Times" w:hAnsi="Times"/>
      <w:sz w:val="24"/>
      <w:lang w:val="en-US"/>
    </w:rPr>
  </w:style>
  <w:style w:type="paragraph" w:customStyle="1" w:styleId="definpara">
    <w:name w:val="def in para"/>
    <w:pPr>
      <w:overflowPunct w:val="0"/>
      <w:autoSpaceDE w:val="0"/>
      <w:autoSpaceDN w:val="0"/>
      <w:adjustRightInd w:val="0"/>
      <w:spacing w:before="80" w:after="80"/>
      <w:ind w:left="1720" w:hanging="380"/>
      <w:jc w:val="both"/>
      <w:textAlignment w:val="baseline"/>
    </w:pPr>
    <w:rPr>
      <w:rFonts w:ascii="Times" w:hAnsi="Times"/>
      <w:sz w:val="24"/>
      <w:lang w:val="en-US"/>
    </w:rPr>
  </w:style>
  <w:style w:type="paragraph" w:customStyle="1" w:styleId="aindent">
    <w:name w:val="a indent"/>
    <w:basedOn w:val="Normal"/>
    <w:pPr>
      <w:tabs>
        <w:tab w:val="right" w:pos="700"/>
      </w:tabs>
      <w:ind w:left="900" w:hanging="900"/>
    </w:pPr>
  </w:style>
  <w:style w:type="paragraph" w:customStyle="1" w:styleId="iindent">
    <w:name w:val="i indent"/>
    <w:pPr>
      <w:tabs>
        <w:tab w:val="right" w:pos="1340"/>
      </w:tabs>
      <w:overflowPunct w:val="0"/>
      <w:autoSpaceDE w:val="0"/>
      <w:autoSpaceDN w:val="0"/>
      <w:adjustRightInd w:val="0"/>
      <w:spacing w:before="80" w:after="80"/>
      <w:ind w:left="1600" w:hanging="1600"/>
      <w:jc w:val="both"/>
      <w:textAlignment w:val="baseline"/>
    </w:pPr>
    <w:rPr>
      <w:rFonts w:ascii="Times" w:hAnsi="Times"/>
      <w:sz w:val="24"/>
      <w:lang w:val="en-US"/>
    </w:rPr>
  </w:style>
  <w:style w:type="paragraph" w:customStyle="1" w:styleId="Bindent">
    <w:name w:val="B indent"/>
    <w:pPr>
      <w:overflowPunct w:val="0"/>
      <w:autoSpaceDE w:val="0"/>
      <w:autoSpaceDN w:val="0"/>
      <w:adjustRightInd w:val="0"/>
      <w:spacing w:before="80" w:after="80"/>
      <w:ind w:left="2260" w:hanging="500"/>
      <w:jc w:val="both"/>
      <w:textAlignment w:val="baseline"/>
    </w:pPr>
    <w:rPr>
      <w:rFonts w:ascii="Times" w:hAnsi="Times"/>
      <w:sz w:val="24"/>
      <w:lang w:val="en-US"/>
    </w:rPr>
  </w:style>
  <w:style w:type="paragraph" w:customStyle="1" w:styleId="defaindent">
    <w:name w:val="def a indent"/>
    <w:pPr>
      <w:tabs>
        <w:tab w:val="right" w:pos="1360"/>
      </w:tabs>
      <w:overflowPunct w:val="0"/>
      <w:autoSpaceDE w:val="0"/>
      <w:autoSpaceDN w:val="0"/>
      <w:adjustRightInd w:val="0"/>
      <w:spacing w:before="80" w:after="80"/>
      <w:ind w:left="1620" w:hanging="1620"/>
      <w:jc w:val="both"/>
      <w:textAlignment w:val="baseline"/>
    </w:pPr>
    <w:rPr>
      <w:rFonts w:ascii="Times" w:hAnsi="Times"/>
      <w:sz w:val="24"/>
      <w:lang w:val="en-US"/>
    </w:rPr>
  </w:style>
  <w:style w:type="paragraph" w:customStyle="1" w:styleId="defiindent">
    <w:name w:val="def i indent"/>
    <w:pPr>
      <w:tabs>
        <w:tab w:val="right" w:pos="2080"/>
      </w:tabs>
      <w:overflowPunct w:val="0"/>
      <w:autoSpaceDE w:val="0"/>
      <w:autoSpaceDN w:val="0"/>
      <w:adjustRightInd w:val="0"/>
      <w:spacing w:before="80" w:after="80"/>
      <w:ind w:left="2260" w:hanging="2300"/>
      <w:jc w:val="both"/>
      <w:textAlignment w:val="baseline"/>
    </w:pPr>
    <w:rPr>
      <w:rFonts w:ascii="Times" w:hAnsi="Times"/>
      <w:sz w:val="24"/>
      <w:lang w:val="en-US"/>
    </w:rPr>
  </w:style>
  <w:style w:type="paragraph" w:customStyle="1" w:styleId="defBindent">
    <w:name w:val="def B indent"/>
    <w:pPr>
      <w:overflowPunct w:val="0"/>
      <w:autoSpaceDE w:val="0"/>
      <w:autoSpaceDN w:val="0"/>
      <w:adjustRightInd w:val="0"/>
      <w:spacing w:before="80" w:after="80"/>
      <w:ind w:left="3060" w:hanging="500"/>
      <w:jc w:val="both"/>
      <w:textAlignment w:val="baseline"/>
    </w:pPr>
    <w:rPr>
      <w:rFonts w:ascii="Times" w:hAnsi="Times"/>
      <w:sz w:val="24"/>
      <w:lang w:val="en-US"/>
    </w:rPr>
  </w:style>
  <w:style w:type="paragraph" w:customStyle="1" w:styleId="fullout">
    <w:name w:val="full out"/>
    <w:pPr>
      <w:overflowPunct w:val="0"/>
      <w:autoSpaceDE w:val="0"/>
      <w:autoSpaceDN w:val="0"/>
      <w:adjustRightInd w:val="0"/>
      <w:spacing w:before="80" w:after="80"/>
      <w:jc w:val="both"/>
      <w:textAlignment w:val="baseline"/>
    </w:pPr>
    <w:rPr>
      <w:rFonts w:ascii="Times" w:hAnsi="Times"/>
      <w:sz w:val="24"/>
      <w:lang w:val="en-US"/>
    </w:rPr>
  </w:style>
  <w:style w:type="paragraph" w:customStyle="1" w:styleId="defainpara">
    <w:name w:val="def a in para"/>
    <w:pPr>
      <w:tabs>
        <w:tab w:val="right" w:pos="2140"/>
      </w:tabs>
      <w:overflowPunct w:val="0"/>
      <w:autoSpaceDE w:val="0"/>
      <w:autoSpaceDN w:val="0"/>
      <w:adjustRightInd w:val="0"/>
      <w:spacing w:before="80" w:after="80"/>
      <w:ind w:left="2400" w:hanging="2400"/>
      <w:jc w:val="both"/>
      <w:textAlignment w:val="baseline"/>
    </w:pPr>
    <w:rPr>
      <w:rFonts w:ascii="Times" w:hAnsi="Times"/>
      <w:sz w:val="24"/>
      <w:lang w:val="en-US"/>
    </w:rPr>
  </w:style>
  <w:style w:type="paragraph" w:customStyle="1" w:styleId="halfout">
    <w:name w:val="half out"/>
    <w:pPr>
      <w:overflowPunct w:val="0"/>
      <w:autoSpaceDE w:val="0"/>
      <w:autoSpaceDN w:val="0"/>
      <w:adjustRightInd w:val="0"/>
      <w:spacing w:before="80" w:after="80"/>
      <w:ind w:left="900"/>
      <w:jc w:val="both"/>
      <w:textAlignment w:val="baseline"/>
    </w:pPr>
    <w:rPr>
      <w:rFonts w:ascii="Times" w:hAnsi="Times"/>
      <w:sz w:val="24"/>
      <w:lang w:val="en-US"/>
    </w:rPr>
  </w:style>
  <w:style w:type="paragraph" w:customStyle="1" w:styleId="defBinpara">
    <w:name w:val="def B in para"/>
    <w:pPr>
      <w:overflowPunct w:val="0"/>
      <w:autoSpaceDE w:val="0"/>
      <w:autoSpaceDN w:val="0"/>
      <w:adjustRightInd w:val="0"/>
      <w:spacing w:before="80" w:after="80"/>
      <w:ind w:left="3880" w:hanging="480"/>
      <w:jc w:val="both"/>
      <w:textAlignment w:val="baseline"/>
    </w:pPr>
    <w:rPr>
      <w:rFonts w:ascii="Times" w:hAnsi="Times"/>
      <w:sz w:val="24"/>
      <w:lang w:val="en-US"/>
    </w:rPr>
  </w:style>
  <w:style w:type="paragraph" w:customStyle="1" w:styleId="defiinpara">
    <w:name w:val="def i in para"/>
    <w:pPr>
      <w:tabs>
        <w:tab w:val="right" w:pos="2940"/>
      </w:tabs>
      <w:overflowPunct w:val="0"/>
      <w:autoSpaceDE w:val="0"/>
      <w:autoSpaceDN w:val="0"/>
      <w:adjustRightInd w:val="0"/>
      <w:spacing w:before="80" w:after="80"/>
      <w:ind w:left="3100" w:hanging="3100"/>
      <w:jc w:val="both"/>
      <w:textAlignment w:val="baseline"/>
    </w:pPr>
    <w:rPr>
      <w:rFonts w:ascii="Times" w:hAnsi="Times"/>
      <w:sz w:val="24"/>
      <w:lang w:val="en-US"/>
    </w:rPr>
  </w:style>
  <w:style w:type="paragraph" w:customStyle="1" w:styleId="tocamendsection">
    <w:name w:val="toc amend section"/>
    <w:pPr>
      <w:tabs>
        <w:tab w:val="right" w:pos="1900"/>
      </w:tabs>
      <w:overflowPunct w:val="0"/>
      <w:autoSpaceDE w:val="0"/>
      <w:autoSpaceDN w:val="0"/>
      <w:adjustRightInd w:val="0"/>
      <w:spacing w:before="20" w:after="20"/>
      <w:ind w:left="2300" w:hanging="2300"/>
      <w:textAlignment w:val="baseline"/>
    </w:pPr>
    <w:rPr>
      <w:rFonts w:ascii="Times" w:hAnsi="Times"/>
      <w:lang w:val="en-US"/>
    </w:rPr>
  </w:style>
  <w:style w:type="paragraph" w:customStyle="1" w:styleId="tocamenddiv">
    <w:name w:val="toc amend div"/>
    <w:pPr>
      <w:overflowPunct w:val="0"/>
      <w:autoSpaceDE w:val="0"/>
      <w:autoSpaceDN w:val="0"/>
      <w:adjustRightInd w:val="0"/>
      <w:spacing w:before="20" w:after="20"/>
      <w:ind w:left="1120" w:right="20"/>
      <w:jc w:val="center"/>
      <w:textAlignment w:val="baseline"/>
    </w:pPr>
    <w:rPr>
      <w:rFonts w:ascii="Times" w:hAnsi="Times"/>
      <w:i/>
      <w:lang w:val="en-US"/>
    </w:rPr>
  </w:style>
  <w:style w:type="paragraph" w:customStyle="1" w:styleId="tocamendpart">
    <w:name w:val="toc amend part"/>
    <w:pPr>
      <w:overflowPunct w:val="0"/>
      <w:autoSpaceDE w:val="0"/>
      <w:autoSpaceDN w:val="0"/>
      <w:adjustRightInd w:val="0"/>
      <w:spacing w:before="20" w:after="20"/>
      <w:ind w:left="1120" w:right="20"/>
      <w:jc w:val="center"/>
      <w:textAlignment w:val="baseline"/>
    </w:pPr>
    <w:rPr>
      <w:rFonts w:ascii="Times" w:hAnsi="Times"/>
      <w:caps/>
      <w:lang w:val="en-US"/>
    </w:rPr>
  </w:style>
  <w:style w:type="paragraph" w:customStyle="1" w:styleId="secinpara">
    <w:name w:val="sec in para"/>
    <w:pPr>
      <w:overflowPunct w:val="0"/>
      <w:autoSpaceDE w:val="0"/>
      <w:autoSpaceDN w:val="0"/>
      <w:adjustRightInd w:val="0"/>
      <w:spacing w:before="80" w:after="80"/>
      <w:ind w:left="900" w:firstLine="400"/>
      <w:jc w:val="both"/>
      <w:textAlignment w:val="baseline"/>
    </w:pPr>
    <w:rPr>
      <w:rFonts w:ascii="Times" w:hAnsi="Times"/>
      <w:sz w:val="24"/>
      <w:lang w:val="en-US"/>
    </w:rPr>
  </w:style>
  <w:style w:type="paragraph" w:customStyle="1" w:styleId="parainpara">
    <w:name w:val="para in para"/>
    <w:pPr>
      <w:tabs>
        <w:tab w:val="right" w:pos="1500"/>
      </w:tabs>
      <w:overflowPunct w:val="0"/>
      <w:autoSpaceDE w:val="0"/>
      <w:autoSpaceDN w:val="0"/>
      <w:adjustRightInd w:val="0"/>
      <w:spacing w:before="80" w:after="80"/>
      <w:ind w:left="1800" w:hanging="1800"/>
      <w:jc w:val="both"/>
      <w:textAlignment w:val="baseline"/>
    </w:pPr>
    <w:rPr>
      <w:rFonts w:ascii="Times" w:hAnsi="Times"/>
      <w:sz w:val="24"/>
      <w:lang w:val="en-US"/>
    </w:rPr>
  </w:style>
  <w:style w:type="paragraph" w:customStyle="1" w:styleId="subparainpara">
    <w:name w:val="subpara in para"/>
    <w:pPr>
      <w:tabs>
        <w:tab w:val="right" w:pos="2280"/>
      </w:tabs>
      <w:overflowPunct w:val="0"/>
      <w:autoSpaceDE w:val="0"/>
      <w:autoSpaceDN w:val="0"/>
      <w:adjustRightInd w:val="0"/>
      <w:spacing w:before="80" w:after="80"/>
      <w:ind w:left="2480" w:hanging="2480"/>
      <w:jc w:val="both"/>
      <w:textAlignment w:val="baseline"/>
    </w:pPr>
    <w:rPr>
      <w:rFonts w:ascii="Times" w:hAnsi="Times"/>
      <w:sz w:val="24"/>
      <w:lang w:val="en-US"/>
    </w:rPr>
  </w:style>
  <w:style w:type="paragraph" w:customStyle="1" w:styleId="sub-subparainpara">
    <w:name w:val="sub-subpara in para"/>
    <w:pPr>
      <w:overflowPunct w:val="0"/>
      <w:autoSpaceDE w:val="0"/>
      <w:autoSpaceDN w:val="0"/>
      <w:adjustRightInd w:val="0"/>
      <w:spacing w:before="80" w:after="80"/>
      <w:ind w:left="3160" w:hanging="460"/>
      <w:jc w:val="both"/>
      <w:textAlignment w:val="baseline"/>
    </w:pPr>
    <w:rPr>
      <w:rFonts w:ascii="Times" w:hAnsi="Times"/>
      <w:sz w:val="24"/>
      <w:lang w:val="en-US"/>
    </w:rPr>
  </w:style>
  <w:style w:type="paragraph" w:customStyle="1" w:styleId="subparainpara2">
    <w:name w:val="subpara in para /2"/>
    <w:pPr>
      <w:tabs>
        <w:tab w:val="right" w:pos="1400"/>
      </w:tabs>
      <w:overflowPunct w:val="0"/>
      <w:autoSpaceDE w:val="0"/>
      <w:autoSpaceDN w:val="0"/>
      <w:adjustRightInd w:val="0"/>
      <w:spacing w:before="80" w:after="80"/>
      <w:ind w:left="1580" w:hanging="1580"/>
      <w:jc w:val="both"/>
      <w:textAlignment w:val="baseline"/>
    </w:pPr>
    <w:rPr>
      <w:rFonts w:ascii="Times" w:hAnsi="Times"/>
      <w:sz w:val="24"/>
      <w:lang w:val="en-US"/>
    </w:rPr>
  </w:style>
  <w:style w:type="paragraph" w:customStyle="1" w:styleId="orparainpara">
    <w:name w:val=". or para in para"/>
    <w:pPr>
      <w:tabs>
        <w:tab w:val="left" w:pos="1680"/>
      </w:tabs>
      <w:overflowPunct w:val="0"/>
      <w:autoSpaceDE w:val="0"/>
      <w:autoSpaceDN w:val="0"/>
      <w:adjustRightInd w:val="0"/>
      <w:spacing w:before="80" w:after="80"/>
      <w:ind w:left="2100" w:hanging="1000"/>
      <w:jc w:val="both"/>
      <w:textAlignment w:val="baseline"/>
    </w:pPr>
    <w:rPr>
      <w:rFonts w:ascii="Times" w:hAnsi="Times"/>
      <w:sz w:val="24"/>
      <w:lang w:val="en-US"/>
    </w:rPr>
  </w:style>
  <w:style w:type="paragraph" w:customStyle="1" w:styleId="orpara">
    <w:name w:val=". or para"/>
    <w:pPr>
      <w:tabs>
        <w:tab w:val="left" w:pos="920"/>
      </w:tabs>
      <w:overflowPunct w:val="0"/>
      <w:autoSpaceDE w:val="0"/>
      <w:autoSpaceDN w:val="0"/>
      <w:adjustRightInd w:val="0"/>
      <w:spacing w:before="80" w:after="80"/>
      <w:ind w:left="1380" w:hanging="980"/>
      <w:jc w:val="both"/>
      <w:textAlignment w:val="baseline"/>
    </w:pPr>
    <w:rPr>
      <w:rFonts w:ascii="Times" w:hAnsi="Times"/>
      <w:sz w:val="24"/>
      <w:lang w:val="en-US"/>
    </w:rPr>
  </w:style>
  <w:style w:type="paragraph" w:customStyle="1" w:styleId="orsubpara">
    <w:name w:val=". or subpara"/>
    <w:pPr>
      <w:tabs>
        <w:tab w:val="right" w:pos="1200"/>
      </w:tabs>
      <w:overflowPunct w:val="0"/>
      <w:autoSpaceDE w:val="0"/>
      <w:autoSpaceDN w:val="0"/>
      <w:adjustRightInd w:val="0"/>
      <w:spacing w:before="80" w:after="80"/>
      <w:ind w:left="1380" w:hanging="980"/>
      <w:jc w:val="both"/>
      <w:textAlignment w:val="baseline"/>
    </w:pPr>
    <w:rPr>
      <w:rFonts w:ascii="Times" w:hAnsi="Times"/>
      <w:sz w:val="24"/>
      <w:lang w:val="en-US"/>
    </w:rPr>
  </w:style>
  <w:style w:type="paragraph" w:customStyle="1" w:styleId="orsubparainpara">
    <w:name w:val=". or subpara in para"/>
    <w:pPr>
      <w:tabs>
        <w:tab w:val="right" w:pos="1900"/>
      </w:tabs>
      <w:overflowPunct w:val="0"/>
      <w:autoSpaceDE w:val="0"/>
      <w:autoSpaceDN w:val="0"/>
      <w:adjustRightInd w:val="0"/>
      <w:spacing w:before="80" w:after="80"/>
      <w:ind w:left="2100" w:hanging="1000"/>
      <w:jc w:val="both"/>
      <w:textAlignment w:val="baseline"/>
    </w:pPr>
    <w:rPr>
      <w:rFonts w:ascii="Times" w:hAnsi="Times"/>
      <w:sz w:val="24"/>
      <w:lang w:val="en-US"/>
    </w:rPr>
  </w:style>
  <w:style w:type="paragraph" w:customStyle="1" w:styleId="quarterout">
    <w:name w:val="quarter out"/>
    <w:pPr>
      <w:overflowPunct w:val="0"/>
      <w:autoSpaceDE w:val="0"/>
      <w:autoSpaceDN w:val="0"/>
      <w:adjustRightInd w:val="0"/>
      <w:spacing w:before="80" w:after="80"/>
      <w:ind w:left="1600"/>
      <w:jc w:val="both"/>
      <w:textAlignment w:val="baseline"/>
    </w:pPr>
    <w:rPr>
      <w:rFonts w:ascii="Times" w:hAnsi="Times"/>
      <w:sz w:val="24"/>
      <w:lang w:val="en-US"/>
    </w:rPr>
  </w:style>
  <w:style w:type="paragraph" w:styleId="Footer">
    <w:name w:val="footer"/>
    <w:basedOn w:val="Normal"/>
    <w:link w:val="FooterChar"/>
    <w:rsid w:val="00B75F05"/>
    <w:pPr>
      <w:tabs>
        <w:tab w:val="center" w:pos="4320"/>
        <w:tab w:val="right" w:pos="8640"/>
      </w:tabs>
      <w:overflowPunct/>
      <w:adjustRightInd/>
      <w:textAlignment w:val="auto"/>
    </w:pPr>
    <w:rPr>
      <w:rFonts w:eastAsiaTheme="minorEastAsia" w:cs="Times"/>
      <w:szCs w:val="24"/>
      <w:lang w:val="en-AU"/>
    </w:rPr>
  </w:style>
  <w:style w:type="character" w:customStyle="1" w:styleId="FooterChar">
    <w:name w:val="Footer Char"/>
    <w:basedOn w:val="DefaultParagraphFont"/>
    <w:link w:val="Footer"/>
    <w:rsid w:val="00B75F05"/>
    <w:rPr>
      <w:rFonts w:ascii="Times" w:eastAsiaTheme="minorEastAsia" w:hAnsi="Times" w:cs="Times"/>
      <w:sz w:val="24"/>
      <w:szCs w:val="24"/>
    </w:rPr>
  </w:style>
  <w:style w:type="paragraph" w:customStyle="1" w:styleId="Status">
    <w:name w:val="Status"/>
    <w:basedOn w:val="Normal"/>
    <w:rsid w:val="00B75F05"/>
    <w:pPr>
      <w:tabs>
        <w:tab w:val="left" w:pos="2880"/>
      </w:tabs>
      <w:overflowPunct/>
      <w:adjustRightInd/>
      <w:spacing w:before="280" w:after="0"/>
      <w:jc w:val="center"/>
      <w:textAlignment w:val="auto"/>
    </w:pPr>
    <w:rPr>
      <w:rFonts w:ascii="Arial" w:eastAsiaTheme="minorEastAsia" w:hAnsi="Arial" w:cs="Arial"/>
      <w:sz w:val="14"/>
      <w:szCs w:val="14"/>
    </w:rPr>
  </w:style>
  <w:style w:type="paragraph" w:customStyle="1" w:styleId="00SigningPage">
    <w:name w:val="00SigningPage"/>
    <w:basedOn w:val="Normal"/>
    <w:rsid w:val="00B75F05"/>
    <w:pPr>
      <w:overflowPunct/>
      <w:autoSpaceDE/>
      <w:autoSpaceDN/>
      <w:adjustRightInd/>
      <w:spacing w:before="0" w:after="0"/>
      <w:jc w:val="left"/>
      <w:textAlignment w:val="auto"/>
    </w:pPr>
    <w:rPr>
      <w:rFonts w:ascii="Times New Roman" w:hAnsi="Times New Roman"/>
      <w:lang w:val="en-AU" w:eastAsia="en-US"/>
    </w:rPr>
  </w:style>
  <w:style w:type="paragraph" w:customStyle="1" w:styleId="citation">
    <w:name w:val="citation"/>
    <w:basedOn w:val="Normal"/>
    <w:rsid w:val="00B75F05"/>
    <w:pPr>
      <w:overflowPunct/>
      <w:autoSpaceDE/>
      <w:autoSpaceDN/>
      <w:adjustRightInd/>
      <w:spacing w:before="1220" w:after="100"/>
      <w:jc w:val="left"/>
      <w:textAlignment w:val="auto"/>
    </w:pPr>
    <w:rPr>
      <w:rFonts w:ascii="Arial" w:hAnsi="Arial"/>
      <w:b/>
      <w:sz w:val="40"/>
      <w:lang w:val="en-AU" w:eastAsia="en-US"/>
    </w:rPr>
  </w:style>
  <w:style w:type="paragraph" w:customStyle="1" w:styleId="RepubNo">
    <w:name w:val="RepubNo"/>
    <w:basedOn w:val="Normal"/>
    <w:rsid w:val="00B75F05"/>
    <w:pPr>
      <w:tabs>
        <w:tab w:val="left" w:pos="2600"/>
      </w:tabs>
      <w:overflowPunct/>
      <w:autoSpaceDE/>
      <w:autoSpaceDN/>
      <w:adjustRightInd/>
      <w:spacing w:before="600"/>
      <w:textAlignment w:val="auto"/>
    </w:pPr>
    <w:rPr>
      <w:rFonts w:ascii="Arial" w:hAnsi="Arial"/>
      <w:b/>
      <w:sz w:val="26"/>
      <w:lang w:val="en-AU" w:eastAsia="en-US"/>
    </w:rPr>
  </w:style>
  <w:style w:type="paragraph" w:customStyle="1" w:styleId="EffectiveDate">
    <w:name w:val="EffectiveDate"/>
    <w:basedOn w:val="Normal"/>
    <w:rsid w:val="00B75F05"/>
    <w:pPr>
      <w:overflowPunct/>
      <w:autoSpaceDE/>
      <w:autoSpaceDN/>
      <w:adjustRightInd/>
      <w:spacing w:before="40" w:after="200"/>
      <w:jc w:val="left"/>
      <w:textAlignment w:val="auto"/>
    </w:pPr>
    <w:rPr>
      <w:rFonts w:ascii="Arial" w:hAnsi="Arial"/>
      <w:b/>
      <w:sz w:val="26"/>
      <w:lang w:val="en-AU" w:eastAsia="en-US"/>
    </w:rPr>
  </w:style>
  <w:style w:type="paragraph" w:customStyle="1" w:styleId="CoverInForce">
    <w:name w:val="CoverInForce"/>
    <w:basedOn w:val="Normal"/>
    <w:uiPriority w:val="99"/>
    <w:rsid w:val="00B75F05"/>
    <w:pPr>
      <w:tabs>
        <w:tab w:val="left" w:pos="2600"/>
      </w:tabs>
      <w:overflowPunct/>
      <w:autoSpaceDE/>
      <w:autoSpaceDN/>
      <w:adjustRightInd/>
      <w:spacing w:before="200"/>
      <w:jc w:val="left"/>
      <w:textAlignment w:val="auto"/>
    </w:pPr>
    <w:rPr>
      <w:rFonts w:ascii="Arial" w:hAnsi="Arial"/>
      <w:lang w:val="en-AU" w:eastAsia="en-US"/>
    </w:rPr>
  </w:style>
  <w:style w:type="paragraph" w:customStyle="1" w:styleId="CoverHeading">
    <w:name w:val="CoverHeading"/>
    <w:basedOn w:val="Normal"/>
    <w:rsid w:val="00B75F05"/>
    <w:pPr>
      <w:overflowPunct/>
      <w:autoSpaceDE/>
      <w:autoSpaceDN/>
      <w:adjustRightInd/>
      <w:spacing w:before="0"/>
      <w:jc w:val="left"/>
      <w:textAlignment w:val="auto"/>
    </w:pPr>
    <w:rPr>
      <w:rFonts w:ascii="Arial" w:hAnsi="Arial"/>
      <w:b/>
      <w:lang w:val="en-AU" w:eastAsia="en-US"/>
    </w:rPr>
  </w:style>
  <w:style w:type="paragraph" w:customStyle="1" w:styleId="CoverSubHdg">
    <w:name w:val="CoverSubHdg"/>
    <w:basedOn w:val="CoverHeading"/>
    <w:rsid w:val="00B75F05"/>
    <w:pPr>
      <w:spacing w:before="60"/>
    </w:pPr>
    <w:rPr>
      <w:sz w:val="20"/>
    </w:rPr>
  </w:style>
  <w:style w:type="paragraph" w:customStyle="1" w:styleId="CoverText">
    <w:name w:val="CoverText"/>
    <w:basedOn w:val="Normal"/>
    <w:rsid w:val="00B75F05"/>
    <w:pPr>
      <w:overflowPunct/>
      <w:autoSpaceDE/>
      <w:autoSpaceDN/>
      <w:adjustRightInd/>
      <w:spacing w:before="40" w:after="40"/>
      <w:textAlignment w:val="auto"/>
    </w:pPr>
    <w:rPr>
      <w:rFonts w:ascii="Times New Roman" w:hAnsi="Times New Roman"/>
      <w:sz w:val="20"/>
      <w:lang w:val="en-AU" w:eastAsia="en-US"/>
    </w:rPr>
  </w:style>
  <w:style w:type="paragraph" w:customStyle="1" w:styleId="ActNo">
    <w:name w:val="ActNo"/>
    <w:basedOn w:val="Normal"/>
    <w:rsid w:val="00B75F05"/>
    <w:pPr>
      <w:overflowPunct/>
      <w:autoSpaceDE/>
      <w:autoSpaceDN/>
      <w:adjustRightInd/>
      <w:spacing w:before="120"/>
      <w:jc w:val="left"/>
      <w:textAlignment w:val="auto"/>
    </w:pPr>
    <w:rPr>
      <w:rFonts w:ascii="Arial" w:hAnsi="Arial" w:cs="Arial"/>
      <w:b/>
      <w:bCs/>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2126</Words>
  <Characters>10323</Characters>
  <Application>Microsoft Office Word</Application>
  <DocSecurity>0</DocSecurity>
  <Lines>264</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ACTGS Office Suite</dc:creator>
  <cp:keywords/>
  <dc:description/>
  <cp:lastModifiedBy>PCODCS</cp:lastModifiedBy>
  <cp:revision>4</cp:revision>
  <dcterms:created xsi:type="dcterms:W3CDTF">2024-11-01T00:03:00Z</dcterms:created>
  <dcterms:modified xsi:type="dcterms:W3CDTF">2024-11-01T00:03:00Z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2024-08-26T23:19:32Z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7d4897f9-01b6-45df-a84d-9a854b31b30f</vt:lpwstr>
  </property>
  <property fmtid="{D5CDD505-2E9C-101B-9397-08002B2CF9AE}" pid="8" name="MSIP_Label_69af8531-eb46-4968-8cb3-105d2f5ea87e_ContentBits">
    <vt:lpwstr>0</vt:lpwstr>
  </property>
</Properties>
</file>