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2988C" w14:textId="3990AF1F" w:rsidR="00FD0CBC" w:rsidRDefault="00FE3E28" w:rsidP="00FD0CBC">
      <w:pPr>
        <w:jc w:val="center"/>
      </w:pPr>
      <w:r w:rsidRPr="008D44EF">
        <w:rPr>
          <w:noProof/>
        </w:rPr>
        <w:drawing>
          <wp:inline distT="0" distB="0" distL="0" distR="0" wp14:anchorId="57FB82CB" wp14:editId="513356AB">
            <wp:extent cx="1338580" cy="1177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1E832F78" w14:textId="77777777" w:rsidR="00FD0CBC" w:rsidRDefault="00FD0CBC" w:rsidP="00FD0CBC">
      <w:pPr>
        <w:jc w:val="center"/>
        <w:rPr>
          <w:rFonts w:ascii="Arial" w:hAnsi="Arial"/>
        </w:rPr>
      </w:pPr>
      <w:r>
        <w:rPr>
          <w:rFonts w:ascii="Arial" w:hAnsi="Arial"/>
        </w:rPr>
        <w:t>Australian Capital Territory</w:t>
      </w:r>
    </w:p>
    <w:p w14:paraId="29C0C4B2" w14:textId="77777777" w:rsidR="00FD0CBC" w:rsidRPr="00423F1E" w:rsidRDefault="00FD0CBC" w:rsidP="00FD0CBC">
      <w:pPr>
        <w:pStyle w:val="citation"/>
      </w:pPr>
      <w:r w:rsidRPr="00423F1E">
        <w:t xml:space="preserve">Construction Practitioners Registration Act 1998 </w:t>
      </w:r>
    </w:p>
    <w:p w14:paraId="634699AF" w14:textId="77777777" w:rsidR="00FD0CBC" w:rsidRDefault="00FD0CBC" w:rsidP="00FD0CBC">
      <w:pPr>
        <w:pStyle w:val="ActNo"/>
      </w:pPr>
      <w:r>
        <w:t>A1998-53</w:t>
      </w:r>
    </w:p>
    <w:p w14:paraId="2682B12F" w14:textId="77777777" w:rsidR="00FD0CBC" w:rsidRDefault="00FD0CBC" w:rsidP="00FD0CBC">
      <w:pPr>
        <w:pStyle w:val="RepubNo"/>
      </w:pPr>
      <w:r>
        <w:t>Republication No 0A</w:t>
      </w:r>
    </w:p>
    <w:p w14:paraId="7ED40D0C" w14:textId="77777777" w:rsidR="00FD0CBC" w:rsidRDefault="00FD0CBC" w:rsidP="00FD0CBC">
      <w:pPr>
        <w:pStyle w:val="EffectiveDate"/>
      </w:pPr>
      <w:r>
        <w:t>Effective:  15 February 2001 – 11 September 2001</w:t>
      </w:r>
    </w:p>
    <w:p w14:paraId="28056F4F" w14:textId="024EF1A5" w:rsidR="00FD0CBC" w:rsidRDefault="00FD0CBC" w:rsidP="00FD0CBC">
      <w:pPr>
        <w:pStyle w:val="CoverInForce"/>
      </w:pPr>
      <w:r>
        <w:t xml:space="preserve">Republication date:  </w:t>
      </w:r>
      <w:r w:rsidR="00423F1E">
        <w:t xml:space="preserve">22 September </w:t>
      </w:r>
      <w:r>
        <w:t>2026</w:t>
      </w:r>
      <w:r>
        <w:br/>
      </w:r>
    </w:p>
    <w:p w14:paraId="738BFD8B" w14:textId="77777777" w:rsidR="00FD0CBC" w:rsidRDefault="00FD0CBC" w:rsidP="00FD0CBC">
      <w:pPr>
        <w:pStyle w:val="CoverInForce"/>
      </w:pPr>
      <w:r>
        <w:t>Last amendment made by A2000-83</w:t>
      </w:r>
    </w:p>
    <w:p w14:paraId="5C8AA126" w14:textId="77777777" w:rsidR="00FD0CBC" w:rsidRDefault="00FD0CBC" w:rsidP="00FD0CBC"/>
    <w:p w14:paraId="4D551F1F" w14:textId="77777777" w:rsidR="00FD0CBC" w:rsidRDefault="00FD0CBC" w:rsidP="00FD0CBC">
      <w:pPr>
        <w:pStyle w:val="CoverHeading"/>
      </w:pPr>
      <w:r>
        <w:br w:type="page"/>
      </w:r>
      <w:r>
        <w:lastRenderedPageBreak/>
        <w:t>About this republication</w:t>
      </w:r>
    </w:p>
    <w:p w14:paraId="5597CCD1" w14:textId="77777777" w:rsidR="00FD0CBC" w:rsidRDefault="00FD0CBC" w:rsidP="00FD0CBC">
      <w:pPr>
        <w:pStyle w:val="CoverSubHdg"/>
      </w:pPr>
      <w:r>
        <w:t>The republished law</w:t>
      </w:r>
    </w:p>
    <w:p w14:paraId="3B993EA0" w14:textId="77777777" w:rsidR="00FD0CBC" w:rsidRDefault="00FD0CBC" w:rsidP="00FD0CBC">
      <w:pPr>
        <w:pStyle w:val="CoverText"/>
      </w:pPr>
      <w:r>
        <w:t xml:space="preserve">This is a republication of the </w:t>
      </w:r>
      <w:r w:rsidRPr="00FD0CBC">
        <w:rPr>
          <w:i/>
          <w:iCs/>
        </w:rPr>
        <w:t>Construction Practitioners Registration Act 1998</w:t>
      </w:r>
      <w:r w:rsidRPr="00190B1B">
        <w:rPr>
          <w:i/>
        </w:rPr>
        <w:t xml:space="preserve"> </w:t>
      </w:r>
      <w:r>
        <w:t>effective from 15 February 2001 to 11 September 2001.</w:t>
      </w:r>
    </w:p>
    <w:p w14:paraId="01044BA8" w14:textId="77777777" w:rsidR="00FD0CBC" w:rsidRDefault="00FD0CBC" w:rsidP="00FD0CBC">
      <w:pPr>
        <w:pStyle w:val="CoverSubHdg"/>
      </w:pPr>
      <w:r>
        <w:t>Kinds of republications</w:t>
      </w:r>
    </w:p>
    <w:p w14:paraId="1CD7231B" w14:textId="77777777" w:rsidR="00FD0CBC" w:rsidRDefault="00FD0CBC" w:rsidP="00FD0CBC">
      <w:pPr>
        <w:pStyle w:val="CoverText"/>
      </w:pPr>
      <w:r>
        <w:t>The Parliamentary Counsel’s Office prepares 2 kinds of republications of ACT laws (see the ACT legislation register at www.legislation.act.gov.au):</w:t>
      </w:r>
    </w:p>
    <w:p w14:paraId="046A89B2" w14:textId="77777777" w:rsidR="00FD0CBC" w:rsidRDefault="00FD0CBC" w:rsidP="00FD0CBC">
      <w:pPr>
        <w:pStyle w:val="CoverText"/>
        <w:numPr>
          <w:ilvl w:val="0"/>
          <w:numId w:val="13"/>
        </w:numPr>
      </w:pPr>
      <w:r>
        <w:t xml:space="preserve">authorised republications to which the </w:t>
      </w:r>
      <w:r>
        <w:rPr>
          <w:i/>
        </w:rPr>
        <w:t>Legislation Act 2001</w:t>
      </w:r>
      <w:r>
        <w:t xml:space="preserve"> applies</w:t>
      </w:r>
    </w:p>
    <w:p w14:paraId="06312A34" w14:textId="77777777" w:rsidR="00FD0CBC" w:rsidRDefault="00FD0CBC" w:rsidP="00FD0CBC">
      <w:pPr>
        <w:pStyle w:val="CoverText"/>
        <w:numPr>
          <w:ilvl w:val="0"/>
          <w:numId w:val="13"/>
        </w:numPr>
      </w:pPr>
      <w:r>
        <w:t>unauthorised republications.</w:t>
      </w:r>
    </w:p>
    <w:p w14:paraId="272CAF06" w14:textId="77777777" w:rsidR="00FD0CBC" w:rsidRDefault="00FD0CBC" w:rsidP="00FD0CBC">
      <w:pPr>
        <w:pStyle w:val="CoverText"/>
      </w:pPr>
      <w:r>
        <w:t>The status of this republication appears on the bottom of each page.</w:t>
      </w:r>
    </w:p>
    <w:p w14:paraId="784335C2" w14:textId="77777777" w:rsidR="00FD0CBC" w:rsidRDefault="00FD0CBC" w:rsidP="00FD0CBC">
      <w:pPr>
        <w:pStyle w:val="CoverSubHdg"/>
      </w:pPr>
      <w:r>
        <w:t>Editorial changes</w:t>
      </w:r>
    </w:p>
    <w:p w14:paraId="45723AFD" w14:textId="77777777" w:rsidR="00FD0CBC" w:rsidRDefault="00FD0CBC" w:rsidP="00FD0CBC">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4A4DE688" w14:textId="77777777" w:rsidR="00FD0CBC" w:rsidRDefault="00FD0CBC" w:rsidP="00FD0CBC">
      <w:pPr>
        <w:pStyle w:val="00SigningPage"/>
        <w:sectPr w:rsidR="00FD0CBC" w:rsidSect="00FD0CBC">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2991DB74" w14:textId="495C6021" w:rsidR="00FD0CBC" w:rsidRDefault="00FE3E28" w:rsidP="00FD0CBC">
      <w:pPr>
        <w:jc w:val="center"/>
      </w:pPr>
      <w:r w:rsidRPr="008D44EF">
        <w:rPr>
          <w:noProof/>
        </w:rPr>
        <w:lastRenderedPageBreak/>
        <w:drawing>
          <wp:inline distT="0" distB="0" distL="0" distR="0" wp14:anchorId="66D59CE1" wp14:editId="04C309D2">
            <wp:extent cx="1338580" cy="1177925"/>
            <wp:effectExtent l="0" t="0" r="0" b="0"/>
            <wp:docPr id="2" name="Picture 126465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6532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5B9CC822" w14:textId="77777777" w:rsidR="00FD0CBC" w:rsidRDefault="00FD0CBC" w:rsidP="00FD0CBC">
      <w:pPr>
        <w:jc w:val="center"/>
        <w:rPr>
          <w:rFonts w:ascii="Arial" w:hAnsi="Arial"/>
        </w:rPr>
      </w:pPr>
      <w:r>
        <w:rPr>
          <w:rFonts w:ascii="Arial" w:hAnsi="Arial"/>
        </w:rPr>
        <w:t>Australian Capital Territory</w:t>
      </w:r>
    </w:p>
    <w:p w14:paraId="28B695C6" w14:textId="77777777" w:rsidR="009D6C96" w:rsidRDefault="009D6C96">
      <w:pPr>
        <w:spacing w:after="300"/>
        <w:jc w:val="center"/>
        <w:rPr>
          <w:rFonts w:ascii="Helvetica" w:hAnsi="Helvetica"/>
          <w:b/>
          <w:caps/>
          <w:sz w:val="28"/>
        </w:rPr>
      </w:pPr>
      <w:r>
        <w:rPr>
          <w:rFonts w:ascii="Helvetica" w:hAnsi="Helvetica"/>
          <w:b/>
          <w:caps/>
          <w:sz w:val="28"/>
        </w:rPr>
        <w:t>construction practitioners registration act 1998</w:t>
      </w:r>
    </w:p>
    <w:p w14:paraId="7F9C8319" w14:textId="77777777" w:rsidR="009D6C96" w:rsidRDefault="009D6C96">
      <w:pPr>
        <w:spacing w:after="100"/>
        <w:ind w:right="23"/>
        <w:jc w:val="center"/>
        <w:rPr>
          <w:color w:val="000000"/>
          <w:sz w:val="20"/>
        </w:rPr>
      </w:pPr>
      <w:r>
        <w:rPr>
          <w:color w:val="000000"/>
          <w:sz w:val="20"/>
        </w:rPr>
        <w:t>This consolidation has been prepared by the ACT Parliamentary Counsel’s Office</w:t>
      </w:r>
    </w:p>
    <w:p w14:paraId="325E62CC" w14:textId="77777777" w:rsidR="009D6C96" w:rsidRDefault="009D6C96">
      <w:pPr>
        <w:spacing w:before="160" w:after="200"/>
        <w:jc w:val="center"/>
        <w:rPr>
          <w:caps/>
          <w:sz w:val="20"/>
        </w:rPr>
      </w:pPr>
      <w:r>
        <w:rPr>
          <w:sz w:val="20"/>
        </w:rPr>
        <w:t>As at 15 February 2001</w:t>
      </w:r>
    </w:p>
    <w:p w14:paraId="6A010ABE" w14:textId="77777777" w:rsidR="009D6C96" w:rsidRDefault="009D6C96">
      <w:pPr>
        <w:jc w:val="center"/>
        <w:rPr>
          <w:b/>
          <w:sz w:val="20"/>
        </w:rPr>
      </w:pPr>
      <w:r>
        <w:rPr>
          <w:b/>
          <w:sz w:val="20"/>
        </w:rPr>
        <w:t>TABLE OF PROVISIONS</w:t>
      </w:r>
    </w:p>
    <w:p w14:paraId="450604AC" w14:textId="77777777" w:rsidR="009D6C96" w:rsidRDefault="009D6C96">
      <w:pPr>
        <w:spacing w:before="200"/>
        <w:rPr>
          <w:sz w:val="18"/>
        </w:rPr>
      </w:pPr>
      <w:r>
        <w:rPr>
          <w:sz w:val="18"/>
        </w:rPr>
        <w:t>Section</w:t>
      </w:r>
    </w:p>
    <w:p w14:paraId="12EE18AC" w14:textId="77777777" w:rsidR="009D6C96" w:rsidRDefault="009D6C96">
      <w:pPr>
        <w:pStyle w:val="TOC1"/>
      </w:pPr>
      <w:r>
        <w:t>PART I—PRELIMINARY</w:t>
      </w:r>
    </w:p>
    <w:p w14:paraId="53353E53" w14:textId="77777777" w:rsidR="009D6C96" w:rsidRDefault="009D6C96">
      <w:pPr>
        <w:pStyle w:val="TOC3"/>
      </w:pPr>
      <w:r>
        <w:tab/>
        <w:t>1.</w:t>
      </w:r>
      <w:r>
        <w:tab/>
        <w:t>Short title</w:t>
      </w:r>
    </w:p>
    <w:p w14:paraId="3CA4C6B3" w14:textId="77777777" w:rsidR="009D6C96" w:rsidRDefault="009D6C96">
      <w:pPr>
        <w:pStyle w:val="TOC3"/>
      </w:pPr>
      <w:r>
        <w:tab/>
        <w:t>2.</w:t>
      </w:r>
      <w:r>
        <w:tab/>
        <w:t>Commencement</w:t>
      </w:r>
    </w:p>
    <w:p w14:paraId="1867A4FC" w14:textId="77777777" w:rsidR="009D6C96" w:rsidRDefault="009D6C96">
      <w:pPr>
        <w:pStyle w:val="TOC3"/>
      </w:pPr>
      <w:r>
        <w:tab/>
        <w:t>3</w:t>
      </w:r>
      <w:r>
        <w:tab/>
        <w:t>Definitions for Act</w:t>
      </w:r>
    </w:p>
    <w:p w14:paraId="5B3116DC" w14:textId="77777777" w:rsidR="009D6C96" w:rsidRDefault="009D6C96">
      <w:pPr>
        <w:pStyle w:val="TOC3"/>
      </w:pPr>
      <w:r>
        <w:tab/>
        <w:t>3A</w:t>
      </w:r>
      <w:r>
        <w:tab/>
        <w:t>When a person is covered by insurance</w:t>
      </w:r>
    </w:p>
    <w:p w14:paraId="0546E26C" w14:textId="77777777" w:rsidR="009D6C96" w:rsidRDefault="009D6C96">
      <w:pPr>
        <w:pStyle w:val="TOC1"/>
      </w:pPr>
      <w:r>
        <w:t>PART II—ADMINISTRATION</w:t>
      </w:r>
    </w:p>
    <w:p w14:paraId="0B68FD50" w14:textId="77777777" w:rsidR="009D6C96" w:rsidRDefault="009D6C96">
      <w:pPr>
        <w:pStyle w:val="TOC2"/>
      </w:pPr>
      <w:r>
        <w:t>Division 1—Registration</w:t>
      </w:r>
    </w:p>
    <w:p w14:paraId="55CAA2C1" w14:textId="77777777" w:rsidR="009D6C96" w:rsidRDefault="009D6C96">
      <w:pPr>
        <w:pStyle w:val="TOC3"/>
      </w:pPr>
      <w:r>
        <w:tab/>
        <w:t>4.</w:t>
      </w:r>
      <w:r>
        <w:tab/>
        <w:t>Categories of registration</w:t>
      </w:r>
    </w:p>
    <w:p w14:paraId="59D2A4E5" w14:textId="77777777" w:rsidR="009D6C96" w:rsidRDefault="009D6C96">
      <w:pPr>
        <w:pStyle w:val="TOC3"/>
      </w:pPr>
      <w:r>
        <w:tab/>
        <w:t>5.</w:t>
      </w:r>
      <w:r>
        <w:tab/>
        <w:t>Application</w:t>
      </w:r>
    </w:p>
    <w:p w14:paraId="010CDCC8" w14:textId="77777777" w:rsidR="009D6C96" w:rsidRDefault="009D6C96">
      <w:pPr>
        <w:pStyle w:val="TOC3"/>
      </w:pPr>
      <w:r>
        <w:tab/>
        <w:t>6.</w:t>
      </w:r>
      <w:r>
        <w:tab/>
        <w:t>Qualifications</w:t>
      </w:r>
    </w:p>
    <w:p w14:paraId="657E943C" w14:textId="77777777" w:rsidR="009D6C96" w:rsidRDefault="009D6C96">
      <w:pPr>
        <w:pStyle w:val="TOC3"/>
      </w:pPr>
      <w:r>
        <w:tab/>
        <w:t>7.</w:t>
      </w:r>
      <w:r>
        <w:tab/>
        <w:t>Determination of applications</w:t>
      </w:r>
    </w:p>
    <w:p w14:paraId="4409A8C0" w14:textId="77777777" w:rsidR="009D6C96" w:rsidRDefault="009D6C96">
      <w:pPr>
        <w:pStyle w:val="TOC3"/>
      </w:pPr>
      <w:r>
        <w:tab/>
        <w:t>8.</w:t>
      </w:r>
      <w:r>
        <w:tab/>
        <w:t>Entitlement to act as certifier</w:t>
      </w:r>
    </w:p>
    <w:p w14:paraId="419BA2B8" w14:textId="77777777" w:rsidR="009D6C96" w:rsidRDefault="009D6C96">
      <w:pPr>
        <w:pStyle w:val="TOC3"/>
      </w:pPr>
      <w:r>
        <w:tab/>
        <w:t>9.</w:t>
      </w:r>
      <w:r>
        <w:tab/>
        <w:t>Term of registration</w:t>
      </w:r>
    </w:p>
    <w:p w14:paraId="0ABE45F0" w14:textId="77777777" w:rsidR="009D6C96" w:rsidRDefault="009D6C96">
      <w:pPr>
        <w:pStyle w:val="TOC3"/>
      </w:pPr>
      <w:r>
        <w:tab/>
        <w:t>10.</w:t>
      </w:r>
      <w:r>
        <w:tab/>
        <w:t>Annual fee and statement</w:t>
      </w:r>
    </w:p>
    <w:p w14:paraId="408DBA8A" w14:textId="77777777" w:rsidR="009D6C96" w:rsidRDefault="009D6C96">
      <w:pPr>
        <w:pStyle w:val="TOC3"/>
      </w:pPr>
      <w:r>
        <w:tab/>
        <w:t>11.</w:t>
      </w:r>
      <w:r>
        <w:tab/>
        <w:t>Register</w:t>
      </w:r>
    </w:p>
    <w:p w14:paraId="183A1C5F" w14:textId="77777777" w:rsidR="009D6C96" w:rsidRDefault="009D6C96">
      <w:pPr>
        <w:pStyle w:val="TOC2"/>
      </w:pPr>
      <w:r>
        <w:t>Division 2—Code of ethics</w:t>
      </w:r>
    </w:p>
    <w:p w14:paraId="085F32FF" w14:textId="77777777" w:rsidR="009D6C96" w:rsidRDefault="009D6C96">
      <w:pPr>
        <w:pStyle w:val="TOC3"/>
      </w:pPr>
      <w:r>
        <w:tab/>
        <w:t>12.</w:t>
      </w:r>
      <w:r>
        <w:tab/>
        <w:t>Code of ethics</w:t>
      </w:r>
    </w:p>
    <w:p w14:paraId="473402E1" w14:textId="77777777" w:rsidR="009D6C96" w:rsidRDefault="009D6C96">
      <w:pPr>
        <w:pStyle w:val="TOC3"/>
      </w:pPr>
      <w:r>
        <w:tab/>
        <w:t>13.</w:t>
      </w:r>
      <w:r>
        <w:tab/>
        <w:t>Evidence of Code</w:t>
      </w:r>
    </w:p>
    <w:p w14:paraId="315F4BF4" w14:textId="77777777" w:rsidR="009D6C96" w:rsidRDefault="009D6C96">
      <w:pPr>
        <w:pStyle w:val="TOC2"/>
      </w:pPr>
      <w:r>
        <w:t>Division 3—Enforcement</w:t>
      </w:r>
    </w:p>
    <w:p w14:paraId="2FF19DCB" w14:textId="77777777" w:rsidR="009D6C96" w:rsidRDefault="009D6C96">
      <w:pPr>
        <w:pStyle w:val="TOC3"/>
      </w:pPr>
      <w:r>
        <w:tab/>
        <w:t>14.</w:t>
      </w:r>
      <w:r>
        <w:tab/>
        <w:t>Interpretation</w:t>
      </w:r>
    </w:p>
    <w:p w14:paraId="633F3987" w14:textId="77777777" w:rsidR="009D6C96" w:rsidRDefault="009D6C96">
      <w:pPr>
        <w:pStyle w:val="TOC3"/>
      </w:pPr>
      <w:r>
        <w:tab/>
        <w:t>15.</w:t>
      </w:r>
      <w:r>
        <w:tab/>
        <w:t>Compliance auditors</w:t>
      </w:r>
    </w:p>
    <w:p w14:paraId="0B8EE682" w14:textId="77777777" w:rsidR="009D6C96" w:rsidRDefault="009D6C96">
      <w:pPr>
        <w:pStyle w:val="TOC3"/>
      </w:pPr>
      <w:r>
        <w:lastRenderedPageBreak/>
        <w:tab/>
        <w:t>16.</w:t>
      </w:r>
      <w:r>
        <w:tab/>
        <w:t>Identity cards</w:t>
      </w:r>
    </w:p>
    <w:p w14:paraId="042DC360" w14:textId="77777777" w:rsidR="009D6C96" w:rsidRDefault="009D6C96">
      <w:pPr>
        <w:pStyle w:val="TOC3"/>
      </w:pPr>
      <w:r>
        <w:tab/>
        <w:t>17.</w:t>
      </w:r>
      <w:r>
        <w:tab/>
        <w:t>Powers of compliance auditors</w:t>
      </w:r>
    </w:p>
    <w:p w14:paraId="6AACEB8D" w14:textId="77777777" w:rsidR="009D6C96" w:rsidRDefault="009D6C96">
      <w:pPr>
        <w:pStyle w:val="TOC3"/>
      </w:pPr>
      <w:r>
        <w:tab/>
        <w:t>18.</w:t>
      </w:r>
      <w:r>
        <w:tab/>
        <w:t>Obstruction of compliance auditors</w:t>
      </w:r>
    </w:p>
    <w:p w14:paraId="06D56A7A" w14:textId="77777777" w:rsidR="009D6C96" w:rsidRDefault="009D6C96">
      <w:pPr>
        <w:pStyle w:val="TOC1"/>
      </w:pPr>
      <w:r>
        <w:t>PART III—DISCIPLINARY PROVISIONS</w:t>
      </w:r>
    </w:p>
    <w:p w14:paraId="44626D29" w14:textId="77777777" w:rsidR="009D6C96" w:rsidRDefault="009D6C96">
      <w:pPr>
        <w:pStyle w:val="TOC3"/>
      </w:pPr>
      <w:r>
        <w:tab/>
        <w:t>19.</w:t>
      </w:r>
      <w:r>
        <w:tab/>
        <w:t>Interpretation</w:t>
      </w:r>
    </w:p>
    <w:p w14:paraId="0F02A97F" w14:textId="77777777" w:rsidR="009D6C96" w:rsidRDefault="009D6C96">
      <w:pPr>
        <w:pStyle w:val="TOC3"/>
      </w:pPr>
      <w:r>
        <w:tab/>
        <w:t>20.</w:t>
      </w:r>
      <w:r>
        <w:tab/>
        <w:t>Notice of intended disciplinary action</w:t>
      </w:r>
    </w:p>
    <w:p w14:paraId="742D1A51" w14:textId="77777777" w:rsidR="009D6C96" w:rsidRDefault="009D6C96">
      <w:pPr>
        <w:pStyle w:val="TOC3"/>
      </w:pPr>
      <w:r>
        <w:tab/>
        <w:t>21.</w:t>
      </w:r>
      <w:r>
        <w:tab/>
        <w:t>Preliminary suspension of registration</w:t>
      </w:r>
    </w:p>
    <w:p w14:paraId="01578393" w14:textId="77777777" w:rsidR="009D6C96" w:rsidRDefault="009D6C96">
      <w:pPr>
        <w:pStyle w:val="TOC3"/>
      </w:pPr>
      <w:r>
        <w:tab/>
        <w:t>22.</w:t>
      </w:r>
      <w:r>
        <w:tab/>
        <w:t>Procedure</w:t>
      </w:r>
    </w:p>
    <w:p w14:paraId="155F527B" w14:textId="77777777" w:rsidR="009D6C96" w:rsidRDefault="009D6C96">
      <w:pPr>
        <w:pStyle w:val="TOC3"/>
      </w:pPr>
      <w:r>
        <w:tab/>
        <w:t>23.</w:t>
      </w:r>
      <w:r>
        <w:tab/>
        <w:t>Notification of decision</w:t>
      </w:r>
    </w:p>
    <w:p w14:paraId="04EBF561" w14:textId="77777777" w:rsidR="009D6C96" w:rsidRDefault="009D6C96">
      <w:pPr>
        <w:pStyle w:val="TOC3"/>
      </w:pPr>
      <w:r>
        <w:tab/>
        <w:t>24.</w:t>
      </w:r>
      <w:r>
        <w:tab/>
        <w:t>Removal of condition</w:t>
      </w:r>
    </w:p>
    <w:p w14:paraId="6B314E29" w14:textId="77777777" w:rsidR="009D6C96" w:rsidRDefault="009D6C96">
      <w:pPr>
        <w:pStyle w:val="TOC1"/>
      </w:pPr>
      <w:r>
        <w:t>PART IV—LIMITATION OF LIABILITY</w:t>
      </w:r>
    </w:p>
    <w:p w14:paraId="5D905AC4" w14:textId="77777777" w:rsidR="009D6C96" w:rsidRDefault="009D6C96">
      <w:pPr>
        <w:pStyle w:val="TOC3"/>
      </w:pPr>
      <w:r>
        <w:tab/>
        <w:t>25.</w:t>
      </w:r>
      <w:r>
        <w:tab/>
        <w:t>Interpretation</w:t>
      </w:r>
    </w:p>
    <w:p w14:paraId="05F6E799" w14:textId="77777777" w:rsidR="009D6C96" w:rsidRDefault="009D6C96">
      <w:pPr>
        <w:pStyle w:val="TOC3"/>
      </w:pPr>
      <w:r>
        <w:tab/>
        <w:t>26.</w:t>
      </w:r>
      <w:r>
        <w:tab/>
        <w:t>Limit of liability of persons jointly or severally liable</w:t>
      </w:r>
    </w:p>
    <w:p w14:paraId="6C1F9C9D" w14:textId="77777777" w:rsidR="009D6C96" w:rsidRDefault="009D6C96">
      <w:pPr>
        <w:pStyle w:val="TOC3"/>
      </w:pPr>
      <w:r>
        <w:tab/>
        <w:t>27.</w:t>
      </w:r>
      <w:r>
        <w:tab/>
        <w:t>Limitation of liability for building actions</w:t>
      </w:r>
    </w:p>
    <w:p w14:paraId="13C8308B" w14:textId="77777777" w:rsidR="009D6C96" w:rsidRDefault="009D6C96">
      <w:pPr>
        <w:pStyle w:val="TOC1"/>
      </w:pPr>
      <w:r>
        <w:t>PART V—MISCELLANEOUS</w:t>
      </w:r>
    </w:p>
    <w:p w14:paraId="01FB0191" w14:textId="77777777" w:rsidR="009D6C96" w:rsidRDefault="009D6C96">
      <w:pPr>
        <w:pStyle w:val="TOC3"/>
      </w:pPr>
      <w:r>
        <w:tab/>
        <w:t>28.</w:t>
      </w:r>
      <w:r>
        <w:tab/>
        <w:t>Review of decisions</w:t>
      </w:r>
    </w:p>
    <w:p w14:paraId="1577CC94" w14:textId="77777777" w:rsidR="009D6C96" w:rsidRDefault="009D6C96">
      <w:pPr>
        <w:pStyle w:val="TOC3"/>
      </w:pPr>
      <w:r>
        <w:tab/>
        <w:t>29.</w:t>
      </w:r>
      <w:r>
        <w:tab/>
        <w:t>Cancellation of insurance</w:t>
      </w:r>
    </w:p>
    <w:p w14:paraId="2FF00663" w14:textId="77777777" w:rsidR="009D6C96" w:rsidRDefault="009D6C96">
      <w:pPr>
        <w:pStyle w:val="TOC3"/>
      </w:pPr>
      <w:r>
        <w:tab/>
        <w:t>30.</w:t>
      </w:r>
      <w:r>
        <w:tab/>
        <w:t>Power of Minister to determine fees</w:t>
      </w:r>
    </w:p>
    <w:p w14:paraId="2631CC6C" w14:textId="77777777" w:rsidR="009D6C96" w:rsidRDefault="009D6C96">
      <w:pPr>
        <w:pStyle w:val="TOC3"/>
      </w:pPr>
      <w:r>
        <w:tab/>
        <w:t>31.</w:t>
      </w:r>
      <w:r>
        <w:tab/>
        <w:t>Regulations</w:t>
      </w:r>
    </w:p>
    <w:p w14:paraId="5F7C1783" w14:textId="77777777" w:rsidR="009D6C96" w:rsidRDefault="009D6C96">
      <w:pPr>
        <w:pStyle w:val="TOC3"/>
      </w:pPr>
      <w:r>
        <w:tab/>
        <w:t>32.</w:t>
      </w:r>
      <w:r>
        <w:tab/>
        <w:t>Amendment of the Law Reform (Miscellaneous Provisions) Act</w:t>
      </w:r>
    </w:p>
    <w:p w14:paraId="369ED2FC" w14:textId="77777777" w:rsidR="009D6C96" w:rsidRDefault="009D6C96">
      <w:pPr>
        <w:ind w:right="20"/>
        <w:sectPr w:rsidR="009D6C96">
          <w:headerReference w:type="even" r:id="rId14"/>
          <w:headerReference w:type="default" r:id="rId15"/>
          <w:footerReference w:type="default" r:id="rId16"/>
          <w:pgSz w:w="11907" w:h="16839"/>
          <w:pgMar w:top="3000" w:right="2300" w:bottom="2500" w:left="2300" w:header="2480" w:footer="2100" w:gutter="0"/>
          <w:pgNumType w:fmt="lowerRoman"/>
          <w:cols w:space="720"/>
          <w:titlePg/>
        </w:sectPr>
      </w:pPr>
    </w:p>
    <w:p w14:paraId="0610D196" w14:textId="632D915F" w:rsidR="00FD0CBC" w:rsidRDefault="00FE3E28" w:rsidP="00FD0CBC">
      <w:pPr>
        <w:jc w:val="center"/>
      </w:pPr>
      <w:r w:rsidRPr="008D44EF">
        <w:rPr>
          <w:noProof/>
        </w:rPr>
        <w:lastRenderedPageBreak/>
        <w:drawing>
          <wp:inline distT="0" distB="0" distL="0" distR="0" wp14:anchorId="2BF05C99" wp14:editId="1DB92783">
            <wp:extent cx="1338580" cy="1177925"/>
            <wp:effectExtent l="0" t="0" r="0" b="0"/>
            <wp:docPr id="3" name="Picture 126465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6532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4E451845" w14:textId="77777777" w:rsidR="00FD0CBC" w:rsidRDefault="00FD0CBC" w:rsidP="00FD0CBC">
      <w:pPr>
        <w:jc w:val="center"/>
        <w:rPr>
          <w:rFonts w:ascii="Arial" w:hAnsi="Arial"/>
        </w:rPr>
      </w:pPr>
      <w:r>
        <w:rPr>
          <w:rFonts w:ascii="Arial" w:hAnsi="Arial"/>
        </w:rPr>
        <w:t>Australian Capital Territory</w:t>
      </w:r>
    </w:p>
    <w:p w14:paraId="4BC0F26C" w14:textId="77777777" w:rsidR="009D6C96" w:rsidRDefault="009D6C96">
      <w:pPr>
        <w:spacing w:after="300"/>
        <w:jc w:val="center"/>
        <w:rPr>
          <w:rFonts w:ascii="Helvetica" w:hAnsi="Helvetica"/>
          <w:b/>
          <w:caps/>
          <w:sz w:val="28"/>
        </w:rPr>
      </w:pPr>
      <w:r>
        <w:rPr>
          <w:rFonts w:ascii="Helvetica" w:hAnsi="Helvetica"/>
          <w:b/>
          <w:caps/>
          <w:sz w:val="28"/>
        </w:rPr>
        <w:t>construction practitioners registration act 1998</w:t>
      </w:r>
    </w:p>
    <w:p w14:paraId="4420ED87" w14:textId="77777777" w:rsidR="009D6C96" w:rsidRDefault="009D6C96">
      <w:pPr>
        <w:suppressLineNumbers/>
        <w:jc w:val="center"/>
        <w:rPr>
          <w:b/>
          <w:sz w:val="28"/>
        </w:rPr>
      </w:pPr>
      <w:r>
        <w:t>An Act to provide for the registration of construction practitioners and for a related purpose</w:t>
      </w:r>
    </w:p>
    <w:p w14:paraId="3E453B25" w14:textId="77777777" w:rsidR="009D6C96" w:rsidRDefault="009D6C96">
      <w:pPr>
        <w:pStyle w:val="AH1Part"/>
      </w:pPr>
      <w:bookmarkStart w:id="0" w:name="_Toc410708678"/>
      <w:bookmarkStart w:id="1" w:name="_Toc412394351"/>
      <w:bookmarkStart w:id="2" w:name="_Toc412573855"/>
      <w:bookmarkStart w:id="3" w:name="_Toc412998269"/>
      <w:bookmarkStart w:id="4" w:name="_Toc412999250"/>
      <w:bookmarkStart w:id="5" w:name="_Toc413000109"/>
      <w:bookmarkStart w:id="6" w:name="_Toc413000356"/>
      <w:bookmarkStart w:id="7" w:name="_Toc413000514"/>
      <w:bookmarkStart w:id="8" w:name="_Toc413000753"/>
      <w:bookmarkStart w:id="9" w:name="_Toc413000902"/>
      <w:bookmarkStart w:id="10" w:name="_Toc413001597"/>
      <w:bookmarkStart w:id="11" w:name="_Toc413002917"/>
      <w:bookmarkStart w:id="12" w:name="_Toc413003163"/>
      <w:bookmarkStart w:id="13" w:name="_Toc413096686"/>
      <w:bookmarkStart w:id="14" w:name="_Toc414119792"/>
      <w:bookmarkStart w:id="15" w:name="_Toc414120513"/>
      <w:bookmarkStart w:id="16" w:name="_Toc414120581"/>
      <w:bookmarkStart w:id="17" w:name="_Toc414120664"/>
      <w:bookmarkStart w:id="18" w:name="_Toc414121701"/>
      <w:bookmarkStart w:id="19" w:name="_Toc415386478"/>
      <w:bookmarkStart w:id="20" w:name="_Toc418676530"/>
      <w:bookmarkStart w:id="21" w:name="_Toc418926544"/>
      <w:bookmarkStart w:id="22" w:name="_Toc418926632"/>
      <w:bookmarkStart w:id="23" w:name="_Toc418927003"/>
      <w:bookmarkStart w:id="24" w:name="_Toc428784980"/>
      <w:bookmarkStart w:id="25" w:name="_Toc428785515"/>
      <w:bookmarkStart w:id="26" w:name="_Toc429898026"/>
      <w:bookmarkStart w:id="27" w:name="_Toc429975926"/>
      <w:bookmarkStart w:id="28" w:name="_Toc430147732"/>
      <w:bookmarkStart w:id="29" w:name="_Toc435929545"/>
      <w:r>
        <w:t>part i—preliminary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0FAD1E3" w14:textId="77777777" w:rsidR="009D6C96" w:rsidRDefault="009D6C96">
      <w:pPr>
        <w:pStyle w:val="AH3sec"/>
      </w:pPr>
      <w:bookmarkStart w:id="30" w:name="_Toc410708679"/>
      <w:bookmarkStart w:id="31" w:name="_Toc412394352"/>
      <w:bookmarkStart w:id="32" w:name="_Toc412573856"/>
      <w:bookmarkStart w:id="33" w:name="_Toc412998270"/>
      <w:bookmarkStart w:id="34" w:name="_Toc412999251"/>
      <w:bookmarkStart w:id="35" w:name="_Toc413000110"/>
      <w:bookmarkStart w:id="36" w:name="_Toc413000357"/>
      <w:bookmarkStart w:id="37" w:name="_Toc413000515"/>
      <w:bookmarkStart w:id="38" w:name="_Toc413000754"/>
      <w:bookmarkStart w:id="39" w:name="_Toc413000903"/>
      <w:bookmarkStart w:id="40" w:name="_Toc413001598"/>
      <w:bookmarkStart w:id="41" w:name="_Toc413002918"/>
      <w:bookmarkStart w:id="42" w:name="_Toc413003164"/>
      <w:bookmarkStart w:id="43" w:name="_Toc413096687"/>
      <w:bookmarkStart w:id="44" w:name="_Toc414119793"/>
      <w:bookmarkStart w:id="45" w:name="_Toc414120514"/>
      <w:bookmarkStart w:id="46" w:name="_Toc414120582"/>
      <w:bookmarkStart w:id="47" w:name="_Toc414120665"/>
      <w:bookmarkStart w:id="48" w:name="_Toc414121702"/>
      <w:bookmarkStart w:id="49" w:name="_Toc415386479"/>
      <w:bookmarkStart w:id="50" w:name="_Toc418676531"/>
      <w:bookmarkStart w:id="51" w:name="_Toc418926545"/>
      <w:bookmarkStart w:id="52" w:name="_Toc418926633"/>
      <w:bookmarkStart w:id="53" w:name="_Toc418927004"/>
      <w:bookmarkStart w:id="54" w:name="_Toc428784981"/>
      <w:bookmarkStart w:id="55" w:name="_Toc428785516"/>
      <w:bookmarkStart w:id="56" w:name="_Toc429898027"/>
      <w:bookmarkStart w:id="57" w:name="_Toc429975927"/>
      <w:bookmarkStart w:id="58" w:name="_Toc430147733"/>
      <w:bookmarkStart w:id="59" w:name="_Toc435929546"/>
      <w:r>
        <w:t xml:space="preserve">1  </w:t>
      </w:r>
      <w:r>
        <w:tab/>
        <w:t>Short title</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t xml:space="preserve"> </w:t>
      </w:r>
    </w:p>
    <w:p w14:paraId="3152A3F8" w14:textId="77777777" w:rsidR="009D6C96" w:rsidRDefault="009D6C96">
      <w:pPr>
        <w:pStyle w:val="Amain"/>
      </w:pPr>
      <w:r>
        <w:tab/>
        <w:t xml:space="preserve">This Act may be cited as the </w:t>
      </w:r>
      <w:r>
        <w:rPr>
          <w:i/>
        </w:rPr>
        <w:t>Construction Practitioners Registration Act 1998.</w:t>
      </w:r>
      <w:r>
        <w:rPr>
          <w:b/>
          <w:position w:val="10"/>
          <w:sz w:val="12"/>
        </w:rPr>
        <w:t xml:space="preserve"> 1</w:t>
      </w:r>
    </w:p>
    <w:p w14:paraId="4A6924E8" w14:textId="77777777" w:rsidR="009D6C96" w:rsidRDefault="009D6C96">
      <w:pPr>
        <w:pStyle w:val="AH3sec"/>
      </w:pPr>
      <w:bookmarkStart w:id="60" w:name="_Toc410708680"/>
      <w:bookmarkStart w:id="61" w:name="_Toc412394353"/>
      <w:bookmarkStart w:id="62" w:name="_Toc412573857"/>
      <w:bookmarkStart w:id="63" w:name="_Toc412998271"/>
      <w:bookmarkStart w:id="64" w:name="_Toc412999252"/>
      <w:bookmarkStart w:id="65" w:name="_Toc413000111"/>
      <w:bookmarkStart w:id="66" w:name="_Toc413000358"/>
      <w:bookmarkStart w:id="67" w:name="_Toc413000516"/>
      <w:bookmarkStart w:id="68" w:name="_Toc413000755"/>
      <w:bookmarkStart w:id="69" w:name="_Toc413000904"/>
      <w:bookmarkStart w:id="70" w:name="_Toc413001599"/>
      <w:bookmarkStart w:id="71" w:name="_Toc413002919"/>
      <w:bookmarkStart w:id="72" w:name="_Toc413003165"/>
      <w:bookmarkStart w:id="73" w:name="_Toc413096688"/>
      <w:bookmarkStart w:id="74" w:name="_Toc414119794"/>
      <w:bookmarkStart w:id="75" w:name="_Toc414120515"/>
      <w:bookmarkStart w:id="76" w:name="_Toc414120583"/>
      <w:bookmarkStart w:id="77" w:name="_Toc414120666"/>
      <w:bookmarkStart w:id="78" w:name="_Toc414121703"/>
      <w:bookmarkStart w:id="79" w:name="_Toc415386480"/>
      <w:bookmarkStart w:id="80" w:name="_Toc418676532"/>
      <w:bookmarkStart w:id="81" w:name="_Toc418926546"/>
      <w:bookmarkStart w:id="82" w:name="_Toc418926634"/>
      <w:bookmarkStart w:id="83" w:name="_Toc418927005"/>
      <w:bookmarkStart w:id="84" w:name="_Toc428784982"/>
      <w:bookmarkStart w:id="85" w:name="_Toc428785517"/>
      <w:bookmarkStart w:id="86" w:name="_Toc429898028"/>
      <w:bookmarkStart w:id="87" w:name="_Toc429975928"/>
      <w:bookmarkStart w:id="88" w:name="_Toc430147734"/>
      <w:bookmarkStart w:id="89" w:name="_Toc435929547"/>
      <w:r>
        <w:t>2</w:t>
      </w:r>
      <w:r>
        <w:rPr>
          <w:b w:val="0"/>
          <w:position w:val="10"/>
          <w:sz w:val="12"/>
        </w:rPr>
        <w:t>1</w:t>
      </w:r>
      <w:r>
        <w:t xml:space="preserve">  </w:t>
      </w:r>
      <w:r>
        <w:tab/>
        <w:t>Commencement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EB9A605" w14:textId="77777777" w:rsidR="009D6C96" w:rsidRDefault="009D6C96">
      <w:pPr>
        <w:pStyle w:val="Amain"/>
      </w:pPr>
      <w:r>
        <w:rPr>
          <w:b/>
        </w:rPr>
        <w:t xml:space="preserve">(1)  </w:t>
      </w:r>
      <w:r>
        <w:rPr>
          <w:b/>
        </w:rPr>
        <w:tab/>
      </w:r>
      <w:r>
        <w:t xml:space="preserve">Section 1 and this section commence on the day on which this Act is notified in the </w:t>
      </w:r>
      <w:r>
        <w:rPr>
          <w:i/>
        </w:rPr>
        <w:t>Gazette</w:t>
      </w:r>
      <w:r>
        <w:t xml:space="preserve">. </w:t>
      </w:r>
    </w:p>
    <w:p w14:paraId="7322E5C8" w14:textId="77777777" w:rsidR="009D6C96" w:rsidRDefault="009D6C96">
      <w:pPr>
        <w:pStyle w:val="Amain"/>
      </w:pPr>
      <w:r>
        <w:rPr>
          <w:b/>
        </w:rPr>
        <w:t xml:space="preserve">(2)  </w:t>
      </w:r>
      <w:r>
        <w:rPr>
          <w:b/>
        </w:rPr>
        <w:tab/>
      </w:r>
      <w:r>
        <w:t xml:space="preserve">The remaining provisions commence on a day, or respective days, fixed by the Minister by notice in the </w:t>
      </w:r>
      <w:r>
        <w:rPr>
          <w:i/>
        </w:rPr>
        <w:t>Gazette</w:t>
      </w:r>
      <w:r>
        <w:t>.</w:t>
      </w:r>
    </w:p>
    <w:p w14:paraId="1CD60CF0" w14:textId="77777777" w:rsidR="009D6C96" w:rsidRDefault="009D6C96">
      <w:pPr>
        <w:pStyle w:val="Amain"/>
      </w:pPr>
      <w:r>
        <w:rPr>
          <w:b/>
        </w:rPr>
        <w:t xml:space="preserve">(3)  </w:t>
      </w:r>
      <w:r>
        <w:rPr>
          <w:b/>
        </w:rPr>
        <w:tab/>
      </w:r>
      <w:r>
        <w:t xml:space="preserve">If a provision referred to in subsection (2) has not commenced before the end of the period of 6 months commencing on the day on which this Act is notified in the </w:t>
      </w:r>
      <w:r>
        <w:rPr>
          <w:i/>
        </w:rPr>
        <w:t>Gazette</w:t>
      </w:r>
      <w:r>
        <w:t>, that provision, by force of this subsection, commences on the first day after the end of that period.</w:t>
      </w:r>
    </w:p>
    <w:p w14:paraId="5ABB2096" w14:textId="77777777" w:rsidR="009D6C96" w:rsidRDefault="009D6C96">
      <w:pPr>
        <w:pStyle w:val="AH3sec"/>
        <w:rPr>
          <w:b w:val="0"/>
        </w:rPr>
      </w:pPr>
      <w:r>
        <w:t>3</w:t>
      </w:r>
      <w:r>
        <w:tab/>
        <w:t>Definitions for Act</w:t>
      </w:r>
      <w:r>
        <w:rPr>
          <w:b w:val="0"/>
        </w:rPr>
        <w:t xml:space="preserve"> </w:t>
      </w:r>
    </w:p>
    <w:p w14:paraId="57DE0CAF" w14:textId="77777777" w:rsidR="009D6C96" w:rsidRDefault="009D6C96">
      <w:pPr>
        <w:pStyle w:val="Amain"/>
      </w:pPr>
      <w:r>
        <w:rPr>
          <w:b/>
        </w:rPr>
        <w:tab/>
      </w:r>
      <w:r>
        <w:t>In this Act:</w:t>
      </w:r>
    </w:p>
    <w:p w14:paraId="7C996884" w14:textId="77777777" w:rsidR="009D6C96" w:rsidRDefault="009D6C96">
      <w:pPr>
        <w:pStyle w:val="aDef"/>
      </w:pPr>
      <w:r>
        <w:t>“certifier” means a person who performs services as a certifier under the</w:t>
      </w:r>
      <w:r>
        <w:rPr>
          <w:i/>
        </w:rPr>
        <w:t xml:space="preserve"> Building Act 1972</w:t>
      </w:r>
      <w:r>
        <w:t xml:space="preserve"> or a prescribed law;</w:t>
      </w:r>
    </w:p>
    <w:p w14:paraId="244B9314" w14:textId="77777777" w:rsidR="009D6C96" w:rsidRDefault="009D6C96">
      <w:pPr>
        <w:pStyle w:val="aDef"/>
      </w:pPr>
      <w:r>
        <w:lastRenderedPageBreak/>
        <w:t>“Code” means the code of ethics prepared under section 12, being the code as amended and in effect from time to time;</w:t>
      </w:r>
    </w:p>
    <w:p w14:paraId="02563B50" w14:textId="77777777" w:rsidR="009D6C96" w:rsidRDefault="009D6C96">
      <w:pPr>
        <w:pStyle w:val="aDef"/>
      </w:pPr>
      <w:r>
        <w:t>“construction work” means—</w:t>
      </w:r>
    </w:p>
    <w:p w14:paraId="412E25C2" w14:textId="77777777" w:rsidR="009D6C96" w:rsidRDefault="009D6C96">
      <w:pPr>
        <w:pStyle w:val="Asubpara"/>
      </w:pPr>
      <w:r>
        <w:tab/>
        <w:t>(a)</w:t>
      </w:r>
      <w:r>
        <w:tab/>
        <w:t>work that is building work for the purposes of the</w:t>
      </w:r>
      <w:r>
        <w:rPr>
          <w:i/>
        </w:rPr>
        <w:t xml:space="preserve"> Building Act 1972</w:t>
      </w:r>
      <w:r>
        <w:t>; or</w:t>
      </w:r>
    </w:p>
    <w:p w14:paraId="226B5813" w14:textId="77777777" w:rsidR="009D6C96" w:rsidRDefault="009D6C96">
      <w:pPr>
        <w:pStyle w:val="Asubpara"/>
      </w:pPr>
      <w:r>
        <w:tab/>
        <w:t>(b)</w:t>
      </w:r>
      <w:r>
        <w:tab/>
        <w:t>work that is prescribed, being work in relation to which a prescribed law applies;</w:t>
      </w:r>
    </w:p>
    <w:p w14:paraId="0B1E9E28" w14:textId="77777777" w:rsidR="009D6C96" w:rsidRDefault="009D6C96">
      <w:pPr>
        <w:pStyle w:val="aDef"/>
      </w:pPr>
      <w:r>
        <w:t>“determined fee” means the fee—</w:t>
      </w:r>
    </w:p>
    <w:p w14:paraId="30A6226C" w14:textId="77777777" w:rsidR="009D6C96" w:rsidRDefault="009D6C96">
      <w:pPr>
        <w:pStyle w:val="defaindent"/>
      </w:pPr>
      <w:r>
        <w:tab/>
        <w:t>(a)</w:t>
      </w:r>
      <w:r>
        <w:tab/>
        <w:t>determined by the Minister; or</w:t>
      </w:r>
    </w:p>
    <w:p w14:paraId="7083646B" w14:textId="77777777" w:rsidR="009D6C96" w:rsidRDefault="009D6C96">
      <w:pPr>
        <w:pStyle w:val="defaindent"/>
      </w:pPr>
      <w:r>
        <w:tab/>
        <w:t>(b)</w:t>
      </w:r>
      <w:r>
        <w:tab/>
        <w:t>calculated in accordance with a manner determined by the Minister;</w:t>
      </w:r>
    </w:p>
    <w:p w14:paraId="7BB05F3E" w14:textId="77777777" w:rsidR="009D6C96" w:rsidRDefault="009D6C96">
      <w:pPr>
        <w:pStyle w:val="Aparareturn"/>
      </w:pPr>
      <w:r>
        <w:t>under section 30 for the purposes of the provision where the expression occurs;</w:t>
      </w:r>
    </w:p>
    <w:p w14:paraId="3842CFD3" w14:textId="77777777" w:rsidR="009D6C96" w:rsidRDefault="009D6C96">
      <w:pPr>
        <w:pStyle w:val="aDef"/>
      </w:pPr>
      <w:r>
        <w:t>“prescribed law” means a prescribed Act or prescribed regulations that provides or provide for the appointment of a registered construction practitioner as certifier in relation to construction work;</w:t>
      </w:r>
    </w:p>
    <w:p w14:paraId="762BA6B1" w14:textId="77777777" w:rsidR="009D6C96" w:rsidRDefault="009D6C96">
      <w:pPr>
        <w:pStyle w:val="aDef"/>
      </w:pPr>
      <w:r>
        <w:t>“qualifications” includes training and experience;</w:t>
      </w:r>
    </w:p>
    <w:p w14:paraId="03A6DABA" w14:textId="77777777" w:rsidR="009D6C96" w:rsidRDefault="009D6C96">
      <w:pPr>
        <w:pStyle w:val="aDef"/>
      </w:pPr>
      <w:r>
        <w:t>“registered construction practitioner” means a person who is registered under this Act.</w:t>
      </w:r>
    </w:p>
    <w:p w14:paraId="3321BFF4" w14:textId="77777777" w:rsidR="009D6C96" w:rsidRDefault="009D6C96">
      <w:pPr>
        <w:pStyle w:val="IH6sec"/>
      </w:pPr>
      <w:r>
        <w:t>3A</w:t>
      </w:r>
      <w:r>
        <w:tab/>
        <w:t>When a person is covered by insurance</w:t>
      </w:r>
    </w:p>
    <w:p w14:paraId="30CDB7D4" w14:textId="77777777" w:rsidR="009D6C96" w:rsidRDefault="009D6C96">
      <w:pPr>
        <w:pStyle w:val="aDef"/>
      </w:pPr>
      <w:r>
        <w:tab/>
        <w:t>For this Act, a person is covered by insurance if the person holds insurance in accordance with the regulations.</w:t>
      </w:r>
    </w:p>
    <w:p w14:paraId="5F11FEBB" w14:textId="77777777" w:rsidR="009D6C96" w:rsidRDefault="009D6C96">
      <w:pPr>
        <w:pStyle w:val="AH1Part"/>
      </w:pPr>
      <w:r>
        <w:br w:type="page"/>
      </w:r>
      <w:bookmarkStart w:id="90" w:name="_Toc415386482"/>
      <w:bookmarkStart w:id="91" w:name="_Toc418676534"/>
      <w:bookmarkStart w:id="92" w:name="_Toc418926548"/>
      <w:bookmarkStart w:id="93" w:name="_Toc418926636"/>
      <w:bookmarkStart w:id="94" w:name="_Toc418927007"/>
      <w:bookmarkStart w:id="95" w:name="_Toc428784984"/>
      <w:bookmarkStart w:id="96" w:name="_Toc428785519"/>
      <w:bookmarkStart w:id="97" w:name="_Toc429898030"/>
      <w:bookmarkStart w:id="98" w:name="_Toc429975930"/>
      <w:bookmarkStart w:id="99" w:name="_Toc430147736"/>
      <w:bookmarkStart w:id="100" w:name="_Toc435929549"/>
      <w:r>
        <w:lastRenderedPageBreak/>
        <w:t>part ii—administration</w:t>
      </w:r>
      <w:bookmarkEnd w:id="90"/>
      <w:bookmarkEnd w:id="91"/>
      <w:bookmarkEnd w:id="92"/>
      <w:bookmarkEnd w:id="93"/>
      <w:bookmarkEnd w:id="94"/>
      <w:bookmarkEnd w:id="95"/>
      <w:bookmarkEnd w:id="96"/>
      <w:bookmarkEnd w:id="97"/>
      <w:bookmarkEnd w:id="98"/>
      <w:bookmarkEnd w:id="99"/>
      <w:bookmarkEnd w:id="100"/>
    </w:p>
    <w:p w14:paraId="5066270C" w14:textId="77777777" w:rsidR="009D6C96" w:rsidRDefault="009D6C96">
      <w:pPr>
        <w:pStyle w:val="AH2Div"/>
      </w:pPr>
      <w:bookmarkStart w:id="101" w:name="_Toc415386483"/>
      <w:bookmarkStart w:id="102" w:name="_Toc418676535"/>
      <w:bookmarkStart w:id="103" w:name="_Toc418926549"/>
      <w:bookmarkStart w:id="104" w:name="_Toc418926637"/>
      <w:bookmarkStart w:id="105" w:name="_Toc418927008"/>
      <w:bookmarkStart w:id="106" w:name="_Toc428784985"/>
      <w:bookmarkStart w:id="107" w:name="_Toc428785520"/>
      <w:bookmarkStart w:id="108" w:name="_Toc429898031"/>
      <w:bookmarkStart w:id="109" w:name="_Toc429975931"/>
      <w:bookmarkStart w:id="110" w:name="_Toc430147737"/>
      <w:bookmarkStart w:id="111" w:name="_Toc435929550"/>
      <w:r>
        <w:t>Division 1—Registration</w:t>
      </w:r>
      <w:bookmarkEnd w:id="101"/>
      <w:bookmarkEnd w:id="102"/>
      <w:bookmarkEnd w:id="103"/>
      <w:bookmarkEnd w:id="104"/>
      <w:bookmarkEnd w:id="105"/>
      <w:bookmarkEnd w:id="106"/>
      <w:bookmarkEnd w:id="107"/>
      <w:bookmarkEnd w:id="108"/>
      <w:bookmarkEnd w:id="109"/>
      <w:bookmarkEnd w:id="110"/>
      <w:bookmarkEnd w:id="111"/>
    </w:p>
    <w:p w14:paraId="79F4CC66" w14:textId="77777777" w:rsidR="009D6C96" w:rsidRDefault="009D6C96">
      <w:pPr>
        <w:pStyle w:val="AH3sec"/>
      </w:pPr>
      <w:r>
        <w:t>4</w:t>
      </w:r>
      <w:r>
        <w:tab/>
        <w:t>Categories of registration</w:t>
      </w:r>
    </w:p>
    <w:p w14:paraId="3F526B7A" w14:textId="77777777" w:rsidR="009D6C96" w:rsidRDefault="009D6C96">
      <w:pPr>
        <w:pStyle w:val="Amain"/>
      </w:pPr>
      <w:r>
        <w:tab/>
        <w:t>There shall be such categories of registration as are set out or described in the regulations.</w:t>
      </w:r>
    </w:p>
    <w:p w14:paraId="57F1FC10" w14:textId="77777777" w:rsidR="009D6C96" w:rsidRDefault="009D6C96">
      <w:pPr>
        <w:pStyle w:val="AH3sec"/>
      </w:pPr>
      <w:r>
        <w:t>5</w:t>
      </w:r>
      <w:r>
        <w:tab/>
        <w:t>Application</w:t>
      </w:r>
    </w:p>
    <w:p w14:paraId="795FDC5B" w14:textId="77777777" w:rsidR="009D6C96" w:rsidRDefault="009D6C96">
      <w:pPr>
        <w:pStyle w:val="Amain"/>
      </w:pPr>
      <w:r>
        <w:rPr>
          <w:b/>
        </w:rPr>
        <w:t xml:space="preserve">(1)  </w:t>
      </w:r>
      <w:r>
        <w:rPr>
          <w:b/>
        </w:rPr>
        <w:tab/>
      </w:r>
      <w:r>
        <w:t>Application may be made to the Chief Executive for registration under this Act.</w:t>
      </w:r>
    </w:p>
    <w:p w14:paraId="6D959A7F" w14:textId="77777777" w:rsidR="009D6C96" w:rsidRDefault="009D6C96">
      <w:pPr>
        <w:pStyle w:val="Amain"/>
      </w:pPr>
      <w:r>
        <w:rPr>
          <w:b/>
        </w:rPr>
        <w:t xml:space="preserve">(2)  </w:t>
      </w:r>
      <w:r>
        <w:rPr>
          <w:b/>
        </w:rPr>
        <w:tab/>
      </w:r>
      <w:r>
        <w:t>An application—</w:t>
      </w:r>
    </w:p>
    <w:p w14:paraId="1F54FBB1" w14:textId="77777777" w:rsidR="009D6C96" w:rsidRDefault="009D6C96">
      <w:pPr>
        <w:pStyle w:val="Apara"/>
      </w:pPr>
      <w:r>
        <w:tab/>
        <w:t>(a)</w:t>
      </w:r>
      <w:r>
        <w:tab/>
        <w:t>may only be made by a natural person;</w:t>
      </w:r>
    </w:p>
    <w:p w14:paraId="1A486B07" w14:textId="77777777" w:rsidR="009D6C96" w:rsidRDefault="009D6C96">
      <w:pPr>
        <w:pStyle w:val="Apara"/>
      </w:pPr>
      <w:r>
        <w:tab/>
        <w:t>(b)</w:t>
      </w:r>
      <w:r>
        <w:tab/>
        <w:t>shall be in writing and signed by the applicant;</w:t>
      </w:r>
    </w:p>
    <w:p w14:paraId="673EA815" w14:textId="77777777" w:rsidR="009D6C96" w:rsidRDefault="009D6C96">
      <w:pPr>
        <w:pStyle w:val="Apara"/>
      </w:pPr>
      <w:r>
        <w:tab/>
        <w:t>(c)</w:t>
      </w:r>
      <w:r>
        <w:tab/>
        <w:t>shall state each category of registration that is sought;</w:t>
      </w:r>
    </w:p>
    <w:p w14:paraId="69C324D6" w14:textId="77777777" w:rsidR="009D6C96" w:rsidRDefault="009D6C96">
      <w:pPr>
        <w:pStyle w:val="Apara"/>
      </w:pPr>
      <w:r>
        <w:tab/>
        <w:t>(d)</w:t>
      </w:r>
      <w:r>
        <w:tab/>
        <w:t>shall be in accordance with the regulations;</w:t>
      </w:r>
    </w:p>
    <w:p w14:paraId="7E692591" w14:textId="77777777" w:rsidR="009D6C96" w:rsidRDefault="009D6C96">
      <w:pPr>
        <w:pStyle w:val="Apara"/>
      </w:pPr>
      <w:r>
        <w:tab/>
        <w:t>(e)</w:t>
      </w:r>
      <w:r>
        <w:tab/>
        <w:t>shall contain such information as is prescribed;</w:t>
      </w:r>
    </w:p>
    <w:p w14:paraId="22D3273C" w14:textId="77777777" w:rsidR="009D6C96" w:rsidRDefault="009D6C96">
      <w:pPr>
        <w:pStyle w:val="Apara"/>
      </w:pPr>
      <w:r>
        <w:tab/>
        <w:t>(f)</w:t>
      </w:r>
      <w:r>
        <w:tab/>
        <w:t>shall be accompanied by such documents as are prescribed; and</w:t>
      </w:r>
    </w:p>
    <w:p w14:paraId="1994F082" w14:textId="77777777" w:rsidR="009D6C96" w:rsidRDefault="009D6C96">
      <w:pPr>
        <w:pStyle w:val="Apara"/>
      </w:pPr>
      <w:r>
        <w:tab/>
        <w:t>(g)</w:t>
      </w:r>
      <w:r>
        <w:tab/>
        <w:t>shall be accompanied by the determined fee.</w:t>
      </w:r>
    </w:p>
    <w:p w14:paraId="01DB5830" w14:textId="77777777" w:rsidR="009D6C96" w:rsidRDefault="009D6C96">
      <w:pPr>
        <w:pStyle w:val="Amain"/>
      </w:pPr>
      <w:r>
        <w:rPr>
          <w:b/>
        </w:rPr>
        <w:t xml:space="preserve">(3)  </w:t>
      </w:r>
      <w:r>
        <w:rPr>
          <w:b/>
        </w:rPr>
        <w:tab/>
      </w:r>
      <w:r>
        <w:t>The Chief Executive may exempt an applicant who has previously been a registered construction practitioner from such requirements of regulations made for the purposes of paragraph (2) (e) or (f) as the Chief Executive deems appropriate.</w:t>
      </w:r>
    </w:p>
    <w:p w14:paraId="56D2DC50" w14:textId="77777777" w:rsidR="009D6C96" w:rsidRDefault="009D6C96">
      <w:pPr>
        <w:pStyle w:val="AH3sec"/>
      </w:pPr>
      <w:bookmarkStart w:id="112" w:name="_Toc415386486"/>
      <w:bookmarkStart w:id="113" w:name="_Toc418676538"/>
      <w:bookmarkStart w:id="114" w:name="_Toc418926552"/>
      <w:bookmarkStart w:id="115" w:name="_Toc418926640"/>
      <w:bookmarkStart w:id="116" w:name="_Toc418927011"/>
      <w:bookmarkStart w:id="117" w:name="_Toc428784988"/>
      <w:bookmarkStart w:id="118" w:name="_Toc428785523"/>
      <w:bookmarkStart w:id="119" w:name="_Toc429898034"/>
      <w:bookmarkStart w:id="120" w:name="_Toc429975934"/>
      <w:bookmarkStart w:id="121" w:name="_Toc430147740"/>
      <w:bookmarkStart w:id="122" w:name="_Toc435929553"/>
      <w:r>
        <w:t xml:space="preserve">6  </w:t>
      </w:r>
      <w:r>
        <w:tab/>
        <w:t>Qualifications</w:t>
      </w:r>
      <w:bookmarkEnd w:id="112"/>
      <w:bookmarkEnd w:id="113"/>
      <w:bookmarkEnd w:id="114"/>
      <w:bookmarkEnd w:id="115"/>
      <w:bookmarkEnd w:id="116"/>
      <w:bookmarkEnd w:id="117"/>
      <w:bookmarkEnd w:id="118"/>
      <w:bookmarkEnd w:id="119"/>
      <w:bookmarkEnd w:id="120"/>
      <w:bookmarkEnd w:id="121"/>
      <w:bookmarkEnd w:id="122"/>
    </w:p>
    <w:p w14:paraId="725ACFB7" w14:textId="77777777" w:rsidR="009D6C96" w:rsidRDefault="009D6C96">
      <w:pPr>
        <w:pStyle w:val="Amain"/>
      </w:pPr>
      <w:r>
        <w:tab/>
        <w:t>The qualifications required in respect of each category of registration are as prescribed.</w:t>
      </w:r>
    </w:p>
    <w:p w14:paraId="20DF8A7B" w14:textId="77777777" w:rsidR="009D6C96" w:rsidRDefault="009D6C96">
      <w:pPr>
        <w:pStyle w:val="AH3sec"/>
      </w:pPr>
      <w:bookmarkStart w:id="123" w:name="_Toc415386487"/>
      <w:bookmarkStart w:id="124" w:name="_Toc418676539"/>
      <w:bookmarkStart w:id="125" w:name="_Toc418926553"/>
      <w:bookmarkStart w:id="126" w:name="_Toc418926641"/>
      <w:bookmarkStart w:id="127" w:name="_Toc418927012"/>
      <w:bookmarkStart w:id="128" w:name="_Toc428784989"/>
      <w:bookmarkStart w:id="129" w:name="_Toc428785524"/>
      <w:bookmarkStart w:id="130" w:name="_Toc429898035"/>
      <w:bookmarkStart w:id="131" w:name="_Toc429975935"/>
      <w:bookmarkStart w:id="132" w:name="_Toc430147741"/>
      <w:bookmarkStart w:id="133" w:name="_Toc435929554"/>
      <w:r>
        <w:t xml:space="preserve">7  </w:t>
      </w:r>
      <w:r>
        <w:tab/>
        <w:t>Determination of applications</w:t>
      </w:r>
      <w:bookmarkEnd w:id="123"/>
      <w:bookmarkEnd w:id="124"/>
      <w:bookmarkEnd w:id="125"/>
      <w:bookmarkEnd w:id="126"/>
      <w:bookmarkEnd w:id="127"/>
      <w:bookmarkEnd w:id="128"/>
      <w:bookmarkEnd w:id="129"/>
      <w:bookmarkEnd w:id="130"/>
      <w:bookmarkEnd w:id="131"/>
      <w:bookmarkEnd w:id="132"/>
      <w:bookmarkEnd w:id="133"/>
    </w:p>
    <w:p w14:paraId="3AD052D9" w14:textId="77777777" w:rsidR="009D6C96" w:rsidRDefault="009D6C96">
      <w:pPr>
        <w:pStyle w:val="Amain"/>
      </w:pPr>
      <w:r>
        <w:rPr>
          <w:b/>
        </w:rPr>
        <w:t xml:space="preserve">(1)  </w:t>
      </w:r>
      <w:r>
        <w:rPr>
          <w:b/>
        </w:rPr>
        <w:tab/>
      </w:r>
      <w:r>
        <w:t>The Chief Executive shall, if satisfied that—</w:t>
      </w:r>
    </w:p>
    <w:p w14:paraId="65071137" w14:textId="77777777" w:rsidR="009D6C96" w:rsidRDefault="009D6C96">
      <w:pPr>
        <w:pStyle w:val="Apara"/>
      </w:pPr>
      <w:r>
        <w:tab/>
        <w:t>(a)</w:t>
      </w:r>
      <w:r>
        <w:tab/>
        <w:t>an application complies with section 5;</w:t>
      </w:r>
    </w:p>
    <w:p w14:paraId="5B2C68A2" w14:textId="77777777" w:rsidR="009D6C96" w:rsidRDefault="009D6C96">
      <w:pPr>
        <w:pStyle w:val="Apara"/>
      </w:pPr>
      <w:r>
        <w:lastRenderedPageBreak/>
        <w:tab/>
        <w:t>(b)</w:t>
      </w:r>
      <w:r>
        <w:tab/>
        <w:t>the applicant has the qualifications prescribed in relation to a category of registration that is applied for; and</w:t>
      </w:r>
    </w:p>
    <w:p w14:paraId="51B70024" w14:textId="77777777" w:rsidR="009D6C96" w:rsidRDefault="009D6C96">
      <w:pPr>
        <w:pStyle w:val="Apara"/>
      </w:pPr>
      <w:r>
        <w:tab/>
        <w:t>(c)</w:t>
      </w:r>
      <w:r>
        <w:tab/>
        <w:t>if the application is granted, the applicant will be covered by insurance for the period that commences on the grant of the application and expires on the anniversary of that grant;</w:t>
      </w:r>
    </w:p>
    <w:p w14:paraId="748D577E" w14:textId="77777777" w:rsidR="009D6C96" w:rsidRDefault="009D6C96">
      <w:pPr>
        <w:pStyle w:val="fullout"/>
      </w:pPr>
      <w:r>
        <w:t>register the applicant in each category that has been applied for and in respect of which the applicant is qualified.</w:t>
      </w:r>
    </w:p>
    <w:p w14:paraId="6D62649F" w14:textId="77777777" w:rsidR="009D6C96" w:rsidRDefault="009D6C96">
      <w:pPr>
        <w:pStyle w:val="Amain"/>
      </w:pPr>
      <w:r>
        <w:rPr>
          <w:b/>
        </w:rPr>
        <w:t xml:space="preserve">(2)  </w:t>
      </w:r>
      <w:r>
        <w:rPr>
          <w:b/>
        </w:rPr>
        <w:tab/>
      </w:r>
      <w:r>
        <w:t>If, after making such enquiries as are reasonable in the circumstances, the Chief Executive is not satisfied in accordance with subsection (1) in relation to 1 or more categories of registration applied for, he or she shall refuse the application in relation to each category in respect of which the Chief Executive is not so satisfied.</w:t>
      </w:r>
    </w:p>
    <w:p w14:paraId="72BB1EAC" w14:textId="77777777" w:rsidR="009D6C96" w:rsidRDefault="009D6C96">
      <w:pPr>
        <w:pStyle w:val="Amain"/>
      </w:pPr>
      <w:r>
        <w:rPr>
          <w:b/>
        </w:rPr>
        <w:t xml:space="preserve">(3)  </w:t>
      </w:r>
      <w:r>
        <w:rPr>
          <w:b/>
        </w:rPr>
        <w:tab/>
      </w:r>
      <w:r>
        <w:t>The Chief Executive may ask the applicant to provide such further information or documents as may be reasonably required in order to determine the application and may refuse the application if the request is not complied with within a reasonable time.</w:t>
      </w:r>
    </w:p>
    <w:p w14:paraId="0F949084" w14:textId="77777777" w:rsidR="009D6C96" w:rsidRDefault="009D6C96">
      <w:pPr>
        <w:pStyle w:val="AH3sec"/>
      </w:pPr>
      <w:bookmarkStart w:id="134" w:name="_Toc418926554"/>
      <w:bookmarkStart w:id="135" w:name="_Toc418926642"/>
      <w:bookmarkStart w:id="136" w:name="_Toc418927013"/>
      <w:bookmarkStart w:id="137" w:name="_Toc428784990"/>
      <w:bookmarkStart w:id="138" w:name="_Toc428785525"/>
      <w:bookmarkStart w:id="139" w:name="_Toc429898036"/>
      <w:bookmarkStart w:id="140" w:name="_Toc429975936"/>
      <w:bookmarkStart w:id="141" w:name="_Toc430147742"/>
      <w:bookmarkStart w:id="142" w:name="_Toc435929555"/>
      <w:r>
        <w:t xml:space="preserve">8 </w:t>
      </w:r>
      <w:r>
        <w:tab/>
        <w:t>Entitlement to act as certifier</w:t>
      </w:r>
      <w:bookmarkEnd w:id="134"/>
      <w:bookmarkEnd w:id="135"/>
      <w:bookmarkEnd w:id="136"/>
      <w:bookmarkEnd w:id="137"/>
      <w:bookmarkEnd w:id="138"/>
      <w:bookmarkEnd w:id="139"/>
      <w:bookmarkEnd w:id="140"/>
      <w:bookmarkEnd w:id="141"/>
      <w:bookmarkEnd w:id="142"/>
    </w:p>
    <w:p w14:paraId="5178DE4F" w14:textId="77777777" w:rsidR="009D6C96" w:rsidRDefault="009D6C96">
      <w:pPr>
        <w:pStyle w:val="Amain"/>
      </w:pPr>
      <w:r>
        <w:rPr>
          <w:b/>
        </w:rPr>
        <w:t xml:space="preserve">(1) </w:t>
      </w:r>
      <w:r>
        <w:rPr>
          <w:b/>
        </w:rPr>
        <w:tab/>
      </w:r>
      <w:r>
        <w:t>A registered construction practitioner is not entitled to perform services as a certifier in relation to construction work if he or she has an interest in the work.</w:t>
      </w:r>
    </w:p>
    <w:p w14:paraId="24F56C0B" w14:textId="77777777" w:rsidR="009D6C96" w:rsidRDefault="009D6C96">
      <w:pPr>
        <w:pStyle w:val="Amain"/>
      </w:pPr>
      <w:bookmarkStart w:id="143" w:name="_Toc415386488"/>
      <w:bookmarkStart w:id="144" w:name="_Toc418676540"/>
      <w:bookmarkStart w:id="145" w:name="_Toc418926555"/>
      <w:bookmarkStart w:id="146" w:name="_Toc418926643"/>
      <w:bookmarkStart w:id="147" w:name="_Toc418927014"/>
      <w:r>
        <w:rPr>
          <w:b/>
        </w:rPr>
        <w:t xml:space="preserve">(2) </w:t>
      </w:r>
      <w:r>
        <w:rPr>
          <w:b/>
        </w:rPr>
        <w:tab/>
      </w:r>
      <w:r>
        <w:t>For the purposes of this section, a registered construction practitioner has an interest in construction work if he or she, or a person related to the practitioner—</w:t>
      </w:r>
    </w:p>
    <w:p w14:paraId="763EB8AF" w14:textId="77777777" w:rsidR="009D6C96" w:rsidRDefault="009D6C96">
      <w:pPr>
        <w:pStyle w:val="Apara"/>
      </w:pPr>
      <w:r>
        <w:tab/>
        <w:t>(a)</w:t>
      </w:r>
      <w:r>
        <w:tab/>
        <w:t>has a legal or equitable interest in the land on which the construction work is, or is to be, carried out;</w:t>
      </w:r>
    </w:p>
    <w:p w14:paraId="5F4017D8" w14:textId="77777777" w:rsidR="009D6C96" w:rsidRDefault="009D6C96">
      <w:pPr>
        <w:pStyle w:val="Apara"/>
      </w:pPr>
      <w:r>
        <w:tab/>
        <w:t>(b)</w:t>
      </w:r>
      <w:r>
        <w:tab/>
        <w:t>has prepared, or intends to prepare, drawings intended to be used in relation to the construction of the construction work;</w:t>
      </w:r>
    </w:p>
    <w:p w14:paraId="38DFA67D" w14:textId="77777777" w:rsidR="009D6C96" w:rsidRDefault="009D6C96">
      <w:pPr>
        <w:pStyle w:val="Apara"/>
      </w:pPr>
      <w:r>
        <w:tab/>
        <w:t>(c)</w:t>
      </w:r>
      <w:r>
        <w:tab/>
        <w:t>has carried out, or intends to carry out, any of the construction work; or</w:t>
      </w:r>
    </w:p>
    <w:p w14:paraId="7702EE43" w14:textId="77777777" w:rsidR="009D6C96" w:rsidRDefault="009D6C96">
      <w:pPr>
        <w:pStyle w:val="Apara"/>
      </w:pPr>
      <w:r>
        <w:tab/>
        <w:t>(d)</w:t>
      </w:r>
      <w:r>
        <w:tab/>
        <w:t>has a financial interest in the construction or completion of the construction work.</w:t>
      </w:r>
    </w:p>
    <w:p w14:paraId="467B6CE9" w14:textId="77777777" w:rsidR="009D6C96" w:rsidRDefault="009D6C96" w:rsidP="003F2A06">
      <w:pPr>
        <w:pStyle w:val="Amain"/>
        <w:keepNext/>
      </w:pPr>
      <w:r>
        <w:rPr>
          <w:b/>
        </w:rPr>
        <w:lastRenderedPageBreak/>
        <w:t xml:space="preserve">(3) </w:t>
      </w:r>
      <w:r>
        <w:rPr>
          <w:b/>
        </w:rPr>
        <w:tab/>
      </w:r>
      <w:r>
        <w:t>For the purposes of this section, a person is related to a registered construction practitioner if he or she is—</w:t>
      </w:r>
    </w:p>
    <w:p w14:paraId="080E0821" w14:textId="77777777" w:rsidR="009D6C96" w:rsidRDefault="009D6C96">
      <w:pPr>
        <w:pStyle w:val="Apara"/>
      </w:pPr>
      <w:r>
        <w:tab/>
        <w:t>(a)</w:t>
      </w:r>
      <w:r>
        <w:tab/>
        <w:t>a person with whom the practitioner has a personal, professional,  commercial or financial relationship;</w:t>
      </w:r>
    </w:p>
    <w:p w14:paraId="1D5A9988" w14:textId="77777777" w:rsidR="009D6C96" w:rsidRDefault="009D6C96">
      <w:pPr>
        <w:pStyle w:val="Apara"/>
      </w:pPr>
      <w:r>
        <w:tab/>
        <w:t>(b)</w:t>
      </w:r>
      <w:r>
        <w:tab/>
        <w:t>an employer or employee of the practitioner; or</w:t>
      </w:r>
    </w:p>
    <w:p w14:paraId="37C0AB15" w14:textId="77777777" w:rsidR="009D6C96" w:rsidRDefault="009D6C96">
      <w:pPr>
        <w:pStyle w:val="Apara"/>
      </w:pPr>
      <w:r>
        <w:tab/>
        <w:t>(c)</w:t>
      </w:r>
      <w:r>
        <w:tab/>
        <w:t>a company of which the practitioner is a director or in which he or she holds a share.</w:t>
      </w:r>
    </w:p>
    <w:p w14:paraId="757012B4" w14:textId="77777777" w:rsidR="009D6C96" w:rsidRDefault="009D6C96">
      <w:pPr>
        <w:pStyle w:val="AH3sec"/>
      </w:pPr>
      <w:bookmarkStart w:id="148" w:name="_Toc428784991"/>
      <w:bookmarkStart w:id="149" w:name="_Toc428785526"/>
      <w:bookmarkStart w:id="150" w:name="_Toc429898037"/>
      <w:bookmarkStart w:id="151" w:name="_Toc429975937"/>
      <w:bookmarkStart w:id="152" w:name="_Toc430147743"/>
      <w:bookmarkStart w:id="153" w:name="_Toc435929556"/>
      <w:r>
        <w:t xml:space="preserve">9  </w:t>
      </w:r>
      <w:r>
        <w:tab/>
        <w:t>Term of registration</w:t>
      </w:r>
      <w:bookmarkEnd w:id="143"/>
      <w:bookmarkEnd w:id="144"/>
      <w:bookmarkEnd w:id="145"/>
      <w:bookmarkEnd w:id="146"/>
      <w:bookmarkEnd w:id="147"/>
      <w:bookmarkEnd w:id="148"/>
      <w:bookmarkEnd w:id="149"/>
      <w:bookmarkEnd w:id="150"/>
      <w:bookmarkEnd w:id="151"/>
      <w:bookmarkEnd w:id="152"/>
      <w:bookmarkEnd w:id="153"/>
    </w:p>
    <w:p w14:paraId="678A6791" w14:textId="77777777" w:rsidR="009D6C96" w:rsidRDefault="009D6C96">
      <w:pPr>
        <w:pStyle w:val="Amain"/>
      </w:pPr>
      <w:r>
        <w:rPr>
          <w:b/>
        </w:rPr>
        <w:t xml:space="preserve">(1) </w:t>
      </w:r>
      <w:r>
        <w:rPr>
          <w:b/>
        </w:rPr>
        <w:tab/>
      </w:r>
      <w:r>
        <w:t>Registration under this Act is not in effect while it is suspended.</w:t>
      </w:r>
    </w:p>
    <w:p w14:paraId="43B42055" w14:textId="77777777" w:rsidR="009D6C96" w:rsidRDefault="009D6C96">
      <w:pPr>
        <w:pStyle w:val="Amain"/>
      </w:pPr>
      <w:r>
        <w:rPr>
          <w:b/>
        </w:rPr>
        <w:t xml:space="preserve">(2) </w:t>
      </w:r>
      <w:r>
        <w:rPr>
          <w:b/>
        </w:rPr>
        <w:tab/>
      </w:r>
      <w:r>
        <w:t>A person ceases to be registered under this Act when his or her  registration is surrendered or cancelled.</w:t>
      </w:r>
    </w:p>
    <w:p w14:paraId="704943FA" w14:textId="77777777" w:rsidR="009D6C96" w:rsidRDefault="009D6C96">
      <w:pPr>
        <w:pStyle w:val="Amain"/>
      </w:pPr>
      <w:r>
        <w:rPr>
          <w:b/>
        </w:rPr>
        <w:t xml:space="preserve">(3) </w:t>
      </w:r>
      <w:r>
        <w:rPr>
          <w:b/>
        </w:rPr>
        <w:tab/>
      </w:r>
      <w:r>
        <w:t>The registration of a person who becomes bankrupt, applies to take the benefit of any law for the relief of bankrupt or insolvent debtors, compounds with creditors or makes an assignment of remuneration for the benefit of those creditors, is cancelled by virtue of this subsection.</w:t>
      </w:r>
    </w:p>
    <w:p w14:paraId="45C1CBA0" w14:textId="77777777" w:rsidR="009D6C96" w:rsidRDefault="009D6C96">
      <w:pPr>
        <w:pStyle w:val="AH3sec"/>
      </w:pPr>
      <w:bookmarkStart w:id="154" w:name="_Toc415386489"/>
      <w:bookmarkStart w:id="155" w:name="_Toc418676541"/>
      <w:bookmarkStart w:id="156" w:name="_Toc418926556"/>
      <w:bookmarkStart w:id="157" w:name="_Toc418926644"/>
      <w:bookmarkStart w:id="158" w:name="_Toc418927015"/>
      <w:bookmarkStart w:id="159" w:name="_Toc428784992"/>
      <w:bookmarkStart w:id="160" w:name="_Toc428785527"/>
      <w:bookmarkStart w:id="161" w:name="_Toc429898038"/>
      <w:bookmarkStart w:id="162" w:name="_Toc429975938"/>
      <w:bookmarkStart w:id="163" w:name="_Toc430147744"/>
      <w:bookmarkStart w:id="164" w:name="_Toc435929557"/>
      <w:r>
        <w:t xml:space="preserve">10  </w:t>
      </w:r>
      <w:r>
        <w:tab/>
        <w:t>Annual fee and statement</w:t>
      </w:r>
      <w:bookmarkEnd w:id="154"/>
      <w:bookmarkEnd w:id="155"/>
      <w:bookmarkEnd w:id="156"/>
      <w:bookmarkEnd w:id="157"/>
      <w:bookmarkEnd w:id="158"/>
      <w:bookmarkEnd w:id="159"/>
      <w:bookmarkEnd w:id="160"/>
      <w:bookmarkEnd w:id="161"/>
      <w:bookmarkEnd w:id="162"/>
      <w:bookmarkEnd w:id="163"/>
      <w:bookmarkEnd w:id="164"/>
    </w:p>
    <w:p w14:paraId="36AD9211" w14:textId="77777777" w:rsidR="009D6C96" w:rsidRDefault="009D6C96">
      <w:pPr>
        <w:pStyle w:val="Amain"/>
      </w:pPr>
      <w:r>
        <w:rPr>
          <w:b/>
        </w:rPr>
        <w:t xml:space="preserve">(1)  </w:t>
      </w:r>
      <w:r>
        <w:rPr>
          <w:b/>
        </w:rPr>
        <w:tab/>
      </w:r>
      <w:r>
        <w:t>On or before the anniversary of his or her registration under this Act (in this section called the “renewal date”), a registered construction practitioner shall give to the Chief Executive—</w:t>
      </w:r>
    </w:p>
    <w:p w14:paraId="3BC960F4" w14:textId="77777777" w:rsidR="009D6C96" w:rsidRDefault="009D6C96">
      <w:pPr>
        <w:pStyle w:val="Apara"/>
      </w:pPr>
      <w:r>
        <w:tab/>
        <w:t>(a)</w:t>
      </w:r>
      <w:r>
        <w:tab/>
        <w:t>a statement setting out the prescribed particulars;</w:t>
      </w:r>
    </w:p>
    <w:p w14:paraId="3799551F" w14:textId="77777777" w:rsidR="009D6C96" w:rsidRDefault="009D6C96">
      <w:pPr>
        <w:pStyle w:val="Apara"/>
      </w:pPr>
      <w:r>
        <w:tab/>
        <w:t>(b)</w:t>
      </w:r>
      <w:r>
        <w:tab/>
        <w:t>the determined fee; and</w:t>
      </w:r>
    </w:p>
    <w:p w14:paraId="10634FFF" w14:textId="77777777" w:rsidR="009D6C96" w:rsidRDefault="009D6C96">
      <w:pPr>
        <w:pStyle w:val="Apara"/>
      </w:pPr>
      <w:r>
        <w:tab/>
        <w:t>(c)</w:t>
      </w:r>
      <w:r>
        <w:tab/>
        <w:t>such evidence as the Chief Executive may reasonably require to show that the registered construction practitioner will be covered by insurance for the period that commences on the renewal date and expires not earlier than the next succeeding renewal date.</w:t>
      </w:r>
    </w:p>
    <w:p w14:paraId="4D0092EC" w14:textId="77777777" w:rsidR="009D6C96" w:rsidRDefault="009D6C96">
      <w:pPr>
        <w:pStyle w:val="Amain"/>
      </w:pPr>
      <w:r>
        <w:rPr>
          <w:b/>
        </w:rPr>
        <w:t xml:space="preserve">(2)  </w:t>
      </w:r>
      <w:r>
        <w:rPr>
          <w:b/>
        </w:rPr>
        <w:tab/>
      </w:r>
      <w:r>
        <w:t>Where subsection (1) is not complied with, the registration is cancelled by virtue of this subsection.</w:t>
      </w:r>
    </w:p>
    <w:p w14:paraId="2A1144CC" w14:textId="77777777" w:rsidR="009D6C96" w:rsidRDefault="009D6C96">
      <w:pPr>
        <w:pStyle w:val="Amain"/>
      </w:pPr>
      <w:r>
        <w:rPr>
          <w:b/>
        </w:rPr>
        <w:t xml:space="preserve">(3)  </w:t>
      </w:r>
      <w:r>
        <w:rPr>
          <w:b/>
        </w:rPr>
        <w:tab/>
      </w:r>
      <w:r>
        <w:t>In this section, a reference to a registered construction practitioner shall be read as including a reference to a registered construction practitioner whose registration is under suspension.</w:t>
      </w:r>
    </w:p>
    <w:p w14:paraId="73891083" w14:textId="77777777" w:rsidR="009D6C96" w:rsidRDefault="009D6C96">
      <w:pPr>
        <w:pStyle w:val="AH3sec"/>
      </w:pPr>
      <w:bookmarkStart w:id="165" w:name="_Toc418676542"/>
      <w:bookmarkStart w:id="166" w:name="_Toc418926557"/>
      <w:bookmarkStart w:id="167" w:name="_Toc418926645"/>
      <w:bookmarkStart w:id="168" w:name="_Toc418927016"/>
      <w:bookmarkStart w:id="169" w:name="_Toc428784993"/>
      <w:bookmarkStart w:id="170" w:name="_Toc428785528"/>
      <w:bookmarkStart w:id="171" w:name="_Toc429898039"/>
      <w:bookmarkStart w:id="172" w:name="_Toc429975939"/>
      <w:bookmarkStart w:id="173" w:name="_Toc430147745"/>
      <w:bookmarkStart w:id="174" w:name="_Toc435929558"/>
      <w:r>
        <w:lastRenderedPageBreak/>
        <w:t xml:space="preserve">11 </w:t>
      </w:r>
      <w:r>
        <w:tab/>
        <w:t>Register</w:t>
      </w:r>
      <w:bookmarkEnd w:id="165"/>
      <w:bookmarkEnd w:id="166"/>
      <w:bookmarkEnd w:id="167"/>
      <w:bookmarkEnd w:id="168"/>
      <w:bookmarkEnd w:id="169"/>
      <w:bookmarkEnd w:id="170"/>
      <w:bookmarkEnd w:id="171"/>
      <w:bookmarkEnd w:id="172"/>
      <w:bookmarkEnd w:id="173"/>
      <w:bookmarkEnd w:id="174"/>
    </w:p>
    <w:p w14:paraId="6C4B5997" w14:textId="77777777" w:rsidR="009D6C96" w:rsidRDefault="009D6C96">
      <w:pPr>
        <w:pStyle w:val="Amain"/>
      </w:pPr>
      <w:r>
        <w:rPr>
          <w:b/>
        </w:rPr>
        <w:t xml:space="preserve">(1) </w:t>
      </w:r>
      <w:r>
        <w:rPr>
          <w:b/>
        </w:rPr>
        <w:tab/>
      </w:r>
      <w:r>
        <w:t>The Chief Executive shall establish and maintain a register of construction practitioners (in this section referred to as the “Register”).</w:t>
      </w:r>
    </w:p>
    <w:p w14:paraId="21B8D431" w14:textId="77777777" w:rsidR="009D6C96" w:rsidRDefault="009D6C96">
      <w:pPr>
        <w:pStyle w:val="Amain"/>
      </w:pPr>
      <w:r>
        <w:rPr>
          <w:b/>
        </w:rPr>
        <w:t xml:space="preserve">(2) </w:t>
      </w:r>
      <w:r>
        <w:rPr>
          <w:b/>
        </w:rPr>
        <w:tab/>
      </w:r>
      <w:r>
        <w:t>The Register—</w:t>
      </w:r>
    </w:p>
    <w:p w14:paraId="4AB129A7" w14:textId="77777777" w:rsidR="009D6C96" w:rsidRDefault="009D6C96">
      <w:pPr>
        <w:pStyle w:val="Apara"/>
      </w:pPr>
      <w:r>
        <w:tab/>
        <w:t>(a)</w:t>
      </w:r>
      <w:r>
        <w:tab/>
        <w:t>shall contain—</w:t>
      </w:r>
    </w:p>
    <w:p w14:paraId="0997BAF2" w14:textId="77777777" w:rsidR="009D6C96" w:rsidRDefault="009D6C96">
      <w:pPr>
        <w:pStyle w:val="Asubpara"/>
      </w:pPr>
      <w:r>
        <w:tab/>
        <w:t>(i)</w:t>
      </w:r>
      <w:r>
        <w:tab/>
        <w:t>such particulars of each registration under this Act as are prescribed; and</w:t>
      </w:r>
    </w:p>
    <w:p w14:paraId="1CEB9023" w14:textId="77777777" w:rsidR="009D6C96" w:rsidRDefault="009D6C96">
      <w:pPr>
        <w:pStyle w:val="Asubpara"/>
      </w:pPr>
      <w:r>
        <w:tab/>
        <w:t>(ii)</w:t>
      </w:r>
      <w:r>
        <w:tab/>
        <w:t>such other information as the Chief Executive considers appropriate; and</w:t>
      </w:r>
    </w:p>
    <w:p w14:paraId="1405475D" w14:textId="77777777" w:rsidR="009D6C96" w:rsidRDefault="009D6C96">
      <w:pPr>
        <w:pStyle w:val="Apara"/>
      </w:pPr>
      <w:r>
        <w:tab/>
        <w:t>(b)</w:t>
      </w:r>
      <w:r>
        <w:tab/>
        <w:t>may be kept in such form as the Chief Executive considers appropriate.</w:t>
      </w:r>
    </w:p>
    <w:p w14:paraId="298F7A8D" w14:textId="77777777" w:rsidR="009D6C96" w:rsidRDefault="009D6C96">
      <w:pPr>
        <w:pStyle w:val="Amain"/>
      </w:pPr>
      <w:r>
        <w:rPr>
          <w:b/>
        </w:rPr>
        <w:t xml:space="preserve">(3) </w:t>
      </w:r>
      <w:r>
        <w:rPr>
          <w:b/>
        </w:rPr>
        <w:tab/>
      </w:r>
      <w:r>
        <w:t>The Chief Executive shall determine a place where the Register is to be kept.</w:t>
      </w:r>
    </w:p>
    <w:p w14:paraId="005D3CCE" w14:textId="77777777" w:rsidR="009D6C96" w:rsidRDefault="009D6C96">
      <w:pPr>
        <w:pStyle w:val="Amain"/>
      </w:pPr>
      <w:r>
        <w:rPr>
          <w:b/>
        </w:rPr>
        <w:t xml:space="preserve">(4) </w:t>
      </w:r>
      <w:r>
        <w:rPr>
          <w:b/>
        </w:rPr>
        <w:tab/>
      </w:r>
      <w:r>
        <w:t>A person is entitled to have access to the Register and to make copies of any entry at the place determined under subsection (3) during ordinary office hours.</w:t>
      </w:r>
    </w:p>
    <w:p w14:paraId="13F26C8D" w14:textId="77777777" w:rsidR="009D6C96" w:rsidRDefault="009D6C96">
      <w:pPr>
        <w:pStyle w:val="Amain"/>
      </w:pPr>
      <w:r>
        <w:rPr>
          <w:b/>
        </w:rPr>
        <w:t xml:space="preserve">(5) </w:t>
      </w:r>
      <w:r>
        <w:rPr>
          <w:b/>
        </w:rPr>
        <w:tab/>
      </w:r>
      <w:r>
        <w:t>The Chief Executive may satisfy a request for access under subsection (4) by making available a copy of the Register, or a copy of the relevant part of the Register, certified by the Chief Executive, or a person designated by the Chief Executive for this purpose, to be a true copy of the Register.</w:t>
      </w:r>
    </w:p>
    <w:p w14:paraId="563B1C2A" w14:textId="77777777" w:rsidR="009D6C96" w:rsidRDefault="009D6C96">
      <w:pPr>
        <w:pStyle w:val="AH2Div"/>
      </w:pPr>
      <w:bookmarkStart w:id="175" w:name="_Toc415386490"/>
      <w:bookmarkStart w:id="176" w:name="_Toc418676543"/>
      <w:bookmarkStart w:id="177" w:name="_Toc418926558"/>
      <w:bookmarkStart w:id="178" w:name="_Toc418926646"/>
      <w:bookmarkStart w:id="179" w:name="_Toc418927017"/>
      <w:bookmarkStart w:id="180" w:name="_Toc428784994"/>
      <w:bookmarkStart w:id="181" w:name="_Toc428785529"/>
      <w:bookmarkStart w:id="182" w:name="_Toc429898040"/>
      <w:bookmarkStart w:id="183" w:name="_Toc429975940"/>
      <w:bookmarkStart w:id="184" w:name="_Toc430147746"/>
      <w:bookmarkStart w:id="185" w:name="_Toc435929559"/>
      <w:r>
        <w:t>Division 2—Code of ethics</w:t>
      </w:r>
      <w:bookmarkEnd w:id="175"/>
      <w:bookmarkEnd w:id="176"/>
      <w:bookmarkEnd w:id="177"/>
      <w:bookmarkEnd w:id="178"/>
      <w:bookmarkEnd w:id="179"/>
      <w:bookmarkEnd w:id="180"/>
      <w:bookmarkEnd w:id="181"/>
      <w:bookmarkEnd w:id="182"/>
      <w:bookmarkEnd w:id="183"/>
      <w:bookmarkEnd w:id="184"/>
      <w:bookmarkEnd w:id="185"/>
    </w:p>
    <w:p w14:paraId="34B44F48" w14:textId="77777777" w:rsidR="009D6C96" w:rsidRDefault="009D6C96">
      <w:pPr>
        <w:pStyle w:val="AH3sec"/>
      </w:pPr>
      <w:bookmarkStart w:id="186" w:name="_Toc415386491"/>
      <w:bookmarkStart w:id="187" w:name="_Toc418676544"/>
      <w:bookmarkStart w:id="188" w:name="_Toc418926559"/>
      <w:bookmarkStart w:id="189" w:name="_Toc418926647"/>
      <w:bookmarkStart w:id="190" w:name="_Toc418927018"/>
      <w:bookmarkStart w:id="191" w:name="_Toc428784995"/>
      <w:bookmarkStart w:id="192" w:name="_Toc428785530"/>
      <w:bookmarkStart w:id="193" w:name="_Toc429898041"/>
      <w:bookmarkStart w:id="194" w:name="_Toc429975941"/>
      <w:bookmarkStart w:id="195" w:name="_Toc430147747"/>
      <w:bookmarkStart w:id="196" w:name="_Toc435929560"/>
      <w:r>
        <w:t xml:space="preserve">12  </w:t>
      </w:r>
      <w:r>
        <w:tab/>
        <w:t>Code of ethics</w:t>
      </w:r>
      <w:bookmarkEnd w:id="186"/>
      <w:bookmarkEnd w:id="187"/>
      <w:bookmarkEnd w:id="188"/>
      <w:bookmarkEnd w:id="189"/>
      <w:bookmarkEnd w:id="190"/>
      <w:bookmarkEnd w:id="191"/>
      <w:bookmarkEnd w:id="192"/>
      <w:bookmarkEnd w:id="193"/>
      <w:bookmarkEnd w:id="194"/>
      <w:bookmarkEnd w:id="195"/>
      <w:bookmarkEnd w:id="196"/>
    </w:p>
    <w:p w14:paraId="045248EA" w14:textId="77777777" w:rsidR="009D6C96" w:rsidRDefault="009D6C96">
      <w:pPr>
        <w:pStyle w:val="Amain"/>
      </w:pPr>
      <w:r>
        <w:rPr>
          <w:b/>
        </w:rPr>
        <w:t xml:space="preserve">(1)  </w:t>
      </w:r>
      <w:r>
        <w:rPr>
          <w:b/>
        </w:rPr>
        <w:tab/>
      </w:r>
      <w:r>
        <w:t>The Chief Executive may cause to be prepared and published for the purposes of this Act a code of ethics to be observed by registered construction practitioners.</w:t>
      </w:r>
    </w:p>
    <w:p w14:paraId="63C3DE9F" w14:textId="77777777" w:rsidR="009D6C96" w:rsidRDefault="009D6C96">
      <w:pPr>
        <w:pStyle w:val="Amain"/>
      </w:pPr>
      <w:r>
        <w:rPr>
          <w:b/>
        </w:rPr>
        <w:t xml:space="preserve">(2)  </w:t>
      </w:r>
      <w:r>
        <w:rPr>
          <w:b/>
        </w:rPr>
        <w:tab/>
      </w:r>
      <w:r>
        <w:t>The Chief Executive may, by instrument, amend the Code.</w:t>
      </w:r>
    </w:p>
    <w:p w14:paraId="6C405AA4" w14:textId="77777777" w:rsidR="009D6C96" w:rsidRDefault="009D6C96">
      <w:pPr>
        <w:pStyle w:val="Amain"/>
      </w:pPr>
      <w:bookmarkStart w:id="197" w:name="_Toc415386492"/>
      <w:bookmarkStart w:id="198" w:name="_Toc418676545"/>
      <w:r>
        <w:rPr>
          <w:b/>
        </w:rPr>
        <w:t xml:space="preserve">(3) </w:t>
      </w:r>
      <w:r>
        <w:rPr>
          <w:b/>
        </w:rPr>
        <w:tab/>
      </w:r>
      <w:r>
        <w:t>An instrument under this section and any instrument revoking, amending or affecting such an instrument, are disallowable instruments for the purposes of section 10 of the</w:t>
      </w:r>
      <w:r>
        <w:rPr>
          <w:i/>
        </w:rPr>
        <w:t xml:space="preserve"> Subordinate Laws Act 1989</w:t>
      </w:r>
      <w:r>
        <w:t>.</w:t>
      </w:r>
    </w:p>
    <w:p w14:paraId="7BE24075" w14:textId="77777777" w:rsidR="009D6C96" w:rsidRDefault="009D6C96">
      <w:pPr>
        <w:pStyle w:val="AH3sec"/>
      </w:pPr>
      <w:bookmarkStart w:id="199" w:name="_Toc418926560"/>
      <w:bookmarkStart w:id="200" w:name="_Toc418926648"/>
      <w:bookmarkStart w:id="201" w:name="_Toc418927019"/>
      <w:bookmarkStart w:id="202" w:name="_Toc428784996"/>
      <w:bookmarkStart w:id="203" w:name="_Toc428785531"/>
      <w:bookmarkStart w:id="204" w:name="_Toc429898042"/>
      <w:bookmarkStart w:id="205" w:name="_Toc429975942"/>
      <w:bookmarkStart w:id="206" w:name="_Toc430147748"/>
      <w:bookmarkStart w:id="207" w:name="_Toc435929561"/>
      <w:r>
        <w:lastRenderedPageBreak/>
        <w:t xml:space="preserve">13  </w:t>
      </w:r>
      <w:r>
        <w:tab/>
        <w:t>Evidence of Code</w:t>
      </w:r>
      <w:bookmarkEnd w:id="197"/>
      <w:bookmarkEnd w:id="198"/>
      <w:bookmarkEnd w:id="199"/>
      <w:bookmarkEnd w:id="200"/>
      <w:bookmarkEnd w:id="201"/>
      <w:bookmarkEnd w:id="202"/>
      <w:bookmarkEnd w:id="203"/>
      <w:bookmarkEnd w:id="204"/>
      <w:bookmarkEnd w:id="205"/>
      <w:bookmarkEnd w:id="206"/>
      <w:bookmarkEnd w:id="207"/>
    </w:p>
    <w:p w14:paraId="31CFC483" w14:textId="77777777" w:rsidR="009D6C96" w:rsidRDefault="009D6C96">
      <w:pPr>
        <w:pStyle w:val="Amain"/>
      </w:pPr>
      <w:r>
        <w:rPr>
          <w:b/>
        </w:rPr>
        <w:t xml:space="preserve">(1)  </w:t>
      </w:r>
      <w:r>
        <w:rPr>
          <w:b/>
        </w:rPr>
        <w:tab/>
      </w:r>
      <w:r>
        <w:t>In any proceedings, evidence of the Code as in force on a specified date or during a specified period may be given by the production of a copy of the Code certified by the Chief Executive, in writing, to be a true copy of the Code as at that date or during that period.</w:t>
      </w:r>
    </w:p>
    <w:p w14:paraId="0AB2A0BF" w14:textId="77777777" w:rsidR="009D6C96" w:rsidRDefault="009D6C96">
      <w:pPr>
        <w:pStyle w:val="Amain"/>
      </w:pPr>
      <w:r>
        <w:rPr>
          <w:b/>
        </w:rPr>
        <w:t xml:space="preserve">(2)  </w:t>
      </w:r>
      <w:r>
        <w:rPr>
          <w:b/>
        </w:rPr>
        <w:tab/>
      </w:r>
      <w:r>
        <w:t>For the purposes of subsection (1), a certificate that purports to have been signed by the Chief Executive shall be taken to have been so signed unless the contrary is proved.</w:t>
      </w:r>
    </w:p>
    <w:p w14:paraId="01CD79FC" w14:textId="77777777" w:rsidR="009D6C96" w:rsidRDefault="009D6C96">
      <w:pPr>
        <w:pStyle w:val="AH2Div"/>
      </w:pPr>
      <w:bookmarkStart w:id="208" w:name="_Toc418676546"/>
      <w:bookmarkStart w:id="209" w:name="_Toc418926561"/>
      <w:bookmarkStart w:id="210" w:name="_Toc418926649"/>
      <w:bookmarkStart w:id="211" w:name="_Toc418927020"/>
      <w:bookmarkStart w:id="212" w:name="_Toc428784999"/>
      <w:bookmarkStart w:id="213" w:name="_Toc428785534"/>
      <w:bookmarkStart w:id="214" w:name="_Toc429898043"/>
      <w:bookmarkStart w:id="215" w:name="_Toc429975943"/>
      <w:bookmarkStart w:id="216" w:name="_Toc430147749"/>
      <w:bookmarkStart w:id="217" w:name="_Toc435929562"/>
      <w:r>
        <w:t>Division 3—Enforcement</w:t>
      </w:r>
      <w:bookmarkEnd w:id="208"/>
      <w:bookmarkEnd w:id="209"/>
      <w:bookmarkEnd w:id="210"/>
      <w:bookmarkEnd w:id="211"/>
      <w:bookmarkEnd w:id="212"/>
      <w:bookmarkEnd w:id="213"/>
      <w:bookmarkEnd w:id="214"/>
      <w:bookmarkEnd w:id="215"/>
      <w:bookmarkEnd w:id="216"/>
      <w:bookmarkEnd w:id="217"/>
    </w:p>
    <w:p w14:paraId="42CD6DAC" w14:textId="77777777" w:rsidR="009D6C96" w:rsidRDefault="009D6C96">
      <w:pPr>
        <w:pStyle w:val="AH3sec"/>
      </w:pPr>
      <w:bookmarkStart w:id="218" w:name="_Toc418676547"/>
      <w:bookmarkStart w:id="219" w:name="_Toc418926562"/>
      <w:bookmarkStart w:id="220" w:name="_Toc418926650"/>
      <w:bookmarkStart w:id="221" w:name="_Toc418927021"/>
      <w:bookmarkStart w:id="222" w:name="_Toc428785000"/>
      <w:bookmarkStart w:id="223" w:name="_Toc428785535"/>
      <w:bookmarkStart w:id="224" w:name="_Toc429898044"/>
      <w:bookmarkStart w:id="225" w:name="_Toc429975944"/>
      <w:bookmarkStart w:id="226" w:name="_Toc430147750"/>
      <w:bookmarkStart w:id="227" w:name="_Toc435929563"/>
      <w:r>
        <w:t xml:space="preserve">14 </w:t>
      </w:r>
      <w:r>
        <w:tab/>
        <w:t>Interpretation</w:t>
      </w:r>
      <w:bookmarkEnd w:id="218"/>
      <w:bookmarkEnd w:id="219"/>
      <w:bookmarkEnd w:id="220"/>
      <w:bookmarkEnd w:id="221"/>
      <w:bookmarkEnd w:id="222"/>
      <w:bookmarkEnd w:id="223"/>
      <w:bookmarkEnd w:id="224"/>
      <w:bookmarkEnd w:id="225"/>
      <w:bookmarkEnd w:id="226"/>
      <w:bookmarkEnd w:id="227"/>
    </w:p>
    <w:p w14:paraId="5DF53102" w14:textId="77777777" w:rsidR="009D6C96" w:rsidRDefault="009D6C96">
      <w:r>
        <w:tab/>
        <w:t>In this Division—</w:t>
      </w:r>
    </w:p>
    <w:p w14:paraId="2265FC2F" w14:textId="77777777" w:rsidR="009D6C96" w:rsidRDefault="009D6C96">
      <w:pPr>
        <w:pStyle w:val="aDef"/>
      </w:pPr>
      <w:r>
        <w:t>“compliance auditor” means a person who is a compliance auditor by virtue of subsection 15 (3).</w:t>
      </w:r>
    </w:p>
    <w:p w14:paraId="3D88647A" w14:textId="77777777" w:rsidR="009D6C96" w:rsidRDefault="009D6C96">
      <w:pPr>
        <w:pStyle w:val="AH3sec"/>
      </w:pPr>
      <w:bookmarkStart w:id="228" w:name="_Toc418676548"/>
      <w:bookmarkStart w:id="229" w:name="_Toc418926563"/>
      <w:bookmarkStart w:id="230" w:name="_Toc418926651"/>
      <w:bookmarkStart w:id="231" w:name="_Toc418927022"/>
      <w:bookmarkStart w:id="232" w:name="_Toc428785001"/>
      <w:bookmarkStart w:id="233" w:name="_Toc428785536"/>
      <w:bookmarkStart w:id="234" w:name="_Toc429898045"/>
      <w:bookmarkStart w:id="235" w:name="_Toc429975945"/>
      <w:bookmarkStart w:id="236" w:name="_Toc430147751"/>
      <w:bookmarkStart w:id="237" w:name="_Toc435929564"/>
      <w:r>
        <w:t xml:space="preserve">15 </w:t>
      </w:r>
      <w:r>
        <w:tab/>
        <w:t>Compliance auditors</w:t>
      </w:r>
      <w:bookmarkEnd w:id="228"/>
      <w:bookmarkEnd w:id="229"/>
      <w:bookmarkEnd w:id="230"/>
      <w:bookmarkEnd w:id="231"/>
      <w:bookmarkEnd w:id="232"/>
      <w:bookmarkEnd w:id="233"/>
      <w:bookmarkEnd w:id="234"/>
      <w:bookmarkEnd w:id="235"/>
      <w:bookmarkEnd w:id="236"/>
      <w:bookmarkEnd w:id="237"/>
    </w:p>
    <w:p w14:paraId="34836826" w14:textId="77777777" w:rsidR="009D6C96" w:rsidRDefault="009D6C96">
      <w:pPr>
        <w:pStyle w:val="Amain"/>
      </w:pPr>
      <w:r>
        <w:rPr>
          <w:b/>
        </w:rPr>
        <w:t xml:space="preserve">(1) </w:t>
      </w:r>
      <w:r>
        <w:rPr>
          <w:b/>
        </w:rPr>
        <w:tab/>
      </w:r>
      <w:r>
        <w:t>There shall be 1 or more compliance auditors for the purposes of this Act.</w:t>
      </w:r>
    </w:p>
    <w:p w14:paraId="303F4CC0" w14:textId="77777777" w:rsidR="009D6C96" w:rsidRDefault="009D6C96">
      <w:pPr>
        <w:pStyle w:val="Amain"/>
      </w:pPr>
      <w:r>
        <w:rPr>
          <w:b/>
        </w:rPr>
        <w:t xml:space="preserve">(2) </w:t>
      </w:r>
      <w:r>
        <w:rPr>
          <w:b/>
        </w:rPr>
        <w:tab/>
      </w:r>
      <w:r>
        <w:t>The Chief Executive shall create and maintain 1 or more offices in the Government Service the duties of which include performing the functions of a compliance auditor.</w:t>
      </w:r>
    </w:p>
    <w:p w14:paraId="07703E84" w14:textId="77777777" w:rsidR="009D6C96" w:rsidRDefault="009D6C96">
      <w:pPr>
        <w:pStyle w:val="Amain"/>
      </w:pPr>
      <w:r>
        <w:rPr>
          <w:b/>
        </w:rPr>
        <w:t xml:space="preserve">(3) </w:t>
      </w:r>
      <w:r>
        <w:rPr>
          <w:b/>
        </w:rPr>
        <w:tab/>
      </w:r>
      <w:r>
        <w:t>A compliance auditor is any public servant for the time being performing the duties of a Government Service office referred to in subsection (2).</w:t>
      </w:r>
    </w:p>
    <w:p w14:paraId="781AFC7B" w14:textId="77777777" w:rsidR="009D6C96" w:rsidRDefault="009D6C96">
      <w:pPr>
        <w:pStyle w:val="Amain"/>
      </w:pPr>
      <w:r>
        <w:rPr>
          <w:b/>
        </w:rPr>
        <w:t xml:space="preserve">(4) </w:t>
      </w:r>
      <w:r>
        <w:rPr>
          <w:b/>
        </w:rPr>
        <w:tab/>
      </w:r>
      <w:r>
        <w:t>A compliance auditor shall perform such functions as the Chief Executive directs for the purposes of this Act.</w:t>
      </w:r>
    </w:p>
    <w:p w14:paraId="3E54F32B" w14:textId="77777777" w:rsidR="009D6C96" w:rsidRDefault="009D6C96">
      <w:pPr>
        <w:pStyle w:val="AH3sec"/>
      </w:pPr>
      <w:bookmarkStart w:id="238" w:name="_Toc418676549"/>
      <w:bookmarkStart w:id="239" w:name="_Toc418926564"/>
      <w:bookmarkStart w:id="240" w:name="_Toc418926652"/>
      <w:bookmarkStart w:id="241" w:name="_Toc418927023"/>
      <w:bookmarkStart w:id="242" w:name="_Toc428785002"/>
      <w:bookmarkStart w:id="243" w:name="_Toc428785537"/>
      <w:bookmarkStart w:id="244" w:name="_Toc429898046"/>
      <w:bookmarkStart w:id="245" w:name="_Toc429975946"/>
      <w:bookmarkStart w:id="246" w:name="_Toc430147752"/>
      <w:bookmarkStart w:id="247" w:name="_Toc435929565"/>
      <w:r>
        <w:t xml:space="preserve">16 </w:t>
      </w:r>
      <w:r>
        <w:tab/>
        <w:t>Identity cards</w:t>
      </w:r>
      <w:bookmarkEnd w:id="238"/>
      <w:bookmarkEnd w:id="239"/>
      <w:bookmarkEnd w:id="240"/>
      <w:bookmarkEnd w:id="241"/>
      <w:bookmarkEnd w:id="242"/>
      <w:bookmarkEnd w:id="243"/>
      <w:bookmarkEnd w:id="244"/>
      <w:bookmarkEnd w:id="245"/>
      <w:bookmarkEnd w:id="246"/>
      <w:bookmarkEnd w:id="247"/>
    </w:p>
    <w:p w14:paraId="5C019575" w14:textId="77777777" w:rsidR="009D6C96" w:rsidRDefault="009D6C96">
      <w:pPr>
        <w:pStyle w:val="Amain"/>
      </w:pPr>
      <w:r>
        <w:rPr>
          <w:b/>
        </w:rPr>
        <w:t xml:space="preserve">(1) </w:t>
      </w:r>
      <w:r>
        <w:rPr>
          <w:b/>
        </w:rPr>
        <w:tab/>
      </w:r>
      <w:r>
        <w:t>The Chief Executive shall issue to a compliance auditor an identity card that specifies the auditor’s name and office, and on which appears a recent photograph of the auditor.</w:t>
      </w:r>
    </w:p>
    <w:p w14:paraId="43CF855E" w14:textId="77777777" w:rsidR="009D6C96" w:rsidRDefault="009D6C96" w:rsidP="003F2A06">
      <w:pPr>
        <w:pStyle w:val="Amain"/>
        <w:keepNext/>
      </w:pPr>
      <w:r>
        <w:rPr>
          <w:b/>
        </w:rPr>
        <w:t xml:space="preserve">(2) </w:t>
      </w:r>
      <w:r>
        <w:rPr>
          <w:b/>
        </w:rPr>
        <w:tab/>
      </w:r>
      <w:r>
        <w:t>Upon ceasing to be a compliance auditor, a person shall not fail, without reasonable excuse, to return his or her identity card to the Chief Executive.</w:t>
      </w:r>
    </w:p>
    <w:p w14:paraId="0B3C3527" w14:textId="77777777" w:rsidR="009D6C96" w:rsidRDefault="009D6C96">
      <w:pPr>
        <w:pStyle w:val="Amain"/>
      </w:pPr>
      <w:r>
        <w:t>Penalty:  1 penalty unit.</w:t>
      </w:r>
    </w:p>
    <w:p w14:paraId="1FCFD005" w14:textId="77777777" w:rsidR="009D6C96" w:rsidRDefault="009D6C96">
      <w:pPr>
        <w:pStyle w:val="AH3sec"/>
      </w:pPr>
      <w:bookmarkStart w:id="248" w:name="_Toc418676550"/>
      <w:bookmarkStart w:id="249" w:name="_Toc418926565"/>
      <w:bookmarkStart w:id="250" w:name="_Toc418926653"/>
      <w:bookmarkStart w:id="251" w:name="_Toc418927024"/>
      <w:bookmarkStart w:id="252" w:name="_Toc428785003"/>
      <w:bookmarkStart w:id="253" w:name="_Toc428785538"/>
      <w:bookmarkStart w:id="254" w:name="_Toc429898047"/>
      <w:bookmarkStart w:id="255" w:name="_Toc429975947"/>
      <w:bookmarkStart w:id="256" w:name="_Toc430147753"/>
      <w:bookmarkStart w:id="257" w:name="_Toc435929566"/>
      <w:r>
        <w:lastRenderedPageBreak/>
        <w:t xml:space="preserve">17 </w:t>
      </w:r>
      <w:r>
        <w:tab/>
        <w:t>Powers of compliance auditors</w:t>
      </w:r>
      <w:bookmarkEnd w:id="248"/>
      <w:bookmarkEnd w:id="249"/>
      <w:bookmarkEnd w:id="250"/>
      <w:bookmarkEnd w:id="251"/>
      <w:bookmarkEnd w:id="252"/>
      <w:bookmarkEnd w:id="253"/>
      <w:bookmarkEnd w:id="254"/>
      <w:bookmarkEnd w:id="255"/>
      <w:bookmarkEnd w:id="256"/>
      <w:bookmarkEnd w:id="257"/>
    </w:p>
    <w:p w14:paraId="026C01CC" w14:textId="77777777" w:rsidR="009D6C96" w:rsidRDefault="009D6C96">
      <w:pPr>
        <w:pStyle w:val="Amain"/>
      </w:pPr>
      <w:bookmarkStart w:id="258" w:name="_Toc418676551"/>
      <w:bookmarkStart w:id="259" w:name="_Toc418926566"/>
      <w:bookmarkStart w:id="260" w:name="_Toc418926654"/>
      <w:bookmarkStart w:id="261" w:name="_Toc418927025"/>
      <w:r>
        <w:rPr>
          <w:b/>
        </w:rPr>
        <w:t xml:space="preserve">(1) </w:t>
      </w:r>
      <w:r>
        <w:rPr>
          <w:b/>
        </w:rPr>
        <w:tab/>
      </w:r>
      <w:r>
        <w:t>For the purpose of discharging his or her functions, a compliance auditor may, during ordinary business hours and with such assistance as is necessary and reasonable, enter upon or into any premises (other than residential premises) used by a registered construction practitioner.</w:t>
      </w:r>
    </w:p>
    <w:p w14:paraId="048DA882" w14:textId="77777777" w:rsidR="009D6C96" w:rsidRDefault="009D6C96">
      <w:pPr>
        <w:pStyle w:val="Amain"/>
      </w:pPr>
      <w:r>
        <w:rPr>
          <w:b/>
        </w:rPr>
        <w:t xml:space="preserve">(2) </w:t>
      </w:r>
      <w:r>
        <w:rPr>
          <w:b/>
        </w:rPr>
        <w:tab/>
      </w:r>
      <w:r>
        <w:t>A compliance auditor who enters upon or into premises in pursuance of subsection (1) is not authorised to remain on the premises if, on request by or on behalf of the occupier or person apparently in charge of the premises, the compliance auditor does not produce his or her identity card.</w:t>
      </w:r>
    </w:p>
    <w:p w14:paraId="49863BF3" w14:textId="77777777" w:rsidR="009D6C96" w:rsidRDefault="009D6C96">
      <w:pPr>
        <w:pStyle w:val="Amain"/>
      </w:pPr>
      <w:r>
        <w:rPr>
          <w:b/>
        </w:rPr>
        <w:t xml:space="preserve">(3) </w:t>
      </w:r>
      <w:r>
        <w:rPr>
          <w:b/>
        </w:rPr>
        <w:tab/>
      </w:r>
      <w:r>
        <w:t>Where a compliance auditor enters upon or into premises in accordance with subsection (1), he or she may—</w:t>
      </w:r>
    </w:p>
    <w:p w14:paraId="3DB6B701" w14:textId="77777777" w:rsidR="009D6C96" w:rsidRDefault="009D6C96">
      <w:pPr>
        <w:pStyle w:val="Apara"/>
      </w:pPr>
      <w:r>
        <w:tab/>
        <w:t>(a)</w:t>
      </w:r>
      <w:r>
        <w:tab/>
        <w:t>inspect any books, documents, plans, drawings or records relating to the activities of the registered construction practitioner as a certifier;</w:t>
      </w:r>
    </w:p>
    <w:p w14:paraId="259774D6" w14:textId="77777777" w:rsidR="009D6C96" w:rsidRDefault="009D6C96">
      <w:pPr>
        <w:pStyle w:val="Apara"/>
      </w:pPr>
      <w:r>
        <w:tab/>
        <w:t>(b)</w:t>
      </w:r>
      <w:r>
        <w:tab/>
        <w:t>make copies of, or take extracts from, any books, documents or records referred to in paragraph (a);</w:t>
      </w:r>
    </w:p>
    <w:p w14:paraId="3E69F68E" w14:textId="77777777" w:rsidR="009D6C96" w:rsidRDefault="009D6C96">
      <w:pPr>
        <w:pStyle w:val="Apara"/>
      </w:pPr>
      <w:r>
        <w:tab/>
        <w:t>(c)</w:t>
      </w:r>
      <w:r>
        <w:tab/>
        <w:t>require any person on the premises to furnish information relating to any books, documents or records referred to in paragraph (a); and</w:t>
      </w:r>
    </w:p>
    <w:p w14:paraId="02248400" w14:textId="77777777" w:rsidR="009D6C96" w:rsidRDefault="009D6C96">
      <w:pPr>
        <w:pStyle w:val="Apara"/>
      </w:pPr>
      <w:r>
        <w:tab/>
        <w:t>(d)</w:t>
      </w:r>
      <w:r>
        <w:tab/>
        <w:t>require a person apparently in charge of the premises—</w:t>
      </w:r>
    </w:p>
    <w:p w14:paraId="4DE8A261" w14:textId="77777777" w:rsidR="009D6C96" w:rsidRDefault="009D6C96">
      <w:pPr>
        <w:pStyle w:val="Asubpara"/>
      </w:pPr>
      <w:r>
        <w:tab/>
        <w:t>(i)</w:t>
      </w:r>
      <w:r>
        <w:tab/>
        <w:t>to produce any book, document or record referred to in paragraph (a);</w:t>
      </w:r>
    </w:p>
    <w:p w14:paraId="70AA4DC9" w14:textId="77777777" w:rsidR="009D6C96" w:rsidRDefault="009D6C96">
      <w:pPr>
        <w:pStyle w:val="Asubpara"/>
      </w:pPr>
      <w:r>
        <w:tab/>
        <w:t>(ii)</w:t>
      </w:r>
      <w:r>
        <w:tab/>
        <w:t>to give to the compliance auditor access to any computer in which any information relevant to the activities of the registered construction practitioner as a certifier is stored; or</w:t>
      </w:r>
    </w:p>
    <w:p w14:paraId="5077141A" w14:textId="77777777" w:rsidR="009D6C96" w:rsidRDefault="009D6C96">
      <w:pPr>
        <w:pStyle w:val="Asubpara"/>
      </w:pPr>
      <w:r>
        <w:tab/>
        <w:t>(iii)</w:t>
      </w:r>
      <w:r>
        <w:tab/>
        <w:t>to print any information referred to in subparagraph (ii).</w:t>
      </w:r>
    </w:p>
    <w:p w14:paraId="034AFB7F" w14:textId="77777777" w:rsidR="009D6C96" w:rsidRDefault="009D6C96" w:rsidP="003F2A06">
      <w:pPr>
        <w:pStyle w:val="Amain"/>
        <w:keepLines/>
      </w:pPr>
      <w:r>
        <w:rPr>
          <w:b/>
          <w:color w:val="000000"/>
        </w:rPr>
        <w:t xml:space="preserve">(4) </w:t>
      </w:r>
      <w:r>
        <w:rPr>
          <w:color w:val="000000"/>
        </w:rPr>
        <w:tab/>
        <w:t>The occupier or person in charge of premises upon or into which a compliance auditor has entered in pursuance of subsection (1) shall provide the compliance auditor with all reasonable facilities and assistance for the effective exercise of his or her powers under this section.</w:t>
      </w:r>
    </w:p>
    <w:p w14:paraId="6E9EE6A4" w14:textId="77777777" w:rsidR="009D6C96" w:rsidRDefault="009D6C96">
      <w:pPr>
        <w:pStyle w:val="AH3sec"/>
      </w:pPr>
      <w:bookmarkStart w:id="262" w:name="_Toc428785004"/>
      <w:bookmarkStart w:id="263" w:name="_Toc428785539"/>
      <w:bookmarkStart w:id="264" w:name="_Toc429898048"/>
      <w:bookmarkStart w:id="265" w:name="_Toc429975948"/>
      <w:bookmarkStart w:id="266" w:name="_Toc430147754"/>
      <w:bookmarkStart w:id="267" w:name="_Toc435929567"/>
      <w:r>
        <w:t xml:space="preserve">18 </w:t>
      </w:r>
      <w:r>
        <w:tab/>
        <w:t>Obstruction of compliance auditors</w:t>
      </w:r>
      <w:bookmarkEnd w:id="258"/>
      <w:bookmarkEnd w:id="259"/>
      <w:bookmarkEnd w:id="260"/>
      <w:bookmarkEnd w:id="261"/>
      <w:bookmarkEnd w:id="262"/>
      <w:bookmarkEnd w:id="263"/>
      <w:bookmarkEnd w:id="264"/>
      <w:bookmarkEnd w:id="265"/>
      <w:bookmarkEnd w:id="266"/>
      <w:bookmarkEnd w:id="267"/>
    </w:p>
    <w:p w14:paraId="61030190" w14:textId="77777777" w:rsidR="009D6C96" w:rsidRDefault="009D6C96">
      <w:r>
        <w:tab/>
        <w:t>A person shall not, without reasonable excuse—</w:t>
      </w:r>
    </w:p>
    <w:p w14:paraId="4B5FD5F1" w14:textId="77777777" w:rsidR="009D6C96" w:rsidRDefault="009D6C96">
      <w:pPr>
        <w:pStyle w:val="Apara"/>
      </w:pPr>
      <w:r>
        <w:tab/>
        <w:t>(a)</w:t>
      </w:r>
      <w:r>
        <w:tab/>
        <w:t>obstruct or hinder a compliance auditor in the exercise of his or her functions under this Act; or</w:t>
      </w:r>
    </w:p>
    <w:p w14:paraId="369F5638" w14:textId="77777777" w:rsidR="009D6C96" w:rsidRDefault="009D6C96">
      <w:pPr>
        <w:pStyle w:val="Apara"/>
      </w:pPr>
      <w:r>
        <w:lastRenderedPageBreak/>
        <w:tab/>
        <w:t>(b)</w:t>
      </w:r>
      <w:r>
        <w:tab/>
        <w:t xml:space="preserve">fail to comply with a requirement of a compliance auditor under subsection </w:t>
      </w:r>
      <w:r>
        <w:rPr>
          <w:color w:val="000080"/>
        </w:rPr>
        <w:t>17 (3).</w:t>
      </w:r>
    </w:p>
    <w:p w14:paraId="19BB69C1" w14:textId="77777777" w:rsidR="009D6C96" w:rsidRDefault="009D6C96">
      <w:pPr>
        <w:pStyle w:val="Amain"/>
      </w:pPr>
      <w:r>
        <w:t>Penalty:  50 penalty units or imprisonment for 6 months, or both.</w:t>
      </w:r>
    </w:p>
    <w:p w14:paraId="45D4C88F" w14:textId="77777777" w:rsidR="009D6C96" w:rsidRDefault="009D6C96">
      <w:pPr>
        <w:pStyle w:val="AH1Part"/>
      </w:pPr>
      <w:bookmarkStart w:id="268" w:name="_Toc415386493"/>
      <w:bookmarkStart w:id="269" w:name="_Toc418676552"/>
      <w:bookmarkStart w:id="270" w:name="_Toc418926567"/>
      <w:bookmarkStart w:id="271" w:name="_Toc418926655"/>
      <w:bookmarkStart w:id="272" w:name="_Toc418927026"/>
      <w:bookmarkStart w:id="273" w:name="_Toc428785005"/>
      <w:bookmarkStart w:id="274" w:name="_Toc428785540"/>
      <w:bookmarkStart w:id="275" w:name="_Toc429898049"/>
      <w:bookmarkStart w:id="276" w:name="_Toc429975949"/>
      <w:bookmarkStart w:id="277" w:name="_Toc430147755"/>
      <w:bookmarkStart w:id="278" w:name="_Toc435929568"/>
      <w:r>
        <w:br w:type="page"/>
      </w:r>
      <w:r>
        <w:lastRenderedPageBreak/>
        <w:t>part iii—disciplinary provisions</w:t>
      </w:r>
      <w:bookmarkEnd w:id="268"/>
      <w:bookmarkEnd w:id="269"/>
      <w:bookmarkEnd w:id="270"/>
      <w:bookmarkEnd w:id="271"/>
      <w:bookmarkEnd w:id="272"/>
      <w:bookmarkEnd w:id="273"/>
      <w:bookmarkEnd w:id="274"/>
      <w:bookmarkEnd w:id="275"/>
      <w:bookmarkEnd w:id="276"/>
      <w:bookmarkEnd w:id="277"/>
      <w:bookmarkEnd w:id="278"/>
    </w:p>
    <w:p w14:paraId="0F1EFFAD" w14:textId="77777777" w:rsidR="009D6C96" w:rsidRDefault="009D6C96">
      <w:pPr>
        <w:pStyle w:val="AH3sec"/>
      </w:pPr>
      <w:bookmarkStart w:id="279" w:name="_Toc415386494"/>
      <w:bookmarkStart w:id="280" w:name="_Toc418676553"/>
      <w:bookmarkStart w:id="281" w:name="_Toc418926568"/>
      <w:bookmarkStart w:id="282" w:name="_Toc418926656"/>
      <w:bookmarkStart w:id="283" w:name="_Toc418927027"/>
      <w:bookmarkStart w:id="284" w:name="_Toc428785006"/>
      <w:bookmarkStart w:id="285" w:name="_Toc428785541"/>
      <w:bookmarkStart w:id="286" w:name="_Toc429898050"/>
      <w:bookmarkStart w:id="287" w:name="_Toc429975950"/>
      <w:bookmarkStart w:id="288" w:name="_Toc430147756"/>
      <w:bookmarkStart w:id="289" w:name="_Toc435929569"/>
      <w:r>
        <w:t xml:space="preserve">19  </w:t>
      </w:r>
      <w:r>
        <w:tab/>
        <w:t>Interpretation</w:t>
      </w:r>
      <w:bookmarkEnd w:id="279"/>
      <w:bookmarkEnd w:id="280"/>
      <w:bookmarkEnd w:id="281"/>
      <w:bookmarkEnd w:id="282"/>
      <w:bookmarkEnd w:id="283"/>
      <w:bookmarkEnd w:id="284"/>
      <w:bookmarkEnd w:id="285"/>
      <w:bookmarkEnd w:id="286"/>
      <w:bookmarkEnd w:id="287"/>
      <w:bookmarkEnd w:id="288"/>
      <w:bookmarkEnd w:id="289"/>
    </w:p>
    <w:p w14:paraId="33434EA3" w14:textId="77777777" w:rsidR="009D6C96" w:rsidRDefault="009D6C96">
      <w:pPr>
        <w:pStyle w:val="Amain"/>
      </w:pPr>
      <w:r>
        <w:tab/>
        <w:t>In this Part—</w:t>
      </w:r>
    </w:p>
    <w:p w14:paraId="382CA54C" w14:textId="77777777" w:rsidR="009D6C96" w:rsidRDefault="009D6C96">
      <w:pPr>
        <w:pStyle w:val="aDef"/>
      </w:pPr>
      <w:r>
        <w:t>“disciplinary notice” means a notice under section 20.</w:t>
      </w:r>
    </w:p>
    <w:p w14:paraId="23CE2589" w14:textId="77777777" w:rsidR="009D6C96" w:rsidRDefault="009D6C96">
      <w:pPr>
        <w:pStyle w:val="AH3sec"/>
      </w:pPr>
      <w:bookmarkStart w:id="290" w:name="_Toc415386495"/>
      <w:bookmarkStart w:id="291" w:name="_Toc418676554"/>
      <w:bookmarkStart w:id="292" w:name="_Toc418926569"/>
      <w:bookmarkStart w:id="293" w:name="_Toc418926657"/>
      <w:bookmarkStart w:id="294" w:name="_Toc418927028"/>
      <w:bookmarkStart w:id="295" w:name="_Toc428785007"/>
      <w:bookmarkStart w:id="296" w:name="_Toc428785542"/>
      <w:bookmarkStart w:id="297" w:name="_Toc429898051"/>
      <w:bookmarkStart w:id="298" w:name="_Toc429975951"/>
      <w:bookmarkStart w:id="299" w:name="_Toc430147757"/>
      <w:bookmarkStart w:id="300" w:name="_Toc435929570"/>
      <w:r>
        <w:t xml:space="preserve">20  </w:t>
      </w:r>
      <w:r>
        <w:tab/>
        <w:t>Notice of intended disciplinary action</w:t>
      </w:r>
      <w:bookmarkEnd w:id="290"/>
      <w:bookmarkEnd w:id="291"/>
      <w:bookmarkEnd w:id="292"/>
      <w:bookmarkEnd w:id="293"/>
      <w:bookmarkEnd w:id="294"/>
      <w:bookmarkEnd w:id="295"/>
      <w:bookmarkEnd w:id="296"/>
      <w:bookmarkEnd w:id="297"/>
      <w:bookmarkEnd w:id="298"/>
      <w:bookmarkEnd w:id="299"/>
      <w:bookmarkEnd w:id="300"/>
    </w:p>
    <w:p w14:paraId="3682B2D7" w14:textId="77777777" w:rsidR="009D6C96" w:rsidRDefault="009D6C96">
      <w:pPr>
        <w:pStyle w:val="Amain"/>
      </w:pPr>
      <w:r>
        <w:tab/>
        <w:t>The Chief Executive may cause a notice in writing to be served on a registered construction practitioner requiring him or her to show cause why disciplinary action should not be taken in relation to him or her on any of the following grounds:</w:t>
      </w:r>
    </w:p>
    <w:p w14:paraId="4F13B32D" w14:textId="77777777" w:rsidR="009D6C96" w:rsidRDefault="009D6C96">
      <w:pPr>
        <w:pStyle w:val="Apara"/>
      </w:pPr>
      <w:r>
        <w:tab/>
        <w:t>(a)</w:t>
      </w:r>
      <w:r>
        <w:tab/>
        <w:t>that the registration had been effected in error or in consequence of a false statement or misleading information furnished by or on behalf of the registered person;</w:t>
      </w:r>
    </w:p>
    <w:p w14:paraId="41CDB3B8" w14:textId="77777777" w:rsidR="009D6C96" w:rsidRDefault="009D6C96">
      <w:pPr>
        <w:pStyle w:val="Apara"/>
      </w:pPr>
      <w:r>
        <w:tab/>
        <w:t>(b)</w:t>
      </w:r>
      <w:r>
        <w:tab/>
        <w:t>that the registered construction practitioner has contravened a condition imposed on his or her registration under subparagraph 22 (6) (a) (v);</w:t>
      </w:r>
    </w:p>
    <w:p w14:paraId="0B7462AD" w14:textId="77777777" w:rsidR="009D6C96" w:rsidRDefault="009D6C96">
      <w:pPr>
        <w:pStyle w:val="Apara"/>
      </w:pPr>
      <w:r>
        <w:tab/>
        <w:t>(c)</w:t>
      </w:r>
      <w:r>
        <w:tab/>
        <w:t>that the registered construction practitioner has contravened a provision of, or a requirement made under, this Act, the</w:t>
      </w:r>
      <w:r>
        <w:rPr>
          <w:i/>
        </w:rPr>
        <w:t xml:space="preserve"> Building Act 1972</w:t>
      </w:r>
      <w:r>
        <w:t xml:space="preserve"> or a prescribed law, being a provision or requirement relating to the practitioner in his or her capacity as a certifier;</w:t>
      </w:r>
    </w:p>
    <w:p w14:paraId="0AFA4F9B" w14:textId="77777777" w:rsidR="009D6C96" w:rsidRDefault="009D6C96">
      <w:pPr>
        <w:pStyle w:val="Apara"/>
      </w:pPr>
      <w:r>
        <w:tab/>
        <w:t>(d)</w:t>
      </w:r>
      <w:r>
        <w:tab/>
        <w:t>that the registered person has failed to exercise due skill, care or diligence in the performance of a function as certifier under the</w:t>
      </w:r>
      <w:r>
        <w:rPr>
          <w:i/>
        </w:rPr>
        <w:t xml:space="preserve"> Building Act 1972</w:t>
      </w:r>
      <w:r>
        <w:t xml:space="preserve"> or a prescribed law;</w:t>
      </w:r>
    </w:p>
    <w:p w14:paraId="3FCCAF19" w14:textId="77777777" w:rsidR="009D6C96" w:rsidRDefault="009D6C96">
      <w:pPr>
        <w:pStyle w:val="Apara"/>
      </w:pPr>
      <w:r>
        <w:tab/>
        <w:t>(e)</w:t>
      </w:r>
      <w:r>
        <w:tab/>
        <w:t>that the registered construction practitioner has failed to comply with a provision of the Code.</w:t>
      </w:r>
    </w:p>
    <w:p w14:paraId="2A6617FE" w14:textId="77777777" w:rsidR="009D6C96" w:rsidRDefault="009D6C96">
      <w:pPr>
        <w:pStyle w:val="AH3sec"/>
      </w:pPr>
      <w:bookmarkStart w:id="301" w:name="_Toc415386496"/>
      <w:bookmarkStart w:id="302" w:name="_Toc418676555"/>
      <w:bookmarkStart w:id="303" w:name="_Toc418926570"/>
      <w:bookmarkStart w:id="304" w:name="_Toc418926658"/>
      <w:bookmarkStart w:id="305" w:name="_Toc418927029"/>
      <w:bookmarkStart w:id="306" w:name="_Toc428785008"/>
      <w:bookmarkStart w:id="307" w:name="_Toc428785543"/>
      <w:bookmarkStart w:id="308" w:name="_Toc429898052"/>
      <w:bookmarkStart w:id="309" w:name="_Toc429975952"/>
      <w:bookmarkStart w:id="310" w:name="_Toc430147758"/>
      <w:bookmarkStart w:id="311" w:name="_Toc435929571"/>
      <w:r>
        <w:t xml:space="preserve">21  </w:t>
      </w:r>
      <w:r>
        <w:tab/>
        <w:t>Preliminary suspension of registration</w:t>
      </w:r>
      <w:bookmarkEnd w:id="301"/>
      <w:bookmarkEnd w:id="302"/>
      <w:bookmarkEnd w:id="303"/>
      <w:bookmarkEnd w:id="304"/>
      <w:bookmarkEnd w:id="305"/>
      <w:bookmarkEnd w:id="306"/>
      <w:bookmarkEnd w:id="307"/>
      <w:bookmarkEnd w:id="308"/>
      <w:bookmarkEnd w:id="309"/>
      <w:bookmarkEnd w:id="310"/>
      <w:bookmarkEnd w:id="311"/>
    </w:p>
    <w:p w14:paraId="29B330CF" w14:textId="77777777" w:rsidR="009D6C96" w:rsidRDefault="009D6C96">
      <w:pPr>
        <w:pStyle w:val="Amain"/>
      </w:pPr>
      <w:r>
        <w:rPr>
          <w:b/>
        </w:rPr>
        <w:t xml:space="preserve">(1)  </w:t>
      </w:r>
      <w:r>
        <w:rPr>
          <w:b/>
        </w:rPr>
        <w:tab/>
      </w:r>
      <w:r>
        <w:t>Where the Chief Executive considers it necessary in the public interest to do so, having regard to the circumstances leading to the decision to serve a disciplinary notice and the ground or grounds specified in the notice, he or she may suspend the registration of the person on whom the notice is to be or has been served.</w:t>
      </w:r>
    </w:p>
    <w:p w14:paraId="5A643E41" w14:textId="77777777" w:rsidR="009D6C96" w:rsidRDefault="009D6C96" w:rsidP="0064464D">
      <w:pPr>
        <w:pStyle w:val="Amain"/>
        <w:keepNext/>
      </w:pPr>
      <w:r>
        <w:rPr>
          <w:b/>
        </w:rPr>
        <w:lastRenderedPageBreak/>
        <w:t xml:space="preserve">(2)  </w:t>
      </w:r>
      <w:r>
        <w:rPr>
          <w:b/>
        </w:rPr>
        <w:tab/>
      </w:r>
      <w:r>
        <w:t>The Chief Executive—</w:t>
      </w:r>
    </w:p>
    <w:p w14:paraId="52B52146" w14:textId="77777777" w:rsidR="009D6C96" w:rsidRDefault="009D6C96">
      <w:pPr>
        <w:pStyle w:val="Apara"/>
      </w:pPr>
      <w:r>
        <w:tab/>
        <w:t>(a)</w:t>
      </w:r>
      <w:r>
        <w:tab/>
        <w:t>is not required to give notice of his or her intention to suspend a registration under subsection (1) to any person; and</w:t>
      </w:r>
    </w:p>
    <w:p w14:paraId="09CA5638" w14:textId="77777777" w:rsidR="009D6C96" w:rsidRDefault="009D6C96">
      <w:pPr>
        <w:pStyle w:val="Apara"/>
      </w:pPr>
      <w:r>
        <w:tab/>
        <w:t>(b)</w:t>
      </w:r>
      <w:r>
        <w:tab/>
        <w:t xml:space="preserve">may suspend a registration under subsection (1) at the time of the service of </w:t>
      </w:r>
      <w:r>
        <w:rPr>
          <w:color w:val="000000"/>
        </w:rPr>
        <w:t>a</w:t>
      </w:r>
      <w:r>
        <w:t xml:space="preserve"> disciplinary notice or at any time thereafter until the day referred to in subsection 22 (9).</w:t>
      </w:r>
    </w:p>
    <w:p w14:paraId="325A6960" w14:textId="77777777" w:rsidR="009D6C96" w:rsidRDefault="009D6C96">
      <w:pPr>
        <w:pStyle w:val="Amain"/>
      </w:pPr>
      <w:r>
        <w:rPr>
          <w:b/>
        </w:rPr>
        <w:t xml:space="preserve">(3)  </w:t>
      </w:r>
      <w:r>
        <w:rPr>
          <w:b/>
        </w:rPr>
        <w:tab/>
      </w:r>
      <w:r>
        <w:t>A suspension under subsection (1)—</w:t>
      </w:r>
    </w:p>
    <w:p w14:paraId="51896935" w14:textId="77777777" w:rsidR="009D6C96" w:rsidRDefault="009D6C96">
      <w:pPr>
        <w:pStyle w:val="Apara"/>
      </w:pPr>
      <w:r>
        <w:tab/>
        <w:t>(a)</w:t>
      </w:r>
      <w:r>
        <w:tab/>
        <w:t>takes effect when written notice of the suspension is given to the registered construction practitioner; and</w:t>
      </w:r>
    </w:p>
    <w:p w14:paraId="1F95EE39" w14:textId="77777777" w:rsidR="009D6C96" w:rsidRDefault="009D6C96">
      <w:pPr>
        <w:pStyle w:val="Apara"/>
      </w:pPr>
      <w:r>
        <w:tab/>
        <w:t>(b)</w:t>
      </w:r>
      <w:r>
        <w:tab/>
        <w:t>expires on the day referred to in subsection 22 (9).</w:t>
      </w:r>
    </w:p>
    <w:p w14:paraId="55E0BD9F" w14:textId="77777777" w:rsidR="009D6C96" w:rsidRDefault="009D6C96">
      <w:pPr>
        <w:pStyle w:val="AH3sec"/>
      </w:pPr>
      <w:bookmarkStart w:id="312" w:name="_Toc415386497"/>
      <w:bookmarkStart w:id="313" w:name="_Toc418676556"/>
      <w:bookmarkStart w:id="314" w:name="_Toc418926571"/>
      <w:bookmarkStart w:id="315" w:name="_Toc418926659"/>
      <w:bookmarkStart w:id="316" w:name="_Toc418927030"/>
      <w:bookmarkStart w:id="317" w:name="_Toc428785009"/>
      <w:bookmarkStart w:id="318" w:name="_Toc428785544"/>
      <w:bookmarkStart w:id="319" w:name="_Toc429898053"/>
      <w:bookmarkStart w:id="320" w:name="_Toc429975953"/>
      <w:bookmarkStart w:id="321" w:name="_Toc430147759"/>
      <w:bookmarkStart w:id="322" w:name="_Toc435929572"/>
      <w:r>
        <w:t xml:space="preserve">22  </w:t>
      </w:r>
      <w:r>
        <w:tab/>
        <w:t>Procedure</w:t>
      </w:r>
      <w:bookmarkEnd w:id="312"/>
      <w:bookmarkEnd w:id="313"/>
      <w:bookmarkEnd w:id="314"/>
      <w:bookmarkEnd w:id="315"/>
      <w:bookmarkEnd w:id="316"/>
      <w:bookmarkEnd w:id="317"/>
      <w:bookmarkEnd w:id="318"/>
      <w:bookmarkEnd w:id="319"/>
      <w:bookmarkEnd w:id="320"/>
      <w:bookmarkEnd w:id="321"/>
      <w:bookmarkEnd w:id="322"/>
    </w:p>
    <w:p w14:paraId="29D77074" w14:textId="77777777" w:rsidR="009D6C96" w:rsidRDefault="009D6C96">
      <w:pPr>
        <w:pStyle w:val="Amain"/>
        <w:rPr>
          <w:color w:val="000000"/>
        </w:rPr>
      </w:pPr>
      <w:r>
        <w:rPr>
          <w:b/>
          <w:color w:val="000000"/>
        </w:rPr>
        <w:t xml:space="preserve">(1)  </w:t>
      </w:r>
      <w:r>
        <w:rPr>
          <w:b/>
          <w:color w:val="000000"/>
        </w:rPr>
        <w:tab/>
      </w:r>
      <w:r>
        <w:rPr>
          <w:color w:val="000000"/>
        </w:rPr>
        <w:t>A</w:t>
      </w:r>
      <w:r>
        <w:t xml:space="preserve"> disciplinary notice</w:t>
      </w:r>
      <w:r>
        <w:rPr>
          <w:color w:val="000000"/>
        </w:rPr>
        <w:t>—</w:t>
      </w:r>
    </w:p>
    <w:p w14:paraId="4901D700" w14:textId="77777777" w:rsidR="009D6C96" w:rsidRDefault="009D6C96">
      <w:pPr>
        <w:pStyle w:val="Apara"/>
      </w:pPr>
      <w:r>
        <w:tab/>
        <w:t>(a)</w:t>
      </w:r>
      <w:r>
        <w:tab/>
        <w:t>shall contain full particulars of the facts or circumstances on the basis of which the Chief Executive has formed the opinion that the ground or grounds specified in the notice exists or exist; and</w:t>
      </w:r>
    </w:p>
    <w:p w14:paraId="66A1F211" w14:textId="77777777" w:rsidR="009D6C96" w:rsidRDefault="009D6C96">
      <w:pPr>
        <w:pStyle w:val="Apara"/>
      </w:pPr>
      <w:r>
        <w:tab/>
        <w:t>(b)</w:t>
      </w:r>
      <w:r>
        <w:tab/>
        <w:t>shall specify—</w:t>
      </w:r>
    </w:p>
    <w:p w14:paraId="6DD0528F" w14:textId="77777777" w:rsidR="009D6C96" w:rsidRDefault="009D6C96">
      <w:pPr>
        <w:pStyle w:val="Asubpara"/>
      </w:pPr>
      <w:r>
        <w:tab/>
        <w:t>(i)</w:t>
      </w:r>
      <w:r>
        <w:tab/>
        <w:t>where the registration has been suspended under section 21—a period of time that commences not less than 7 days and ends not more than 14 days after the date of service of the notice; or</w:t>
      </w:r>
    </w:p>
    <w:p w14:paraId="6BFC36BA" w14:textId="77777777" w:rsidR="009D6C96" w:rsidRDefault="009D6C96">
      <w:pPr>
        <w:pStyle w:val="Asubpara"/>
      </w:pPr>
      <w:r>
        <w:tab/>
        <w:t>(ii)</w:t>
      </w:r>
      <w:r>
        <w:tab/>
        <w:t>in any other case—a period of time that commences not less than 14 days and ends not more than 28 days after the date of service of the notice;</w:t>
      </w:r>
    </w:p>
    <w:p w14:paraId="45CC644C" w14:textId="77777777" w:rsidR="009D6C96" w:rsidRDefault="009D6C96">
      <w:pPr>
        <w:pStyle w:val="Aparareturn"/>
      </w:pPr>
      <w:r>
        <w:t>within which the registered construction practitioner may show cause to the Chief Executive why his or her registration should not be suspended or cancelled.</w:t>
      </w:r>
    </w:p>
    <w:p w14:paraId="4D3092A6" w14:textId="77777777" w:rsidR="009D6C96" w:rsidRDefault="009D6C96">
      <w:pPr>
        <w:pStyle w:val="Amain"/>
      </w:pPr>
      <w:r>
        <w:rPr>
          <w:b/>
        </w:rPr>
        <w:t xml:space="preserve">(2)  </w:t>
      </w:r>
      <w:r>
        <w:rPr>
          <w:b/>
        </w:rPr>
        <w:tab/>
      </w:r>
      <w:r>
        <w:t>A person on whom a disciplinary notice has been served may apply in writing for an extension of the period within which he or she is required to show cause under paragraph (1) (b).</w:t>
      </w:r>
    </w:p>
    <w:p w14:paraId="5B76B861" w14:textId="77777777" w:rsidR="009D6C96" w:rsidRDefault="009D6C96">
      <w:pPr>
        <w:pStyle w:val="Amain"/>
      </w:pPr>
      <w:r>
        <w:rPr>
          <w:b/>
        </w:rPr>
        <w:t xml:space="preserve">(3)  </w:t>
      </w:r>
      <w:r>
        <w:rPr>
          <w:b/>
        </w:rPr>
        <w:tab/>
      </w:r>
      <w:r>
        <w:t>Upon receiving an application under subsection (2), the Chief Executive may extend the period of time by not more than 28 days or refuse to extend the period.</w:t>
      </w:r>
    </w:p>
    <w:p w14:paraId="748C456A" w14:textId="77777777" w:rsidR="009D6C96" w:rsidRDefault="009D6C96">
      <w:pPr>
        <w:pStyle w:val="Amain"/>
      </w:pPr>
      <w:r>
        <w:rPr>
          <w:b/>
        </w:rPr>
        <w:lastRenderedPageBreak/>
        <w:t xml:space="preserve">(4)  </w:t>
      </w:r>
      <w:r>
        <w:rPr>
          <w:b/>
        </w:rPr>
        <w:tab/>
      </w:r>
      <w:r>
        <w:t>The Chief Executive may extend a period of time under subsection (3) even though the application is made after its expiry.</w:t>
      </w:r>
    </w:p>
    <w:p w14:paraId="444FEE17" w14:textId="77777777" w:rsidR="009D6C96" w:rsidRDefault="009D6C96">
      <w:pPr>
        <w:pStyle w:val="Amain"/>
      </w:pPr>
      <w:r>
        <w:rPr>
          <w:b/>
        </w:rPr>
        <w:t xml:space="preserve">(5)  </w:t>
      </w:r>
      <w:r>
        <w:rPr>
          <w:b/>
        </w:rPr>
        <w:tab/>
      </w:r>
      <w:r>
        <w:t>After the expiry of the period of time specified in a disciplinary notice or any extension of that period, the Chief Executive may fix a time and place for an inquiry into the proposed suspension or cancellation of registration and shall give notice in writing of the time and place of that inquiry to the registered construction practitioner and any other person who has made representations in relation to that suspension or cancellation.</w:t>
      </w:r>
    </w:p>
    <w:p w14:paraId="496DC87D" w14:textId="77777777" w:rsidR="009D6C96" w:rsidRDefault="009D6C96">
      <w:pPr>
        <w:pStyle w:val="Amain"/>
      </w:pPr>
      <w:r>
        <w:rPr>
          <w:b/>
        </w:rPr>
        <w:t xml:space="preserve">(6)  </w:t>
      </w:r>
      <w:r>
        <w:rPr>
          <w:b/>
        </w:rPr>
        <w:tab/>
      </w:r>
      <w:r>
        <w:t>At the completion of an inquiry the Chief Executive shall—</w:t>
      </w:r>
    </w:p>
    <w:p w14:paraId="13B13EFA" w14:textId="77777777" w:rsidR="009D6C96" w:rsidRDefault="009D6C96">
      <w:pPr>
        <w:pStyle w:val="Apara"/>
      </w:pPr>
      <w:r>
        <w:tab/>
        <w:t>(a)</w:t>
      </w:r>
      <w:r>
        <w:tab/>
        <w:t>if satisfied that</w:t>
      </w:r>
      <w:r>
        <w:rPr>
          <w:color w:val="000000"/>
        </w:rPr>
        <w:t xml:space="preserve"> a ground specified in the</w:t>
      </w:r>
      <w:r>
        <w:t xml:space="preserve"> disciplinary notice</w:t>
      </w:r>
      <w:r>
        <w:rPr>
          <w:color w:val="000000"/>
        </w:rPr>
        <w:t xml:space="preserve"> exists</w:t>
      </w:r>
      <w:r>
        <w:t>—</w:t>
      </w:r>
    </w:p>
    <w:p w14:paraId="11C9AEF3" w14:textId="77777777" w:rsidR="009D6C96" w:rsidRDefault="009D6C96">
      <w:pPr>
        <w:pStyle w:val="Asubpara"/>
      </w:pPr>
      <w:r>
        <w:tab/>
        <w:t>(i)</w:t>
      </w:r>
      <w:r>
        <w:tab/>
        <w:t>cancel the registration;</w:t>
      </w:r>
    </w:p>
    <w:p w14:paraId="0149679D" w14:textId="77777777" w:rsidR="009D6C96" w:rsidRDefault="009D6C96">
      <w:pPr>
        <w:pStyle w:val="Asubpara"/>
      </w:pPr>
      <w:r>
        <w:tab/>
        <w:t>(ii)</w:t>
      </w:r>
      <w:r>
        <w:tab/>
        <w:t>cancel the registration in relation to a specified category of registration;</w:t>
      </w:r>
    </w:p>
    <w:p w14:paraId="7818A283" w14:textId="77777777" w:rsidR="009D6C96" w:rsidRDefault="009D6C96">
      <w:pPr>
        <w:pStyle w:val="Asubpara"/>
      </w:pPr>
      <w:r>
        <w:tab/>
        <w:t>(iii)</w:t>
      </w:r>
      <w:r>
        <w:tab/>
        <w:t>suspend the registration for a specified period;</w:t>
      </w:r>
    </w:p>
    <w:p w14:paraId="641F696F" w14:textId="77777777" w:rsidR="009D6C96" w:rsidRDefault="009D6C96">
      <w:pPr>
        <w:pStyle w:val="Asubpara"/>
      </w:pPr>
      <w:r>
        <w:tab/>
        <w:t>(iv)</w:t>
      </w:r>
      <w:r>
        <w:tab/>
        <w:t>suspend the registration for a specified period in relation to a specified category of registration;</w:t>
      </w:r>
    </w:p>
    <w:p w14:paraId="241CB7A5" w14:textId="77777777" w:rsidR="009D6C96" w:rsidRDefault="009D6C96">
      <w:pPr>
        <w:pStyle w:val="Asubpara"/>
      </w:pPr>
      <w:r>
        <w:tab/>
        <w:t>(v)</w:t>
      </w:r>
      <w:r>
        <w:tab/>
        <w:t>impose or vary a condition on the registration;</w:t>
      </w:r>
    </w:p>
    <w:p w14:paraId="7CBDF321" w14:textId="77777777" w:rsidR="009D6C96" w:rsidRDefault="009D6C96">
      <w:pPr>
        <w:pStyle w:val="Asubpara"/>
      </w:pPr>
      <w:r>
        <w:tab/>
        <w:t>(vi)</w:t>
      </w:r>
      <w:r>
        <w:tab/>
        <w:t>require the registered construction practitioner to undertake a specified course of training and provide evidence of its satisfactory completion;</w:t>
      </w:r>
    </w:p>
    <w:p w14:paraId="1E25300D" w14:textId="77777777" w:rsidR="009D6C96" w:rsidRDefault="009D6C96">
      <w:pPr>
        <w:pStyle w:val="Asubpara"/>
      </w:pPr>
      <w:r>
        <w:tab/>
        <w:t>(vii)</w:t>
      </w:r>
      <w:r>
        <w:tab/>
        <w:t>require the registered construction practitioner to provide to the Chief Executive such information as the Chief Executive may require in relation to activities undertaken by the practitioner as a certifier, being activities that are specified in the notice; or</w:t>
      </w:r>
    </w:p>
    <w:p w14:paraId="13B12E54" w14:textId="77777777" w:rsidR="009D6C96" w:rsidRDefault="009D6C96">
      <w:pPr>
        <w:pStyle w:val="Asubpara"/>
      </w:pPr>
      <w:r>
        <w:tab/>
        <w:t>(viii)</w:t>
      </w:r>
      <w:r>
        <w:tab/>
        <w:t>reprimand the registered construction practitioner; or</w:t>
      </w:r>
    </w:p>
    <w:p w14:paraId="0F4B0A8F" w14:textId="77777777" w:rsidR="009D6C96" w:rsidRDefault="009D6C96">
      <w:pPr>
        <w:pStyle w:val="Apara"/>
      </w:pPr>
      <w:r>
        <w:tab/>
        <w:t>(b)</w:t>
      </w:r>
      <w:r>
        <w:tab/>
        <w:t xml:space="preserve">if not so satisfied—decide to take no further action in relation to the </w:t>
      </w:r>
      <w:r>
        <w:rPr>
          <w:color w:val="000000"/>
        </w:rPr>
        <w:t>notice.</w:t>
      </w:r>
    </w:p>
    <w:p w14:paraId="4CE0D2B6" w14:textId="77777777" w:rsidR="009D6C96" w:rsidRDefault="009D6C96">
      <w:pPr>
        <w:pStyle w:val="Amain"/>
      </w:pPr>
      <w:r>
        <w:rPr>
          <w:b/>
        </w:rPr>
        <w:t xml:space="preserve">(7)  </w:t>
      </w:r>
      <w:r>
        <w:rPr>
          <w:b/>
        </w:rPr>
        <w:tab/>
      </w:r>
      <w:r>
        <w:t>For the purposes of subsection (6), where no cause to the contrary has been shown and no representation has been made, the Chief Executive may be satisfied in accordance with paragraph (6) (a).</w:t>
      </w:r>
    </w:p>
    <w:p w14:paraId="680063E3" w14:textId="77777777" w:rsidR="009D6C96" w:rsidRDefault="009D6C96" w:rsidP="0064464D">
      <w:pPr>
        <w:pStyle w:val="Amain"/>
        <w:keepNext/>
      </w:pPr>
      <w:r>
        <w:rPr>
          <w:b/>
        </w:rPr>
        <w:lastRenderedPageBreak/>
        <w:t xml:space="preserve">(8)  </w:t>
      </w:r>
      <w:r>
        <w:rPr>
          <w:b/>
        </w:rPr>
        <w:tab/>
      </w:r>
      <w:r>
        <w:t>Subject to section 28, the Chief Executive shall cause—</w:t>
      </w:r>
    </w:p>
    <w:p w14:paraId="7204D826" w14:textId="77777777" w:rsidR="009D6C96" w:rsidRDefault="009D6C96">
      <w:pPr>
        <w:pStyle w:val="Apara"/>
      </w:pPr>
      <w:r>
        <w:tab/>
        <w:t>(a)</w:t>
      </w:r>
      <w:r>
        <w:tab/>
        <w:t>the registered construction practitioner in relation to whom an inquiry has been held; and</w:t>
      </w:r>
    </w:p>
    <w:p w14:paraId="3EE51E18" w14:textId="77777777" w:rsidR="009D6C96" w:rsidRDefault="009D6C96">
      <w:pPr>
        <w:pStyle w:val="Apara"/>
      </w:pPr>
      <w:r>
        <w:tab/>
        <w:t>(b)</w:t>
      </w:r>
      <w:r>
        <w:tab/>
        <w:t>any person who has made representations in relation to the inquiry;</w:t>
      </w:r>
    </w:p>
    <w:p w14:paraId="76C054F5" w14:textId="77777777" w:rsidR="009D6C96" w:rsidRDefault="009D6C96">
      <w:pPr>
        <w:pStyle w:val="fullout"/>
      </w:pPr>
      <w:r>
        <w:t>to be notified in writing of the Chief Executive’s decision.</w:t>
      </w:r>
    </w:p>
    <w:p w14:paraId="4B883DD4" w14:textId="77777777" w:rsidR="009D6C96" w:rsidRDefault="009D6C96">
      <w:pPr>
        <w:pStyle w:val="Amain"/>
      </w:pPr>
      <w:r>
        <w:rPr>
          <w:b/>
        </w:rPr>
        <w:t xml:space="preserve">(9)  </w:t>
      </w:r>
      <w:r>
        <w:rPr>
          <w:b/>
        </w:rPr>
        <w:tab/>
      </w:r>
      <w:r>
        <w:t>A decision under paragraph (6) (a) takes effect on the day when the notification under paragraph (8) (a) occurs.</w:t>
      </w:r>
    </w:p>
    <w:p w14:paraId="44B8CD8D" w14:textId="77777777" w:rsidR="009D6C96" w:rsidRDefault="009D6C96">
      <w:pPr>
        <w:pStyle w:val="AH3sec"/>
      </w:pPr>
      <w:bookmarkStart w:id="323" w:name="_Toc415386498"/>
      <w:bookmarkStart w:id="324" w:name="_Toc418676557"/>
      <w:bookmarkStart w:id="325" w:name="_Toc418926572"/>
      <w:bookmarkStart w:id="326" w:name="_Toc418926660"/>
      <w:bookmarkStart w:id="327" w:name="_Toc418927031"/>
      <w:bookmarkStart w:id="328" w:name="_Toc428785010"/>
      <w:bookmarkStart w:id="329" w:name="_Toc428785545"/>
      <w:bookmarkStart w:id="330" w:name="_Toc429898054"/>
      <w:bookmarkStart w:id="331" w:name="_Toc429975954"/>
      <w:bookmarkStart w:id="332" w:name="_Toc430147760"/>
      <w:bookmarkStart w:id="333" w:name="_Toc435929573"/>
      <w:r>
        <w:t xml:space="preserve">23  </w:t>
      </w:r>
      <w:r>
        <w:tab/>
        <w:t>Notification of decision</w:t>
      </w:r>
      <w:bookmarkEnd w:id="323"/>
      <w:bookmarkEnd w:id="324"/>
      <w:bookmarkEnd w:id="325"/>
      <w:bookmarkEnd w:id="326"/>
      <w:bookmarkEnd w:id="327"/>
      <w:bookmarkEnd w:id="328"/>
      <w:bookmarkEnd w:id="329"/>
      <w:bookmarkEnd w:id="330"/>
      <w:bookmarkEnd w:id="331"/>
      <w:bookmarkEnd w:id="332"/>
      <w:bookmarkEnd w:id="333"/>
    </w:p>
    <w:p w14:paraId="00B26468" w14:textId="77777777" w:rsidR="009D6C96" w:rsidRDefault="009D6C96">
      <w:pPr>
        <w:pStyle w:val="Amain"/>
      </w:pPr>
      <w:r>
        <w:rPr>
          <w:b/>
        </w:rPr>
        <w:t xml:space="preserve">(1)  </w:t>
      </w:r>
      <w:r>
        <w:rPr>
          <w:b/>
        </w:rPr>
        <w:tab/>
      </w:r>
      <w:r>
        <w:t>The Chief Executive shall notify the specified particulars of a decision that affects a registration in a daily newspaper printed, published and circulated in the Territory.</w:t>
      </w:r>
    </w:p>
    <w:p w14:paraId="56C29683" w14:textId="77777777" w:rsidR="009D6C96" w:rsidRDefault="009D6C96">
      <w:pPr>
        <w:pStyle w:val="Amain"/>
      </w:pPr>
      <w:r>
        <w:rPr>
          <w:b/>
        </w:rPr>
        <w:t xml:space="preserve">(2)  </w:t>
      </w:r>
      <w:r>
        <w:rPr>
          <w:b/>
        </w:rPr>
        <w:tab/>
      </w:r>
      <w:r>
        <w:t>For the purposes of subsection (1), the specified particulars are—</w:t>
      </w:r>
    </w:p>
    <w:p w14:paraId="02150A4B" w14:textId="77777777" w:rsidR="009D6C96" w:rsidRDefault="009D6C96">
      <w:pPr>
        <w:pStyle w:val="Apara"/>
      </w:pPr>
      <w:r>
        <w:tab/>
        <w:t>(a)</w:t>
      </w:r>
      <w:r>
        <w:tab/>
        <w:t>the name of the person whose registration has been affected;</w:t>
      </w:r>
    </w:p>
    <w:p w14:paraId="7C3890FF" w14:textId="77777777" w:rsidR="009D6C96" w:rsidRDefault="009D6C96">
      <w:pPr>
        <w:pStyle w:val="Apara"/>
      </w:pPr>
      <w:r>
        <w:tab/>
        <w:t>(b)</w:t>
      </w:r>
      <w:r>
        <w:tab/>
        <w:t>any other name known to the Chief Executive under which the person is carrying on business or has, during the period of his or her registration, carried on business;</w:t>
      </w:r>
    </w:p>
    <w:p w14:paraId="211F77DC" w14:textId="77777777" w:rsidR="009D6C96" w:rsidRDefault="009D6C96">
      <w:pPr>
        <w:pStyle w:val="Apara"/>
      </w:pPr>
      <w:r>
        <w:tab/>
        <w:t>(c)</w:t>
      </w:r>
      <w:r>
        <w:tab/>
        <w:t>the address or addresses at which the person is carrying on business or has, during the period of his or her registration, carried on business;</w:t>
      </w:r>
    </w:p>
    <w:p w14:paraId="4F45E8A5" w14:textId="77777777" w:rsidR="009D6C96" w:rsidRDefault="009D6C96">
      <w:pPr>
        <w:pStyle w:val="Apara"/>
      </w:pPr>
      <w:r>
        <w:tab/>
        <w:t>(d)</w:t>
      </w:r>
      <w:r>
        <w:tab/>
        <w:t>the nature of the decision;</w:t>
      </w:r>
    </w:p>
    <w:p w14:paraId="47FAE4D9" w14:textId="77777777" w:rsidR="009D6C96" w:rsidRDefault="009D6C96">
      <w:pPr>
        <w:pStyle w:val="Apara"/>
      </w:pPr>
      <w:r>
        <w:tab/>
        <w:t>(e)</w:t>
      </w:r>
      <w:r>
        <w:tab/>
        <w:t>the date on which the suspension or cancellation took effect and, in the case of a suspension, the period of suspension; and</w:t>
      </w:r>
    </w:p>
    <w:p w14:paraId="7F2A29AD" w14:textId="77777777" w:rsidR="009D6C96" w:rsidRDefault="009D6C96">
      <w:pPr>
        <w:pStyle w:val="Apara"/>
      </w:pPr>
      <w:r>
        <w:tab/>
        <w:t>(f)</w:t>
      </w:r>
      <w:r>
        <w:tab/>
        <w:t>the ground or grounds on which the decision was based.</w:t>
      </w:r>
    </w:p>
    <w:p w14:paraId="0F8DD1AE" w14:textId="77777777" w:rsidR="009D6C96" w:rsidRDefault="009D6C96">
      <w:pPr>
        <w:pStyle w:val="Amain"/>
      </w:pPr>
      <w:r>
        <w:rPr>
          <w:b/>
        </w:rPr>
        <w:t xml:space="preserve">(3)  </w:t>
      </w:r>
      <w:r>
        <w:rPr>
          <w:b/>
        </w:rPr>
        <w:tab/>
      </w:r>
      <w:r>
        <w:t>A notice shall not be published under subsection (1) unless—</w:t>
      </w:r>
    </w:p>
    <w:p w14:paraId="4EB1AF31" w14:textId="77777777" w:rsidR="009D6C96" w:rsidRDefault="009D6C96">
      <w:pPr>
        <w:pStyle w:val="Apara"/>
      </w:pPr>
      <w:r>
        <w:tab/>
        <w:t>(a)</w:t>
      </w:r>
      <w:r>
        <w:tab/>
        <w:t>the period of time or any extension of the period of time within which an application for review of, or appeal from, the Chief Executive’s decision may be made has expired; or</w:t>
      </w:r>
    </w:p>
    <w:p w14:paraId="119AC05F" w14:textId="77777777" w:rsidR="009D6C96" w:rsidRDefault="009D6C96">
      <w:pPr>
        <w:pStyle w:val="Apara"/>
      </w:pPr>
      <w:r>
        <w:tab/>
        <w:t>(b)</w:t>
      </w:r>
      <w:r>
        <w:tab/>
        <w:t>where an application for review or appeal has been made—</w:t>
      </w:r>
    </w:p>
    <w:p w14:paraId="78D2C09E" w14:textId="77777777" w:rsidR="009D6C96" w:rsidRDefault="009D6C96">
      <w:pPr>
        <w:pStyle w:val="Asubpara"/>
      </w:pPr>
      <w:r>
        <w:tab/>
        <w:t>(i)</w:t>
      </w:r>
      <w:r>
        <w:tab/>
        <w:t>the period of time within which any appeal or further appeal may be instituted has expired; or</w:t>
      </w:r>
    </w:p>
    <w:p w14:paraId="483471DF" w14:textId="77777777" w:rsidR="009D6C96" w:rsidRDefault="009D6C96">
      <w:pPr>
        <w:pStyle w:val="Asubpara"/>
      </w:pPr>
      <w:r>
        <w:lastRenderedPageBreak/>
        <w:tab/>
        <w:t>(ii)</w:t>
      </w:r>
      <w:r>
        <w:tab/>
        <w:t>an appeal or further appeal has been instituted and has been withdrawn or dismissed, and no further appeal is possible.</w:t>
      </w:r>
    </w:p>
    <w:p w14:paraId="1F01573F" w14:textId="77777777" w:rsidR="009D6C96" w:rsidRDefault="009D6C96">
      <w:pPr>
        <w:pStyle w:val="AH3sec"/>
      </w:pPr>
      <w:bookmarkStart w:id="334" w:name="_Toc418676558"/>
      <w:bookmarkStart w:id="335" w:name="_Toc418926573"/>
      <w:bookmarkStart w:id="336" w:name="_Toc418926661"/>
      <w:bookmarkStart w:id="337" w:name="_Toc418927032"/>
      <w:bookmarkStart w:id="338" w:name="_Toc428785011"/>
      <w:bookmarkStart w:id="339" w:name="_Toc428785546"/>
      <w:bookmarkStart w:id="340" w:name="_Toc429898055"/>
      <w:bookmarkStart w:id="341" w:name="_Toc429975955"/>
      <w:bookmarkStart w:id="342" w:name="_Toc430147761"/>
      <w:bookmarkStart w:id="343" w:name="_Toc435929574"/>
      <w:r>
        <w:t xml:space="preserve">24 </w:t>
      </w:r>
      <w:r>
        <w:tab/>
        <w:t>Removal of condition</w:t>
      </w:r>
      <w:bookmarkEnd w:id="334"/>
      <w:bookmarkEnd w:id="335"/>
      <w:bookmarkEnd w:id="336"/>
      <w:bookmarkEnd w:id="337"/>
      <w:bookmarkEnd w:id="338"/>
      <w:bookmarkEnd w:id="339"/>
      <w:bookmarkEnd w:id="340"/>
      <w:bookmarkEnd w:id="341"/>
      <w:bookmarkEnd w:id="342"/>
      <w:bookmarkEnd w:id="343"/>
    </w:p>
    <w:p w14:paraId="117CE08F" w14:textId="77777777" w:rsidR="009D6C96" w:rsidRDefault="009D6C96">
      <w:pPr>
        <w:pStyle w:val="Amain"/>
      </w:pPr>
      <w:r>
        <w:rPr>
          <w:b/>
        </w:rPr>
        <w:t xml:space="preserve">(1) </w:t>
      </w:r>
      <w:r>
        <w:rPr>
          <w:b/>
        </w:rPr>
        <w:tab/>
      </w:r>
      <w:r>
        <w:t>A registered construction practitioner on whose registration a condition has been imposed under subparagraph 22 (6) (a) (v) may apply to the Chief Executive in writing for removal of the condition.</w:t>
      </w:r>
    </w:p>
    <w:p w14:paraId="7EBF8B2A" w14:textId="77777777" w:rsidR="009D6C96" w:rsidRDefault="009D6C96">
      <w:pPr>
        <w:pStyle w:val="Amain"/>
      </w:pPr>
      <w:r>
        <w:rPr>
          <w:b/>
        </w:rPr>
        <w:t xml:space="preserve">(2) </w:t>
      </w:r>
      <w:r>
        <w:rPr>
          <w:b/>
        </w:rPr>
        <w:tab/>
      </w:r>
      <w:r>
        <w:t>The Chief Executive may, if satisfied that it is appropriate to do so, remove the condition.</w:t>
      </w:r>
    </w:p>
    <w:p w14:paraId="154AB376" w14:textId="77777777" w:rsidR="009D6C96" w:rsidRDefault="009D6C96">
      <w:pPr>
        <w:pStyle w:val="AH1Part"/>
      </w:pPr>
      <w:bookmarkStart w:id="344" w:name="_Toc428785012"/>
      <w:bookmarkStart w:id="345" w:name="_Toc428785547"/>
      <w:bookmarkStart w:id="346" w:name="_Toc429898056"/>
      <w:bookmarkStart w:id="347" w:name="_Toc429975956"/>
      <w:bookmarkStart w:id="348" w:name="_Toc430147762"/>
      <w:bookmarkStart w:id="349" w:name="_Toc435929575"/>
      <w:r>
        <w:br w:type="page"/>
      </w:r>
      <w:r>
        <w:lastRenderedPageBreak/>
        <w:t>part iv—limitation of liability</w:t>
      </w:r>
      <w:bookmarkEnd w:id="344"/>
      <w:bookmarkEnd w:id="345"/>
      <w:bookmarkEnd w:id="346"/>
      <w:bookmarkEnd w:id="347"/>
      <w:bookmarkEnd w:id="348"/>
      <w:bookmarkEnd w:id="349"/>
    </w:p>
    <w:p w14:paraId="6DD36A3D" w14:textId="77777777" w:rsidR="009D6C96" w:rsidRDefault="009D6C96">
      <w:pPr>
        <w:pStyle w:val="AH3sec"/>
      </w:pPr>
      <w:bookmarkStart w:id="350" w:name="_Toc428785013"/>
      <w:bookmarkStart w:id="351" w:name="_Toc428785548"/>
      <w:bookmarkStart w:id="352" w:name="_Toc429898057"/>
      <w:bookmarkStart w:id="353" w:name="_Toc429975957"/>
      <w:bookmarkStart w:id="354" w:name="_Toc430147763"/>
      <w:bookmarkStart w:id="355" w:name="_Toc435929576"/>
      <w:r>
        <w:t xml:space="preserve">25 </w:t>
      </w:r>
      <w:r>
        <w:tab/>
        <w:t>Interpretation</w:t>
      </w:r>
      <w:bookmarkEnd w:id="350"/>
      <w:bookmarkEnd w:id="351"/>
      <w:bookmarkEnd w:id="352"/>
      <w:bookmarkEnd w:id="353"/>
      <w:bookmarkEnd w:id="354"/>
      <w:bookmarkEnd w:id="355"/>
    </w:p>
    <w:p w14:paraId="629FA516" w14:textId="77777777" w:rsidR="009D6C96" w:rsidRDefault="009D6C96">
      <w:r>
        <w:tab/>
        <w:t>In this Part—</w:t>
      </w:r>
    </w:p>
    <w:p w14:paraId="218D31CF" w14:textId="77777777" w:rsidR="009D6C96" w:rsidRDefault="009D6C96">
      <w:pPr>
        <w:pStyle w:val="aDef"/>
      </w:pPr>
      <w:r>
        <w:t>“building action” means an action (including a counter-claim) for damages for loss or damage arising out of, or concerning—</w:t>
      </w:r>
    </w:p>
    <w:p w14:paraId="40BC8C7E" w14:textId="77777777" w:rsidR="009D6C96" w:rsidRDefault="009D6C96">
      <w:pPr>
        <w:pStyle w:val="Asubpara"/>
      </w:pPr>
      <w:r>
        <w:tab/>
        <w:t>(a)</w:t>
      </w:r>
      <w:r>
        <w:tab/>
        <w:t>defective building work;</w:t>
      </w:r>
    </w:p>
    <w:p w14:paraId="1C66A3C1" w14:textId="77777777" w:rsidR="009D6C96" w:rsidRDefault="009D6C96">
      <w:pPr>
        <w:pStyle w:val="Asubpara"/>
      </w:pPr>
      <w:r>
        <w:tab/>
        <w:t>(b)</w:t>
      </w:r>
      <w:r>
        <w:tab/>
        <w:t>defective construction work other than building work; or</w:t>
      </w:r>
    </w:p>
    <w:p w14:paraId="28A4DEC2" w14:textId="77777777" w:rsidR="009D6C96" w:rsidRDefault="009D6C96">
      <w:pPr>
        <w:pStyle w:val="Asubpara"/>
      </w:pPr>
      <w:r>
        <w:tab/>
        <w:t>(c)</w:t>
      </w:r>
      <w:r>
        <w:tab/>
        <w:t>the negligent performance by a registered construction practitioner of a function as a certifier under the</w:t>
      </w:r>
      <w:r>
        <w:rPr>
          <w:i/>
        </w:rPr>
        <w:t xml:space="preserve"> Building Act 1972</w:t>
      </w:r>
      <w:r>
        <w:t xml:space="preserve"> or a prescribed law, or the negligent failure to perform such a function;</w:t>
      </w:r>
    </w:p>
    <w:p w14:paraId="5802826E" w14:textId="77777777" w:rsidR="009D6C96" w:rsidRDefault="009D6C96">
      <w:pPr>
        <w:pStyle w:val="Aparareturn"/>
      </w:pPr>
      <w:r>
        <w:t>other than an action for damages for death or personal injury;</w:t>
      </w:r>
    </w:p>
    <w:p w14:paraId="73529A83" w14:textId="77777777" w:rsidR="009D6C96" w:rsidRDefault="009D6C96">
      <w:pPr>
        <w:pStyle w:val="aDef"/>
      </w:pPr>
      <w:r>
        <w:t>“building approval” has the same meaning as in the</w:t>
      </w:r>
      <w:r>
        <w:rPr>
          <w:i/>
        </w:rPr>
        <w:t xml:space="preserve"> Building Act 1972</w:t>
      </w:r>
      <w:r>
        <w:t>;</w:t>
      </w:r>
    </w:p>
    <w:p w14:paraId="42FE8AA7" w14:textId="77777777" w:rsidR="009D6C96" w:rsidRDefault="009D6C96">
      <w:pPr>
        <w:pStyle w:val="aDef"/>
      </w:pPr>
      <w:r>
        <w:t>“building work” means building work for the purposes of the</w:t>
      </w:r>
      <w:r>
        <w:rPr>
          <w:i/>
        </w:rPr>
        <w:t xml:space="preserve"> Building Act 1972</w:t>
      </w:r>
      <w:r>
        <w:t xml:space="preserve"> in respect of which a building approval has been issued after the commencement of this section.</w:t>
      </w:r>
    </w:p>
    <w:p w14:paraId="3A19F445" w14:textId="77777777" w:rsidR="009D6C96" w:rsidRDefault="009D6C96">
      <w:pPr>
        <w:pStyle w:val="AH3sec"/>
      </w:pPr>
      <w:bookmarkStart w:id="356" w:name="_Toc428785014"/>
      <w:bookmarkStart w:id="357" w:name="_Toc428785549"/>
      <w:bookmarkStart w:id="358" w:name="_Toc429898058"/>
      <w:bookmarkStart w:id="359" w:name="_Toc429975958"/>
      <w:bookmarkStart w:id="360" w:name="_Toc430147764"/>
      <w:bookmarkStart w:id="361" w:name="_Toc435929577"/>
      <w:r>
        <w:t xml:space="preserve">26 </w:t>
      </w:r>
      <w:r>
        <w:tab/>
        <w:t>Limit of liability of persons jointly or severally liable</w:t>
      </w:r>
      <w:bookmarkEnd w:id="356"/>
      <w:bookmarkEnd w:id="357"/>
      <w:bookmarkEnd w:id="358"/>
      <w:bookmarkEnd w:id="359"/>
      <w:bookmarkEnd w:id="360"/>
      <w:bookmarkEnd w:id="361"/>
    </w:p>
    <w:p w14:paraId="10BCDF79" w14:textId="77777777" w:rsidR="009D6C96" w:rsidRDefault="009D6C96">
      <w:pPr>
        <w:pStyle w:val="Amain"/>
      </w:pPr>
      <w:r>
        <w:rPr>
          <w:b/>
        </w:rPr>
        <w:t xml:space="preserve">(1) </w:t>
      </w:r>
      <w:r>
        <w:rPr>
          <w:b/>
        </w:rPr>
        <w:tab/>
      </w:r>
      <w:r>
        <w:t>A court that determines an award of damages in a building action shall give judgment against each defendant to the action who is found to be jointly or severally liable for the damage for such proportion of the total amount of the damages as the court considers to be just, having regard to the extent of that defendant’s responsibility for the loss or damage.</w:t>
      </w:r>
    </w:p>
    <w:p w14:paraId="38D5E7B8" w14:textId="77777777" w:rsidR="009D6C96" w:rsidRDefault="009D6C96">
      <w:pPr>
        <w:pStyle w:val="Amain"/>
      </w:pPr>
      <w:r>
        <w:rPr>
          <w:b/>
        </w:rPr>
        <w:t xml:space="preserve">(2) </w:t>
      </w:r>
      <w:r>
        <w:rPr>
          <w:b/>
        </w:rPr>
        <w:tab/>
      </w:r>
      <w:r>
        <w:t>Notwithstanding any other Act or any rule of law, the liability for damages of a person found to be jointly or severally liable for damages in a building action is limited to the amount for which judgment is given against that person.</w:t>
      </w:r>
    </w:p>
    <w:p w14:paraId="0127519E" w14:textId="77777777" w:rsidR="009D6C96" w:rsidRDefault="009D6C96">
      <w:pPr>
        <w:pStyle w:val="Amain"/>
      </w:pPr>
      <w:r>
        <w:rPr>
          <w:b/>
        </w:rPr>
        <w:t xml:space="preserve">(3) </w:t>
      </w:r>
      <w:r>
        <w:rPr>
          <w:b/>
        </w:rPr>
        <w:tab/>
      </w:r>
      <w:r>
        <w:t>A person found to be liable for a proportionate part of damages in accordance with subsection (1) in a building action is not liable to contribute to the damages apportioned to any other person in the action or to indemnify any other such person in respect of those damages.</w:t>
      </w:r>
    </w:p>
    <w:p w14:paraId="5C72D0B8" w14:textId="77777777" w:rsidR="009D6C96" w:rsidRDefault="009D6C96">
      <w:pPr>
        <w:pStyle w:val="IH6sec"/>
      </w:pPr>
      <w:r>
        <w:lastRenderedPageBreak/>
        <w:t>27</w:t>
      </w:r>
      <w:r>
        <w:tab/>
        <w:t>Limitation of liability for building actions</w:t>
      </w:r>
    </w:p>
    <w:p w14:paraId="3BBE1722" w14:textId="77777777" w:rsidR="009D6C96" w:rsidRDefault="009D6C96">
      <w:pPr>
        <w:pStyle w:val="Amain"/>
      </w:pPr>
      <w:r>
        <w:rPr>
          <w:b/>
        </w:rPr>
        <w:t>(1)</w:t>
      </w:r>
      <w:r>
        <w:tab/>
        <w:t>A building action may not be brought more than 10 years after—</w:t>
      </w:r>
    </w:p>
    <w:p w14:paraId="068A5510" w14:textId="77777777" w:rsidR="009D6C96" w:rsidRDefault="009D6C96">
      <w:pPr>
        <w:pStyle w:val="Apara"/>
      </w:pPr>
      <w:r>
        <w:tab/>
        <w:t>(a)</w:t>
      </w:r>
      <w:r>
        <w:tab/>
        <w:t>if a certificate of completion of the relevant building work has been given under paragraph 40 (1) (g) of the</w:t>
      </w:r>
      <w:r>
        <w:rPr>
          <w:i/>
        </w:rPr>
        <w:t xml:space="preserve"> Building Act 1972</w:t>
      </w:r>
      <w:r>
        <w:t>—the giving of the certificate; or</w:t>
      </w:r>
    </w:p>
    <w:p w14:paraId="03EDF4E6" w14:textId="77777777" w:rsidR="009D6C96" w:rsidRDefault="009D6C96">
      <w:pPr>
        <w:pStyle w:val="Apara"/>
      </w:pPr>
      <w:r>
        <w:tab/>
        <w:t>(b)</w:t>
      </w:r>
      <w:r>
        <w:tab/>
        <w:t>if paragraph (a) does not apply, but the certifier has, in the course or on completion of the building work, inspected it—the day when the last inspection took place; or</w:t>
      </w:r>
    </w:p>
    <w:p w14:paraId="5AD8C3DD" w14:textId="77777777" w:rsidR="009D6C96" w:rsidRDefault="009D6C96">
      <w:pPr>
        <w:pStyle w:val="Apara"/>
      </w:pPr>
      <w:r>
        <w:tab/>
        <w:t>(c)</w:t>
      </w:r>
      <w:r>
        <w:tab/>
        <w:t>if neither paragraph (a) nor paragraph (b) applies—the day when the relevant building was first occupied or used.</w:t>
      </w:r>
    </w:p>
    <w:p w14:paraId="48DEEAD9" w14:textId="77777777" w:rsidR="009D6C96" w:rsidRDefault="009D6C96">
      <w:pPr>
        <w:pStyle w:val="Amain"/>
      </w:pPr>
      <w:r>
        <w:rPr>
          <w:b/>
        </w:rPr>
        <w:t>(2)</w:t>
      </w:r>
      <w:r>
        <w:tab/>
        <w:t>If a certifier has given, in relation to the building work, a notice under section 32 of the</w:t>
      </w:r>
      <w:r>
        <w:rPr>
          <w:i/>
        </w:rPr>
        <w:t xml:space="preserve"> Building Act 1972</w:t>
      </w:r>
      <w:r>
        <w:t xml:space="preserve"> that his or her appointment as certifier has ceased or been revoked or relinquished, a building action in relation to the relevant building work may not be brought against the certifier more than 10 years after the giving of the notice.</w:t>
      </w:r>
    </w:p>
    <w:p w14:paraId="2AE46073" w14:textId="77777777" w:rsidR="009D6C96" w:rsidRDefault="009D6C96">
      <w:pPr>
        <w:pStyle w:val="Amain"/>
      </w:pPr>
      <w:r>
        <w:rPr>
          <w:b/>
        </w:rPr>
        <w:t>(3)</w:t>
      </w:r>
      <w:r>
        <w:tab/>
        <w:t>Subsections (1) and (2) do not apply to a building action for which another limitation period is prescribed by a Territory law that is less than the limitation period applying to the action under those subsections.</w:t>
      </w:r>
    </w:p>
    <w:p w14:paraId="1654D88C" w14:textId="77777777" w:rsidR="009D6C96" w:rsidRDefault="009D6C96">
      <w:pPr>
        <w:pStyle w:val="Amain"/>
      </w:pPr>
      <w:r>
        <w:rPr>
          <w:b/>
        </w:rPr>
        <w:t>(4)</w:t>
      </w:r>
      <w:r>
        <w:tab/>
        <w:t>In this section:</w:t>
      </w:r>
    </w:p>
    <w:p w14:paraId="50043240" w14:textId="77777777" w:rsidR="009D6C96" w:rsidRDefault="009D6C96">
      <w:pPr>
        <w:pStyle w:val="aDef"/>
      </w:pPr>
      <w:r>
        <w:rPr>
          <w:b/>
          <w:i/>
        </w:rPr>
        <w:t>building</w:t>
      </w:r>
      <w:r>
        <w:t>, in relation to building work that consists of, or includes, the alteration of a building, means the building as altered.</w:t>
      </w:r>
    </w:p>
    <w:p w14:paraId="4C088E5A" w14:textId="77777777" w:rsidR="009D6C96" w:rsidRDefault="009D6C96">
      <w:pPr>
        <w:pStyle w:val="AH1Part"/>
      </w:pPr>
      <w:bookmarkStart w:id="362" w:name="_Toc415386499"/>
      <w:bookmarkStart w:id="363" w:name="_Toc418676559"/>
      <w:bookmarkStart w:id="364" w:name="_Toc418926574"/>
      <w:bookmarkStart w:id="365" w:name="_Toc418926662"/>
      <w:bookmarkStart w:id="366" w:name="_Toc418927033"/>
      <w:bookmarkStart w:id="367" w:name="_Toc428785016"/>
      <w:bookmarkStart w:id="368" w:name="_Toc428785551"/>
      <w:bookmarkStart w:id="369" w:name="_Toc429898060"/>
      <w:bookmarkStart w:id="370" w:name="_Toc429975960"/>
      <w:bookmarkStart w:id="371" w:name="_Toc430147766"/>
      <w:bookmarkStart w:id="372" w:name="_Toc435929579"/>
      <w:r>
        <w:br w:type="page"/>
      </w:r>
      <w:r>
        <w:lastRenderedPageBreak/>
        <w:t>part v—miscellaneous</w:t>
      </w:r>
      <w:bookmarkEnd w:id="362"/>
      <w:bookmarkEnd w:id="363"/>
      <w:bookmarkEnd w:id="364"/>
      <w:bookmarkEnd w:id="365"/>
      <w:bookmarkEnd w:id="366"/>
      <w:bookmarkEnd w:id="367"/>
      <w:bookmarkEnd w:id="368"/>
      <w:bookmarkEnd w:id="369"/>
      <w:bookmarkEnd w:id="370"/>
      <w:bookmarkEnd w:id="371"/>
      <w:bookmarkEnd w:id="372"/>
    </w:p>
    <w:p w14:paraId="7F49E902" w14:textId="77777777" w:rsidR="009D6C96" w:rsidRDefault="009D6C96">
      <w:pPr>
        <w:pStyle w:val="AH3sec"/>
      </w:pPr>
      <w:r>
        <w:t>28</w:t>
      </w:r>
      <w:r>
        <w:tab/>
        <w:t>Review of decisions</w:t>
      </w:r>
    </w:p>
    <w:p w14:paraId="517CFB85" w14:textId="77777777" w:rsidR="009D6C96" w:rsidRDefault="009D6C96">
      <w:pPr>
        <w:pStyle w:val="Amain"/>
        <w:rPr>
          <w:i/>
        </w:rPr>
      </w:pPr>
      <w:r>
        <w:rPr>
          <w:b/>
        </w:rPr>
        <w:t xml:space="preserve">(1)  </w:t>
      </w:r>
      <w:r>
        <w:rPr>
          <w:b/>
        </w:rPr>
        <w:tab/>
      </w:r>
      <w:r>
        <w:t>Application may be made to the Administrative Appeals Tribunal for review of a decision of the Chief Executive—</w:t>
      </w:r>
    </w:p>
    <w:p w14:paraId="42C9F8A7" w14:textId="77777777" w:rsidR="009D6C96" w:rsidRDefault="009D6C96">
      <w:pPr>
        <w:pStyle w:val="Apara"/>
      </w:pPr>
      <w:r>
        <w:tab/>
        <w:t>(a)</w:t>
      </w:r>
      <w:r>
        <w:tab/>
        <w:t>refusing an application for registration in relation to a category of registration under subsection 7 (2);</w:t>
      </w:r>
    </w:p>
    <w:p w14:paraId="5955089E" w14:textId="77777777" w:rsidR="009D6C96" w:rsidRDefault="009D6C96">
      <w:pPr>
        <w:pStyle w:val="Apara"/>
      </w:pPr>
      <w:r>
        <w:tab/>
        <w:t>(b)</w:t>
      </w:r>
      <w:r>
        <w:tab/>
        <w:t>suspending the registration of a registered construction practitioner under subsection 21 (1);</w:t>
      </w:r>
    </w:p>
    <w:p w14:paraId="2E386918" w14:textId="77777777" w:rsidR="009D6C96" w:rsidRDefault="009D6C96">
      <w:pPr>
        <w:pStyle w:val="Apara"/>
      </w:pPr>
      <w:r>
        <w:tab/>
        <w:t>(c)</w:t>
      </w:r>
      <w:r>
        <w:tab/>
        <w:t xml:space="preserve">refusing to extend a period of time under subsection </w:t>
      </w:r>
      <w:r>
        <w:rPr>
          <w:color w:val="000080"/>
        </w:rPr>
        <w:t>22 (3);</w:t>
      </w:r>
    </w:p>
    <w:p w14:paraId="45249370" w14:textId="77777777" w:rsidR="009D6C96" w:rsidRDefault="009D6C96">
      <w:pPr>
        <w:pStyle w:val="Apara"/>
      </w:pPr>
      <w:r>
        <w:tab/>
        <w:t>(d)</w:t>
      </w:r>
      <w:r>
        <w:tab/>
        <w:t>cancelling the registration of a registered construction practitioner under subparagraph 22 (6) (a) (i);</w:t>
      </w:r>
    </w:p>
    <w:p w14:paraId="273901BC" w14:textId="77777777" w:rsidR="009D6C96" w:rsidRDefault="009D6C96">
      <w:pPr>
        <w:pStyle w:val="Apara"/>
      </w:pPr>
      <w:r>
        <w:tab/>
        <w:t>(e)</w:t>
      </w:r>
      <w:r>
        <w:tab/>
        <w:t>cancelling the registration of a registered construction practitioner in relation to a category of registration under subparagraph 22 (6) (a) (ii);</w:t>
      </w:r>
    </w:p>
    <w:p w14:paraId="51045F2A" w14:textId="77777777" w:rsidR="009D6C96" w:rsidRDefault="009D6C96">
      <w:pPr>
        <w:pStyle w:val="Apara"/>
      </w:pPr>
      <w:r>
        <w:tab/>
        <w:t>(f)</w:t>
      </w:r>
      <w:r>
        <w:tab/>
        <w:t>suspending the registration of a registered construction practitioner under subparagraph 22 (6) (a) (iii);</w:t>
      </w:r>
    </w:p>
    <w:p w14:paraId="2FC3AE3E" w14:textId="77777777" w:rsidR="009D6C96" w:rsidRDefault="009D6C96">
      <w:pPr>
        <w:pStyle w:val="Apara"/>
      </w:pPr>
      <w:r>
        <w:tab/>
        <w:t>(g)</w:t>
      </w:r>
      <w:r>
        <w:tab/>
        <w:t>suspending the registration of a registered construction practitioner in relation to a category of registration under subparagraph 22 (6) (a) (iv);</w:t>
      </w:r>
    </w:p>
    <w:p w14:paraId="01004E27" w14:textId="77777777" w:rsidR="009D6C96" w:rsidRPr="0064464D" w:rsidRDefault="009D6C96">
      <w:pPr>
        <w:pStyle w:val="Apara"/>
      </w:pPr>
      <w:r>
        <w:tab/>
        <w:t>(h)</w:t>
      </w:r>
      <w:r>
        <w:tab/>
        <w:t xml:space="preserve">imposing a condition on a registration under subparagraph </w:t>
      </w:r>
      <w:r w:rsidRPr="0064464D">
        <w:t>22 (6) (a) (v); or</w:t>
      </w:r>
    </w:p>
    <w:p w14:paraId="03C2E88B" w14:textId="77777777" w:rsidR="009D6C96" w:rsidRDefault="009D6C96">
      <w:pPr>
        <w:pStyle w:val="Apara"/>
      </w:pPr>
      <w:r>
        <w:tab/>
        <w:t>(i)</w:t>
      </w:r>
      <w:r>
        <w:tab/>
        <w:t xml:space="preserve">varying a condition on a registration under subparagraph </w:t>
      </w:r>
      <w:r w:rsidRPr="0064464D">
        <w:t>22</w:t>
      </w:r>
      <w:r>
        <w:rPr>
          <w:color w:val="000080"/>
        </w:rPr>
        <w:t xml:space="preserve"> </w:t>
      </w:r>
      <w:r w:rsidRPr="0064464D">
        <w:t>(6) (a) (v)</w:t>
      </w:r>
      <w:r>
        <w:rPr>
          <w:color w:val="000080"/>
        </w:rPr>
        <w:t>.</w:t>
      </w:r>
    </w:p>
    <w:p w14:paraId="675FBCB7" w14:textId="77777777" w:rsidR="009D6C96" w:rsidRDefault="009D6C96">
      <w:pPr>
        <w:pStyle w:val="Amain"/>
      </w:pPr>
      <w:r>
        <w:rPr>
          <w:b/>
        </w:rPr>
        <w:t xml:space="preserve">(2)  </w:t>
      </w:r>
      <w:r>
        <w:rPr>
          <w:b/>
        </w:rPr>
        <w:tab/>
      </w:r>
      <w:r>
        <w:t>Where a decision referred to in subsection (1) is made, the Chief Executive shall give notice in writing of the decision to the person affected by the decision.</w:t>
      </w:r>
    </w:p>
    <w:p w14:paraId="5ED7A1DC" w14:textId="77777777" w:rsidR="009D6C96" w:rsidRDefault="009D6C96">
      <w:pPr>
        <w:pStyle w:val="Amain"/>
      </w:pPr>
      <w:r>
        <w:rPr>
          <w:b/>
        </w:rPr>
        <w:t xml:space="preserve">(3)  </w:t>
      </w:r>
      <w:r>
        <w:rPr>
          <w:b/>
        </w:rPr>
        <w:tab/>
      </w:r>
      <w:r>
        <w:t>A notice under subsection (2) shall be in accordance with the requirements of the Code of Practice in force under subsection 25B (1) of the</w:t>
      </w:r>
      <w:r>
        <w:rPr>
          <w:i/>
        </w:rPr>
        <w:t xml:space="preserve"> Administrative Appeals Tribunal Act 1989</w:t>
      </w:r>
      <w:r>
        <w:t>.</w:t>
      </w:r>
    </w:p>
    <w:p w14:paraId="11696CA9" w14:textId="77777777" w:rsidR="009D6C96" w:rsidRDefault="009D6C96">
      <w:pPr>
        <w:pStyle w:val="AH3sec"/>
      </w:pPr>
      <w:bookmarkStart w:id="373" w:name="_Toc428785018"/>
      <w:bookmarkStart w:id="374" w:name="_Toc428785553"/>
      <w:bookmarkStart w:id="375" w:name="_Toc429898062"/>
      <w:bookmarkStart w:id="376" w:name="_Toc429975962"/>
      <w:bookmarkStart w:id="377" w:name="_Toc430147768"/>
      <w:bookmarkStart w:id="378" w:name="_Toc435929581"/>
      <w:r>
        <w:lastRenderedPageBreak/>
        <w:t xml:space="preserve">29 </w:t>
      </w:r>
      <w:r>
        <w:tab/>
        <w:t>Cancellation of insurance</w:t>
      </w:r>
      <w:bookmarkEnd w:id="373"/>
      <w:bookmarkEnd w:id="374"/>
      <w:bookmarkEnd w:id="375"/>
      <w:bookmarkEnd w:id="376"/>
      <w:bookmarkEnd w:id="377"/>
      <w:bookmarkEnd w:id="378"/>
    </w:p>
    <w:p w14:paraId="147A4CEA" w14:textId="77777777" w:rsidR="009D6C96" w:rsidRDefault="009D6C96">
      <w:r>
        <w:tab/>
        <w:t>An insurer who cancels a policy of insurance by virtue of which a registered construction practitioner is covered by insurance for the purposes of this Act shall notify the Chief Executive of the cancellation within 3 days of its occurrence.</w:t>
      </w:r>
    </w:p>
    <w:p w14:paraId="32E5655B" w14:textId="77777777" w:rsidR="009D6C96" w:rsidRDefault="009D6C96">
      <w:pPr>
        <w:pStyle w:val="AH3sec"/>
      </w:pPr>
      <w:bookmarkStart w:id="379" w:name="_Toc415386501"/>
      <w:bookmarkStart w:id="380" w:name="_Toc418676561"/>
      <w:bookmarkStart w:id="381" w:name="_Toc418926576"/>
      <w:bookmarkStart w:id="382" w:name="_Toc418926664"/>
      <w:bookmarkStart w:id="383" w:name="_Toc418927035"/>
      <w:bookmarkStart w:id="384" w:name="_Toc428785019"/>
      <w:bookmarkStart w:id="385" w:name="_Toc428785554"/>
      <w:bookmarkStart w:id="386" w:name="_Toc429898063"/>
      <w:bookmarkStart w:id="387" w:name="_Toc429975963"/>
      <w:bookmarkStart w:id="388" w:name="_Toc430147769"/>
      <w:bookmarkStart w:id="389" w:name="_Toc435929582"/>
      <w:r>
        <w:t xml:space="preserve">30  </w:t>
      </w:r>
      <w:r>
        <w:tab/>
        <w:t>Power of Minister to determine fees</w:t>
      </w:r>
      <w:bookmarkEnd w:id="379"/>
      <w:bookmarkEnd w:id="380"/>
      <w:bookmarkEnd w:id="381"/>
      <w:bookmarkEnd w:id="382"/>
      <w:bookmarkEnd w:id="383"/>
      <w:bookmarkEnd w:id="384"/>
      <w:bookmarkEnd w:id="385"/>
      <w:bookmarkEnd w:id="386"/>
      <w:bookmarkEnd w:id="387"/>
      <w:bookmarkEnd w:id="388"/>
      <w:bookmarkEnd w:id="389"/>
    </w:p>
    <w:p w14:paraId="256E1E51" w14:textId="77777777" w:rsidR="009D6C96" w:rsidRDefault="009D6C96">
      <w:pPr>
        <w:pStyle w:val="Amain"/>
      </w:pPr>
      <w:r>
        <w:tab/>
        <w:t>The Minister may, by instrument published in the</w:t>
      </w:r>
      <w:r>
        <w:rPr>
          <w:i/>
        </w:rPr>
        <w:t xml:space="preserve"> Gazette</w:t>
      </w:r>
      <w:r>
        <w:t>, determine fees, or manners for calculating fees, for the purposes of this Act.</w:t>
      </w:r>
    </w:p>
    <w:p w14:paraId="0C8DBD21" w14:textId="77777777" w:rsidR="009D6C96" w:rsidRDefault="009D6C96">
      <w:pPr>
        <w:pStyle w:val="AH3sec"/>
      </w:pPr>
      <w:bookmarkStart w:id="390" w:name="_Toc415386502"/>
      <w:bookmarkStart w:id="391" w:name="_Toc418676562"/>
      <w:bookmarkStart w:id="392" w:name="_Toc418926577"/>
      <w:bookmarkStart w:id="393" w:name="_Toc418926665"/>
      <w:bookmarkStart w:id="394" w:name="_Toc418927036"/>
      <w:bookmarkStart w:id="395" w:name="_Toc428785020"/>
      <w:bookmarkStart w:id="396" w:name="_Toc428785555"/>
      <w:bookmarkStart w:id="397" w:name="_Toc429898064"/>
      <w:bookmarkStart w:id="398" w:name="_Toc429975964"/>
      <w:bookmarkStart w:id="399" w:name="_Toc430147770"/>
      <w:bookmarkStart w:id="400" w:name="_Toc435929583"/>
      <w:r>
        <w:t xml:space="preserve">31  </w:t>
      </w:r>
      <w:r>
        <w:tab/>
        <w:t>Regulations</w:t>
      </w:r>
      <w:bookmarkEnd w:id="390"/>
      <w:bookmarkEnd w:id="391"/>
      <w:bookmarkEnd w:id="392"/>
      <w:bookmarkEnd w:id="393"/>
      <w:bookmarkEnd w:id="394"/>
      <w:bookmarkEnd w:id="395"/>
      <w:bookmarkEnd w:id="396"/>
      <w:bookmarkEnd w:id="397"/>
      <w:bookmarkEnd w:id="398"/>
      <w:bookmarkEnd w:id="399"/>
      <w:bookmarkEnd w:id="400"/>
    </w:p>
    <w:p w14:paraId="349D5B34" w14:textId="77777777" w:rsidR="009D6C96" w:rsidRDefault="009D6C96">
      <w:pPr>
        <w:pStyle w:val="Amain"/>
      </w:pPr>
      <w:r>
        <w:rPr>
          <w:b/>
        </w:rPr>
        <w:t xml:space="preserve">(1)  </w:t>
      </w:r>
      <w:r>
        <w:rPr>
          <w:b/>
        </w:rPr>
        <w:tab/>
      </w:r>
      <w:r>
        <w:t>The Executive may make regulations for the purposes of this Act.</w:t>
      </w:r>
    </w:p>
    <w:p w14:paraId="13C0A6EC" w14:textId="77777777" w:rsidR="009D6C96" w:rsidRDefault="009D6C96">
      <w:pPr>
        <w:pStyle w:val="Amain"/>
      </w:pPr>
      <w:r>
        <w:rPr>
          <w:b/>
        </w:rPr>
        <w:t xml:space="preserve">(2)  </w:t>
      </w:r>
      <w:r>
        <w:rPr>
          <w:b/>
        </w:rPr>
        <w:tab/>
      </w:r>
      <w:r>
        <w:t>Without limiting the generality of subsection (1), the regulations may prescribe—</w:t>
      </w:r>
    </w:p>
    <w:p w14:paraId="60D054B8" w14:textId="77777777" w:rsidR="009D6C96" w:rsidRDefault="009D6C96">
      <w:pPr>
        <w:pStyle w:val="Apara"/>
      </w:pPr>
      <w:r>
        <w:tab/>
        <w:t>(a)</w:t>
      </w:r>
      <w:r>
        <w:tab/>
        <w:t>in relation to any or all categories of registration—</w:t>
      </w:r>
    </w:p>
    <w:p w14:paraId="334EFE65" w14:textId="77777777" w:rsidR="009D6C96" w:rsidRDefault="009D6C96">
      <w:pPr>
        <w:pStyle w:val="Asubpara"/>
      </w:pPr>
      <w:r>
        <w:tab/>
        <w:t>(i)</w:t>
      </w:r>
      <w:r>
        <w:tab/>
        <w:t>the insurers with whom a registered construction practitioner who is registered in that category may effect insurance;</w:t>
      </w:r>
    </w:p>
    <w:p w14:paraId="78824394" w14:textId="77777777" w:rsidR="009D6C96" w:rsidRDefault="009D6C96">
      <w:pPr>
        <w:pStyle w:val="Asubpara"/>
      </w:pPr>
      <w:r>
        <w:tab/>
        <w:t>(ii)</w:t>
      </w:r>
      <w:r>
        <w:tab/>
        <w:t>the amount, or minimum amount, of insurance cover to be held by a registered construction practitioner, either in total or in relation to each category in which he or she is registered;</w:t>
      </w:r>
    </w:p>
    <w:p w14:paraId="38676B45" w14:textId="77777777" w:rsidR="009D6C96" w:rsidRDefault="009D6C96">
      <w:pPr>
        <w:pStyle w:val="Asubpara"/>
      </w:pPr>
      <w:r>
        <w:tab/>
        <w:t>(iii)</w:t>
      </w:r>
      <w:r>
        <w:tab/>
        <w:t>the amount, or maximum amount, of any excess applicable in relation to the insurance cover of a registered construction practitioner, including the amount or maximum amount applicable to each category of registration and the circumstances in which the amount or maximum amount may be varied; and</w:t>
      </w:r>
    </w:p>
    <w:p w14:paraId="728AFC1F" w14:textId="77777777" w:rsidR="009D6C96" w:rsidRDefault="009D6C96">
      <w:pPr>
        <w:pStyle w:val="Asubpara"/>
      </w:pPr>
      <w:r>
        <w:tab/>
        <w:t>(iv)</w:t>
      </w:r>
      <w:r>
        <w:tab/>
        <w:t>the terms or conditions of any policy of insurance for the purposes of this Act;</w:t>
      </w:r>
    </w:p>
    <w:p w14:paraId="58F72B18" w14:textId="77777777" w:rsidR="009D6C96" w:rsidRDefault="009D6C96">
      <w:pPr>
        <w:pStyle w:val="Apara"/>
      </w:pPr>
      <w:r>
        <w:tab/>
        <w:t>(b)</w:t>
      </w:r>
      <w:r>
        <w:tab/>
        <w:t>the information to be provided from time to time to the Chief Executive by a registered construction practitioner; and</w:t>
      </w:r>
    </w:p>
    <w:p w14:paraId="1D3D1F0C" w14:textId="77777777" w:rsidR="009D6C96" w:rsidRDefault="009D6C96">
      <w:pPr>
        <w:pStyle w:val="Apara"/>
      </w:pPr>
      <w:r>
        <w:tab/>
        <w:t>(c)</w:t>
      </w:r>
      <w:r>
        <w:tab/>
        <w:t>penalties not exceeding 10 penalty units for offences against the regulations.</w:t>
      </w:r>
    </w:p>
    <w:p w14:paraId="4CDCD558" w14:textId="77777777" w:rsidR="009D6C96" w:rsidRDefault="009D6C96">
      <w:pPr>
        <w:pStyle w:val="AH3sec"/>
      </w:pPr>
      <w:bookmarkStart w:id="401" w:name="_Toc428785021"/>
      <w:bookmarkStart w:id="402" w:name="_Toc428785556"/>
      <w:bookmarkStart w:id="403" w:name="_Toc429898065"/>
      <w:bookmarkStart w:id="404" w:name="_Toc429975965"/>
      <w:bookmarkStart w:id="405" w:name="_Toc430147771"/>
      <w:bookmarkStart w:id="406" w:name="_Toc435929584"/>
      <w:r>
        <w:lastRenderedPageBreak/>
        <w:t>32</w:t>
      </w:r>
      <w:r>
        <w:rPr>
          <w:b w:val="0"/>
          <w:position w:val="10"/>
          <w:sz w:val="12"/>
        </w:rPr>
        <w:t>3</w:t>
      </w:r>
      <w:r>
        <w:t xml:space="preserve"> </w:t>
      </w:r>
      <w:r>
        <w:tab/>
        <w:t>Amendment of the Law Reform (Miscellaneous Provisions) Act</w:t>
      </w:r>
      <w:bookmarkEnd w:id="401"/>
      <w:bookmarkEnd w:id="402"/>
      <w:bookmarkEnd w:id="403"/>
      <w:bookmarkEnd w:id="404"/>
      <w:bookmarkEnd w:id="405"/>
      <w:bookmarkEnd w:id="406"/>
    </w:p>
    <w:p w14:paraId="4EF15D78" w14:textId="77777777" w:rsidR="009D6C96" w:rsidRDefault="009D6C96">
      <w:pPr>
        <w:tabs>
          <w:tab w:val="left" w:pos="900"/>
          <w:tab w:val="left" w:pos="2000"/>
          <w:tab w:val="left" w:pos="3000"/>
          <w:tab w:val="left" w:pos="4000"/>
          <w:tab w:val="left" w:pos="5000"/>
          <w:tab w:val="left" w:pos="6200"/>
        </w:tabs>
        <w:spacing w:before="260"/>
      </w:pPr>
      <w:r>
        <w:tab/>
        <w:t>*</w:t>
      </w:r>
      <w:r>
        <w:tab/>
        <w:t>*</w:t>
      </w:r>
      <w:r>
        <w:tab/>
        <w:t>*</w:t>
      </w:r>
      <w:r>
        <w:tab/>
        <w:t>*</w:t>
      </w:r>
      <w:r>
        <w:tab/>
        <w:t>*</w:t>
      </w:r>
      <w:r>
        <w:tab/>
        <w:t>*</w:t>
      </w:r>
    </w:p>
    <w:p w14:paraId="1C9BAFE5" w14:textId="77777777" w:rsidR="009D6C96" w:rsidRDefault="009D6C96">
      <w:pPr>
        <w:pBdr>
          <w:bottom w:val="single" w:sz="6" w:space="1" w:color="auto"/>
        </w:pBdr>
        <w:ind w:left="2760" w:right="2987"/>
        <w:jc w:val="center"/>
      </w:pPr>
    </w:p>
    <w:p w14:paraId="1BB79BDE" w14:textId="77777777" w:rsidR="009D6C96" w:rsidRDefault="009D6C96">
      <w:pPr>
        <w:spacing w:before="260" w:after="160"/>
        <w:jc w:val="center"/>
        <w:rPr>
          <w:rFonts w:ascii="Helvetica" w:hAnsi="Helvetica"/>
          <w:b/>
          <w:sz w:val="20"/>
        </w:rPr>
      </w:pPr>
      <w:r>
        <w:rPr>
          <w:rFonts w:ascii="Helvetica" w:hAnsi="Helvetica"/>
          <w:b/>
          <w:sz w:val="20"/>
        </w:rPr>
        <w:br w:type="page"/>
      </w:r>
      <w:r>
        <w:rPr>
          <w:rFonts w:ascii="Helvetica" w:hAnsi="Helvetica"/>
          <w:b/>
          <w:sz w:val="20"/>
        </w:rPr>
        <w:lastRenderedPageBreak/>
        <w:t>NOTES</w:t>
      </w:r>
    </w:p>
    <w:p w14:paraId="6DE3458C" w14:textId="77777777" w:rsidR="009D6C96" w:rsidRDefault="009D6C96">
      <w:pPr>
        <w:ind w:left="260" w:hanging="260"/>
        <w:rPr>
          <w:rFonts w:ascii="Helvetica" w:hAnsi="Helvetica"/>
          <w:color w:val="000000"/>
          <w:sz w:val="18"/>
        </w:rPr>
      </w:pPr>
      <w:r>
        <w:rPr>
          <w:rFonts w:ascii="Helvetica" w:hAnsi="Helvetica"/>
          <w:color w:val="000000"/>
          <w:sz w:val="18"/>
        </w:rPr>
        <w:t>1.</w:t>
      </w:r>
      <w:r>
        <w:rPr>
          <w:rFonts w:ascii="Helvetica" w:hAnsi="Helvetica"/>
          <w:color w:val="000000"/>
          <w:sz w:val="18"/>
        </w:rPr>
        <w:tab/>
        <w:t xml:space="preserve">The </w:t>
      </w:r>
      <w:r>
        <w:rPr>
          <w:rFonts w:ascii="Helvetica" w:hAnsi="Helvetica"/>
          <w:i/>
          <w:color w:val="000000"/>
          <w:sz w:val="18"/>
        </w:rPr>
        <w:t>Legislation (Republication) Act 1996</w:t>
      </w:r>
      <w:r>
        <w:rPr>
          <w:rFonts w:ascii="Helvetica" w:hAnsi="Helvetica"/>
          <w:color w:val="000000"/>
          <w:sz w:val="18"/>
        </w:rPr>
        <w:t xml:space="preserve"> (No. 51, 1996) authorises the Parliamentary Counsel in preparing a law for republication, to make certain editorial and other formal amendments in accordance with current legislative drafting practice.  Those amendments make no change in the law.  Amendments made pursuant to that Act do not appear in the Table of Amendments but details may be obtained on request from the Parliamentary Counsel’s Office. </w:t>
      </w:r>
    </w:p>
    <w:p w14:paraId="42F00B03" w14:textId="77777777" w:rsidR="009D6C96" w:rsidRDefault="009D6C96">
      <w:pPr>
        <w:ind w:left="260" w:hanging="260"/>
        <w:rPr>
          <w:rFonts w:ascii="Helvetica" w:hAnsi="Helvetica"/>
          <w:sz w:val="18"/>
        </w:rPr>
      </w:pPr>
      <w:r>
        <w:rPr>
          <w:rFonts w:ascii="Helvetica" w:hAnsi="Helvetica"/>
          <w:sz w:val="18"/>
        </w:rPr>
        <w:t>2.</w:t>
      </w:r>
      <w:r>
        <w:rPr>
          <w:rFonts w:ascii="Helvetica" w:hAnsi="Helvetica"/>
          <w:sz w:val="18"/>
        </w:rPr>
        <w:tab/>
        <w:t xml:space="preserve">S. 32—The amendment made by section 32 is an amendment to the </w:t>
      </w:r>
      <w:r>
        <w:rPr>
          <w:rFonts w:ascii="Helvetica" w:hAnsi="Helvetica"/>
          <w:i/>
          <w:sz w:val="18"/>
        </w:rPr>
        <w:t>Law Reform (Miscellaneous Provisions) Act 1955</w:t>
      </w:r>
      <w:r>
        <w:rPr>
          <w:rFonts w:ascii="Helvetica" w:hAnsi="Helvetica"/>
          <w:sz w:val="18"/>
        </w:rPr>
        <w:t xml:space="preserve"> which is available separately.</w:t>
      </w:r>
    </w:p>
    <w:p w14:paraId="0DE35560" w14:textId="77777777" w:rsidR="009D6C96" w:rsidRDefault="009D6C96">
      <w:pPr>
        <w:spacing w:before="200" w:after="120"/>
        <w:ind w:right="20"/>
        <w:jc w:val="center"/>
        <w:rPr>
          <w:rFonts w:ascii="Helvetica" w:hAnsi="Helvetica"/>
          <w:b/>
          <w:sz w:val="20"/>
        </w:rPr>
      </w:pPr>
      <w:r>
        <w:rPr>
          <w:rFonts w:ascii="Helvetica" w:hAnsi="Helvetica"/>
          <w:b/>
          <w:sz w:val="20"/>
        </w:rPr>
        <w:t>Table of Acts</w:t>
      </w:r>
    </w:p>
    <w:tbl>
      <w:tblPr>
        <w:tblW w:w="0" w:type="auto"/>
        <w:tblInd w:w="80" w:type="dxa"/>
        <w:tblLayout w:type="fixed"/>
        <w:tblCellMar>
          <w:left w:w="80" w:type="dxa"/>
          <w:right w:w="80" w:type="dxa"/>
        </w:tblCellMar>
        <w:tblLook w:val="0000" w:firstRow="0" w:lastRow="0" w:firstColumn="0" w:lastColumn="0" w:noHBand="0" w:noVBand="0"/>
      </w:tblPr>
      <w:tblGrid>
        <w:gridCol w:w="2160"/>
        <w:gridCol w:w="1440"/>
        <w:gridCol w:w="1320"/>
        <w:gridCol w:w="1560"/>
        <w:gridCol w:w="1080"/>
      </w:tblGrid>
      <w:tr w:rsidR="009D6C96" w14:paraId="28BAF63E" w14:textId="77777777">
        <w:trPr>
          <w:cantSplit/>
        </w:trPr>
        <w:tc>
          <w:tcPr>
            <w:tcW w:w="2160" w:type="dxa"/>
            <w:tcBorders>
              <w:top w:val="single" w:sz="6" w:space="0" w:color="auto"/>
            </w:tcBorders>
          </w:tcPr>
          <w:p w14:paraId="654EEAD6" w14:textId="77777777" w:rsidR="009D6C96" w:rsidRDefault="009D6C96">
            <w:pPr>
              <w:spacing w:before="200" w:after="100"/>
              <w:ind w:left="-80" w:firstLine="120"/>
              <w:rPr>
                <w:rFonts w:ascii="Helvetica" w:hAnsi="Helvetica"/>
                <w:sz w:val="16"/>
              </w:rPr>
            </w:pPr>
            <w:r>
              <w:rPr>
                <w:rFonts w:ascii="Helvetica" w:hAnsi="Helvetica"/>
                <w:sz w:val="16"/>
              </w:rPr>
              <w:t>Act†</w:t>
            </w:r>
          </w:p>
        </w:tc>
        <w:tc>
          <w:tcPr>
            <w:tcW w:w="1440" w:type="dxa"/>
            <w:tcBorders>
              <w:top w:val="single" w:sz="6" w:space="0" w:color="auto"/>
            </w:tcBorders>
          </w:tcPr>
          <w:p w14:paraId="1F93FEF8" w14:textId="77777777" w:rsidR="009D6C96" w:rsidRDefault="009D6C96">
            <w:pPr>
              <w:spacing w:before="100" w:after="100"/>
              <w:jc w:val="left"/>
              <w:rPr>
                <w:rFonts w:ascii="Helvetica" w:hAnsi="Helvetica"/>
                <w:sz w:val="16"/>
              </w:rPr>
            </w:pPr>
            <w:r>
              <w:rPr>
                <w:rFonts w:ascii="Helvetica" w:hAnsi="Helvetica"/>
                <w:sz w:val="16"/>
              </w:rPr>
              <w:t>Year and number†</w:t>
            </w:r>
          </w:p>
        </w:tc>
        <w:tc>
          <w:tcPr>
            <w:tcW w:w="1320" w:type="dxa"/>
            <w:tcBorders>
              <w:top w:val="single" w:sz="6" w:space="0" w:color="auto"/>
            </w:tcBorders>
          </w:tcPr>
          <w:p w14:paraId="0BA920CD" w14:textId="77777777" w:rsidR="009D6C96" w:rsidRDefault="009D6C96">
            <w:pPr>
              <w:spacing w:before="100" w:after="0"/>
              <w:rPr>
                <w:rFonts w:ascii="Helvetica" w:hAnsi="Helvetica"/>
                <w:sz w:val="16"/>
              </w:rPr>
            </w:pPr>
            <w:r>
              <w:rPr>
                <w:rFonts w:ascii="Helvetica" w:hAnsi="Helvetica"/>
                <w:sz w:val="16"/>
              </w:rPr>
              <w:t>Gazette</w:t>
            </w:r>
          </w:p>
          <w:p w14:paraId="725C0E7E" w14:textId="77777777" w:rsidR="009D6C96" w:rsidRDefault="009D6C96">
            <w:pPr>
              <w:spacing w:before="0" w:after="0"/>
              <w:rPr>
                <w:rFonts w:ascii="Helvetica" w:hAnsi="Helvetica"/>
                <w:sz w:val="16"/>
              </w:rPr>
            </w:pPr>
            <w:r>
              <w:rPr>
                <w:rFonts w:ascii="Helvetica" w:hAnsi="Helvetica"/>
                <w:sz w:val="16"/>
              </w:rPr>
              <w:t>notification</w:t>
            </w:r>
          </w:p>
        </w:tc>
        <w:tc>
          <w:tcPr>
            <w:tcW w:w="1560" w:type="dxa"/>
            <w:tcBorders>
              <w:top w:val="single" w:sz="6" w:space="0" w:color="auto"/>
            </w:tcBorders>
          </w:tcPr>
          <w:p w14:paraId="50A4F68D" w14:textId="77777777" w:rsidR="009D6C96" w:rsidRDefault="009D6C96">
            <w:pPr>
              <w:spacing w:before="200" w:after="0"/>
              <w:rPr>
                <w:rFonts w:ascii="Helvetica" w:hAnsi="Helvetica"/>
                <w:sz w:val="16"/>
              </w:rPr>
            </w:pPr>
            <w:r>
              <w:rPr>
                <w:rFonts w:ascii="Helvetica" w:hAnsi="Helvetica"/>
                <w:sz w:val="16"/>
              </w:rPr>
              <w:t>Commencement</w:t>
            </w:r>
          </w:p>
        </w:tc>
        <w:tc>
          <w:tcPr>
            <w:tcW w:w="1080" w:type="dxa"/>
            <w:tcBorders>
              <w:top w:val="single" w:sz="6" w:space="0" w:color="auto"/>
            </w:tcBorders>
          </w:tcPr>
          <w:p w14:paraId="639365F3" w14:textId="77777777" w:rsidR="009D6C96" w:rsidRDefault="009D6C96">
            <w:pPr>
              <w:spacing w:before="100" w:after="100"/>
              <w:jc w:val="right"/>
              <w:rPr>
                <w:rFonts w:ascii="Helvetica" w:hAnsi="Helvetica"/>
                <w:sz w:val="16"/>
              </w:rPr>
            </w:pPr>
            <w:r>
              <w:rPr>
                <w:rFonts w:ascii="Helvetica" w:hAnsi="Helvetica"/>
                <w:sz w:val="16"/>
              </w:rPr>
              <w:t>Transitional provisions</w:t>
            </w:r>
          </w:p>
        </w:tc>
      </w:tr>
      <w:tr w:rsidR="009D6C96" w14:paraId="040A9A92" w14:textId="77777777">
        <w:trPr>
          <w:cantSplit/>
        </w:trPr>
        <w:tc>
          <w:tcPr>
            <w:tcW w:w="2160" w:type="dxa"/>
            <w:tcBorders>
              <w:top w:val="single" w:sz="6" w:space="0" w:color="auto"/>
              <w:bottom w:val="single" w:sz="4" w:space="0" w:color="auto"/>
            </w:tcBorders>
          </w:tcPr>
          <w:p w14:paraId="27856FA2" w14:textId="77777777" w:rsidR="009D6C96" w:rsidRDefault="009D6C96">
            <w:pPr>
              <w:spacing w:before="0" w:after="0"/>
              <w:ind w:left="280" w:hanging="240"/>
              <w:jc w:val="left"/>
              <w:rPr>
                <w:rFonts w:ascii="Helvetica" w:hAnsi="Helvetica"/>
                <w:i/>
                <w:sz w:val="16"/>
              </w:rPr>
            </w:pPr>
            <w:r>
              <w:rPr>
                <w:rFonts w:ascii="Helvetica" w:hAnsi="Helvetica"/>
                <w:i/>
                <w:sz w:val="16"/>
              </w:rPr>
              <w:t>Construction Practitioners Registration Act 1998</w:t>
            </w:r>
          </w:p>
        </w:tc>
        <w:tc>
          <w:tcPr>
            <w:tcW w:w="1440" w:type="dxa"/>
            <w:tcBorders>
              <w:top w:val="single" w:sz="6" w:space="0" w:color="auto"/>
              <w:bottom w:val="single" w:sz="4" w:space="0" w:color="auto"/>
            </w:tcBorders>
          </w:tcPr>
          <w:p w14:paraId="45185BCA" w14:textId="77777777" w:rsidR="009D6C96" w:rsidRDefault="009D6C96">
            <w:pPr>
              <w:spacing w:before="0" w:after="0"/>
              <w:jc w:val="left"/>
              <w:rPr>
                <w:rFonts w:ascii="Helvetica" w:hAnsi="Helvetica"/>
                <w:sz w:val="16"/>
              </w:rPr>
            </w:pPr>
            <w:r>
              <w:rPr>
                <w:rFonts w:ascii="Helvetica" w:hAnsi="Helvetica"/>
                <w:sz w:val="16"/>
              </w:rPr>
              <w:t>1998 No 53</w:t>
            </w:r>
          </w:p>
        </w:tc>
        <w:tc>
          <w:tcPr>
            <w:tcW w:w="1320" w:type="dxa"/>
            <w:tcBorders>
              <w:top w:val="single" w:sz="6" w:space="0" w:color="auto"/>
              <w:bottom w:val="single" w:sz="4" w:space="0" w:color="auto"/>
            </w:tcBorders>
          </w:tcPr>
          <w:p w14:paraId="5286283A" w14:textId="77777777" w:rsidR="009D6C96" w:rsidRDefault="009D6C96">
            <w:pPr>
              <w:spacing w:before="0" w:after="0"/>
              <w:jc w:val="left"/>
              <w:rPr>
                <w:rFonts w:ascii="Helvetica" w:hAnsi="Helvetica"/>
                <w:sz w:val="16"/>
              </w:rPr>
            </w:pPr>
            <w:r>
              <w:rPr>
                <w:rFonts w:ascii="Helvetica" w:hAnsi="Helvetica"/>
                <w:sz w:val="16"/>
              </w:rPr>
              <w:t>16 Nov 1998</w:t>
            </w:r>
          </w:p>
        </w:tc>
        <w:tc>
          <w:tcPr>
            <w:tcW w:w="1560" w:type="dxa"/>
            <w:tcBorders>
              <w:top w:val="single" w:sz="6" w:space="0" w:color="auto"/>
              <w:bottom w:val="single" w:sz="4" w:space="0" w:color="auto"/>
            </w:tcBorders>
          </w:tcPr>
          <w:p w14:paraId="7FC21CB9" w14:textId="77777777" w:rsidR="009D6C96" w:rsidRDefault="009D6C96">
            <w:pPr>
              <w:spacing w:before="0" w:after="0"/>
              <w:jc w:val="left"/>
              <w:rPr>
                <w:rFonts w:ascii="Helvetica" w:hAnsi="Helvetica"/>
                <w:sz w:val="16"/>
              </w:rPr>
            </w:pPr>
            <w:r>
              <w:rPr>
                <w:rFonts w:ascii="Helvetica" w:hAnsi="Helvetica"/>
                <w:sz w:val="16"/>
              </w:rPr>
              <w:t>ss 1 and 2:  16 Nov 1998</w:t>
            </w:r>
            <w:r>
              <w:rPr>
                <w:rFonts w:ascii="Helvetica" w:hAnsi="Helvetica"/>
                <w:sz w:val="16"/>
              </w:rPr>
              <w:br/>
              <w:t>remainder:  18 Dec 1998 (see Gaz 1998 No S213)</w:t>
            </w:r>
          </w:p>
        </w:tc>
        <w:tc>
          <w:tcPr>
            <w:tcW w:w="1080" w:type="dxa"/>
            <w:tcBorders>
              <w:top w:val="single" w:sz="6" w:space="0" w:color="auto"/>
              <w:bottom w:val="single" w:sz="4" w:space="0" w:color="auto"/>
            </w:tcBorders>
          </w:tcPr>
          <w:p w14:paraId="54D4D560" w14:textId="77777777" w:rsidR="009D6C96" w:rsidRDefault="009D6C96">
            <w:pPr>
              <w:spacing w:before="0" w:after="0"/>
              <w:jc w:val="right"/>
              <w:rPr>
                <w:rFonts w:ascii="Helvetica" w:hAnsi="Helvetica"/>
                <w:sz w:val="16"/>
              </w:rPr>
            </w:pPr>
          </w:p>
        </w:tc>
      </w:tr>
      <w:tr w:rsidR="009D6C96" w14:paraId="20396C6A" w14:textId="77777777">
        <w:trPr>
          <w:cantSplit/>
        </w:trPr>
        <w:tc>
          <w:tcPr>
            <w:tcW w:w="2160" w:type="dxa"/>
            <w:tcBorders>
              <w:top w:val="single" w:sz="6" w:space="0" w:color="auto"/>
              <w:bottom w:val="single" w:sz="4" w:space="0" w:color="auto"/>
            </w:tcBorders>
          </w:tcPr>
          <w:p w14:paraId="25D88C96" w14:textId="77777777" w:rsidR="009D6C96" w:rsidRDefault="009D6C96">
            <w:pPr>
              <w:spacing w:before="0" w:after="0"/>
              <w:ind w:left="280" w:hanging="240"/>
              <w:jc w:val="left"/>
              <w:rPr>
                <w:rFonts w:ascii="Helvetica" w:hAnsi="Helvetica"/>
                <w:i/>
                <w:sz w:val="16"/>
              </w:rPr>
            </w:pPr>
            <w:r>
              <w:rPr>
                <w:rFonts w:ascii="Helvetica" w:hAnsi="Helvetica"/>
                <w:i/>
                <w:sz w:val="16"/>
              </w:rPr>
              <w:t>Construction Practitioners Registration Amendment Act 2000</w:t>
            </w:r>
          </w:p>
        </w:tc>
        <w:tc>
          <w:tcPr>
            <w:tcW w:w="1440" w:type="dxa"/>
            <w:tcBorders>
              <w:top w:val="single" w:sz="6" w:space="0" w:color="auto"/>
              <w:bottom w:val="single" w:sz="4" w:space="0" w:color="auto"/>
            </w:tcBorders>
          </w:tcPr>
          <w:p w14:paraId="7F961D25" w14:textId="77777777" w:rsidR="009D6C96" w:rsidRDefault="009D6C96">
            <w:pPr>
              <w:spacing w:before="0" w:after="0"/>
              <w:jc w:val="left"/>
              <w:rPr>
                <w:rFonts w:ascii="Helvetica" w:hAnsi="Helvetica"/>
                <w:sz w:val="16"/>
              </w:rPr>
            </w:pPr>
            <w:r>
              <w:rPr>
                <w:rFonts w:ascii="Helvetica" w:hAnsi="Helvetica"/>
                <w:sz w:val="16"/>
              </w:rPr>
              <w:t>2000 No 83</w:t>
            </w:r>
          </w:p>
        </w:tc>
        <w:tc>
          <w:tcPr>
            <w:tcW w:w="1320" w:type="dxa"/>
            <w:tcBorders>
              <w:top w:val="single" w:sz="6" w:space="0" w:color="auto"/>
              <w:bottom w:val="single" w:sz="4" w:space="0" w:color="auto"/>
            </w:tcBorders>
          </w:tcPr>
          <w:p w14:paraId="3CE91FA9" w14:textId="77777777" w:rsidR="009D6C96" w:rsidRDefault="009D6C96">
            <w:pPr>
              <w:spacing w:before="0" w:after="0"/>
              <w:jc w:val="left"/>
              <w:rPr>
                <w:rFonts w:ascii="Helvetica" w:hAnsi="Helvetica"/>
                <w:sz w:val="16"/>
              </w:rPr>
            </w:pPr>
            <w:r>
              <w:rPr>
                <w:rFonts w:ascii="Helvetica" w:hAnsi="Helvetica"/>
                <w:sz w:val="16"/>
              </w:rPr>
              <w:t>21 Dec 2000</w:t>
            </w:r>
          </w:p>
        </w:tc>
        <w:tc>
          <w:tcPr>
            <w:tcW w:w="1560" w:type="dxa"/>
            <w:tcBorders>
              <w:top w:val="single" w:sz="6" w:space="0" w:color="auto"/>
              <w:bottom w:val="single" w:sz="4" w:space="0" w:color="auto"/>
            </w:tcBorders>
          </w:tcPr>
          <w:p w14:paraId="56705CC0" w14:textId="77777777" w:rsidR="009D6C96" w:rsidRDefault="009D6C96">
            <w:pPr>
              <w:spacing w:before="0" w:after="0"/>
              <w:jc w:val="left"/>
              <w:rPr>
                <w:rFonts w:ascii="Helvetica" w:hAnsi="Helvetica"/>
                <w:sz w:val="16"/>
              </w:rPr>
            </w:pPr>
            <w:r>
              <w:rPr>
                <w:rFonts w:ascii="Helvetica" w:hAnsi="Helvetica"/>
                <w:sz w:val="16"/>
              </w:rPr>
              <w:t>ss 1 and 2:  21 Dec 2000</w:t>
            </w:r>
            <w:r>
              <w:rPr>
                <w:rFonts w:ascii="Helvetica" w:hAnsi="Helvetica"/>
                <w:sz w:val="16"/>
              </w:rPr>
              <w:br/>
              <w:t>remainder:  15 Feb 2001 (see Gaz 2001 No 7 p 192)</w:t>
            </w:r>
            <w:r>
              <w:rPr>
                <w:rFonts w:ascii="Helvetica" w:hAnsi="Helvetica"/>
                <w:sz w:val="16"/>
              </w:rPr>
              <w:br/>
            </w:r>
          </w:p>
        </w:tc>
        <w:tc>
          <w:tcPr>
            <w:tcW w:w="1080" w:type="dxa"/>
            <w:tcBorders>
              <w:top w:val="single" w:sz="6" w:space="0" w:color="auto"/>
              <w:bottom w:val="single" w:sz="4" w:space="0" w:color="auto"/>
            </w:tcBorders>
          </w:tcPr>
          <w:p w14:paraId="2FA32118" w14:textId="77777777" w:rsidR="009D6C96" w:rsidRDefault="009D6C96">
            <w:pPr>
              <w:spacing w:before="0" w:after="0"/>
              <w:jc w:val="right"/>
              <w:rPr>
                <w:rFonts w:ascii="Helvetica" w:hAnsi="Helvetica"/>
                <w:sz w:val="16"/>
              </w:rPr>
            </w:pPr>
            <w:r>
              <w:rPr>
                <w:rFonts w:ascii="Helvetica" w:hAnsi="Helvetica"/>
                <w:sz w:val="16"/>
              </w:rPr>
              <w:t>—</w:t>
            </w:r>
          </w:p>
        </w:tc>
      </w:tr>
    </w:tbl>
    <w:p w14:paraId="5600D80D" w14:textId="77777777" w:rsidR="009D6C96" w:rsidRDefault="009D6C96">
      <w:pPr>
        <w:spacing w:before="0" w:after="0"/>
        <w:ind w:left="140" w:right="20"/>
        <w:rPr>
          <w:rFonts w:ascii="Helvetica" w:hAnsi="Helvetica"/>
          <w:sz w:val="8"/>
        </w:rPr>
      </w:pPr>
    </w:p>
    <w:p w14:paraId="796D57BD" w14:textId="77777777" w:rsidR="009D6C96" w:rsidRDefault="009D6C96">
      <w:pPr>
        <w:spacing w:before="20" w:after="20"/>
        <w:rPr>
          <w:rFonts w:ascii="Helvetica" w:hAnsi="Helvetica"/>
        </w:rPr>
        <w:sectPr w:rsidR="009D6C96">
          <w:headerReference w:type="even" r:id="rId17"/>
          <w:headerReference w:type="default" r:id="rId18"/>
          <w:footerReference w:type="default" r:id="rId19"/>
          <w:headerReference w:type="first" r:id="rId20"/>
          <w:pgSz w:w="11907" w:h="16839"/>
          <w:pgMar w:top="3000" w:right="2300" w:bottom="2500" w:left="2300" w:header="2480" w:footer="2100" w:gutter="0"/>
          <w:pgNumType w:start="1"/>
          <w:cols w:space="720"/>
          <w:titlePg/>
        </w:sectPr>
      </w:pPr>
    </w:p>
    <w:p w14:paraId="72CBF8E0" w14:textId="77777777" w:rsidR="009D6C96" w:rsidRDefault="009D6C96">
      <w:pPr>
        <w:spacing w:before="20"/>
        <w:ind w:right="20"/>
        <w:jc w:val="center"/>
        <w:rPr>
          <w:rFonts w:ascii="Helvetica" w:hAnsi="Helvetica"/>
          <w:b/>
          <w:sz w:val="20"/>
        </w:rPr>
      </w:pPr>
      <w:r>
        <w:rPr>
          <w:rFonts w:ascii="Helvetica" w:hAnsi="Helvetica"/>
          <w:b/>
          <w:sz w:val="20"/>
        </w:rPr>
        <w:t>Table of Amendments</w:t>
      </w:r>
    </w:p>
    <w:p w14:paraId="16179619" w14:textId="77777777" w:rsidR="009D6C96" w:rsidRDefault="009D6C96">
      <w:pPr>
        <w:spacing w:before="20"/>
        <w:ind w:right="-513" w:firstLine="120"/>
        <w:jc w:val="left"/>
        <w:rPr>
          <w:rFonts w:ascii="Helvetica" w:hAnsi="Helvetica"/>
          <w:b/>
          <w:sz w:val="16"/>
        </w:rPr>
      </w:pPr>
      <w:r>
        <w:rPr>
          <w:rFonts w:ascii="Helvetica" w:hAnsi="Helvetica"/>
          <w:sz w:val="16"/>
        </w:rPr>
        <w:t>ad. = added or inserted      am. = amended     rep. = repealed      rs. = repealed and substituted</w:t>
      </w:r>
    </w:p>
    <w:p w14:paraId="21E60624" w14:textId="77777777" w:rsidR="009D6C96" w:rsidRDefault="009D6C96">
      <w:pPr>
        <w:pBdr>
          <w:top w:val="single" w:sz="6" w:space="0" w:color="auto"/>
        </w:pBdr>
        <w:tabs>
          <w:tab w:val="left" w:pos="2200"/>
        </w:tabs>
        <w:spacing w:before="20" w:after="20"/>
        <w:ind w:right="20"/>
        <w:rPr>
          <w:rFonts w:ascii="Helvetica" w:hAnsi="Helvetica"/>
          <w:sz w:val="8"/>
        </w:rPr>
      </w:pPr>
    </w:p>
    <w:p w14:paraId="10864A61" w14:textId="77777777" w:rsidR="009D6C96" w:rsidRDefault="009D6C96">
      <w:pPr>
        <w:tabs>
          <w:tab w:val="left" w:pos="2200"/>
        </w:tabs>
        <w:spacing w:before="20" w:after="20"/>
        <w:ind w:right="20"/>
        <w:rPr>
          <w:rFonts w:ascii="Helvetica" w:hAnsi="Helvetica"/>
          <w:sz w:val="16"/>
        </w:rPr>
      </w:pPr>
      <w:r>
        <w:rPr>
          <w:rFonts w:ascii="Helvetica" w:hAnsi="Helvetica"/>
          <w:sz w:val="16"/>
        </w:rPr>
        <w:t>Provision</w:t>
      </w:r>
      <w:r>
        <w:rPr>
          <w:rFonts w:ascii="Helvetica" w:hAnsi="Helvetica"/>
          <w:sz w:val="16"/>
        </w:rPr>
        <w:tab/>
        <w:t>How affected</w:t>
      </w:r>
    </w:p>
    <w:p w14:paraId="0AE020AA" w14:textId="77777777" w:rsidR="009D6C96" w:rsidRDefault="009D6C96">
      <w:pPr>
        <w:pBdr>
          <w:bottom w:val="single" w:sz="2" w:space="0" w:color="auto"/>
        </w:pBdr>
        <w:tabs>
          <w:tab w:val="left" w:pos="2200"/>
        </w:tabs>
        <w:spacing w:before="20" w:after="20"/>
        <w:ind w:right="20"/>
        <w:rPr>
          <w:rFonts w:ascii="Helvetica" w:hAnsi="Helvetica"/>
          <w:sz w:val="16"/>
        </w:rPr>
      </w:pPr>
    </w:p>
    <w:p w14:paraId="5351E0CA" w14:textId="77777777" w:rsidR="009D6C96" w:rsidRDefault="009D6C96">
      <w:pPr>
        <w:tabs>
          <w:tab w:val="left" w:leader="dot" w:pos="2200"/>
        </w:tabs>
        <w:spacing w:before="20" w:after="20"/>
        <w:ind w:left="260" w:right="20"/>
        <w:rPr>
          <w:rFonts w:ascii="Helvetica" w:hAnsi="Helvetica"/>
          <w:sz w:val="8"/>
        </w:rPr>
      </w:pPr>
    </w:p>
    <w:p w14:paraId="072986B8" w14:textId="77777777" w:rsidR="009D6C96" w:rsidRDefault="009D6C96">
      <w:pPr>
        <w:tabs>
          <w:tab w:val="left" w:leader="dot" w:pos="2200"/>
        </w:tabs>
        <w:spacing w:before="20" w:after="20"/>
        <w:ind w:left="260" w:right="20" w:hanging="260"/>
        <w:rPr>
          <w:rFonts w:ascii="Helvetica" w:hAnsi="Helvetica"/>
          <w:sz w:val="16"/>
        </w:rPr>
      </w:pPr>
      <w:r>
        <w:rPr>
          <w:rFonts w:ascii="Helvetica" w:hAnsi="Helvetica"/>
          <w:sz w:val="16"/>
        </w:rPr>
        <w:t>hdg to s 3</w:t>
      </w:r>
      <w:r>
        <w:rPr>
          <w:rFonts w:ascii="Helvetica" w:hAnsi="Helvetica"/>
          <w:sz w:val="16"/>
        </w:rPr>
        <w:tab/>
        <w:t>sub 2000 No 83 s 4</w:t>
      </w:r>
    </w:p>
    <w:p w14:paraId="5F21F272" w14:textId="77777777" w:rsidR="009D6C96" w:rsidRDefault="009D6C96">
      <w:pPr>
        <w:tabs>
          <w:tab w:val="left" w:leader="dot" w:pos="2200"/>
        </w:tabs>
        <w:spacing w:before="20" w:after="20"/>
        <w:ind w:left="260" w:right="20" w:hanging="260"/>
        <w:rPr>
          <w:rFonts w:ascii="Helvetica" w:hAnsi="Helvetica"/>
          <w:sz w:val="16"/>
        </w:rPr>
      </w:pPr>
      <w:r>
        <w:rPr>
          <w:rFonts w:ascii="Helvetica" w:hAnsi="Helvetica"/>
          <w:sz w:val="16"/>
        </w:rPr>
        <w:t>s 3</w:t>
      </w:r>
      <w:r>
        <w:rPr>
          <w:rFonts w:ascii="Helvetica" w:hAnsi="Helvetica"/>
          <w:sz w:val="16"/>
        </w:rPr>
        <w:tab/>
      </w:r>
      <w:r>
        <w:rPr>
          <w:rFonts w:ascii="Helvetica" w:hAnsi="Helvetica"/>
          <w:sz w:val="16"/>
        </w:rPr>
        <w:tab/>
        <w:t>am 2000 No 83 s 4</w:t>
      </w:r>
    </w:p>
    <w:p w14:paraId="345EE2B2" w14:textId="77777777" w:rsidR="009D6C96" w:rsidRDefault="009D6C96">
      <w:pPr>
        <w:tabs>
          <w:tab w:val="left" w:leader="dot" w:pos="2200"/>
        </w:tabs>
        <w:spacing w:before="20" w:after="20"/>
        <w:ind w:left="260" w:right="20" w:hanging="260"/>
        <w:rPr>
          <w:rFonts w:ascii="Helvetica" w:hAnsi="Helvetica"/>
          <w:sz w:val="16"/>
        </w:rPr>
      </w:pPr>
      <w:r>
        <w:rPr>
          <w:rFonts w:ascii="Helvetica" w:hAnsi="Helvetica"/>
          <w:sz w:val="16"/>
        </w:rPr>
        <w:t>s 3A</w:t>
      </w:r>
      <w:r>
        <w:rPr>
          <w:rFonts w:ascii="Helvetica" w:hAnsi="Helvetica"/>
          <w:sz w:val="16"/>
        </w:rPr>
        <w:tab/>
        <w:t>ins 2000 No 83 s 5</w:t>
      </w:r>
    </w:p>
    <w:p w14:paraId="372B93FE" w14:textId="77777777" w:rsidR="009D6C96" w:rsidRDefault="009D6C96">
      <w:pPr>
        <w:tabs>
          <w:tab w:val="left" w:leader="dot" w:pos="2200"/>
        </w:tabs>
        <w:spacing w:before="20" w:after="20"/>
        <w:ind w:left="260" w:right="20" w:hanging="260"/>
        <w:rPr>
          <w:rFonts w:ascii="Helvetica" w:hAnsi="Helvetica"/>
          <w:sz w:val="16"/>
        </w:rPr>
      </w:pPr>
      <w:r>
        <w:rPr>
          <w:rFonts w:ascii="Helvetica" w:hAnsi="Helvetica"/>
          <w:sz w:val="16"/>
        </w:rPr>
        <w:t>s 27</w:t>
      </w:r>
      <w:r>
        <w:rPr>
          <w:rFonts w:ascii="Helvetica" w:hAnsi="Helvetica"/>
          <w:sz w:val="16"/>
        </w:rPr>
        <w:tab/>
        <w:t>sub 2000 No 83 s 6</w:t>
      </w:r>
    </w:p>
    <w:p w14:paraId="1DD93C23" w14:textId="77777777" w:rsidR="009D6C96" w:rsidRDefault="009D6C96">
      <w:pPr>
        <w:pBdr>
          <w:bottom w:val="single" w:sz="4" w:space="1" w:color="auto"/>
        </w:pBdr>
        <w:tabs>
          <w:tab w:val="left" w:leader="dot" w:pos="2200"/>
        </w:tabs>
        <w:spacing w:before="20" w:after="20"/>
        <w:ind w:left="260" w:right="20" w:hanging="260"/>
        <w:rPr>
          <w:rFonts w:ascii="Helvetica" w:hAnsi="Helvetica"/>
          <w:sz w:val="8"/>
        </w:rPr>
      </w:pPr>
    </w:p>
    <w:p w14:paraId="31E4BB6B" w14:textId="77777777" w:rsidR="009D6C96" w:rsidRDefault="009D6C96">
      <w:pPr>
        <w:tabs>
          <w:tab w:val="left" w:leader="dot" w:pos="2200"/>
        </w:tabs>
        <w:spacing w:before="20" w:after="20"/>
        <w:ind w:left="260" w:right="20" w:hanging="260"/>
        <w:rPr>
          <w:rFonts w:ascii="Helvetica" w:hAnsi="Helvetica"/>
          <w:sz w:val="16"/>
        </w:rPr>
      </w:pPr>
    </w:p>
    <w:p w14:paraId="2EF6D442" w14:textId="77777777" w:rsidR="009D6C96" w:rsidRDefault="009D6C96">
      <w:pPr>
        <w:spacing w:before="20" w:after="20"/>
        <w:rPr>
          <w:rFonts w:ascii="Helvetica" w:hAnsi="Helvetica"/>
        </w:rPr>
        <w:sectPr w:rsidR="009D6C96">
          <w:headerReference w:type="even" r:id="rId21"/>
          <w:headerReference w:type="default" r:id="rId22"/>
          <w:headerReference w:type="first" r:id="rId23"/>
          <w:footerReference w:type="first" r:id="rId24"/>
          <w:type w:val="continuous"/>
          <w:pgSz w:w="11907" w:h="16839"/>
          <w:pgMar w:top="3000" w:right="2300" w:bottom="2500" w:left="2300" w:header="2480" w:footer="2100" w:gutter="0"/>
          <w:cols w:space="720"/>
          <w:titlePg/>
        </w:sectPr>
      </w:pPr>
    </w:p>
    <w:p w14:paraId="4E39C064" w14:textId="77777777" w:rsidR="0097631A" w:rsidRDefault="0097631A" w:rsidP="0097631A"/>
    <w:p w14:paraId="1896A30F" w14:textId="77777777" w:rsidR="0097631A" w:rsidRDefault="0097631A" w:rsidP="0097631A"/>
    <w:p w14:paraId="65FA2B0C" w14:textId="77777777" w:rsidR="0097631A" w:rsidRDefault="0097631A" w:rsidP="0097631A"/>
    <w:p w14:paraId="495258D4" w14:textId="77777777" w:rsidR="0097631A" w:rsidRDefault="0097631A" w:rsidP="0097631A"/>
    <w:p w14:paraId="7726A550" w14:textId="77777777" w:rsidR="0097631A" w:rsidRDefault="0097631A" w:rsidP="0097631A">
      <w:pPr>
        <w:rPr>
          <w:color w:val="000000"/>
          <w:sz w:val="22"/>
        </w:rPr>
      </w:pPr>
      <w:r>
        <w:rPr>
          <w:color w:val="000000"/>
          <w:sz w:val="22"/>
        </w:rPr>
        <w:t>©  Australian Capital Territory 2026</w:t>
      </w:r>
    </w:p>
    <w:p w14:paraId="20A0E846" w14:textId="77777777" w:rsidR="009D6C96" w:rsidRDefault="009D6C96"/>
    <w:sectPr w:rsidR="009D6C96" w:rsidSect="00FE3E28">
      <w:headerReference w:type="even" r:id="rId25"/>
      <w:headerReference w:type="default" r:id="rId26"/>
      <w:footerReference w:type="default" r:id="rId27"/>
      <w:headerReference w:type="first" r:id="rId28"/>
      <w:footerReference w:type="first" r:id="rId29"/>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71894" w14:textId="77777777" w:rsidR="00812C30" w:rsidRDefault="00812C30">
      <w:pPr>
        <w:spacing w:before="0" w:after="0"/>
      </w:pPr>
      <w:r>
        <w:separator/>
      </w:r>
    </w:p>
  </w:endnote>
  <w:endnote w:type="continuationSeparator" w:id="0">
    <w:p w14:paraId="415BD059" w14:textId="77777777" w:rsidR="00812C30" w:rsidRDefault="00812C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CTCrest">
    <w:altName w:val="Courier New"/>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BA58" w14:textId="77777777" w:rsidR="007F7591" w:rsidRDefault="007F7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091A" w14:textId="4E059FC0" w:rsidR="00FD0CBC" w:rsidRPr="007F7591" w:rsidRDefault="00FD0CBC" w:rsidP="007F7591">
    <w:pPr>
      <w:pStyle w:val="Footer"/>
      <w:jc w:val="center"/>
      <w:rPr>
        <w:rFonts w:ascii="Arial" w:hAnsi="Arial" w:cs="Arial"/>
        <w:sz w:val="14"/>
      </w:rPr>
    </w:pPr>
    <w:r w:rsidRPr="007F7591">
      <w:rPr>
        <w:rFonts w:ascii="Arial" w:hAnsi="Arial" w:cs="Arial"/>
        <w:sz w:val="14"/>
      </w:rPr>
      <w:fldChar w:fldCharType="begin"/>
    </w:r>
    <w:r w:rsidRPr="007F7591">
      <w:rPr>
        <w:rFonts w:ascii="Arial" w:hAnsi="Arial" w:cs="Arial"/>
        <w:sz w:val="14"/>
      </w:rPr>
      <w:instrText xml:space="preserve"> COMMENTS  \* MERGEFORMAT </w:instrText>
    </w:r>
    <w:r w:rsidRPr="007F7591">
      <w:rPr>
        <w:rFonts w:ascii="Arial" w:hAnsi="Arial" w:cs="Arial"/>
        <w:sz w:val="14"/>
      </w:rPr>
      <w:fldChar w:fldCharType="end"/>
    </w:r>
    <w:r w:rsidR="007F7591" w:rsidRPr="007F7591">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9FF49" w14:textId="0D534187" w:rsidR="007F7591" w:rsidRPr="007F7591" w:rsidRDefault="007F7591" w:rsidP="007F7591">
    <w:pPr>
      <w:pStyle w:val="Footer"/>
      <w:jc w:val="center"/>
      <w:rPr>
        <w:rFonts w:ascii="Arial" w:hAnsi="Arial" w:cs="Arial"/>
        <w:sz w:val="14"/>
      </w:rPr>
    </w:pPr>
    <w:r w:rsidRPr="007F7591">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9F77" w14:textId="77777777" w:rsidR="009D6C96" w:rsidRDefault="009D6C96">
    <w:pPr>
      <w:jc w:val="center"/>
      <w:rPr>
        <w:sz w:val="20"/>
      </w:rPr>
    </w:pPr>
    <w:r>
      <w:rPr>
        <w:sz w:val="20"/>
      </w:rPr>
      <w:pgNum/>
    </w:r>
  </w:p>
  <w:p w14:paraId="2FAEF7C8" w14:textId="666473F1" w:rsidR="007F7591" w:rsidRPr="007F7591" w:rsidRDefault="007F7591" w:rsidP="007F7591">
    <w:pPr>
      <w:jc w:val="center"/>
      <w:rPr>
        <w:rFonts w:ascii="Arial" w:hAnsi="Arial" w:cs="Arial"/>
        <w:sz w:val="14"/>
      </w:rPr>
    </w:pPr>
    <w:r w:rsidRPr="007F7591">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31BC" w14:textId="77777777" w:rsidR="009D6C96" w:rsidRDefault="009D6C96">
    <w:pPr>
      <w:jc w:val="center"/>
      <w:rPr>
        <w:sz w:val="20"/>
      </w:rPr>
    </w:pPr>
    <w:r>
      <w:rPr>
        <w:sz w:val="20"/>
      </w:rPr>
      <w:pgNum/>
    </w:r>
  </w:p>
  <w:p w14:paraId="20345BE0" w14:textId="13B561F1" w:rsidR="007F7591" w:rsidRPr="007F7591" w:rsidRDefault="007F7591" w:rsidP="007F7591">
    <w:pPr>
      <w:jc w:val="center"/>
      <w:rPr>
        <w:rFonts w:ascii="Arial" w:hAnsi="Arial" w:cs="Arial"/>
        <w:sz w:val="14"/>
      </w:rPr>
    </w:pPr>
    <w:r w:rsidRPr="007F7591">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764B1" w14:textId="307B0B8E" w:rsidR="009D6C96" w:rsidRPr="007F7591" w:rsidRDefault="007F7591" w:rsidP="007F7591">
    <w:pPr>
      <w:jc w:val="center"/>
      <w:rPr>
        <w:rFonts w:ascii="Arial" w:hAnsi="Arial" w:cs="Arial"/>
        <w:sz w:val="14"/>
      </w:rPr>
    </w:pPr>
    <w:r w:rsidRPr="007F7591">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DBB4" w14:textId="77777777" w:rsidR="0097631A" w:rsidRDefault="0097631A">
    <w:pPr>
      <w:pStyle w:val="Footer"/>
      <w:jc w:val="cente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9</w:t>
    </w:r>
    <w:r>
      <w:rPr>
        <w:rStyle w:val="PageNumber"/>
        <w:sz w:val="20"/>
      </w:rPr>
      <w:fldChar w:fldCharType="end"/>
    </w:r>
  </w:p>
  <w:p w14:paraId="18287593" w14:textId="633351D5" w:rsidR="007F7591" w:rsidRPr="007F7591" w:rsidRDefault="007F7591" w:rsidP="007F7591">
    <w:pPr>
      <w:pStyle w:val="Footer"/>
      <w:jc w:val="center"/>
      <w:rPr>
        <w:rFonts w:ascii="Arial" w:hAnsi="Arial" w:cs="Arial"/>
        <w:sz w:val="14"/>
      </w:rPr>
    </w:pPr>
    <w:r w:rsidRPr="007F7591">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EE2E" w14:textId="77777777" w:rsidR="0097631A" w:rsidRDefault="0097631A">
    <w:pPr>
      <w:pStyle w:val="Footer"/>
      <w:jc w:val="cente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sz w:val="20"/>
      </w:rPr>
      <w:t>8</w:t>
    </w:r>
    <w:r>
      <w:rPr>
        <w:rStyle w:val="PageNumber"/>
        <w:sz w:val="20"/>
      </w:rPr>
      <w:fldChar w:fldCharType="end"/>
    </w:r>
  </w:p>
  <w:p w14:paraId="22F314FB" w14:textId="6278A30B" w:rsidR="007F7591" w:rsidRPr="007F7591" w:rsidRDefault="007F7591" w:rsidP="007F7591">
    <w:pPr>
      <w:pStyle w:val="Footer"/>
      <w:jc w:val="center"/>
      <w:rPr>
        <w:rFonts w:ascii="Arial" w:hAnsi="Arial" w:cs="Arial"/>
        <w:sz w:val="14"/>
      </w:rPr>
    </w:pPr>
    <w:r w:rsidRPr="007F7591">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5A54" w14:textId="77777777" w:rsidR="00812C30" w:rsidRDefault="00812C30">
      <w:pPr>
        <w:spacing w:before="0" w:after="0"/>
      </w:pPr>
      <w:r>
        <w:separator/>
      </w:r>
    </w:p>
  </w:footnote>
  <w:footnote w:type="continuationSeparator" w:id="0">
    <w:p w14:paraId="4194800B" w14:textId="77777777" w:rsidR="00812C30" w:rsidRDefault="00812C3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C3D6" w14:textId="77777777" w:rsidR="007F7591" w:rsidRDefault="007F7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F703" w14:textId="77777777" w:rsidR="007F7591" w:rsidRDefault="007F75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4307" w14:textId="77777777" w:rsidR="007F7591" w:rsidRDefault="007F75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EB9CF" w14:textId="77777777" w:rsidR="009D6C96" w:rsidRDefault="009D6C96">
    <w:pPr>
      <w:widowControl w:val="0"/>
      <w:tabs>
        <w:tab w:val="center" w:pos="3600"/>
      </w:tabs>
      <w:rPr>
        <w:i/>
        <w:sz w:val="20"/>
      </w:rPr>
    </w:pPr>
    <w:r>
      <w:rPr>
        <w:sz w:val="20"/>
      </w:rPr>
      <w:pgNum/>
    </w:r>
    <w:r>
      <w:rPr>
        <w:sz w:val="20"/>
      </w:rPr>
      <w:tab/>
    </w:r>
    <w:r>
      <w:rPr>
        <w:i/>
        <w:sz w:val="20"/>
      </w:rPr>
      <w:t>Even Header</w:t>
    </w:r>
  </w:p>
  <w:p w14:paraId="4E4B3A40" w14:textId="77777777" w:rsidR="009D6C96" w:rsidRDefault="009D6C96">
    <w:pPr>
      <w:widowControl w:val="0"/>
      <w:tabs>
        <w:tab w:val="left" w:pos="3220"/>
      </w:tabs>
      <w:jc w:val="center"/>
      <w:rPr>
        <w:sz w:val="20"/>
      </w:rPr>
    </w:pPr>
    <w:r>
      <w:rPr>
        <w:b/>
        <w:sz w:val="20"/>
      </w:rPr>
      <w:t>TABLE OF PROVISIONS</w:t>
    </w:r>
    <w:r>
      <w:rPr>
        <w:sz w:val="20"/>
      </w:rPr>
      <w:t>—continued</w:t>
    </w:r>
  </w:p>
  <w:p w14:paraId="3706936D" w14:textId="77777777" w:rsidR="009D6C96" w:rsidRDefault="009D6C96">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A11A" w14:textId="77777777" w:rsidR="009D6C96" w:rsidRDefault="009D6C96">
    <w:pPr>
      <w:widowControl w:val="0"/>
      <w:tabs>
        <w:tab w:val="center" w:pos="3600"/>
        <w:tab w:val="right" w:pos="7180"/>
      </w:tabs>
      <w:jc w:val="center"/>
      <w:rPr>
        <w:sz w:val="20"/>
      </w:rPr>
    </w:pPr>
    <w:r>
      <w:rPr>
        <w:i/>
        <w:sz w:val="20"/>
      </w:rPr>
      <w:t>Construction Practitioners Registration Act 1998</w:t>
    </w:r>
  </w:p>
  <w:p w14:paraId="6EA90F40" w14:textId="77777777" w:rsidR="009D6C96" w:rsidRDefault="009D6C96">
    <w:pPr>
      <w:widowControl w:val="0"/>
      <w:tabs>
        <w:tab w:val="left" w:pos="2340"/>
        <w:tab w:val="right" w:pos="7180"/>
      </w:tabs>
      <w:jc w:val="center"/>
      <w:rPr>
        <w:sz w:val="20"/>
      </w:rPr>
    </w:pPr>
    <w:r>
      <w:rPr>
        <w:b/>
        <w:sz w:val="20"/>
      </w:rPr>
      <w:t>TABLE OF PROVISIONS</w:t>
    </w:r>
    <w:r>
      <w:rPr>
        <w:sz w:val="20"/>
      </w:rPr>
      <w:t>—continued</w:t>
    </w:r>
  </w:p>
  <w:p w14:paraId="66BAFBEB" w14:textId="77777777" w:rsidR="009D6C96" w:rsidRDefault="009D6C96">
    <w:pPr>
      <w:widowControl w:val="0"/>
      <w:tabs>
        <w:tab w:val="left" w:pos="2340"/>
        <w:tab w:val="right" w:pos="7180"/>
      </w:tabs>
      <w:rPr>
        <w:sz w:val="20"/>
      </w:rPr>
    </w:pPr>
    <w:r>
      <w:rPr>
        <w:sz w:val="18"/>
      </w:rPr>
      <w:t>Section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7C11" w14:textId="77777777" w:rsidR="009D6C96" w:rsidRDefault="009D6C96">
    <w:pPr>
      <w:widowControl w:val="0"/>
      <w:tabs>
        <w:tab w:val="center" w:pos="3620"/>
      </w:tabs>
      <w:rPr>
        <w:i/>
        <w:sz w:val="20"/>
      </w:rPr>
    </w:pPr>
    <w:r>
      <w:rPr>
        <w:sz w:val="20"/>
      </w:rPr>
      <w:pgNum/>
    </w:r>
    <w:r>
      <w:rPr>
        <w:sz w:val="20"/>
      </w:rPr>
      <w:tab/>
    </w:r>
    <w:r>
      <w:rPr>
        <w:i/>
        <w:sz w:val="20"/>
      </w:rPr>
      <w:t>Even Header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1EBE4" w14:textId="77777777" w:rsidR="009D6C96" w:rsidRDefault="009D6C96">
    <w:pPr>
      <w:widowControl w:val="0"/>
      <w:tabs>
        <w:tab w:val="center" w:pos="3600"/>
        <w:tab w:val="right" w:pos="7180"/>
      </w:tabs>
      <w:jc w:val="center"/>
      <w:rPr>
        <w:sz w:val="20"/>
      </w:rPr>
    </w:pPr>
    <w:r>
      <w:rPr>
        <w:i/>
        <w:sz w:val="20"/>
      </w:rPr>
      <w:t>Construction Practitioners Registration Act 1998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1394" w14:textId="77777777" w:rsidR="009D6C96" w:rsidRDefault="009D6C9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6728" w14:textId="77777777" w:rsidR="009D6C96" w:rsidRDefault="009D6C96">
    <w:pPr>
      <w:widowControl w:val="0"/>
      <w:tabs>
        <w:tab w:val="center" w:pos="3600"/>
      </w:tabs>
      <w:rPr>
        <w:i/>
        <w:sz w:val="20"/>
      </w:rPr>
    </w:pPr>
    <w:r>
      <w:rPr>
        <w:sz w:val="20"/>
      </w:rPr>
      <w:pgNum/>
    </w:r>
    <w:r>
      <w:rPr>
        <w:sz w:val="20"/>
      </w:rPr>
      <w:tab/>
    </w:r>
    <w:r>
      <w:rPr>
        <w:i/>
        <w:sz w:val="20"/>
      </w:rPr>
      <w:t>Even Header</w:t>
    </w:r>
  </w:p>
  <w:p w14:paraId="58C53CB3" w14:textId="77777777" w:rsidR="009D6C96" w:rsidRDefault="009D6C96">
    <w:pPr>
      <w:widowControl w:val="0"/>
      <w:spacing w:before="100" w:after="100"/>
      <w:ind w:right="20"/>
      <w:jc w:val="center"/>
      <w:rPr>
        <w:rFonts w:ascii="Helvetica" w:hAnsi="Helvetica"/>
        <w:b/>
        <w:sz w:val="20"/>
      </w:rPr>
    </w:pPr>
    <w:r>
      <w:rPr>
        <w:rFonts w:ascii="Helvetica" w:hAnsi="Helvetica"/>
        <w:b/>
        <w:sz w:val="20"/>
      </w:rPr>
      <w:t>NOTE</w:t>
    </w:r>
    <w:r>
      <w:rPr>
        <w:rFonts w:ascii="Helvetica" w:hAnsi="Helvetica"/>
        <w:sz w:val="20"/>
      </w:rPr>
      <w:t>—continued</w:t>
    </w:r>
  </w:p>
  <w:p w14:paraId="21B690B2" w14:textId="77777777" w:rsidR="009D6C96" w:rsidRDefault="009D6C96">
    <w:pPr>
      <w:widowControl w:val="0"/>
      <w:spacing w:after="100"/>
      <w:ind w:right="20"/>
      <w:jc w:val="center"/>
      <w:rPr>
        <w:rFonts w:ascii="Helvetica" w:hAnsi="Helvetica"/>
      </w:rPr>
    </w:pPr>
    <w:r>
      <w:rPr>
        <w:rFonts w:ascii="Helvetica" w:hAnsi="Helvetica"/>
        <w:b/>
        <w:sz w:val="20"/>
      </w:rPr>
      <w:t>Table of Acts</w:t>
    </w:r>
    <w:r>
      <w:rPr>
        <w:rFonts w:ascii="Helvetica" w:hAnsi="Helvetica"/>
        <w:sz w:val="20"/>
      </w:rPr>
      <w:t>—continued</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60"/>
      <w:gridCol w:w="1120"/>
      <w:gridCol w:w="1480"/>
      <w:gridCol w:w="1200"/>
    </w:tblGrid>
    <w:tr w:rsidR="009D6C96" w14:paraId="57DDD4C4" w14:textId="77777777">
      <w:trPr>
        <w:cantSplit/>
      </w:trPr>
      <w:tc>
        <w:tcPr>
          <w:tcW w:w="2280" w:type="dxa"/>
          <w:tcBorders>
            <w:top w:val="single" w:sz="6" w:space="0" w:color="auto"/>
            <w:bottom w:val="single" w:sz="2" w:space="0" w:color="auto"/>
          </w:tcBorders>
        </w:tcPr>
        <w:p w14:paraId="73D9C531" w14:textId="77777777" w:rsidR="009D6C96" w:rsidRDefault="009D6C96">
          <w:pPr>
            <w:widowControl w:val="0"/>
            <w:spacing w:before="700" w:after="100"/>
            <w:ind w:left="-40"/>
            <w:rPr>
              <w:rFonts w:ascii="Helvetica" w:hAnsi="Helvetica"/>
              <w:sz w:val="16"/>
            </w:rPr>
          </w:pPr>
          <w:r>
            <w:rPr>
              <w:rFonts w:ascii="Helvetica" w:hAnsi="Helvetica"/>
              <w:sz w:val="16"/>
            </w:rPr>
            <w:t>Act</w:t>
          </w:r>
        </w:p>
      </w:tc>
      <w:tc>
        <w:tcPr>
          <w:tcW w:w="1160" w:type="dxa"/>
          <w:tcBorders>
            <w:top w:val="single" w:sz="6" w:space="0" w:color="auto"/>
            <w:bottom w:val="single" w:sz="2" w:space="0" w:color="auto"/>
          </w:tcBorders>
        </w:tcPr>
        <w:p w14:paraId="046EE26A" w14:textId="77777777" w:rsidR="009D6C96" w:rsidRDefault="009D6C96">
          <w:pPr>
            <w:widowControl w:val="0"/>
            <w:spacing w:before="480" w:after="0"/>
            <w:rPr>
              <w:rFonts w:ascii="Helvetica" w:hAnsi="Helvetica"/>
              <w:sz w:val="16"/>
            </w:rPr>
          </w:pPr>
          <w:r>
            <w:rPr>
              <w:rFonts w:ascii="Helvetica" w:hAnsi="Helvetica"/>
              <w:sz w:val="16"/>
            </w:rPr>
            <w:t xml:space="preserve">Number  </w:t>
          </w:r>
        </w:p>
        <w:p w14:paraId="2CF0A87E" w14:textId="77777777" w:rsidR="009D6C96" w:rsidRDefault="009D6C96">
          <w:pPr>
            <w:widowControl w:val="0"/>
            <w:spacing w:before="0"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277CB527" w14:textId="77777777" w:rsidR="009D6C96" w:rsidRDefault="009D6C96">
          <w:pPr>
            <w:widowControl w:val="0"/>
            <w:spacing w:before="320" w:after="0"/>
            <w:rPr>
              <w:rFonts w:ascii="Helvetica" w:hAnsi="Helvetica"/>
              <w:sz w:val="16"/>
            </w:rPr>
          </w:pPr>
          <w:r>
            <w:rPr>
              <w:rFonts w:ascii="Helvetica" w:hAnsi="Helvetica"/>
              <w:sz w:val="16"/>
            </w:rPr>
            <w:t xml:space="preserve">Date of </w:t>
          </w:r>
        </w:p>
        <w:p w14:paraId="763E68AA" w14:textId="77777777" w:rsidR="009D6C96" w:rsidRDefault="009D6C96">
          <w:pPr>
            <w:widowControl w:val="0"/>
            <w:spacing w:before="0" w:after="0"/>
            <w:rPr>
              <w:rFonts w:ascii="Helvetica" w:hAnsi="Helvetica"/>
              <w:sz w:val="16"/>
            </w:rPr>
          </w:pPr>
          <w:r>
            <w:rPr>
              <w:rFonts w:ascii="Helvetica" w:hAnsi="Helvetica"/>
              <w:sz w:val="16"/>
            </w:rPr>
            <w:t xml:space="preserve">notification </w:t>
          </w:r>
        </w:p>
        <w:p w14:paraId="5342373F" w14:textId="77777777" w:rsidR="009D6C96" w:rsidRDefault="009D6C96">
          <w:pPr>
            <w:widowControl w:val="0"/>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2E4E3E89" w14:textId="77777777" w:rsidR="009D6C96" w:rsidRDefault="009D6C96">
          <w:pPr>
            <w:widowControl w:val="0"/>
            <w:spacing w:before="480" w:after="0"/>
            <w:rPr>
              <w:rFonts w:ascii="Helvetica" w:hAnsi="Helvetica"/>
              <w:sz w:val="16"/>
            </w:rPr>
          </w:pPr>
          <w:r>
            <w:rPr>
              <w:rFonts w:ascii="Helvetica" w:hAnsi="Helvetica"/>
              <w:sz w:val="16"/>
            </w:rPr>
            <w:t xml:space="preserve">Date of </w:t>
          </w:r>
        </w:p>
        <w:p w14:paraId="0AC1CEA9" w14:textId="77777777" w:rsidR="009D6C96" w:rsidRDefault="009D6C96">
          <w:pPr>
            <w:widowControl w:val="0"/>
            <w:spacing w:before="0"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4821E869" w14:textId="77777777" w:rsidR="009D6C96" w:rsidRDefault="009D6C96">
          <w:pPr>
            <w:widowControl w:val="0"/>
            <w:spacing w:after="100"/>
            <w:jc w:val="right"/>
            <w:rPr>
              <w:rFonts w:ascii="Helvetica" w:hAnsi="Helvetica"/>
              <w:sz w:val="16"/>
            </w:rPr>
          </w:pPr>
          <w:r>
            <w:rPr>
              <w:rFonts w:ascii="Helvetica" w:hAnsi="Helvetica"/>
              <w:sz w:val="16"/>
            </w:rPr>
            <w:t>Application, saving or transitional provisions</w:t>
          </w:r>
        </w:p>
      </w:tc>
    </w:tr>
  </w:tbl>
  <w:p w14:paraId="74384E1F" w14:textId="77777777" w:rsidR="009D6C96" w:rsidRDefault="009D6C96">
    <w:pPr>
      <w:widowControl w:val="0"/>
      <w:spacing w:before="0" w:after="0"/>
      <w:ind w:left="200" w:right="-820"/>
      <w:rPr>
        <w:rFonts w:ascii="Helvetica" w:hAnsi="Helvetica"/>
        <w:sz w:val="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E8BC" w14:textId="77777777" w:rsidR="009D6C96" w:rsidRDefault="009D6C96">
    <w:pPr>
      <w:widowControl w:val="0"/>
      <w:tabs>
        <w:tab w:val="center" w:pos="3600"/>
        <w:tab w:val="right" w:pos="7180"/>
      </w:tabs>
      <w:rPr>
        <w:sz w:val="20"/>
      </w:rPr>
    </w:pPr>
    <w:r>
      <w:tab/>
    </w:r>
    <w:r>
      <w:rPr>
        <w:i/>
        <w:sz w:val="20"/>
      </w:rPr>
      <w:t>Competition Policy Reform Act 1996</w:t>
    </w:r>
    <w:r>
      <w:rPr>
        <w:sz w:val="20"/>
      </w:rPr>
      <w:tab/>
    </w:r>
  </w:p>
  <w:p w14:paraId="4F0532C9" w14:textId="77777777" w:rsidR="009D6C96" w:rsidRDefault="009D6C96">
    <w:pPr>
      <w:widowControl w:val="0"/>
      <w:spacing w:before="100" w:after="100"/>
      <w:jc w:val="center"/>
      <w:rPr>
        <w:rFonts w:ascii="Helvetica" w:hAnsi="Helvetica"/>
        <w:b/>
        <w:sz w:val="20"/>
      </w:rPr>
    </w:pPr>
    <w:r>
      <w:rPr>
        <w:rFonts w:ascii="Helvetica" w:hAnsi="Helvetica"/>
        <w:b/>
        <w:sz w:val="20"/>
      </w:rPr>
      <w:t>NOTE</w:t>
    </w:r>
    <w:r>
      <w:rPr>
        <w:rFonts w:ascii="Helvetica" w:hAnsi="Helvetica"/>
        <w:sz w:val="20"/>
      </w:rPr>
      <w:t>—continued</w:t>
    </w:r>
  </w:p>
  <w:p w14:paraId="157A3598" w14:textId="77777777" w:rsidR="009D6C96" w:rsidRDefault="009D6C96">
    <w:pPr>
      <w:widowControl w:val="0"/>
      <w:spacing w:after="100"/>
      <w:jc w:val="center"/>
      <w:rPr>
        <w:rFonts w:ascii="Helvetica" w:hAnsi="Helvetica"/>
      </w:rPr>
    </w:pPr>
    <w:r>
      <w:rPr>
        <w:rFonts w:ascii="Helvetica" w:hAnsi="Helvetica"/>
        <w:b/>
        <w:sz w:val="20"/>
      </w:rPr>
      <w:t>Table of Acts</w:t>
    </w:r>
    <w:r>
      <w:rPr>
        <w:rFonts w:ascii="Helvetica" w:hAnsi="Helvetica"/>
        <w:sz w:val="20"/>
      </w:rPr>
      <w:t>—continued</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60"/>
      <w:gridCol w:w="1120"/>
      <w:gridCol w:w="1480"/>
      <w:gridCol w:w="1180"/>
    </w:tblGrid>
    <w:tr w:rsidR="009D6C96" w14:paraId="21FD9984" w14:textId="77777777">
      <w:trPr>
        <w:cantSplit/>
      </w:trPr>
      <w:tc>
        <w:tcPr>
          <w:tcW w:w="2280" w:type="dxa"/>
          <w:tcBorders>
            <w:top w:val="single" w:sz="6" w:space="0" w:color="auto"/>
            <w:bottom w:val="single" w:sz="2" w:space="0" w:color="auto"/>
          </w:tcBorders>
        </w:tcPr>
        <w:p w14:paraId="0C66C344" w14:textId="77777777" w:rsidR="009D6C96" w:rsidRDefault="009D6C96">
          <w:pPr>
            <w:widowControl w:val="0"/>
            <w:spacing w:before="700" w:after="100"/>
            <w:ind w:left="-40"/>
            <w:rPr>
              <w:rFonts w:ascii="Helvetica" w:hAnsi="Helvetica"/>
              <w:sz w:val="16"/>
            </w:rPr>
          </w:pPr>
          <w:r>
            <w:rPr>
              <w:rFonts w:ascii="Helvetica" w:hAnsi="Helvetica"/>
              <w:sz w:val="16"/>
            </w:rPr>
            <w:t>Act</w:t>
          </w:r>
        </w:p>
      </w:tc>
      <w:tc>
        <w:tcPr>
          <w:tcW w:w="1160" w:type="dxa"/>
          <w:tcBorders>
            <w:top w:val="single" w:sz="6" w:space="0" w:color="auto"/>
            <w:bottom w:val="single" w:sz="2" w:space="0" w:color="auto"/>
          </w:tcBorders>
        </w:tcPr>
        <w:p w14:paraId="5D5DC046" w14:textId="77777777" w:rsidR="009D6C96" w:rsidRDefault="009D6C96">
          <w:pPr>
            <w:widowControl w:val="0"/>
            <w:spacing w:before="480" w:after="0"/>
            <w:rPr>
              <w:rFonts w:ascii="Helvetica" w:hAnsi="Helvetica"/>
              <w:sz w:val="16"/>
            </w:rPr>
          </w:pPr>
          <w:r>
            <w:rPr>
              <w:rFonts w:ascii="Helvetica" w:hAnsi="Helvetica"/>
              <w:sz w:val="16"/>
            </w:rPr>
            <w:t xml:space="preserve">Number   </w:t>
          </w:r>
        </w:p>
        <w:p w14:paraId="70A61C96" w14:textId="77777777" w:rsidR="009D6C96" w:rsidRDefault="009D6C96">
          <w:pPr>
            <w:widowControl w:val="0"/>
            <w:spacing w:before="0"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2FA39A8F" w14:textId="77777777" w:rsidR="009D6C96" w:rsidRDefault="009D6C96">
          <w:pPr>
            <w:widowControl w:val="0"/>
            <w:spacing w:before="320" w:after="0"/>
            <w:rPr>
              <w:rFonts w:ascii="Helvetica" w:hAnsi="Helvetica"/>
              <w:sz w:val="16"/>
            </w:rPr>
          </w:pPr>
          <w:r>
            <w:rPr>
              <w:rFonts w:ascii="Helvetica" w:hAnsi="Helvetica"/>
              <w:sz w:val="16"/>
            </w:rPr>
            <w:t xml:space="preserve">Date of </w:t>
          </w:r>
        </w:p>
        <w:p w14:paraId="326D215D" w14:textId="77777777" w:rsidR="009D6C96" w:rsidRDefault="009D6C96">
          <w:pPr>
            <w:widowControl w:val="0"/>
            <w:spacing w:before="0" w:after="0"/>
            <w:rPr>
              <w:rFonts w:ascii="Helvetica" w:hAnsi="Helvetica"/>
              <w:sz w:val="16"/>
            </w:rPr>
          </w:pPr>
          <w:r>
            <w:rPr>
              <w:rFonts w:ascii="Helvetica" w:hAnsi="Helvetica"/>
              <w:sz w:val="16"/>
            </w:rPr>
            <w:t>notification</w:t>
          </w:r>
        </w:p>
        <w:p w14:paraId="1FA5B638" w14:textId="77777777" w:rsidR="009D6C96" w:rsidRDefault="009D6C96">
          <w:pPr>
            <w:widowControl w:val="0"/>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334C361F" w14:textId="77777777" w:rsidR="009D6C96" w:rsidRDefault="009D6C96">
          <w:pPr>
            <w:widowControl w:val="0"/>
            <w:spacing w:before="480" w:after="0"/>
            <w:rPr>
              <w:rFonts w:ascii="Helvetica" w:hAnsi="Helvetica"/>
              <w:sz w:val="16"/>
            </w:rPr>
          </w:pPr>
          <w:r>
            <w:rPr>
              <w:rFonts w:ascii="Helvetica" w:hAnsi="Helvetica"/>
              <w:sz w:val="16"/>
            </w:rPr>
            <w:t xml:space="preserve">Date of </w:t>
          </w:r>
        </w:p>
        <w:p w14:paraId="0DC50A72" w14:textId="77777777" w:rsidR="009D6C96" w:rsidRDefault="009D6C96">
          <w:pPr>
            <w:widowControl w:val="0"/>
            <w:spacing w:before="0" w:after="0"/>
            <w:rPr>
              <w:rFonts w:ascii="Helvetica" w:hAnsi="Helvetica"/>
              <w:sz w:val="16"/>
            </w:rPr>
          </w:pPr>
          <w:r>
            <w:rPr>
              <w:rFonts w:ascii="Helvetica" w:hAnsi="Helvetica"/>
              <w:sz w:val="16"/>
            </w:rPr>
            <w:t>commencement</w:t>
          </w:r>
        </w:p>
      </w:tc>
      <w:tc>
        <w:tcPr>
          <w:tcW w:w="1180" w:type="dxa"/>
          <w:tcBorders>
            <w:top w:val="single" w:sz="6" w:space="0" w:color="auto"/>
            <w:bottom w:val="single" w:sz="2" w:space="0" w:color="auto"/>
          </w:tcBorders>
        </w:tcPr>
        <w:p w14:paraId="5B2E8051" w14:textId="77777777" w:rsidR="009D6C96" w:rsidRDefault="009D6C96">
          <w:pPr>
            <w:widowControl w:val="0"/>
            <w:spacing w:after="100"/>
            <w:ind w:right="-20"/>
            <w:jc w:val="right"/>
            <w:rPr>
              <w:rFonts w:ascii="Helvetica" w:hAnsi="Helvetica"/>
              <w:sz w:val="16"/>
            </w:rPr>
          </w:pPr>
          <w:r>
            <w:rPr>
              <w:rFonts w:ascii="Helvetica" w:hAnsi="Helvetica"/>
              <w:sz w:val="16"/>
            </w:rPr>
            <w:t>Application, saving or transitional provisions</w:t>
          </w:r>
        </w:p>
      </w:tc>
    </w:tr>
  </w:tbl>
  <w:p w14:paraId="18F71A9F" w14:textId="77777777" w:rsidR="009D6C96" w:rsidRDefault="009D6C96">
    <w:pPr>
      <w:widowControl w:val="0"/>
      <w:spacing w:before="0" w:after="0"/>
      <w:ind w:left="200" w:right="-800"/>
      <w:rPr>
        <w:sz w:val="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EA5F" w14:textId="77777777" w:rsidR="009D6C96" w:rsidRDefault="009D6C96"/>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17FE" w14:textId="77777777" w:rsidR="0097631A" w:rsidRDefault="0097631A">
    <w:pPr>
      <w:widowControl w:val="0"/>
      <w:tabs>
        <w:tab w:val="left" w:pos="3180"/>
      </w:tabs>
      <w:rPr>
        <w:i/>
        <w:sz w:val="20"/>
      </w:rPr>
    </w:pPr>
    <w:r>
      <w:rPr>
        <w:sz w:val="20"/>
      </w:rPr>
      <w:pgNum/>
    </w:r>
    <w:r>
      <w:rPr>
        <w:sz w:val="20"/>
      </w:rPr>
      <w:tab/>
    </w:r>
    <w:r>
      <w:rPr>
        <w:i/>
        <w:sz w:val="20"/>
      </w:rPr>
      <w:t>Even Header</w:t>
    </w:r>
  </w:p>
  <w:p w14:paraId="599A560C" w14:textId="77777777" w:rsidR="0097631A" w:rsidRDefault="0097631A">
    <w:pPr>
      <w:widowControl w:val="0"/>
      <w:spacing w:before="100" w:after="100"/>
      <w:ind w:left="140" w:right="20"/>
      <w:jc w:val="center"/>
      <w:rPr>
        <w:rFonts w:ascii="Helvetica" w:hAnsi="Helvetica"/>
        <w:b/>
        <w:sz w:val="20"/>
      </w:rPr>
    </w:pPr>
    <w:r>
      <w:rPr>
        <w:rFonts w:ascii="Helvetica" w:hAnsi="Helvetica"/>
        <w:b/>
        <w:sz w:val="20"/>
      </w:rPr>
      <w:t>NOTE</w:t>
    </w:r>
    <w:r>
      <w:rPr>
        <w:rFonts w:ascii="Helvetica" w:hAnsi="Helvetica"/>
        <w:sz w:val="20"/>
      </w:rPr>
      <w:t>—continued</w:t>
    </w:r>
  </w:p>
  <w:p w14:paraId="10E3DE0F" w14:textId="77777777" w:rsidR="0097631A" w:rsidRDefault="0097631A">
    <w:pPr>
      <w:widowControl w:val="0"/>
      <w:spacing w:before="100" w:after="100"/>
      <w:ind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10CA94CF" w14:textId="77777777" w:rsidR="0097631A" w:rsidRDefault="0097631A">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46BB74E2" w14:textId="77777777" w:rsidR="0097631A" w:rsidRDefault="0097631A">
    <w:pPr>
      <w:widowControl w:val="0"/>
      <w:pBdr>
        <w:top w:val="single" w:sz="6" w:space="0" w:color="auto"/>
      </w:pBdr>
      <w:tabs>
        <w:tab w:val="left" w:pos="2200"/>
      </w:tabs>
      <w:spacing w:before="20" w:after="20"/>
      <w:ind w:left="260"/>
      <w:rPr>
        <w:rFonts w:ascii="Helvetica" w:hAnsi="Helvetica"/>
        <w:sz w:val="8"/>
      </w:rPr>
    </w:pPr>
  </w:p>
  <w:p w14:paraId="207FD7F9" w14:textId="77777777" w:rsidR="0097631A" w:rsidRDefault="0097631A">
    <w:pPr>
      <w:widowControl w:val="0"/>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638D2513" w14:textId="77777777" w:rsidR="0097631A" w:rsidRDefault="0097631A">
    <w:pPr>
      <w:widowControl w:val="0"/>
      <w:pBdr>
        <w:bottom w:val="single" w:sz="2" w:space="0" w:color="auto"/>
      </w:pBdr>
      <w:tabs>
        <w:tab w:val="left" w:pos="2200"/>
      </w:tabs>
      <w:spacing w:before="20" w:after="20"/>
      <w:ind w:left="260" w:right="20"/>
      <w:rPr>
        <w:rFonts w:ascii="Helvetica" w:hAnsi="Helvetica"/>
        <w:sz w:val="16"/>
      </w:rPr>
    </w:pPr>
  </w:p>
  <w:p w14:paraId="38D43DE4" w14:textId="77777777" w:rsidR="0097631A" w:rsidRDefault="0097631A">
    <w:pPr>
      <w:widowControl w:val="0"/>
      <w:tabs>
        <w:tab w:val="left" w:leader="dot" w:pos="2200"/>
      </w:tabs>
      <w:spacing w:before="20" w:after="20"/>
      <w:ind w:left="260" w:right="-820"/>
      <w:rPr>
        <w:rFonts w:ascii="Helvetica" w:hAnsi="Helvetica"/>
        <w:sz w:val="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3EE5" w14:textId="77777777" w:rsidR="0097631A" w:rsidRDefault="0097631A">
    <w:pPr>
      <w:widowControl w:val="0"/>
      <w:tabs>
        <w:tab w:val="left" w:pos="3120"/>
        <w:tab w:val="right" w:pos="7180"/>
      </w:tabs>
      <w:jc w:val="center"/>
      <w:rPr>
        <w:sz w:val="20"/>
      </w:rPr>
    </w:pPr>
    <w:r>
      <w:rPr>
        <w:i/>
        <w:sz w:val="20"/>
      </w:rPr>
      <w:t>Blood Donation (Transmittable Diseases) Act 1985</w:t>
    </w:r>
  </w:p>
  <w:p w14:paraId="0AE1B515" w14:textId="77777777" w:rsidR="0097631A" w:rsidRDefault="0097631A">
    <w:pPr>
      <w:widowControl w:val="0"/>
      <w:tabs>
        <w:tab w:val="left" w:pos="3580"/>
      </w:tabs>
      <w:spacing w:before="100" w:after="100"/>
      <w:ind w:left="140"/>
      <w:jc w:val="center"/>
      <w:rPr>
        <w:rFonts w:ascii="Helvetica" w:hAnsi="Helvetica"/>
        <w:sz w:val="20"/>
      </w:rPr>
    </w:pPr>
    <w:r>
      <w:rPr>
        <w:rFonts w:ascii="Helvetica" w:hAnsi="Helvetica"/>
        <w:b/>
        <w:sz w:val="20"/>
      </w:rPr>
      <w:t>NOTES</w:t>
    </w:r>
    <w:r>
      <w:rPr>
        <w:rFonts w:ascii="Helvetica" w:hAnsi="Helvetica"/>
        <w:sz w:val="20"/>
      </w:rPr>
      <w:t>—continued</w:t>
    </w:r>
  </w:p>
  <w:p w14:paraId="0FEC8A99" w14:textId="77777777" w:rsidR="0097631A" w:rsidRDefault="0097631A">
    <w:pPr>
      <w:widowControl w:val="0"/>
      <w:spacing w:before="0" w:after="0"/>
      <w:ind w:left="140" w:right="20"/>
      <w:rPr>
        <w:rFonts w:ascii="Helvetica" w:hAnsi="Helvetica"/>
        <w:sz w:val="8"/>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E1D2" w14:textId="77777777" w:rsidR="0097631A" w:rsidRPr="004E0466" w:rsidRDefault="0097631A" w:rsidP="004E04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12B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8246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4EB1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8AF7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6E6AC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F0A3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65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2840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D063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5D01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9E325CC"/>
    <w:multiLevelType w:val="multilevel"/>
    <w:tmpl w:val="155A5DE0"/>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C8639AD"/>
    <w:multiLevelType w:val="multilevel"/>
    <w:tmpl w:val="87044F96"/>
    <w:name w:val="Lower"/>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Letter"/>
      <w:suff w:val="nothing"/>
      <w:lvlText w:val="(%5)"/>
      <w:lvlJc w:val="left"/>
      <w:pPr>
        <w:ind w:left="0" w:firstLine="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662708424">
    <w:abstractNumId w:val="11"/>
  </w:num>
  <w:num w:numId="2" w16cid:durableId="1612665336">
    <w:abstractNumId w:val="12"/>
  </w:num>
  <w:num w:numId="3" w16cid:durableId="1524704148">
    <w:abstractNumId w:val="9"/>
  </w:num>
  <w:num w:numId="4" w16cid:durableId="349843574">
    <w:abstractNumId w:val="7"/>
  </w:num>
  <w:num w:numId="5" w16cid:durableId="1717317358">
    <w:abstractNumId w:val="6"/>
  </w:num>
  <w:num w:numId="6" w16cid:durableId="403600571">
    <w:abstractNumId w:val="5"/>
  </w:num>
  <w:num w:numId="7" w16cid:durableId="57825838">
    <w:abstractNumId w:val="4"/>
  </w:num>
  <w:num w:numId="8" w16cid:durableId="1546598137">
    <w:abstractNumId w:val="8"/>
  </w:num>
  <w:num w:numId="9" w16cid:durableId="655576499">
    <w:abstractNumId w:val="3"/>
  </w:num>
  <w:num w:numId="10" w16cid:durableId="435290353">
    <w:abstractNumId w:val="2"/>
  </w:num>
  <w:num w:numId="11" w16cid:durableId="1427729901">
    <w:abstractNumId w:val="1"/>
  </w:num>
  <w:num w:numId="12" w16cid:durableId="1950235866">
    <w:abstractNumId w:val="0"/>
  </w:num>
  <w:num w:numId="13" w16cid:durableId="6884878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788"/>
    <w:rsid w:val="001456A6"/>
    <w:rsid w:val="00390ED6"/>
    <w:rsid w:val="003F2A06"/>
    <w:rsid w:val="00423F1E"/>
    <w:rsid w:val="0045306F"/>
    <w:rsid w:val="004E0466"/>
    <w:rsid w:val="00504558"/>
    <w:rsid w:val="0064464D"/>
    <w:rsid w:val="006B3CA3"/>
    <w:rsid w:val="007F7591"/>
    <w:rsid w:val="00812C30"/>
    <w:rsid w:val="0097631A"/>
    <w:rsid w:val="009D6C96"/>
    <w:rsid w:val="00A713B8"/>
    <w:rsid w:val="00D31788"/>
    <w:rsid w:val="00D53E2D"/>
    <w:rsid w:val="00FD0CBC"/>
    <w:rsid w:val="00FE3E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2BA5E"/>
  <w15:chartTrackingRefBased/>
  <w15:docId w15:val="{F0F85945-5C69-4576-8F31-D3505A1EA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60"/>
      <w:jc w:val="both"/>
    </w:pPr>
    <w:rPr>
      <w:sz w:val="24"/>
    </w:rPr>
  </w:style>
  <w:style w:type="paragraph" w:styleId="Heading1">
    <w:name w:val="heading 1"/>
    <w:aliases w:val="Part,H1,h1"/>
    <w:basedOn w:val="Normal"/>
    <w:next w:val="Normal"/>
    <w:qFormat/>
    <w:pPr>
      <w:keepNext/>
      <w:spacing w:before="240"/>
      <w:outlineLvl w:val="0"/>
    </w:pPr>
    <w:rPr>
      <w:rFonts w:ascii="Arial" w:hAnsi="Arial"/>
      <w:b/>
      <w:kern w:val="28"/>
      <w:sz w:val="28"/>
    </w:rPr>
  </w:style>
  <w:style w:type="paragraph" w:styleId="Heading2">
    <w:name w:val="heading 2"/>
    <w:aliases w:val="Div,H2,h2"/>
    <w:basedOn w:val="Normal"/>
    <w:next w:val="Normal"/>
    <w:qFormat/>
    <w:pPr>
      <w:keepNext/>
      <w:spacing w:before="240"/>
      <w:outlineLvl w:val="1"/>
    </w:pPr>
    <w:rPr>
      <w:rFonts w:ascii="Arial" w:hAnsi="Arial"/>
      <w:b/>
      <w:i/>
    </w:rPr>
  </w:style>
  <w:style w:type="paragraph" w:styleId="Heading3">
    <w:name w:val="heading 3"/>
    <w:aliases w:val="sec,H3,h3,heading 3"/>
    <w:basedOn w:val="Normal"/>
    <w:next w:val="Normal"/>
    <w:qFormat/>
    <w:pPr>
      <w:keepNext/>
      <w:spacing w:before="240"/>
      <w:outlineLvl w:val="2"/>
    </w:pPr>
    <w:rPr>
      <w:rFonts w:ascii="Arial" w:hAnsi="Arial"/>
    </w:rPr>
  </w:style>
  <w:style w:type="paragraph" w:styleId="Heading4">
    <w:name w:val="heading 4"/>
    <w:aliases w:val="amend Part"/>
    <w:basedOn w:val="Normal"/>
    <w:next w:val="Normal"/>
    <w:qFormat/>
    <w:pPr>
      <w:keepNext/>
      <w:spacing w:before="240"/>
      <w:outlineLvl w:val="3"/>
    </w:pPr>
    <w:rPr>
      <w:rFonts w:ascii="Arial" w:hAnsi="Arial"/>
      <w:b/>
    </w:rPr>
  </w:style>
  <w:style w:type="paragraph" w:styleId="Heading5">
    <w:name w:val="heading 5"/>
    <w:aliases w:val="amend Div"/>
    <w:basedOn w:val="Normal"/>
    <w:next w:val="Normal"/>
    <w:qFormat/>
    <w:pPr>
      <w:spacing w:before="240"/>
      <w:outlineLvl w:val="4"/>
    </w:pPr>
    <w:rPr>
      <w:sz w:val="22"/>
    </w:rPr>
  </w:style>
  <w:style w:type="paragraph" w:styleId="Heading6">
    <w:name w:val="heading 6"/>
    <w:aliases w:val="amend sec"/>
    <w:basedOn w:val="Normal"/>
    <w:next w:val="Normal"/>
    <w:qFormat/>
    <w:pPr>
      <w:spacing w:before="240"/>
      <w:outlineLvl w:val="5"/>
    </w:pPr>
    <w:rPr>
      <w:i/>
      <w:sz w:val="22"/>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qFormat/>
    <w:pPr>
      <w:tabs>
        <w:tab w:val="num" w:pos="5400"/>
      </w:tabs>
      <w:spacing w:before="240"/>
      <w:ind w:left="5040"/>
      <w:outlineLvl w:val="7"/>
    </w:pPr>
    <w:rPr>
      <w:rFonts w:ascii="Arial" w:hAnsi="Arial"/>
      <w:i/>
    </w:rPr>
  </w:style>
  <w:style w:type="paragraph" w:styleId="Heading9">
    <w:name w:val="heading 9"/>
    <w:basedOn w:val="Normal"/>
    <w:next w:val="Normal"/>
    <w:qFormat/>
    <w:pPr>
      <w:tabs>
        <w:tab w:val="num" w:pos="6480"/>
      </w:tabs>
      <w:spacing w:before="240"/>
      <w:ind w:left="57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1Part">
    <w:name w:val="A H1 Part"/>
    <w:basedOn w:val="BillBasic"/>
    <w:next w:val="Normal"/>
    <w:pPr>
      <w:keepNext/>
      <w:spacing w:before="320"/>
      <w:jc w:val="center"/>
      <w:outlineLvl w:val="0"/>
    </w:pPr>
    <w:rPr>
      <w:b/>
      <w:caps/>
    </w:rPr>
  </w:style>
  <w:style w:type="paragraph" w:customStyle="1" w:styleId="BillBasic">
    <w:name w:val="Bill Basic"/>
    <w:pPr>
      <w:spacing w:before="80" w:after="60"/>
      <w:jc w:val="both"/>
    </w:pPr>
    <w:rPr>
      <w:sz w:val="24"/>
    </w:rPr>
  </w:style>
  <w:style w:type="paragraph" w:customStyle="1" w:styleId="AH2Div">
    <w:name w:val="A H2 Div"/>
    <w:basedOn w:val="BillBasic"/>
    <w:next w:val="Normal"/>
    <w:pPr>
      <w:keepNext/>
      <w:spacing w:before="180"/>
      <w:jc w:val="center"/>
      <w:outlineLvl w:val="2"/>
    </w:pPr>
    <w:rPr>
      <w:b/>
      <w:i/>
    </w:rPr>
  </w:style>
  <w:style w:type="paragraph" w:customStyle="1" w:styleId="AH3sec">
    <w:name w:val="A H3 sec"/>
    <w:basedOn w:val="BillBasic"/>
    <w:next w:val="Amain"/>
    <w:pPr>
      <w:keepNext/>
      <w:spacing w:before="180"/>
      <w:ind w:left="700" w:hanging="700"/>
      <w:outlineLvl w:val="4"/>
    </w:pPr>
    <w:rPr>
      <w:b/>
    </w:rPr>
  </w:style>
  <w:style w:type="paragraph" w:customStyle="1" w:styleId="Amain">
    <w:name w:val="A main"/>
    <w:aliases w:val="all sections,all s,a"/>
    <w:basedOn w:val="BillBasic"/>
    <w:pPr>
      <w:tabs>
        <w:tab w:val="left" w:pos="700"/>
      </w:tabs>
    </w:pPr>
  </w:style>
  <w:style w:type="paragraph" w:customStyle="1" w:styleId="Amainreturn">
    <w:name w:val="A main return"/>
    <w:basedOn w:val="BillBasic"/>
    <w:next w:val="Amain"/>
  </w:style>
  <w:style w:type="paragraph" w:customStyle="1" w:styleId="Apara">
    <w:name w:val="A para"/>
    <w:aliases w:val="a indent,a ind"/>
    <w:basedOn w:val="BillBasic"/>
    <w:pPr>
      <w:tabs>
        <w:tab w:val="right" w:pos="700"/>
      </w:tabs>
      <w:ind w:left="900" w:hanging="900"/>
    </w:pPr>
  </w:style>
  <w:style w:type="paragraph" w:customStyle="1" w:styleId="Asubpara">
    <w:name w:val="A subpara"/>
    <w:aliases w:val="i indent"/>
    <w:basedOn w:val="BillBasic"/>
    <w:pPr>
      <w:tabs>
        <w:tab w:val="right" w:pos="1340"/>
      </w:tabs>
      <w:ind w:left="1540" w:hanging="1540"/>
    </w:pPr>
  </w:style>
  <w:style w:type="paragraph" w:customStyle="1" w:styleId="Asubsubpara">
    <w:name w:val="A subsubpara"/>
    <w:aliases w:val="B indent"/>
    <w:basedOn w:val="BillBasic"/>
    <w:pPr>
      <w:tabs>
        <w:tab w:val="right" w:pos="1980"/>
      </w:tabs>
      <w:ind w:left="2180" w:hanging="2180"/>
    </w:pPr>
  </w:style>
  <w:style w:type="paragraph" w:customStyle="1" w:styleId="aDef">
    <w:name w:val="aDef"/>
    <w:aliases w:val="def"/>
    <w:basedOn w:val="BillBasic"/>
    <w:pPr>
      <w:ind w:left="900" w:hanging="500"/>
    </w:pPr>
  </w:style>
  <w:style w:type="paragraph" w:customStyle="1" w:styleId="aExamhead">
    <w:name w:val="aExam head"/>
    <w:basedOn w:val="BillBasic"/>
    <w:next w:val="Normal"/>
    <w:pPr>
      <w:keepNext/>
    </w:pPr>
    <w:rPr>
      <w:i/>
      <w:sz w:val="20"/>
    </w:rPr>
  </w:style>
  <w:style w:type="paragraph" w:customStyle="1" w:styleId="aNote">
    <w:name w:val="aNote"/>
    <w:basedOn w:val="BillBasic"/>
    <w:pPr>
      <w:tabs>
        <w:tab w:val="left" w:pos="700"/>
      </w:tabs>
    </w:pPr>
    <w:rPr>
      <w:sz w:val="20"/>
    </w:rPr>
  </w:style>
  <w:style w:type="paragraph" w:customStyle="1" w:styleId="BillField">
    <w:name w:val="BillField"/>
    <w:basedOn w:val="Amain"/>
  </w:style>
  <w:style w:type="paragraph" w:customStyle="1" w:styleId="Billfooter">
    <w:name w:val="Billfooter"/>
    <w:basedOn w:val="BillBasic"/>
    <w:pPr>
      <w:tabs>
        <w:tab w:val="right" w:pos="7200"/>
      </w:tabs>
      <w:spacing w:before="0" w:after="0"/>
    </w:pPr>
    <w:rPr>
      <w:sz w:val="18"/>
    </w:rPr>
  </w:style>
  <w:style w:type="paragraph" w:customStyle="1" w:styleId="Billheader">
    <w:name w:val="Billheader"/>
    <w:basedOn w:val="BillBasic"/>
    <w:pPr>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customStyle="1" w:styleId="Comment">
    <w:name w:val="Comment"/>
    <w:basedOn w:val="BillBasic"/>
    <w:pPr>
      <w:tabs>
        <w:tab w:val="left" w:pos="1400"/>
      </w:tabs>
      <w:ind w:left="900"/>
      <w:jc w:val="left"/>
    </w:pPr>
    <w:rPr>
      <w:b/>
      <w:sz w:val="18"/>
    </w:rPr>
  </w:style>
  <w:style w:type="paragraph" w:customStyle="1" w:styleId="Endnote1">
    <w:name w:val="Endnote1"/>
    <w:basedOn w:val="BillBasic"/>
    <w:pPr>
      <w:keepNext/>
      <w:tabs>
        <w:tab w:val="left" w:pos="400"/>
      </w:tabs>
      <w:spacing w:before="0" w:after="160"/>
      <w:jc w:val="left"/>
    </w:pPr>
    <w:rPr>
      <w:rFonts w:ascii="Arial" w:hAnsi="Arial"/>
      <w:b/>
      <w:caps/>
      <w:sz w:val="18"/>
    </w:rPr>
  </w:style>
  <w:style w:type="paragraph" w:customStyle="1" w:styleId="Endnote2">
    <w:name w:val="Endnote2"/>
    <w:basedOn w:val="BillBasic"/>
    <w:pPr>
      <w:keepNext/>
      <w:tabs>
        <w:tab w:val="left" w:pos="240"/>
      </w:tabs>
      <w:spacing w:before="160" w:after="80"/>
      <w:jc w:val="left"/>
    </w:pPr>
    <w:rPr>
      <w:rFonts w:ascii="Arial" w:hAnsi="Arial"/>
      <w:b/>
      <w:sz w:val="18"/>
    </w:rPr>
  </w:style>
  <w:style w:type="paragraph" w:customStyle="1" w:styleId="IH4Part">
    <w:name w:val="I H4 Part"/>
    <w:basedOn w:val="AH1Part"/>
  </w:style>
  <w:style w:type="paragraph" w:customStyle="1" w:styleId="IH5Div">
    <w:name w:val="I H5 Div"/>
    <w:basedOn w:val="AH2Div"/>
  </w:style>
  <w:style w:type="paragraph" w:customStyle="1" w:styleId="IH6sec">
    <w:name w:val="I H6 sec"/>
    <w:basedOn w:val="AH3sec"/>
    <w:next w:val="Amain"/>
    <w:pPr>
      <w:spacing w:after="0"/>
      <w:jc w:val="left"/>
    </w:pPr>
  </w:style>
  <w:style w:type="paragraph" w:styleId="Index1">
    <w:name w:val="index 1"/>
    <w:basedOn w:val="Normal"/>
    <w:next w:val="Normal"/>
    <w:semiHidden/>
    <w:pPr>
      <w:ind w:left="240" w:hanging="240"/>
    </w:pPr>
  </w:style>
  <w:style w:type="paragraph" w:customStyle="1" w:styleId="InparaH3sec">
    <w:name w:val="Inpara H3 sec"/>
    <w:basedOn w:val="BillBasic"/>
    <w:pPr>
      <w:ind w:left="1600" w:hanging="700"/>
      <w:jc w:val="left"/>
    </w:pPr>
    <w:rPr>
      <w:b/>
    </w:rPr>
  </w:style>
  <w:style w:type="paragraph" w:customStyle="1" w:styleId="Inparamain">
    <w:name w:val="Inpara main"/>
    <w:aliases w:val="sec in para"/>
    <w:basedOn w:val="BillBasic"/>
    <w:pPr>
      <w:tabs>
        <w:tab w:val="left" w:pos="1400"/>
      </w:tabs>
      <w:ind w:left="900"/>
    </w:pPr>
  </w:style>
  <w:style w:type="paragraph" w:customStyle="1" w:styleId="Inparamainreturn">
    <w:name w:val="Inpara main return"/>
    <w:basedOn w:val="Inparamain"/>
    <w:pPr>
      <w:spacing w:before="0"/>
    </w:pPr>
  </w:style>
  <w:style w:type="paragraph" w:customStyle="1" w:styleId="Inparapara">
    <w:name w:val="Inpara para"/>
    <w:aliases w:val="para in para"/>
    <w:basedOn w:val="BillBasic"/>
    <w:pPr>
      <w:tabs>
        <w:tab w:val="right" w:pos="1600"/>
      </w:tabs>
      <w:spacing w:before="0"/>
      <w:ind w:left="1800" w:hanging="1800"/>
    </w:pPr>
  </w:style>
  <w:style w:type="paragraph" w:customStyle="1" w:styleId="Inparasubpara">
    <w:name w:val="Inpara subpara"/>
    <w:aliases w:val="subpara in para"/>
    <w:basedOn w:val="BillBasic"/>
    <w:pPr>
      <w:tabs>
        <w:tab w:val="right" w:pos="2240"/>
      </w:tabs>
      <w:spacing w:before="0"/>
      <w:ind w:left="2440" w:hanging="2440"/>
    </w:pPr>
  </w:style>
  <w:style w:type="paragraph" w:customStyle="1" w:styleId="Inparasubsubpara">
    <w:name w:val="Inpara subsubpara"/>
    <w:aliases w:val="sub-subpara in para"/>
    <w:basedOn w:val="BillBasic"/>
    <w:pPr>
      <w:tabs>
        <w:tab w:val="right" w:pos="2880"/>
      </w:tabs>
      <w:spacing w:before="0"/>
      <w:ind w:left="3080" w:hanging="3080"/>
    </w:pPr>
  </w:style>
  <w:style w:type="paragraph" w:customStyle="1" w:styleId="InparaDef">
    <w:name w:val="InparaDef"/>
    <w:aliases w:val="def in para"/>
    <w:basedOn w:val="BillBasic"/>
    <w:pPr>
      <w:ind w:left="1720" w:hanging="380"/>
    </w:p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line1">
    <w:name w:val="N-line1"/>
    <w:basedOn w:val="BillBasic"/>
    <w:pPr>
      <w:pBdr>
        <w:bottom w:val="single" w:sz="4" w:space="0" w:color="auto"/>
      </w:pBdr>
      <w:spacing w:before="100" w:after="200"/>
      <w:ind w:left="2980" w:right="3020"/>
      <w:jc w:val="center"/>
    </w:pPr>
  </w:style>
  <w:style w:type="paragraph" w:customStyle="1" w:styleId="Norm-5pt">
    <w:name w:val="Norm-5pt"/>
    <w:basedOn w:val="Normal"/>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Arial" w:hAnsi="Arial"/>
      <w:sz w:val="10"/>
    </w:r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Schclauseheading">
    <w:name w:val="Sch clause heading"/>
    <w:aliases w:val="amend schedule"/>
    <w:basedOn w:val="BillBasic"/>
    <w:next w:val="Amain"/>
    <w:pPr>
      <w:keepNext/>
      <w:spacing w:before="160" w:after="0"/>
      <w:ind w:left="700" w:hanging="700"/>
      <w:jc w:val="left"/>
    </w:pPr>
    <w:rPr>
      <w:b/>
    </w:rPr>
  </w:style>
  <w:style w:type="paragraph" w:customStyle="1" w:styleId="Sched-heading">
    <w:name w:val="Sched-heading"/>
    <w:basedOn w:val="BillBasic"/>
    <w:next w:val="Normal"/>
    <w:pPr>
      <w:keepNext/>
      <w:tabs>
        <w:tab w:val="center" w:pos="3600"/>
        <w:tab w:val="right" w:pos="7200"/>
      </w:tabs>
    </w:pPr>
    <w:rPr>
      <w:b/>
    </w:rPr>
  </w:style>
  <w:style w:type="paragraph" w:customStyle="1" w:styleId="Sched-name">
    <w:name w:val="Sched-name"/>
    <w:basedOn w:val="BillBasic"/>
    <w:pPr>
      <w:keepNext/>
      <w:tabs>
        <w:tab w:val="center" w:pos="3600"/>
        <w:tab w:val="right" w:pos="7200"/>
      </w:tabs>
      <w:spacing w:before="160"/>
      <w:jc w:val="left"/>
    </w:pPr>
    <w:rPr>
      <w:cap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rPr>
  </w:style>
  <w:style w:type="paragraph" w:styleId="BodyTextFirstIndent">
    <w:name w:val="Body Text First Indent"/>
    <w:basedOn w:val="BlockText"/>
    <w:semiHidden/>
    <w:pPr>
      <w:ind w:left="0" w:right="0" w:firstLine="210"/>
    </w:pPr>
  </w:style>
  <w:style w:type="paragraph" w:styleId="BodyTextFirstIndent2">
    <w:name w:val="Body Text First Indent 2"/>
    <w:basedOn w:val="BodyText"/>
    <w:semiHidden/>
    <w:pPr>
      <w:ind w:left="283"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semiHidden/>
    <w:rPr>
      <w:rFonts w:ascii="Times New Roman" w:hAnsi="Times New Roman"/>
      <w:b w:val="0"/>
      <w:i w:val="0"/>
      <w:caps w:val="0"/>
      <w:sz w:val="16"/>
    </w:rPr>
  </w:style>
  <w:style w:type="paragraph" w:styleId="CommentText">
    <w:name w:val="annotation text"/>
    <w:basedOn w:val="Normal"/>
    <w:semiHidden/>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rPr>
  </w:style>
  <w:style w:type="paragraph" w:styleId="EnvelopeReturn">
    <w:name w:val="envelope return"/>
    <w:basedOn w:val="Normal"/>
    <w:semiHidden/>
    <w:rPr>
      <w:rFonts w:ascii="Arial" w:hAnsi="Arial"/>
    </w:rPr>
  </w:style>
  <w:style w:type="character" w:styleId="FollowedHyperlink">
    <w:name w:val="FollowedHyperlink"/>
    <w:semiHidden/>
    <w:rPr>
      <w:color w:val="800080"/>
      <w:u w:val="single"/>
    </w:rPr>
  </w:style>
  <w:style w:type="paragraph" w:styleId="Footer">
    <w:name w:val="footer"/>
    <w:basedOn w:val="Normal"/>
    <w:link w:val="FooterChar"/>
    <w:pPr>
      <w:tabs>
        <w:tab w:val="center" w:pos="4320"/>
        <w:tab w:val="right" w:pos="8640"/>
      </w:tabs>
    </w:pPr>
  </w:style>
  <w:style w:type="character" w:styleId="FootnoteReference">
    <w:name w:val="footnote reference"/>
    <w:semiHidden/>
    <w:rPr>
      <w:vertAlign w:val="superscript"/>
    </w:rPr>
  </w:style>
  <w:style w:type="paragraph" w:styleId="FootnoteText">
    <w:name w:val="footnote text"/>
    <w:basedOn w:val="Normal"/>
    <w:semiHidden/>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numPr>
        <w:numId w:val="3"/>
      </w:numPr>
    </w:pPr>
  </w:style>
  <w:style w:type="paragraph" w:styleId="ListBullet2">
    <w:name w:val="List Bullet 2"/>
    <w:basedOn w:val="Normal"/>
    <w:semiHidden/>
    <w:pPr>
      <w:numPr>
        <w:numId w:val="4"/>
      </w:numPr>
    </w:pPr>
  </w:style>
  <w:style w:type="paragraph" w:styleId="ListBullet3">
    <w:name w:val="List Bullet 3"/>
    <w:basedOn w:val="Normal"/>
    <w:semiHidden/>
    <w:pPr>
      <w:numPr>
        <w:numId w:val="5"/>
      </w:numPr>
    </w:pPr>
  </w:style>
  <w:style w:type="paragraph" w:styleId="ListBullet4">
    <w:name w:val="List Bullet 4"/>
    <w:basedOn w:val="Normal"/>
    <w:semiHidden/>
    <w:pPr>
      <w:numPr>
        <w:numId w:val="6"/>
      </w:numPr>
    </w:pPr>
  </w:style>
  <w:style w:type="paragraph" w:styleId="ListBullet5">
    <w:name w:val="List Bullet 5"/>
    <w:basedOn w:val="Normal"/>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before="80" w:after="60"/>
      <w:jc w:val="both"/>
    </w:pPr>
    <w:rPr>
      <w:rFonts w:ascii="Courier New" w:hAnsi="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semiHidden/>
    <w:pPr>
      <w:ind w:left="720"/>
    </w:pPr>
  </w:style>
  <w:style w:type="paragraph" w:styleId="NoteHeading">
    <w:name w:val="Note Heading"/>
    <w:basedOn w:val="Normal"/>
    <w:next w:val="Normal"/>
    <w:semiHidden/>
  </w:style>
  <w:style w:type="character" w:styleId="PageNumber">
    <w:name w:val="page number"/>
    <w:basedOn w:val="DefaultParagraphFont"/>
    <w:semiHidden/>
  </w:style>
  <w:style w:type="paragraph" w:styleId="PlainText">
    <w:name w:val="Plain Text"/>
    <w:basedOn w:val="Normal"/>
    <w:semiHidden/>
    <w:rPr>
      <w:rFonts w:ascii="Courier New" w:hAnsi="Courier New"/>
      <w:sz w:val="20"/>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qFormat/>
    <w:rPr>
      <w:b/>
    </w:rPr>
  </w:style>
  <w:style w:type="paragraph" w:styleId="Subtitle">
    <w:name w:val="Subtitle"/>
    <w:basedOn w:val="Normal"/>
    <w:qFormat/>
    <w:pPr>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BillBasic"/>
    <w:next w:val="TOC2"/>
    <w:semiHidden/>
    <w:pPr>
      <w:keepNext/>
      <w:jc w:val="center"/>
    </w:pPr>
    <w:rPr>
      <w:caps/>
      <w:sz w:val="20"/>
    </w:rPr>
  </w:style>
  <w:style w:type="paragraph" w:styleId="TOC2">
    <w:name w:val="toc 2"/>
    <w:basedOn w:val="BillBasic"/>
    <w:next w:val="TOC3"/>
    <w:semiHidden/>
    <w:pPr>
      <w:keepNext/>
      <w:spacing w:before="20"/>
      <w:jc w:val="center"/>
    </w:pPr>
    <w:rPr>
      <w:i/>
      <w:sz w:val="20"/>
    </w:rPr>
  </w:style>
  <w:style w:type="paragraph" w:styleId="TOC3">
    <w:name w:val="toc 3"/>
    <w:basedOn w:val="BillBasic"/>
    <w:semiHidden/>
    <w:pPr>
      <w:tabs>
        <w:tab w:val="right" w:pos="540"/>
        <w:tab w:val="right" w:leader="dot" w:pos="7200"/>
      </w:tabs>
      <w:spacing w:before="20" w:after="20"/>
      <w:ind w:left="1120" w:hanging="1120"/>
      <w:jc w:val="left"/>
    </w:pPr>
    <w:rPr>
      <w:sz w:val="20"/>
    </w:rPr>
  </w:style>
  <w:style w:type="paragraph" w:styleId="TOC4">
    <w:name w:val="toc 4"/>
    <w:basedOn w:val="BillBasic"/>
    <w:next w:val="TOC5"/>
    <w:semiHidden/>
    <w:pPr>
      <w:spacing w:before="20" w:after="20"/>
      <w:ind w:left="1120" w:right="20"/>
      <w:jc w:val="center"/>
    </w:pPr>
    <w:rPr>
      <w:caps/>
      <w:sz w:val="20"/>
    </w:rPr>
  </w:style>
  <w:style w:type="paragraph" w:styleId="TOC5">
    <w:name w:val="toc 5"/>
    <w:basedOn w:val="BillBasic"/>
    <w:next w:val="TOC6"/>
    <w:semiHidden/>
    <w:pPr>
      <w:spacing w:before="20" w:after="20"/>
      <w:ind w:left="1120" w:right="20"/>
      <w:jc w:val="center"/>
    </w:pPr>
    <w:rPr>
      <w:i/>
      <w:sz w:val="20"/>
    </w:rPr>
  </w:style>
  <w:style w:type="paragraph" w:styleId="TOC6">
    <w:name w:val="toc 6"/>
    <w:basedOn w:val="BillBasic"/>
    <w:semiHidden/>
    <w:pPr>
      <w:tabs>
        <w:tab w:val="right" w:pos="1900"/>
        <w:tab w:val="right" w:leader="dot" w:pos="7200"/>
      </w:tabs>
      <w:spacing w:before="20" w:after="20"/>
      <w:ind w:left="2300" w:hanging="2300"/>
      <w:jc w:val="left"/>
    </w:pPr>
    <w:rPr>
      <w:sz w:val="20"/>
    </w:rPr>
  </w:style>
  <w:style w:type="paragraph" w:styleId="TOC7">
    <w:name w:val="toc 7"/>
    <w:basedOn w:val="BillBasic"/>
    <w:next w:val="TOC8"/>
    <w:semiHidden/>
    <w:pPr>
      <w:tabs>
        <w:tab w:val="center" w:pos="3600"/>
        <w:tab w:val="right" w:leader="dot" w:pos="7200"/>
      </w:tabs>
      <w:spacing w:before="160" w:after="20"/>
      <w:jc w:val="left"/>
    </w:pPr>
    <w:rPr>
      <w:caps/>
      <w:sz w:val="20"/>
    </w:rPr>
  </w:style>
  <w:style w:type="paragraph" w:styleId="TOC8">
    <w:name w:val="toc 8"/>
    <w:basedOn w:val="BillBasic"/>
    <w:semiHidden/>
    <w:pPr>
      <w:tabs>
        <w:tab w:val="center" w:pos="3600"/>
        <w:tab w:val="right" w:leader="dot" w:pos="7200"/>
      </w:tabs>
      <w:spacing w:before="20" w:after="20"/>
      <w:jc w:val="left"/>
    </w:pPr>
    <w:rPr>
      <w:caps/>
      <w:sz w:val="20"/>
    </w:rPr>
  </w:style>
  <w:style w:type="paragraph" w:styleId="TOC9">
    <w:name w:val="toc 9"/>
    <w:basedOn w:val="TOC6"/>
    <w:next w:val="TOC6"/>
    <w:semiHidden/>
  </w:style>
  <w:style w:type="paragraph" w:customStyle="1" w:styleId="N-line2">
    <w:name w:val="N-line2"/>
    <w:basedOn w:val="Normal"/>
    <w:next w:val="Normal"/>
    <w:pPr>
      <w:pBdr>
        <w:bottom w:val="single" w:sz="2" w:space="0" w:color="auto"/>
      </w:pBdr>
      <w:spacing w:before="0"/>
    </w:pPr>
  </w:style>
  <w:style w:type="paragraph" w:customStyle="1" w:styleId="Billcrest">
    <w:name w:val="Billcrest"/>
    <w:basedOn w:val="Normal"/>
    <w:pPr>
      <w:spacing w:before="0"/>
      <w:ind w:left="2800"/>
      <w:jc w:val="left"/>
    </w:pPr>
    <w:rPr>
      <w:rFonts w:ascii="ACTCrest" w:hAnsi="ACTCrest"/>
      <w:sz w:val="216"/>
    </w:rPr>
  </w:style>
  <w:style w:type="paragraph" w:customStyle="1" w:styleId="defaindent">
    <w:name w:val="def a indent"/>
    <w:pPr>
      <w:tabs>
        <w:tab w:val="right" w:pos="1360"/>
      </w:tabs>
      <w:spacing w:before="80" w:after="80"/>
      <w:ind w:left="1620" w:hanging="1620"/>
      <w:jc w:val="both"/>
    </w:pPr>
    <w:rPr>
      <w:rFonts w:ascii="Times" w:hAnsi="Times"/>
      <w:sz w:val="24"/>
    </w:rPr>
  </w:style>
  <w:style w:type="paragraph" w:customStyle="1" w:styleId="Aparareturn">
    <w:name w:val="A para return"/>
    <w:aliases w:val="half out"/>
    <w:basedOn w:val="Normal"/>
    <w:next w:val="Normal"/>
    <w:pPr>
      <w:spacing w:before="0" w:after="80"/>
      <w:ind w:left="900"/>
    </w:pPr>
    <w:rPr>
      <w:rFonts w:ascii="Times" w:hAnsi="Times"/>
    </w:rPr>
  </w:style>
  <w:style w:type="paragraph" w:customStyle="1" w:styleId="fullout">
    <w:name w:val="full out"/>
    <w:pPr>
      <w:spacing w:before="80" w:after="80"/>
      <w:jc w:val="both"/>
    </w:pPr>
    <w:rPr>
      <w:rFonts w:ascii="Times" w:hAnsi="Times"/>
      <w:sz w:val="24"/>
    </w:rPr>
  </w:style>
  <w:style w:type="paragraph" w:customStyle="1" w:styleId="citation">
    <w:name w:val="citation"/>
    <w:basedOn w:val="Normal"/>
    <w:rsid w:val="00FD0CBC"/>
    <w:pPr>
      <w:spacing w:before="1220" w:after="100"/>
      <w:jc w:val="left"/>
    </w:pPr>
    <w:rPr>
      <w:rFonts w:ascii="Arial" w:hAnsi="Arial"/>
      <w:b/>
      <w:sz w:val="40"/>
      <w:lang w:eastAsia="en-US"/>
    </w:rPr>
  </w:style>
  <w:style w:type="paragraph" w:customStyle="1" w:styleId="RepubNo">
    <w:name w:val="RepubNo"/>
    <w:basedOn w:val="Normal"/>
    <w:rsid w:val="00FD0CBC"/>
    <w:pPr>
      <w:tabs>
        <w:tab w:val="left" w:pos="2600"/>
      </w:tabs>
      <w:spacing w:before="600"/>
    </w:pPr>
    <w:rPr>
      <w:rFonts w:ascii="Arial" w:hAnsi="Arial"/>
      <w:b/>
      <w:sz w:val="26"/>
      <w:lang w:eastAsia="en-US"/>
    </w:rPr>
  </w:style>
  <w:style w:type="paragraph" w:customStyle="1" w:styleId="EffectiveDate">
    <w:name w:val="EffectiveDate"/>
    <w:basedOn w:val="Normal"/>
    <w:rsid w:val="00FD0CBC"/>
    <w:pPr>
      <w:spacing w:before="40" w:after="200"/>
      <w:jc w:val="left"/>
    </w:pPr>
    <w:rPr>
      <w:rFonts w:ascii="Arial" w:hAnsi="Arial"/>
      <w:b/>
      <w:sz w:val="26"/>
      <w:lang w:eastAsia="en-US"/>
    </w:rPr>
  </w:style>
  <w:style w:type="paragraph" w:customStyle="1" w:styleId="CoverInForce">
    <w:name w:val="CoverInForce"/>
    <w:basedOn w:val="Normal"/>
    <w:rsid w:val="00FD0CBC"/>
    <w:pPr>
      <w:tabs>
        <w:tab w:val="left" w:pos="2600"/>
      </w:tabs>
      <w:spacing w:before="200"/>
      <w:jc w:val="left"/>
    </w:pPr>
    <w:rPr>
      <w:rFonts w:ascii="Arial" w:hAnsi="Arial"/>
      <w:lang w:eastAsia="en-US"/>
    </w:rPr>
  </w:style>
  <w:style w:type="paragraph" w:customStyle="1" w:styleId="CoverHeading">
    <w:name w:val="CoverHeading"/>
    <w:basedOn w:val="Normal"/>
    <w:rsid w:val="00FD0CBC"/>
    <w:pPr>
      <w:spacing w:before="0"/>
      <w:jc w:val="left"/>
    </w:pPr>
    <w:rPr>
      <w:rFonts w:ascii="Arial" w:hAnsi="Arial"/>
      <w:b/>
      <w:lang w:eastAsia="en-US"/>
    </w:rPr>
  </w:style>
  <w:style w:type="paragraph" w:customStyle="1" w:styleId="CoverSubHdg">
    <w:name w:val="CoverSubHdg"/>
    <w:basedOn w:val="CoverHeading"/>
    <w:rsid w:val="00FD0CBC"/>
    <w:pPr>
      <w:spacing w:before="60"/>
    </w:pPr>
    <w:rPr>
      <w:sz w:val="20"/>
    </w:rPr>
  </w:style>
  <w:style w:type="paragraph" w:customStyle="1" w:styleId="CoverText">
    <w:name w:val="CoverText"/>
    <w:basedOn w:val="Normal"/>
    <w:rsid w:val="00FD0CBC"/>
    <w:pPr>
      <w:spacing w:before="40" w:after="40"/>
    </w:pPr>
    <w:rPr>
      <w:sz w:val="20"/>
      <w:lang w:eastAsia="en-US"/>
    </w:rPr>
  </w:style>
  <w:style w:type="paragraph" w:customStyle="1" w:styleId="ActNo">
    <w:name w:val="ActNo"/>
    <w:basedOn w:val="Normal"/>
    <w:rsid w:val="00FD0CBC"/>
    <w:pPr>
      <w:spacing w:before="120"/>
      <w:jc w:val="left"/>
    </w:pPr>
    <w:rPr>
      <w:rFonts w:ascii="Arial" w:hAnsi="Arial" w:cs="Arial"/>
      <w:b/>
      <w:bCs/>
      <w:szCs w:val="24"/>
      <w:lang w:eastAsia="en-US"/>
    </w:rPr>
  </w:style>
  <w:style w:type="character" w:customStyle="1" w:styleId="FooterChar">
    <w:name w:val="Footer Char"/>
    <w:link w:val="Footer"/>
    <w:rsid w:val="00FD0CBC"/>
    <w:rPr>
      <w:sz w:val="24"/>
    </w:rPr>
  </w:style>
  <w:style w:type="paragraph" w:customStyle="1" w:styleId="00SigningPage">
    <w:name w:val="00SigningPage"/>
    <w:basedOn w:val="Normal"/>
    <w:rsid w:val="00FD0CBC"/>
    <w:pPr>
      <w:spacing w:before="0" w:after="0"/>
      <w:jc w:val="left"/>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4798</Words>
  <Characters>24286</Characters>
  <Application>Microsoft Office Word</Application>
  <DocSecurity>0</DocSecurity>
  <Lines>621</Lines>
  <Paragraphs>328</Paragraphs>
  <ScaleCrop>false</ScaleCrop>
  <HeadingPairs>
    <vt:vector size="2" baseType="variant">
      <vt:variant>
        <vt:lpstr>Title</vt:lpstr>
      </vt:variant>
      <vt:variant>
        <vt:i4>1</vt:i4>
      </vt:variant>
    </vt:vector>
  </HeadingPairs>
  <TitlesOfParts>
    <vt:vector size="1" baseType="lpstr">
      <vt:lpstr>c</vt:lpstr>
    </vt:vector>
  </TitlesOfParts>
  <Company>InTACT</Company>
  <LinksUpToDate>false</LinksUpToDate>
  <CharactersWithSpaces>29050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InTACT</dc:creator>
  <cp:keywords/>
  <dc:description/>
  <cp:lastModifiedBy>PCODCS</cp:lastModifiedBy>
  <cp:revision>4</cp:revision>
  <cp:lastPrinted>2001-03-21T05:06:00Z</cp:lastPrinted>
  <dcterms:created xsi:type="dcterms:W3CDTF">2026-09-21T22:48:00Z</dcterms:created>
  <dcterms:modified xsi:type="dcterms:W3CDTF">2026-09-21T22:48:00Z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five</vt:lpwstr>
  </property>
  <property fmtid="{D5CDD505-2E9C-101B-9397-08002B2CF9AE}" pid="3" name="MSIP_Label_69af8531-eb46-4968-8cb3-105d2f5ea87e_Enabled">
    <vt:lpwstr>true</vt:lpwstr>
  </property>
  <property fmtid="{D5CDD505-2E9C-101B-9397-08002B2CF9AE}" pid="4" name="MSIP_Label_69af8531-eb46-4968-8cb3-105d2f5ea87e_SetDate">
    <vt:lpwstr>2026-08-16T23:29:43Z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99d73604-1fdb-49d4-a40c-0b0f0312aeb2</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